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pPr w:leftFromText="180" w:rightFromText="180" w:vertAnchor="text" w:horzAnchor="page" w:tblpX="9573" w:tblpY="-36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8" w:hRule="atLeast"/>
        </w:trPr>
        <w:tc>
          <w:tcPr>
            <w:tcW w:w="1728" w:type="dxa"/>
            <w:vAlign w:val="center"/>
          </w:tcPr>
          <w:p>
            <w:pPr>
              <w:spacing w:line="280" w:lineRule="exact"/>
              <w:ind w:right="-1615" w:rightChars="-673"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r>
              <w:rPr>
                <w:rFonts w:hint="eastAsia"/>
                <w:color w:val="000000" w:themeColor="text1"/>
                <w:szCs w:val="21"/>
                <w14:textFill>
                  <w14:solidFill>
                    <w14:schemeClr w14:val="tx1"/>
                  </w14:solidFill>
                </w14:textFill>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52500" cy="952500"/>
                  <wp:effectExtent l="0" t="0" r="0" b="0"/>
                  <wp:wrapTopAndBottom/>
                  <wp:docPr id="5" name="图片 3" descr="1605142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05142435(1)"/>
                          <pic:cNvPicPr>
                            <a:picLocks noChangeAspect="1"/>
                          </pic:cNvPicPr>
                        </pic:nvPicPr>
                        <pic:blipFill>
                          <a:blip r:embed="rId17"/>
                          <a:stretch>
                            <a:fillRect/>
                          </a:stretch>
                        </pic:blipFill>
                        <pic:spPr>
                          <a:xfrm>
                            <a:off x="0" y="0"/>
                            <a:ext cx="952500" cy="952500"/>
                          </a:xfrm>
                          <a:prstGeom prst="rect">
                            <a:avLst/>
                          </a:prstGeom>
                          <a:noFill/>
                          <a:ln>
                            <a:noFill/>
                          </a:ln>
                        </pic:spPr>
                      </pic:pic>
                    </a:graphicData>
                  </a:graphic>
                </wp:anchor>
              </w:drawing>
            </w:r>
            <w:r>
              <w:rPr>
                <w:rFonts w:hint="eastAsia"/>
                <w:color w:val="000000" w:themeColor="text1"/>
                <w:szCs w:val="21"/>
                <w14:textFill>
                  <w14:solidFill>
                    <w14:schemeClr w14:val="tx1"/>
                  </w14:solidFill>
                </w14:textFill>
              </w:rPr>
              <w:t>二维码验证</w:t>
            </w:r>
          </w:p>
          <w:p>
            <w:pPr>
              <w:spacing w:line="280" w:lineRule="exact"/>
              <w:ind w:right="-1615" w:rightChars="-673"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非本公司出版</w:t>
            </w:r>
          </w:p>
        </w:tc>
      </w:tr>
    </w:tbl>
    <w:p>
      <w:pPr>
        <w:ind w:right="-1615" w:rightChars="-673" w:firstLine="562"/>
        <w:rPr>
          <w:rFonts w:eastAsia="黑体"/>
          <w:b/>
          <w:color w:val="000000" w:themeColor="text1"/>
          <w:sz w:val="28"/>
          <w:szCs w:val="28"/>
          <w14:textFill>
            <w14:solidFill>
              <w14:schemeClr w14:val="tx1"/>
            </w14:solidFill>
          </w14:textFill>
        </w:rPr>
      </w:pPr>
      <w:r>
        <w:rPr>
          <w:rFonts w:eastAsia="黑体"/>
          <w:b/>
          <w:color w:val="000000" w:themeColor="text1"/>
          <w:sz w:val="28"/>
          <w:szCs w:val="28"/>
          <w14:textFill>
            <w14:solidFill>
              <w14:schemeClr w14:val="tx1"/>
            </w14:solidFill>
          </w14:textFill>
        </w:rPr>
        <w:t>编号：</w:t>
      </w:r>
      <w:r>
        <w:rPr>
          <w:rFonts w:hint="eastAsia" w:ascii="宋体" w:hAnsi="宋体" w:cs="宋体"/>
          <w:color w:val="000000" w:themeColor="text1"/>
          <w:sz w:val="28"/>
          <w:szCs w:val="28"/>
          <w14:textFill>
            <w14:solidFill>
              <w14:schemeClr w14:val="tx1"/>
            </w14:solidFill>
          </w14:textFill>
        </w:rPr>
        <w:t>SXYW-2020-006</w:t>
      </w:r>
    </w:p>
    <w:p>
      <w:pPr>
        <w:pStyle w:val="14"/>
        <w:spacing w:line="500" w:lineRule="exact"/>
        <w:ind w:firstLine="883"/>
        <w:jc w:val="center"/>
        <w:rPr>
          <w:rFonts w:ascii="Times New Roman" w:hAnsi="Times New Roman"/>
          <w:b/>
          <w:color w:val="000000" w:themeColor="text1"/>
          <w:sz w:val="44"/>
          <w14:textFill>
            <w14:solidFill>
              <w14:schemeClr w14:val="tx1"/>
            </w14:solidFill>
          </w14:textFill>
        </w:rPr>
      </w:pPr>
    </w:p>
    <w:p>
      <w:pPr>
        <w:spacing w:before="33" w:line="364" w:lineRule="auto"/>
        <w:ind w:left="905" w:right="1807" w:firstLine="964"/>
        <w:jc w:val="center"/>
        <w:rPr>
          <w:b/>
          <w:color w:val="000000" w:themeColor="text1"/>
          <w:sz w:val="48"/>
          <w14:textFill>
            <w14:solidFill>
              <w14:schemeClr w14:val="tx1"/>
            </w14:solidFill>
          </w14:textFill>
        </w:rPr>
      </w:pPr>
    </w:p>
    <w:p>
      <w:pPr>
        <w:ind w:firstLine="0" w:firstLineChars="0"/>
        <w:jc w:val="center"/>
        <w:rPr>
          <w:rFonts w:cs="宋体"/>
          <w:b/>
          <w:color w:val="000000" w:themeColor="text1"/>
          <w:sz w:val="48"/>
          <w:szCs w:val="48"/>
          <w14:textFill>
            <w14:solidFill>
              <w14:schemeClr w14:val="tx1"/>
            </w14:solidFill>
          </w14:textFill>
        </w:rPr>
      </w:pPr>
    </w:p>
    <w:p>
      <w:pPr>
        <w:ind w:firstLine="0" w:firstLineChars="0"/>
        <w:jc w:val="center"/>
        <w:rPr>
          <w:rFonts w:cs="宋体"/>
          <w:b/>
          <w:color w:val="000000" w:themeColor="text1"/>
          <w:sz w:val="48"/>
          <w:szCs w:val="48"/>
          <w14:textFill>
            <w14:solidFill>
              <w14:schemeClr w14:val="tx1"/>
            </w14:solidFill>
          </w14:textFill>
        </w:rPr>
      </w:pPr>
      <w:r>
        <w:rPr>
          <w:rFonts w:hint="eastAsia" w:cs="宋体"/>
          <w:b/>
          <w:color w:val="000000" w:themeColor="text1"/>
          <w:sz w:val="48"/>
          <w:szCs w:val="48"/>
          <w14:textFill>
            <w14:solidFill>
              <w14:schemeClr w14:val="tx1"/>
            </w14:solidFill>
          </w14:textFill>
        </w:rPr>
        <w:t>延长壳牌石油有限公司</w:t>
      </w:r>
    </w:p>
    <w:p>
      <w:pPr>
        <w:ind w:firstLine="0" w:firstLineChars="0"/>
        <w:jc w:val="center"/>
        <w:rPr>
          <w:b/>
          <w:color w:val="000000" w:themeColor="text1"/>
          <w:sz w:val="48"/>
          <w:szCs w:val="48"/>
          <w14:textFill>
            <w14:solidFill>
              <w14:schemeClr w14:val="tx1"/>
            </w14:solidFill>
          </w14:textFill>
        </w:rPr>
      </w:pPr>
      <w:r>
        <w:rPr>
          <w:rFonts w:hint="eastAsia" w:cs="宋体"/>
          <w:b/>
          <w:color w:val="000000" w:themeColor="text1"/>
          <w:sz w:val="48"/>
          <w:szCs w:val="48"/>
          <w14:textFill>
            <w14:solidFill>
              <w14:schemeClr w14:val="tx1"/>
            </w14:solidFill>
          </w14:textFill>
        </w:rPr>
        <w:t>咸阳世纪大道中段南加油站项目</w:t>
      </w:r>
    </w:p>
    <w:p>
      <w:pPr>
        <w:ind w:firstLine="0" w:firstLineChars="0"/>
        <w:jc w:val="center"/>
        <w:rPr>
          <w:b/>
          <w:color w:val="000000" w:themeColor="text1"/>
          <w:sz w:val="108"/>
          <w14:textFill>
            <w14:solidFill>
              <w14:schemeClr w14:val="tx1"/>
            </w14:solidFill>
          </w14:textFill>
        </w:rPr>
      </w:pPr>
      <w:r>
        <w:rPr>
          <w:b/>
          <w:color w:val="000000" w:themeColor="text1"/>
          <w:sz w:val="72"/>
          <w:szCs w:val="72"/>
          <w14:textFill>
            <w14:solidFill>
              <w14:schemeClr w14:val="tx1"/>
            </w14:solidFill>
          </w14:textFill>
        </w:rPr>
        <w:t>环境影响报告表</w:t>
      </w:r>
    </w:p>
    <w:p>
      <w:pPr>
        <w:pStyle w:val="5"/>
        <w:ind w:firstLine="562"/>
        <w:rPr>
          <w:b/>
          <w:color w:val="000000" w:themeColor="text1"/>
          <w:sz w:val="28"/>
          <w:szCs w:val="28"/>
          <w14:textFill>
            <w14:solidFill>
              <w14:schemeClr w14:val="tx1"/>
            </w14:solidFill>
          </w14:textFill>
        </w:rPr>
      </w:pPr>
    </w:p>
    <w:p>
      <w:pPr>
        <w:pStyle w:val="5"/>
        <w:ind w:firstLine="562"/>
        <w:rPr>
          <w:b/>
          <w:color w:val="000000" w:themeColor="text1"/>
          <w:sz w:val="28"/>
          <w:szCs w:val="28"/>
          <w14:textFill>
            <w14:solidFill>
              <w14:schemeClr w14:val="tx1"/>
            </w14:solidFill>
          </w14:textFill>
        </w:rPr>
      </w:pPr>
    </w:p>
    <w:p>
      <w:pPr>
        <w:pStyle w:val="5"/>
        <w:ind w:firstLine="562"/>
        <w:rPr>
          <w:b/>
          <w:color w:val="000000" w:themeColor="text1"/>
          <w:sz w:val="28"/>
          <w:szCs w:val="28"/>
          <w14:textFill>
            <w14:solidFill>
              <w14:schemeClr w14:val="tx1"/>
            </w14:solidFill>
          </w14:textFill>
        </w:rPr>
      </w:pPr>
    </w:p>
    <w:p>
      <w:pPr>
        <w:pStyle w:val="5"/>
        <w:ind w:firstLine="562"/>
        <w:rPr>
          <w:b/>
          <w:color w:val="000000" w:themeColor="text1"/>
          <w:sz w:val="28"/>
          <w:szCs w:val="28"/>
          <w14:textFill>
            <w14:solidFill>
              <w14:schemeClr w14:val="tx1"/>
            </w14:solidFill>
          </w14:textFill>
        </w:rPr>
      </w:pPr>
    </w:p>
    <w:p>
      <w:pPr>
        <w:pStyle w:val="5"/>
        <w:spacing w:before="10"/>
        <w:ind w:firstLine="0" w:firstLineChars="0"/>
        <w:rPr>
          <w:b/>
          <w:color w:val="000000" w:themeColor="text1"/>
          <w:sz w:val="30"/>
          <w:szCs w:val="30"/>
          <w14:textFill>
            <w14:solidFill>
              <w14:schemeClr w14:val="tx1"/>
            </w14:solidFill>
          </w14:textFill>
        </w:rPr>
      </w:pPr>
    </w:p>
    <w:p>
      <w:pPr>
        <w:pStyle w:val="5"/>
        <w:spacing w:before="10"/>
        <w:ind w:firstLine="0" w:firstLineChars="0"/>
        <w:rPr>
          <w:b/>
          <w:color w:val="000000" w:themeColor="text1"/>
          <w:sz w:val="30"/>
          <w:szCs w:val="30"/>
          <w14:textFill>
            <w14:solidFill>
              <w14:schemeClr w14:val="tx1"/>
            </w14:solidFill>
          </w14:textFill>
        </w:rPr>
      </w:pPr>
    </w:p>
    <w:p>
      <w:pPr>
        <w:pStyle w:val="5"/>
        <w:spacing w:before="10"/>
        <w:ind w:firstLine="0" w:firstLineChars="0"/>
        <w:rPr>
          <w:b/>
          <w:color w:val="000000" w:themeColor="text1"/>
          <w:sz w:val="30"/>
          <w:szCs w:val="30"/>
          <w14:textFill>
            <w14:solidFill>
              <w14:schemeClr w14:val="tx1"/>
            </w14:solidFill>
          </w14:textFill>
        </w:rPr>
      </w:pPr>
    </w:p>
    <w:p>
      <w:pPr>
        <w:pStyle w:val="5"/>
        <w:spacing w:before="10"/>
        <w:ind w:firstLine="0" w:firstLineChars="0"/>
        <w:rPr>
          <w:b/>
          <w:color w:val="000000" w:themeColor="text1"/>
          <w:sz w:val="30"/>
          <w:szCs w:val="30"/>
          <w14:textFill>
            <w14:solidFill>
              <w14:schemeClr w14:val="tx1"/>
            </w14:solidFill>
          </w14:textFill>
        </w:rPr>
      </w:pPr>
    </w:p>
    <w:p>
      <w:pPr>
        <w:pStyle w:val="7"/>
        <w:keepNext w:val="0"/>
        <w:keepLines w:val="0"/>
        <w:autoSpaceDE w:val="0"/>
        <w:autoSpaceDN w:val="0"/>
        <w:spacing w:before="0" w:after="0" w:line="417" w:lineRule="auto"/>
        <w:ind w:left="1791" w:right="2882" w:hanging="332" w:firstLineChars="0"/>
        <w:jc w:val="center"/>
        <w:rPr>
          <w:rFonts w:ascii="宋体" w:hAnsi="宋体" w:eastAsia="宋体" w:cs="宋体"/>
          <w:b w:val="0"/>
          <w:bCs w:val="0"/>
          <w:color w:val="000000" w:themeColor="text1"/>
          <w:kern w:val="0"/>
          <w:sz w:val="28"/>
          <w:szCs w:val="28"/>
          <w:lang w:bidi="zh-CN"/>
          <w14:textFill>
            <w14:solidFill>
              <w14:schemeClr w14:val="tx1"/>
            </w14:solidFill>
          </w14:textFill>
        </w:rPr>
      </w:pPr>
      <w:r>
        <w:rPr>
          <w:rFonts w:ascii="宋体" w:hAnsi="宋体" w:eastAsia="宋体" w:cs="宋体"/>
          <w:b w:val="0"/>
          <w:bCs w:val="0"/>
          <w:color w:val="000000" w:themeColor="text1"/>
          <w:kern w:val="0"/>
          <w:sz w:val="28"/>
          <w:szCs w:val="28"/>
          <w:lang w:val="zh-CN" w:bidi="zh-CN"/>
          <w14:textFill>
            <w14:solidFill>
              <w14:schemeClr w14:val="tx1"/>
            </w14:solidFill>
          </w14:textFill>
        </w:rPr>
        <w:t>建设单位：</w:t>
      </w:r>
      <w:r>
        <w:rPr>
          <w:rFonts w:hint="eastAsia" w:ascii="宋体" w:hAnsi="宋体" w:eastAsia="宋体" w:cs="宋体"/>
          <w:b w:val="0"/>
          <w:bCs w:val="0"/>
          <w:color w:val="000000" w:themeColor="text1"/>
          <w:kern w:val="0"/>
          <w:sz w:val="28"/>
          <w:szCs w:val="28"/>
          <w:lang w:bidi="zh-CN"/>
          <w14:textFill>
            <w14:solidFill>
              <w14:schemeClr w14:val="tx1"/>
            </w14:solidFill>
          </w14:textFill>
        </w:rPr>
        <w:t>延长壳牌石油有限公司</w:t>
      </w:r>
    </w:p>
    <w:p>
      <w:pPr>
        <w:pStyle w:val="7"/>
        <w:keepNext w:val="0"/>
        <w:keepLines w:val="0"/>
        <w:autoSpaceDE w:val="0"/>
        <w:autoSpaceDN w:val="0"/>
        <w:spacing w:before="0" w:after="0" w:line="417" w:lineRule="auto"/>
        <w:ind w:left="1791" w:right="2882" w:hanging="332" w:firstLineChars="0"/>
        <w:jc w:val="center"/>
        <w:rPr>
          <w:rFonts w:ascii="宋体" w:hAnsi="宋体" w:eastAsia="宋体" w:cs="宋体"/>
          <w:b w:val="0"/>
          <w:bCs w:val="0"/>
          <w:color w:val="000000" w:themeColor="text1"/>
          <w:kern w:val="0"/>
          <w:sz w:val="28"/>
          <w:szCs w:val="28"/>
          <w:lang w:bidi="zh-CN"/>
          <w14:textFill>
            <w14:solidFill>
              <w14:schemeClr w14:val="tx1"/>
            </w14:solidFill>
          </w14:textFill>
        </w:rPr>
      </w:pPr>
      <w:r>
        <w:rPr>
          <w:rFonts w:ascii="宋体" w:hAnsi="宋体" w:eastAsia="宋体" w:cs="宋体"/>
          <w:b w:val="0"/>
          <w:bCs w:val="0"/>
          <w:color w:val="000000" w:themeColor="text1"/>
          <w:kern w:val="0"/>
          <w:sz w:val="28"/>
          <w:szCs w:val="28"/>
          <w:lang w:val="zh-CN" w:bidi="zh-CN"/>
          <w14:textFill>
            <w14:solidFill>
              <w14:schemeClr w14:val="tx1"/>
            </w14:solidFill>
          </w14:textFill>
        </w:rPr>
        <w:t>评价单位：</w:t>
      </w:r>
      <w:r>
        <w:rPr>
          <w:rFonts w:hint="eastAsia" w:ascii="宋体" w:hAnsi="宋体" w:eastAsia="宋体" w:cs="宋体"/>
          <w:b w:val="0"/>
          <w:bCs w:val="0"/>
          <w:color w:val="000000" w:themeColor="text1"/>
          <w:kern w:val="0"/>
          <w:sz w:val="28"/>
          <w:szCs w:val="28"/>
          <w:lang w:bidi="zh-CN"/>
          <w14:textFill>
            <w14:solidFill>
              <w14:schemeClr w14:val="tx1"/>
            </w14:solidFill>
          </w14:textFill>
        </w:rPr>
        <w:t>陕西宇文管理咨询有限责任公司</w:t>
      </w:r>
    </w:p>
    <w:p>
      <w:pPr>
        <w:pStyle w:val="7"/>
        <w:keepNext w:val="0"/>
        <w:keepLines w:val="0"/>
        <w:autoSpaceDE w:val="0"/>
        <w:autoSpaceDN w:val="0"/>
        <w:spacing w:before="0" w:after="0" w:line="417" w:lineRule="auto"/>
        <w:ind w:left="1791" w:right="2882" w:hanging="332" w:firstLineChars="0"/>
        <w:jc w:val="center"/>
        <w:rPr>
          <w:rFonts w:ascii="宋体" w:hAnsi="宋体" w:eastAsia="宋体" w:cs="宋体"/>
          <w:b w:val="0"/>
          <w:bCs w:val="0"/>
          <w:color w:val="000000" w:themeColor="text1"/>
          <w:kern w:val="0"/>
          <w:sz w:val="28"/>
          <w:szCs w:val="28"/>
          <w:lang w:val="zh-CN" w:bidi="zh-CN"/>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10" w:h="16840"/>
          <w:pgMar w:top="1580" w:right="540" w:bottom="280" w:left="1420" w:header="720" w:footer="720" w:gutter="0"/>
          <w:cols w:space="720" w:num="1"/>
        </w:sectPr>
      </w:pPr>
      <w:r>
        <w:rPr>
          <w:rFonts w:ascii="宋体" w:hAnsi="宋体" w:eastAsia="宋体" w:cs="宋体"/>
          <w:b w:val="0"/>
          <w:bCs w:val="0"/>
          <w:color w:val="000000" w:themeColor="text1"/>
          <w:kern w:val="0"/>
          <w:sz w:val="28"/>
          <w:szCs w:val="28"/>
          <w:lang w:val="zh-CN" w:bidi="zh-CN"/>
          <w14:textFill>
            <w14:solidFill>
              <w14:schemeClr w14:val="tx1"/>
            </w14:solidFill>
          </w14:textFill>
        </w:rPr>
        <w:t>二〇二〇年</w:t>
      </w:r>
      <w:r>
        <w:rPr>
          <w:rFonts w:hint="eastAsia" w:ascii="宋体" w:hAnsi="宋体" w:eastAsia="宋体" w:cs="宋体"/>
          <w:b w:val="0"/>
          <w:bCs w:val="0"/>
          <w:color w:val="000000" w:themeColor="text1"/>
          <w:kern w:val="0"/>
          <w:sz w:val="28"/>
          <w:szCs w:val="28"/>
          <w:lang w:bidi="zh-CN"/>
          <w14:textFill>
            <w14:solidFill>
              <w14:schemeClr w14:val="tx1"/>
            </w14:solidFill>
          </w14:textFill>
        </w:rPr>
        <w:t>十二</w:t>
      </w:r>
      <w:r>
        <w:rPr>
          <w:rFonts w:ascii="宋体" w:hAnsi="宋体" w:eastAsia="宋体" w:cs="宋体"/>
          <w:b w:val="0"/>
          <w:bCs w:val="0"/>
          <w:color w:val="000000" w:themeColor="text1"/>
          <w:kern w:val="0"/>
          <w:sz w:val="28"/>
          <w:szCs w:val="28"/>
          <w:lang w:val="zh-CN" w:bidi="zh-CN"/>
          <w14:textFill>
            <w14:solidFill>
              <w14:schemeClr w14:val="tx1"/>
            </w14:solidFill>
          </w14:textFill>
        </w:rPr>
        <w:t>月</w:t>
      </w:r>
    </w:p>
    <w:p>
      <w:pPr>
        <w:pStyle w:val="13"/>
        <w:ind w:firstLine="560"/>
        <w:rPr>
          <w:color w:val="000000" w:themeColor="text1"/>
          <w14:textFill>
            <w14:solidFill>
              <w14:schemeClr w14:val="tx1"/>
            </w14:solidFill>
          </w14:textFill>
        </w:rPr>
      </w:pPr>
    </w:p>
    <w:p>
      <w:pPr>
        <w:autoSpaceDE w:val="0"/>
        <w:autoSpaceDN w:val="0"/>
        <w:adjustRightInd w:val="0"/>
        <w:spacing w:line="400" w:lineRule="exact"/>
        <w:ind w:right="79" w:rightChars="33" w:firstLine="0" w:firstLineChars="0"/>
        <w:rPr>
          <w:rFonts w:ascii="仿宋_GB2312" w:eastAsia="仿宋_GB2312"/>
          <w:b/>
          <w:bCs/>
          <w:color w:val="000000" w:themeColor="text1"/>
          <w:kern w:val="0"/>
          <w:sz w:val="28"/>
          <w14:textFill>
            <w14:solidFill>
              <w14:schemeClr w14:val="tx1"/>
            </w14:solidFill>
          </w14:textFill>
        </w:rPr>
      </w:pPr>
    </w:p>
    <w:p>
      <w:pPr>
        <w:autoSpaceDE w:val="0"/>
        <w:autoSpaceDN w:val="0"/>
        <w:adjustRightInd w:val="0"/>
        <w:spacing w:line="400" w:lineRule="exact"/>
        <w:ind w:right="79" w:rightChars="33" w:firstLine="273" w:firstLineChars="97"/>
        <w:rPr>
          <w:rFonts w:ascii="仿宋_GB2312" w:eastAsia="仿宋_GB2312"/>
          <w:b/>
          <w:bCs/>
          <w:color w:val="000000" w:themeColor="text1"/>
          <w:kern w:val="0"/>
          <w:sz w:val="28"/>
          <w14:textFill>
            <w14:solidFill>
              <w14:schemeClr w14:val="tx1"/>
            </w14:solidFill>
          </w14:textFill>
        </w:rPr>
      </w:pPr>
    </w:p>
    <w:p>
      <w:pPr>
        <w:ind w:firstLine="723"/>
        <w:jc w:val="center"/>
        <w:rPr>
          <w:rFonts w:ascii="楷体_GB2312" w:eastAsia="楷体_GB2312"/>
          <w:b/>
          <w:bCs/>
          <w:color w:val="000000" w:themeColor="text1"/>
          <w:kern w:val="0"/>
          <w:sz w:val="36"/>
          <w:szCs w:val="36"/>
          <w14:textFill>
            <w14:solidFill>
              <w14:schemeClr w14:val="tx1"/>
            </w14:solidFill>
          </w14:textFill>
        </w:rPr>
      </w:pPr>
    </w:p>
    <w:p>
      <w:pPr>
        <w:ind w:firstLine="0" w:firstLineChars="0"/>
        <w:jc w:val="center"/>
        <w:rPr>
          <w:b/>
          <w:bCs/>
          <w:color w:val="000000" w:themeColor="text1"/>
          <w:sz w:val="72"/>
          <w14:textFill>
            <w14:solidFill>
              <w14:schemeClr w14:val="tx1"/>
            </w14:solidFill>
          </w14:textFill>
        </w:rPr>
      </w:pPr>
      <w:r>
        <w:rPr>
          <w:b/>
          <w:bCs/>
          <w:color w:val="000000" w:themeColor="text1"/>
          <w:sz w:val="72"/>
          <w14:textFill>
            <w14:solidFill>
              <w14:schemeClr w14:val="tx1"/>
            </w14:solidFill>
          </w14:textFill>
        </w:rPr>
        <w:t>建设项目环境影响报告表</w:t>
      </w:r>
    </w:p>
    <w:p>
      <w:pPr>
        <w:tabs>
          <w:tab w:val="left" w:pos="-68"/>
          <w:tab w:val="left" w:pos="0"/>
        </w:tabs>
        <w:autoSpaceDE w:val="0"/>
        <w:autoSpaceDN w:val="0"/>
        <w:adjustRightInd w:val="0"/>
        <w:ind w:firstLine="0" w:firstLineChars="0"/>
        <w:jc w:val="center"/>
        <w:rPr>
          <w:b/>
          <w:bCs/>
          <w:color w:val="000000" w:themeColor="text1"/>
          <w:kern w:val="0"/>
          <w:sz w:val="32"/>
          <w:szCs w:val="32"/>
          <w14:textFill>
            <w14:solidFill>
              <w14:schemeClr w14:val="tx1"/>
            </w14:solidFill>
          </w14:textFill>
        </w:rPr>
      </w:pPr>
    </w:p>
    <w:p>
      <w:pPr>
        <w:tabs>
          <w:tab w:val="left" w:pos="-68"/>
          <w:tab w:val="left" w:pos="0"/>
        </w:tabs>
        <w:autoSpaceDE w:val="0"/>
        <w:autoSpaceDN w:val="0"/>
        <w:adjustRightInd w:val="0"/>
        <w:ind w:firstLine="0" w:firstLineChars="0"/>
        <w:jc w:val="center"/>
        <w:rPr>
          <w:b/>
          <w:bCs/>
          <w:color w:val="000000" w:themeColor="text1"/>
          <w:kern w:val="0"/>
          <w:sz w:val="32"/>
          <w:szCs w:val="32"/>
          <w14:textFill>
            <w14:solidFill>
              <w14:schemeClr w14:val="tx1"/>
            </w14:solidFill>
          </w14:textFill>
        </w:rPr>
      </w:pPr>
    </w:p>
    <w:p>
      <w:pPr>
        <w:tabs>
          <w:tab w:val="left" w:pos="-68"/>
          <w:tab w:val="left" w:pos="0"/>
        </w:tabs>
        <w:autoSpaceDE w:val="0"/>
        <w:autoSpaceDN w:val="0"/>
        <w:adjustRightInd w:val="0"/>
        <w:ind w:firstLine="0" w:firstLineChars="0"/>
        <w:jc w:val="center"/>
        <w:rPr>
          <w:b/>
          <w:bCs/>
          <w:color w:val="000000" w:themeColor="text1"/>
          <w:kern w:val="0"/>
          <w:sz w:val="32"/>
          <w:szCs w:val="32"/>
          <w14:textFill>
            <w14:solidFill>
              <w14:schemeClr w14:val="tx1"/>
            </w14:solidFill>
          </w14:textFill>
        </w:rPr>
      </w:pPr>
    </w:p>
    <w:p>
      <w:pPr>
        <w:tabs>
          <w:tab w:val="left" w:pos="-68"/>
          <w:tab w:val="left" w:pos="0"/>
        </w:tabs>
        <w:autoSpaceDE w:val="0"/>
        <w:autoSpaceDN w:val="0"/>
        <w:adjustRightInd w:val="0"/>
        <w:ind w:firstLine="0" w:firstLineChars="0"/>
        <w:jc w:val="center"/>
        <w:rPr>
          <w:b/>
          <w:bCs/>
          <w:color w:val="000000" w:themeColor="text1"/>
          <w:kern w:val="0"/>
          <w:sz w:val="32"/>
          <w:szCs w:val="32"/>
          <w14:textFill>
            <w14:solidFill>
              <w14:schemeClr w14:val="tx1"/>
            </w14:solidFill>
          </w14:textFill>
        </w:rPr>
      </w:pPr>
    </w:p>
    <w:p>
      <w:pPr>
        <w:tabs>
          <w:tab w:val="left" w:pos="-68"/>
          <w:tab w:val="left" w:pos="0"/>
        </w:tabs>
        <w:autoSpaceDE w:val="0"/>
        <w:autoSpaceDN w:val="0"/>
        <w:adjustRightInd w:val="0"/>
        <w:ind w:firstLine="0" w:firstLineChars="0"/>
        <w:jc w:val="center"/>
        <w:rPr>
          <w:b/>
          <w:bCs/>
          <w:color w:val="000000" w:themeColor="text1"/>
          <w:kern w:val="0"/>
          <w:sz w:val="32"/>
          <w:szCs w:val="32"/>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0" w:firstLineChars="0"/>
        <w:jc w:val="left"/>
        <w:rPr>
          <w:b/>
          <w:color w:val="000000" w:themeColor="text1"/>
          <w:sz w:val="30"/>
          <w:szCs w:val="30"/>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904" w:firstLineChars="300"/>
        <w:jc w:val="left"/>
        <w:rPr>
          <w:b/>
          <w:color w:val="000000" w:themeColor="text1"/>
          <w:sz w:val="30"/>
          <w:szCs w:val="30"/>
          <w:u w:val="single"/>
          <w14:textFill>
            <w14:solidFill>
              <w14:schemeClr w14:val="tx1"/>
            </w14:solidFill>
          </w14:textFill>
        </w:rPr>
      </w:pPr>
      <w:r>
        <w:rPr>
          <w:b/>
          <w:color w:val="000000" w:themeColor="text1"/>
          <w:sz w:val="30"/>
          <w:szCs w:val="30"/>
          <w14:textFill>
            <w14:solidFill>
              <w14:schemeClr w14:val="tx1"/>
            </w14:solidFill>
          </w14:textFill>
        </w:rPr>
        <w:t>项目名称：</w:t>
      </w:r>
      <w:r>
        <w:rPr>
          <w:rFonts w:hint="eastAsia" w:cs="宋体"/>
          <w:b/>
          <w:color w:val="000000" w:themeColor="text1"/>
          <w:sz w:val="28"/>
          <w:szCs w:val="28"/>
          <w:u w:val="single"/>
          <w14:textFill>
            <w14:solidFill>
              <w14:schemeClr w14:val="tx1"/>
            </w14:solidFill>
          </w14:textFill>
        </w:rPr>
        <w:t>咸阳世纪大道中段南加油站项目</w:t>
      </w:r>
    </w:p>
    <w:p>
      <w:pPr>
        <w:ind w:firstLine="904" w:firstLineChars="300"/>
        <w:jc w:val="left"/>
        <w:rPr>
          <w:rFonts w:cs="宋体"/>
          <w:b/>
          <w:color w:val="000000" w:themeColor="text1"/>
          <w:sz w:val="28"/>
          <w:szCs w:val="28"/>
          <w:u w:val="single"/>
          <w14:textFill>
            <w14:solidFill>
              <w14:schemeClr w14:val="tx1"/>
            </w14:solidFill>
          </w14:textFill>
        </w:rPr>
      </w:pPr>
      <w:r>
        <w:rPr>
          <w:b/>
          <w:color w:val="000000" w:themeColor="text1"/>
          <w:sz w:val="30"/>
          <w:szCs w:val="30"/>
          <w14:textFill>
            <w14:solidFill>
              <w14:schemeClr w14:val="tx1"/>
            </w14:solidFill>
          </w14:textFill>
        </w:rPr>
        <w:t>建设单位：</w:t>
      </w:r>
      <w:r>
        <w:rPr>
          <w:rFonts w:hint="eastAsia" w:cs="宋体"/>
          <w:b/>
          <w:color w:val="000000" w:themeColor="text1"/>
          <w:sz w:val="28"/>
          <w:szCs w:val="28"/>
          <w:u w:val="single"/>
          <w14:textFill>
            <w14:solidFill>
              <w14:schemeClr w14:val="tx1"/>
            </w14:solidFill>
          </w14:textFill>
        </w:rPr>
        <w:t>延长壳牌石油有限公司</w:t>
      </w:r>
    </w:p>
    <w:p>
      <w:pPr>
        <w:ind w:firstLine="0" w:firstLineChars="0"/>
        <w:rPr>
          <w:color w:val="000000" w:themeColor="text1"/>
          <w14:textFill>
            <w14:solidFill>
              <w14:schemeClr w14:val="tx1"/>
            </w14:solidFill>
          </w14:textFill>
        </w:rPr>
      </w:pPr>
    </w:p>
    <w:p>
      <w:pPr>
        <w:ind w:firstLine="0" w:firstLineChars="0"/>
        <w:jc w:val="center"/>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编制日期</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eastAsia="仿宋_GB2312" w:cs="仿宋_GB2312"/>
          <w:b/>
          <w:color w:val="000000" w:themeColor="text1"/>
          <w:sz w:val="32"/>
          <w:szCs w:val="32"/>
          <w14:textFill>
            <w14:solidFill>
              <w14:schemeClr w14:val="tx1"/>
            </w14:solidFill>
          </w14:textFill>
        </w:rPr>
        <w:t>20</w:t>
      </w:r>
      <w:r>
        <w:rPr>
          <w:rFonts w:eastAsia="仿宋_GB2312" w:cs="仿宋_GB2312"/>
          <w:b/>
          <w:color w:val="000000" w:themeColor="text1"/>
          <w:sz w:val="32"/>
          <w:szCs w:val="32"/>
          <w14:textFill>
            <w14:solidFill>
              <w14:schemeClr w14:val="tx1"/>
            </w14:solidFill>
          </w14:textFill>
        </w:rPr>
        <w:t>20</w:t>
      </w:r>
      <w:r>
        <w:rPr>
          <w:rFonts w:hint="eastAsia" w:ascii="仿宋_GB2312" w:hAnsi="仿宋_GB2312" w:eastAsia="仿宋_GB2312" w:cs="仿宋_GB2312"/>
          <w:b/>
          <w:color w:val="000000" w:themeColor="text1"/>
          <w:sz w:val="32"/>
          <w:szCs w:val="32"/>
          <w14:textFill>
            <w14:solidFill>
              <w14:schemeClr w14:val="tx1"/>
            </w14:solidFill>
          </w14:textFill>
        </w:rPr>
        <w:t>年</w:t>
      </w:r>
      <w:r>
        <w:rPr>
          <w:rFonts w:hint="eastAsia" w:eastAsia="仿宋_GB2312" w:cs="仿宋_GB2312"/>
          <w:b/>
          <w:color w:val="000000" w:themeColor="text1"/>
          <w:sz w:val="32"/>
          <w:szCs w:val="32"/>
          <w14:textFill>
            <w14:solidFill>
              <w14:schemeClr w14:val="tx1"/>
            </w14:solidFill>
          </w14:textFill>
        </w:rPr>
        <w:t>12</w:t>
      </w:r>
      <w:r>
        <w:rPr>
          <w:rFonts w:hint="eastAsia" w:ascii="仿宋_GB2312" w:hAnsi="仿宋_GB2312" w:eastAsia="仿宋_GB2312" w:cs="仿宋_GB2312"/>
          <w:b/>
          <w:color w:val="000000" w:themeColor="text1"/>
          <w:sz w:val="32"/>
          <w:szCs w:val="32"/>
          <w14:textFill>
            <w14:solidFill>
              <w14:schemeClr w14:val="tx1"/>
            </w14:solidFill>
          </w14:textFill>
        </w:rPr>
        <w:t>月</w:t>
      </w:r>
    </w:p>
    <w:p>
      <w:pPr>
        <w:ind w:firstLine="0" w:firstLineChars="0"/>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国家环境保护部制</w:t>
      </w:r>
    </w:p>
    <w:p>
      <w:pPr>
        <w:ind w:firstLine="482"/>
        <w:jc w:val="center"/>
        <w:rPr>
          <w:b/>
          <w:bCs/>
          <w:color w:val="000000" w:themeColor="text1"/>
          <w14:textFill>
            <w14:solidFill>
              <w14:schemeClr w14:val="tx1"/>
            </w14:solidFill>
          </w14:textFill>
        </w:rPr>
      </w:pPr>
    </w:p>
    <w:p>
      <w:pPr>
        <w:ind w:firstLine="482"/>
        <w:jc w:val="center"/>
        <w:rPr>
          <w:b/>
          <w:bCs/>
          <w:color w:val="000000" w:themeColor="text1"/>
          <w14:textFill>
            <w14:solidFill>
              <w14:schemeClr w14:val="tx1"/>
            </w14:solidFill>
          </w14:textFill>
        </w:rPr>
      </w:pPr>
    </w:p>
    <w:p>
      <w:pPr>
        <w:pStyle w:val="49"/>
        <w:ind w:firstLine="562"/>
        <w:rPr>
          <w:b/>
          <w:color w:val="000000" w:themeColor="text1"/>
          <w:sz w:val="28"/>
          <w:szCs w:val="28"/>
          <w14:textFill>
            <w14:solidFill>
              <w14:schemeClr w14:val="tx1"/>
            </w14:solidFill>
          </w14:textFill>
        </w:rPr>
      </w:pPr>
    </w:p>
    <w:p>
      <w:pPr>
        <w:pStyle w:val="49"/>
        <w:ind w:firstLine="562"/>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《建设项目环境影响报告表》编制说明</w:t>
      </w:r>
    </w:p>
    <w:p>
      <w:pPr>
        <w:ind w:firstLine="560"/>
        <w:rPr>
          <w:color w:val="000000" w:themeColor="text1"/>
          <w:sz w:val="28"/>
          <w:szCs w:val="28"/>
          <w14:textFill>
            <w14:solidFill>
              <w14:schemeClr w14:val="tx1"/>
            </w14:solidFill>
          </w14:textFill>
        </w:rPr>
      </w:pP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建设</w:t>
      </w:r>
      <w:r>
        <w:rPr>
          <w:color w:val="000000" w:themeColor="text1"/>
          <w:sz w:val="28"/>
          <w:szCs w:val="28"/>
          <w14:textFill>
            <w14:solidFill>
              <w14:schemeClr w14:val="tx1"/>
            </w14:solidFill>
          </w14:textFill>
        </w:rPr>
        <w:t>项目环境影响报告表》由具有从事环境影响评价工作资质的单位编制。</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1、项目名称─指项目立项批复时的名称，应不超过30个字（两个英文字段作一个汉字）。</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2、建设地点─指项目所在地详细地址，公路、铁路应填写起止地点。</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3、行业类别─按国标填写。</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4、总投资─指项目投资总额。</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5、主要环境保护目标─指项目区周围一定范围内集中居民住宅区、学校、医院、保护文物、风景名胜区、水源地和生态敏感点等，应尽可能给出保护目标、性质、规模和距厂界距离等。</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ind w:firstLine="56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7、预审意见─由行业主管部门填写答复意见，无主管部门项目，可不填。</w:t>
      </w:r>
    </w:p>
    <w:p>
      <w:pPr>
        <w:spacing w:line="480" w:lineRule="auto"/>
        <w:ind w:firstLine="560"/>
        <w:rPr>
          <w:color w:val="000000" w:themeColor="text1"/>
          <w14:textFill>
            <w14:solidFill>
              <w14:schemeClr w14:val="tx1"/>
            </w14:solidFill>
          </w14:textFill>
        </w:rPr>
        <w:sectPr>
          <w:headerReference r:id="rId10" w:type="first"/>
          <w:footerReference r:id="rId12" w:type="first"/>
          <w:headerReference r:id="rId9" w:type="default"/>
          <w:footerReference r:id="rId11" w:type="default"/>
          <w:pgSz w:w="11906" w:h="16838"/>
          <w:pgMar w:top="1440" w:right="1800" w:bottom="1440" w:left="1800" w:header="851" w:footer="992" w:gutter="0"/>
          <w:pgNumType w:fmt="numberInDash" w:start="1"/>
          <w:cols w:space="720" w:num="1"/>
          <w:titlePg/>
          <w:docGrid w:type="lines" w:linePitch="312" w:charSpace="0"/>
        </w:sectPr>
      </w:pPr>
      <w:r>
        <w:rPr>
          <w:color w:val="000000" w:themeColor="text1"/>
          <w:sz w:val="28"/>
          <w:szCs w:val="28"/>
          <w14:textFill>
            <w14:solidFill>
              <w14:schemeClr w14:val="tx1"/>
            </w14:solidFill>
          </w14:textFill>
        </w:rPr>
        <w:t>8、审批意见─由负责审批该项目的环境保护行政主管部门批复</w:t>
      </w:r>
      <w:r>
        <w:rPr>
          <w:color w:val="000000" w:themeColor="text1"/>
          <w14:textFill>
            <w14:solidFill>
              <w14:schemeClr w14:val="tx1"/>
            </w14:solidFill>
          </w14:textFill>
        </w:rPr>
        <w:t>。</w:t>
      </w:r>
    </w:p>
    <w:p>
      <w:pPr>
        <w:pStyle w:val="51"/>
        <w:spacing w:after="0" w:line="500" w:lineRule="exact"/>
        <w:ind w:firstLine="0" w:firstLineChars="0"/>
        <w:outlineLvl w:val="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建设项目基本情况</w:t>
      </w:r>
    </w:p>
    <w:tbl>
      <w:tblPr>
        <w:tblStyle w:val="28"/>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9"/>
        <w:gridCol w:w="1677"/>
        <w:gridCol w:w="616"/>
        <w:gridCol w:w="902"/>
        <w:gridCol w:w="9"/>
        <w:gridCol w:w="1267"/>
        <w:gridCol w:w="80"/>
        <w:gridCol w:w="1363"/>
        <w:gridCol w:w="250"/>
        <w:gridCol w:w="9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项目名称</w:t>
            </w:r>
          </w:p>
        </w:tc>
        <w:tc>
          <w:tcPr>
            <w:tcW w:w="7073" w:type="dxa"/>
            <w:gridSpan w:val="9"/>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咸阳世纪大道中段南加油站项目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建设单位</w:t>
            </w:r>
          </w:p>
        </w:tc>
        <w:tc>
          <w:tcPr>
            <w:tcW w:w="7073" w:type="dxa"/>
            <w:gridSpan w:val="9"/>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延长壳牌石油有限公司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法人代表</w:t>
            </w:r>
          </w:p>
        </w:tc>
        <w:tc>
          <w:tcPr>
            <w:tcW w:w="3204" w:type="dxa"/>
            <w:gridSpan w:val="4"/>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丁海军</w:t>
            </w:r>
          </w:p>
        </w:tc>
        <w:tc>
          <w:tcPr>
            <w:tcW w:w="1347" w:type="dxa"/>
            <w:gridSpan w:val="2"/>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联系人</w:t>
            </w:r>
          </w:p>
        </w:tc>
        <w:tc>
          <w:tcPr>
            <w:tcW w:w="2522" w:type="dxa"/>
            <w:gridSpan w:val="3"/>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苗根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通讯地址</w:t>
            </w:r>
          </w:p>
        </w:tc>
        <w:tc>
          <w:tcPr>
            <w:tcW w:w="7073" w:type="dxa"/>
            <w:gridSpan w:val="9"/>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陕西省西咸新区沣东新城世纪大道中段南侧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联系电话</w:t>
            </w:r>
          </w:p>
        </w:tc>
        <w:tc>
          <w:tcPr>
            <w:tcW w:w="2293" w:type="dxa"/>
            <w:gridSpan w:val="2"/>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18092167845</w:t>
            </w:r>
          </w:p>
        </w:tc>
        <w:tc>
          <w:tcPr>
            <w:tcW w:w="911" w:type="dxa"/>
            <w:gridSpan w:val="2"/>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传真</w:t>
            </w:r>
          </w:p>
        </w:tc>
        <w:tc>
          <w:tcPr>
            <w:tcW w:w="1347" w:type="dxa"/>
            <w:gridSpan w:val="2"/>
            <w:vAlign w:val="center"/>
          </w:tcPr>
          <w:p>
            <w:pPr>
              <w:pStyle w:val="49"/>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w:t>
            </w:r>
          </w:p>
        </w:tc>
        <w:tc>
          <w:tcPr>
            <w:tcW w:w="1363"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邮政编码</w:t>
            </w:r>
          </w:p>
        </w:tc>
        <w:tc>
          <w:tcPr>
            <w:tcW w:w="1159" w:type="dxa"/>
            <w:gridSpan w:val="2"/>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710086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建设地点</w:t>
            </w:r>
          </w:p>
        </w:tc>
        <w:tc>
          <w:tcPr>
            <w:tcW w:w="7073" w:type="dxa"/>
            <w:gridSpan w:val="9"/>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陕西省西咸新区沣东新城世纪大道中段南侧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1449" w:type="dxa"/>
            <w:vAlign w:val="center"/>
          </w:tcPr>
          <w:p>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立项审批</w:t>
            </w:r>
          </w:p>
          <w:p>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部门</w:t>
            </w:r>
          </w:p>
        </w:tc>
        <w:tc>
          <w:tcPr>
            <w:tcW w:w="3195" w:type="dxa"/>
            <w:gridSpan w:val="3"/>
            <w:tcBorders>
              <w:right w:val="single" w:color="auto" w:sz="4" w:space="0"/>
            </w:tcBorders>
            <w:vAlign w:val="center"/>
          </w:tcPr>
          <w:p>
            <w:pPr>
              <w:pStyle w:val="40"/>
              <w:adjustRightInd/>
              <w:snapToGrid/>
              <w:spacing w:line="240" w:lineRule="auto"/>
              <w:ind w:firstLine="0" w:firstLineChars="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276" w:type="dxa"/>
            <w:gridSpan w:val="2"/>
            <w:tcBorders>
              <w:left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项目代码</w:t>
            </w:r>
          </w:p>
        </w:tc>
        <w:tc>
          <w:tcPr>
            <w:tcW w:w="2602" w:type="dxa"/>
            <w:gridSpan w:val="4"/>
            <w:tcBorders>
              <w:left w:val="single" w:color="auto" w:sz="4" w:space="0"/>
            </w:tcBorders>
            <w:vAlign w:val="center"/>
          </w:tcPr>
          <w:p>
            <w:pPr>
              <w:spacing w:line="240" w:lineRule="auto"/>
              <w:ind w:firstLine="0" w:firstLineChars="0"/>
              <w:jc w:val="center"/>
              <w:rPr>
                <w:color w:val="000000" w:themeColor="text1"/>
                <w:spacing w:val="-16"/>
                <w14:textFill>
                  <w14:solidFill>
                    <w14:schemeClr w14:val="tx1"/>
                  </w14:solidFill>
                </w14:textFill>
              </w:rPr>
            </w:pPr>
            <w:r>
              <w:rPr>
                <w:rFonts w:hint="eastAsia"/>
                <w:color w:val="000000" w:themeColor="text1"/>
                <w:spacing w:val="-16"/>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建设性质</w:t>
            </w:r>
          </w:p>
        </w:tc>
        <w:tc>
          <w:tcPr>
            <w:tcW w:w="3195" w:type="dxa"/>
            <w:gridSpan w:val="3"/>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新建</w:t>
            </w:r>
          </w:p>
        </w:tc>
        <w:tc>
          <w:tcPr>
            <w:tcW w:w="1276" w:type="dxa"/>
            <w:gridSpan w:val="2"/>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行业类别</w:t>
            </w:r>
          </w:p>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及代码</w:t>
            </w:r>
          </w:p>
        </w:tc>
        <w:tc>
          <w:tcPr>
            <w:tcW w:w="2602" w:type="dxa"/>
            <w:gridSpan w:val="4"/>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机动车燃油零售F5265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占地面积</w:t>
            </w:r>
          </w:p>
          <w:p>
            <w:pPr>
              <w:pStyle w:val="49"/>
              <w:spacing w:line="24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（亩）</w:t>
            </w:r>
          </w:p>
        </w:tc>
        <w:tc>
          <w:tcPr>
            <w:tcW w:w="3195" w:type="dxa"/>
            <w:gridSpan w:val="3"/>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9.55</w:t>
            </w:r>
          </w:p>
        </w:tc>
        <w:tc>
          <w:tcPr>
            <w:tcW w:w="1276" w:type="dxa"/>
            <w:gridSpan w:val="2"/>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绿化面积</w:t>
            </w:r>
          </w:p>
          <w:p>
            <w:pPr>
              <w:pStyle w:val="49"/>
              <w:spacing w:line="240" w:lineRule="auto"/>
              <w:ind w:firstLine="0" w:firstLineChars="0"/>
              <w:rPr>
                <w:color w:val="000000" w:themeColor="text1"/>
                <w14:textFill>
                  <w14:solidFill>
                    <w14:schemeClr w14:val="tx1"/>
                  </w14:solidFill>
                </w14:textFill>
              </w:rPr>
            </w:pPr>
            <w:r>
              <w:rPr>
                <w:rFonts w:hint="eastAsia"/>
                <w:b/>
                <w:color w:val="000000" w:themeColor="text1"/>
                <w14:textFill>
                  <w14:solidFill>
                    <w14:schemeClr w14:val="tx1"/>
                  </w14:solidFill>
                </w14:textFill>
              </w:rPr>
              <w:t>（m</w:t>
            </w:r>
            <w:r>
              <w:rPr>
                <w:rFonts w:hint="eastAsia"/>
                <w:b/>
                <w:color w:val="000000" w:themeColor="text1"/>
                <w:vertAlign w:val="superscript"/>
                <w14:textFill>
                  <w14:solidFill>
                    <w14:schemeClr w14:val="tx1"/>
                  </w14:solidFill>
                </w14:textFill>
              </w:rPr>
              <w:t>2</w:t>
            </w:r>
            <w:r>
              <w:rPr>
                <w:rFonts w:hint="eastAsia"/>
                <w:b/>
                <w:color w:val="000000" w:themeColor="text1"/>
                <w14:textFill>
                  <w14:solidFill>
                    <w14:schemeClr w14:val="tx1"/>
                  </w14:solidFill>
                </w14:textFill>
              </w:rPr>
              <w:t>）</w:t>
            </w:r>
          </w:p>
        </w:tc>
        <w:tc>
          <w:tcPr>
            <w:tcW w:w="2602" w:type="dxa"/>
            <w:gridSpan w:val="4"/>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 w:hRule="atLeast"/>
          <w:jc w:val="center"/>
        </w:trPr>
        <w:tc>
          <w:tcPr>
            <w:tcW w:w="1449" w:type="dxa"/>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总投资</w:t>
            </w:r>
          </w:p>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（万元）</w:t>
            </w:r>
          </w:p>
        </w:tc>
        <w:tc>
          <w:tcPr>
            <w:tcW w:w="1677" w:type="dxa"/>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210.7</w:t>
            </w:r>
          </w:p>
        </w:tc>
        <w:tc>
          <w:tcPr>
            <w:tcW w:w="1518" w:type="dxa"/>
            <w:gridSpan w:val="2"/>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环保投资(万元)</w:t>
            </w:r>
          </w:p>
        </w:tc>
        <w:tc>
          <w:tcPr>
            <w:tcW w:w="1276" w:type="dxa"/>
            <w:gridSpan w:val="2"/>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1693" w:type="dxa"/>
            <w:gridSpan w:val="3"/>
            <w:vAlign w:val="center"/>
          </w:tcPr>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环保投资占总投资比例</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w:t>
            </w:r>
          </w:p>
        </w:tc>
        <w:tc>
          <w:tcPr>
            <w:tcW w:w="909" w:type="dxa"/>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14.71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1449" w:type="dxa"/>
            <w:tcBorders>
              <w:bottom w:val="single" w:color="auto" w:sz="12" w:space="0"/>
            </w:tcBorders>
            <w:vAlign w:val="center"/>
          </w:tcPr>
          <w:p>
            <w:pPr>
              <w:pStyle w:val="49"/>
              <w:spacing w:line="24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评价经费</w:t>
            </w:r>
          </w:p>
          <w:p>
            <w:pPr>
              <w:pStyle w:val="49"/>
              <w:spacing w:line="240" w:lineRule="auto"/>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（万元）</w:t>
            </w:r>
          </w:p>
        </w:tc>
        <w:tc>
          <w:tcPr>
            <w:tcW w:w="1677" w:type="dxa"/>
            <w:tcBorders>
              <w:bottom w:val="single" w:color="auto" w:sz="12" w:space="0"/>
            </w:tcBorders>
            <w:vAlign w:val="center"/>
          </w:tcPr>
          <w:p>
            <w:pPr>
              <w:pStyle w:val="49"/>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794" w:type="dxa"/>
            <w:gridSpan w:val="4"/>
            <w:tcBorders>
              <w:bottom w:val="single" w:color="auto" w:sz="12" w:space="0"/>
            </w:tcBorders>
            <w:vAlign w:val="center"/>
          </w:tcPr>
          <w:p>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预期投产日期</w:t>
            </w:r>
          </w:p>
        </w:tc>
        <w:tc>
          <w:tcPr>
            <w:tcW w:w="2602" w:type="dxa"/>
            <w:gridSpan w:val="4"/>
            <w:tcBorders>
              <w:bottom w:val="single" w:color="auto" w:sz="12" w:space="0"/>
            </w:tcBorders>
            <w:vAlign w:val="center"/>
          </w:tcPr>
          <w:p>
            <w:pPr>
              <w:pStyle w:val="49"/>
              <w:spacing w:line="240" w:lineRule="auto"/>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已投产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8522" w:type="dxa"/>
            <w:gridSpan w:val="10"/>
            <w:tcBorders>
              <w:top w:val="single" w:color="auto" w:sz="12" w:space="0"/>
              <w:bottom w:val="single" w:color="auto" w:sz="12" w:space="0"/>
            </w:tcBorders>
          </w:tcPr>
          <w:p>
            <w:pPr>
              <w:spacing w:line="500" w:lineRule="exact"/>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工程内容及规模：</w:t>
            </w:r>
          </w:p>
          <w:p>
            <w:pPr>
              <w:ind w:firstLine="482"/>
              <w:rPr>
                <w:b/>
                <w:color w:val="000000" w:themeColor="text1"/>
                <w14:textFill>
                  <w14:solidFill>
                    <w14:schemeClr w14:val="tx1"/>
                  </w14:solidFill>
                </w14:textFill>
              </w:rPr>
            </w:pPr>
            <w:r>
              <w:rPr>
                <w:b/>
                <w:color w:val="000000" w:themeColor="text1"/>
                <w14:textFill>
                  <w14:solidFill>
                    <w14:schemeClr w14:val="tx1"/>
                  </w14:solidFill>
                </w14:textFill>
              </w:rPr>
              <w:t>1、项目由来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延长壳牌石油有限公司咸阳世纪大道中段南加油站成立于2013年3月13日，该加油站前身为陕西东大石油化工有限公司新桥加油站，成立于2008年11月19日，因经营需要，2013年由延长壳牌石油有限公司接管运营，由于运行多年，设备设施老化，并依据《陕西省西咸新区改革创新发展局关于加快推进加油站地下油罐更新改造的通知》，延长壳牌石油有限公司咸阳世纪大道中段南加油站进行单层油罐更新为内钢外玻璃纤维增强双层油罐及三次油气回收改造工程，改造工程预2019年10月开始施工，于2019年12月完成，加油站改造后</w:t>
            </w:r>
            <w:r>
              <w:rPr>
                <w:rFonts w:hint="eastAsia"/>
                <w:color w:val="000000" w:themeColor="text1"/>
                <w:lang w:val="zh-CN"/>
                <w14:textFill>
                  <w14:solidFill>
                    <w14:schemeClr w14:val="tx1"/>
                  </w14:solidFill>
                </w14:textFill>
              </w:rPr>
              <w:t>原埋地油罐区的埋地油罐、通气管、卸油口及油罐区的工艺管道全部挖出</w:t>
            </w:r>
            <w:r>
              <w:rPr>
                <w:rFonts w:hint="eastAsia"/>
                <w:color w:val="000000" w:themeColor="text1"/>
                <w14:textFill>
                  <w14:solidFill>
                    <w14:schemeClr w14:val="tx1"/>
                  </w14:solidFill>
                </w14:textFill>
              </w:rPr>
              <w:t>并交由西安尧柏环保工程科技有限公司处置。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原加油站设置4个单层储油罐，其中50m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92#的汽油储罐1个，50m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95#的汽油储罐1个，50m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的柴油储罐1个，50m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的空储罐1个，依据《汽车加油加气站设计与施工规范》（2014年版）（GB50</w:t>
            </w:r>
            <w:bookmarkStart w:id="6" w:name="_GoBack"/>
            <w:bookmarkEnd w:id="6"/>
            <w:r>
              <w:rPr>
                <w:rFonts w:hint="eastAsia"/>
                <w:color w:val="000000" w:themeColor="text1"/>
                <w14:textFill>
                  <w14:solidFill>
                    <w14:schemeClr w14:val="tx1"/>
                  </w14:solidFill>
                </w14:textFill>
              </w:rPr>
              <w:t>156-2012）的规定计算得其油罐总容积为150m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（柴油罐容积折半计入油罐总容积）为二级加油站。</w:t>
            </w:r>
          </w:p>
          <w:p>
            <w:pPr>
              <w:ind w:firstLine="48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加油站改造后</w:t>
            </w:r>
            <w:r>
              <w:rPr>
                <w:rFonts w:hint="eastAsia"/>
                <w:color w:val="000000" w:themeColor="text1"/>
                <w:lang w:val="zh-CN"/>
                <w14:textFill>
                  <w14:solidFill>
                    <w14:schemeClr w14:val="tx1"/>
                  </w14:solidFill>
                </w14:textFill>
              </w:rPr>
              <w:t>原埋地油罐区的埋地油罐、通气管、卸油口及油罐区的工艺管道全部挖出并做</w:t>
            </w:r>
            <w:r>
              <w:rPr>
                <w:rFonts w:hint="eastAsia"/>
                <w:color w:val="000000" w:themeColor="text1"/>
                <w14:textFill>
                  <w14:solidFill>
                    <w14:schemeClr w14:val="tx1"/>
                  </w14:solidFill>
                </w14:textFill>
              </w:rPr>
              <w:t>并交由西安尧柏环保工程科技有限公司处置</w:t>
            </w:r>
            <w:r>
              <w:rPr>
                <w:rFonts w:hint="eastAsia"/>
                <w:color w:val="000000" w:themeColor="text1"/>
                <w:lang w:val="zh-CN"/>
                <w14:textFill>
                  <w14:solidFill>
                    <w14:schemeClr w14:val="tx1"/>
                  </w14:solidFill>
                </w14:textFill>
              </w:rPr>
              <w:t>，将原</w:t>
            </w: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个埋地单层钢制油罐全部更换为4个埋地双层油罐，</w:t>
            </w:r>
            <w:r>
              <w:rPr>
                <w:rFonts w:hint="eastAsia"/>
                <w:color w:val="000000" w:themeColor="text1"/>
                <w14:textFill>
                  <w14:solidFill>
                    <w14:schemeClr w14:val="tx1"/>
                  </w14:solidFill>
                </w14:textFill>
              </w:rPr>
              <w:t>其中40m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的92#汽油储罐1个，40m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的95#汽油储罐1个，30m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的98#汽油储罐1个，30m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的柴油储罐1个，总容积125m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（柴油容积折半计入总容积），敷设UPP（塑料双层复合管）加油工艺管线，设置一次、二次、三次油气回收系统；其余设  备设施（站房、罩棚、加油机、加油岛及电气线路）全部利旧。根据GB50156-2012（2014 版）《汽车加油加气站设计与施工规范》，改造后加油站的等级仍为二级加油站。建站以来，积极响应国家政策，此次特补全环保手续，开展环境影响评价。</w:t>
            </w:r>
          </w:p>
          <w:p>
            <w:pPr>
              <w:ind w:firstLine="470"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t>依照《中华人民共和国环境影响评价法》和《建设项目环境影响评价分类管理名录》的规定，本项目应编制环境影响报告表。接受委托后，我单位开展了详细的现场踏勘、技术资料收集等工作，在对本项目有关环境现状和可能造成的环境影响进行分析后，编制了本环境影响报告表。</w:t>
            </w:r>
          </w:p>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2、相关情况判定分析</w:t>
            </w:r>
          </w:p>
          <w:p>
            <w:pPr>
              <w:autoSpaceDE w:val="0"/>
              <w:autoSpaceDN w:val="0"/>
              <w:adjustRightInd w:val="0"/>
              <w:ind w:firstLine="482"/>
              <w:jc w:val="left"/>
              <w:rPr>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（1）</w:t>
            </w:r>
            <w:r>
              <w:rPr>
                <w:rFonts w:hAnsi="宋体"/>
                <w:b/>
                <w:color w:val="000000" w:themeColor="text1"/>
                <w:kern w:val="0"/>
                <w14:textFill>
                  <w14:solidFill>
                    <w14:schemeClr w14:val="tx1"/>
                  </w14:solidFill>
                </w14:textFill>
              </w:rPr>
              <w:t>产业政策符合性分析</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本项目不属于中华人民共和国国家发展和改革委员会第</w:t>
            </w:r>
            <w:r>
              <w:rPr>
                <w:color w:val="000000" w:themeColor="text1"/>
                <w:kern w:val="0"/>
                <w14:textFill>
                  <w14:solidFill>
                    <w14:schemeClr w14:val="tx1"/>
                  </w14:solidFill>
                </w14:textFill>
              </w:rPr>
              <w:t xml:space="preserve">21 </w:t>
            </w:r>
            <w:r>
              <w:rPr>
                <w:rFonts w:hAnsi="宋体"/>
                <w:color w:val="000000" w:themeColor="text1"/>
                <w:kern w:val="0"/>
                <w14:textFill>
                  <w14:solidFill>
                    <w14:schemeClr w14:val="tx1"/>
                  </w14:solidFill>
                </w14:textFill>
              </w:rPr>
              <w:t>号令《产业结构调整指导目录（</w:t>
            </w:r>
            <w:r>
              <w:rPr>
                <w:color w:val="000000" w:themeColor="text1"/>
                <w:kern w:val="0"/>
                <w14:textFill>
                  <w14:solidFill>
                    <w14:schemeClr w14:val="tx1"/>
                  </w14:solidFill>
                </w14:textFill>
              </w:rPr>
              <w:t>201</w:t>
            </w:r>
            <w:r>
              <w:rPr>
                <w:rFonts w:hint="eastAsia"/>
                <w:color w:val="000000" w:themeColor="text1"/>
                <w:kern w:val="0"/>
                <w14:textFill>
                  <w14:solidFill>
                    <w14:schemeClr w14:val="tx1"/>
                  </w14:solidFill>
                </w14:textFill>
              </w:rPr>
              <w:t>9版</w:t>
            </w:r>
            <w:r>
              <w:rPr>
                <w:rFonts w:hAnsi="宋体"/>
                <w:color w:val="000000" w:themeColor="text1"/>
                <w:kern w:val="0"/>
                <w14:textFill>
                  <w14:solidFill>
                    <w14:schemeClr w14:val="tx1"/>
                  </w14:solidFill>
                </w14:textFill>
              </w:rPr>
              <w:t>）》中限制</w:t>
            </w:r>
            <w:r>
              <w:rPr>
                <w:rFonts w:hint="eastAsia" w:hAnsi="宋体"/>
                <w:color w:val="000000" w:themeColor="text1"/>
                <w:kern w:val="0"/>
                <w14:textFill>
                  <w14:solidFill>
                    <w14:schemeClr w14:val="tx1"/>
                  </w14:solidFill>
                </w14:textFill>
              </w:rPr>
              <w:t>类</w:t>
            </w:r>
            <w:r>
              <w:rPr>
                <w:rFonts w:hAnsi="宋体"/>
                <w:color w:val="000000" w:themeColor="text1"/>
                <w:kern w:val="0"/>
                <w14:textFill>
                  <w14:solidFill>
                    <w14:schemeClr w14:val="tx1"/>
                  </w14:solidFill>
                </w14:textFill>
              </w:rPr>
              <w:t>和淘汰</w:t>
            </w:r>
            <w:r>
              <w:rPr>
                <w:rFonts w:hint="eastAsia" w:hAnsi="宋体"/>
                <w:color w:val="000000" w:themeColor="text1"/>
                <w:kern w:val="0"/>
                <w14:textFill>
                  <w14:solidFill>
                    <w14:schemeClr w14:val="tx1"/>
                  </w14:solidFill>
                </w14:textFill>
              </w:rPr>
              <w:t>类</w:t>
            </w:r>
            <w:r>
              <w:rPr>
                <w:rFonts w:hAnsi="宋体"/>
                <w:color w:val="000000" w:themeColor="text1"/>
                <w:kern w:val="0"/>
                <w14:textFill>
                  <w14:solidFill>
                    <w14:schemeClr w14:val="tx1"/>
                  </w14:solidFill>
                </w14:textFill>
              </w:rPr>
              <w:t>项目</w:t>
            </w:r>
            <w:r>
              <w:rPr>
                <w:rFonts w:hint="eastAsia" w:hAnsi="宋体"/>
                <w:color w:val="000000" w:themeColor="text1"/>
                <w:kern w:val="0"/>
                <w14:textFill>
                  <w14:solidFill>
                    <w14:schemeClr w14:val="tx1"/>
                  </w14:solidFill>
                </w14:textFill>
              </w:rPr>
              <w:t>，视为允许类</w:t>
            </w:r>
            <w:r>
              <w:rPr>
                <w:rFonts w:hAnsi="宋体"/>
                <w:color w:val="000000" w:themeColor="text1"/>
                <w:kern w:val="0"/>
                <w14:textFill>
                  <w14:solidFill>
                    <w14:schemeClr w14:val="tx1"/>
                  </w14:solidFill>
                </w14:textFill>
              </w:rPr>
              <w:t>。</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2018年3月27日陕西省西咸新区改革创新发展局出具了《陕西省西咸新区改革创新发展局关于加快推进加油站地下油罐更新改造的通知》（陕西咸发改发[2018]59 号），同意该站进行原址改造。</w:t>
            </w:r>
          </w:p>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（2）污染防治政策符合性分析</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①与《陕西省铁腕治霾打赢蓝天保卫战三年行动方案（2018-2020年）（修订版）》符合性分析</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根据《陕西省铁腕治霾打赢蓝天保卫战三年行动方案（2018-2020年）（修订版）》要求，实施VOCs专项整治方案。重点推进加油站、油品储运销设施三次油气回收治理。加强挥发性有机物监督性监测能力建设，重点企业安装在线监测系统，挥发性有机物排放重点工业园区建设挥发性有机物空气质量自动监测站。本项目采用三次油气回收系统。因此，本项目符合《陕西省铁腕治霾打赢蓝天保卫战三年行动方案（2018-2020年）（修订版）》的相关要求。</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②与《挥发性有机物（VOCs）污染防治技术政策》的符合性分析</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根据《挥发性有机物（VOCs）污染防治技术政策》（八）在油类（燃油、溶剂）的储存、运输和销售过程中的VOCs污染防治技术措施：1、储油库、加油站和油罐车宜配备相应的油气收集系统，储油库、加油站宜配备相应的油气回收系统。</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本加油站设计了卸油油气回收系统、加油油气回收系统油库油气回收系统，符合《挥发性有机物（VOCs）污染防治技术政策》的要求。</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③与《陕西省油气回收综合治理工作方案》的符合性分析</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陕西省油气回收综合治理工作方案》二、工作步骤：（二）治理改造阶段-1.全面开展油气回收综合治理，由各设区市区环境保护部门会同商务、质监、安监等部门督促本辖区内油气回收治理工作，2013年年底前，完成关中地区城市建成区及县城规划区范围内现有加油站、储油库和油罐车的油气回收治理工作。</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本加油站设计了卸油油气回收系统、加油油气回收系统油库油气回收系统，符合《挥发性有机物（VOCs）污染防治技术政策》的要求。</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④与《西咸新区铁腕治霾打赢蓝天保卫战三年行动实施方案（2018-2020年）（修订版）》符合性分析</w:t>
            </w:r>
          </w:p>
          <w:p>
            <w:pPr>
              <w:autoSpaceDE w:val="0"/>
              <w:autoSpaceDN w:val="0"/>
              <w:adjustRightInd w:val="0"/>
              <w:spacing w:line="440" w:lineRule="exact"/>
              <w:ind w:firstLine="480"/>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根据《西咸新区铁腕治霾打赢蓝天保卫战三年行动实施方案（2018-2020年）（修订版）》要求，加强油品监督管理。规范成品油市场秩序，全面加强油品质量的监督检查，严厉打击非法生产、销售不符合国家标准的车用燃油行为，确保符合国家标准的车用油品全覆盖。本项目为销售符合国家标准的车用燃油的加油站项目。因此，本项目符合《西咸新区铁腕治霾打赢蓝天保卫战三年行动实施方案（2018-2020年）（修订版）》的相关要求。</w:t>
            </w:r>
          </w:p>
          <w:p>
            <w:pPr>
              <w:pStyle w:val="92"/>
              <w:jc w:val="left"/>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w:t>
            </w:r>
            <w:r>
              <w:rPr>
                <w:rFonts w:hint="eastAsia" w:ascii="Times New Roman" w:hAnsi="Times New Roman"/>
                <w:b/>
                <w:bCs/>
                <w:color w:val="000000" w:themeColor="text1"/>
                <w:sz w:val="24"/>
                <w14:textFill>
                  <w14:solidFill>
                    <w14:schemeClr w14:val="tx1"/>
                  </w14:solidFill>
                </w14:textFill>
              </w:rPr>
              <w:t>3</w:t>
            </w:r>
            <w:r>
              <w:rPr>
                <w:rFonts w:ascii="Times New Roman" w:hAnsi="Times New Roman"/>
                <w:b/>
                <w:bCs/>
                <w:color w:val="000000" w:themeColor="text1"/>
                <w:sz w:val="24"/>
                <w14:textFill>
                  <w14:solidFill>
                    <w14:schemeClr w14:val="tx1"/>
                  </w14:solidFill>
                </w14:textFill>
              </w:rPr>
              <w:t>）项目环境管理政策相符性分析见表1。</w:t>
            </w:r>
          </w:p>
          <w:p>
            <w:pPr>
              <w:spacing w:line="240" w:lineRule="auto"/>
              <w:ind w:firstLine="422"/>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1</w:t>
            </w:r>
            <w:r>
              <w:rPr>
                <w:b/>
                <w:color w:val="000000" w:themeColor="text1"/>
                <w:sz w:val="21"/>
                <w:szCs w:val="21"/>
                <w14:textFill>
                  <w14:solidFill>
                    <w14:schemeClr w14:val="tx1"/>
                  </w14:solidFill>
                </w14:textFill>
              </w:rPr>
              <w:t xml:space="preserve">  环境管理政策相符性分析</w:t>
            </w:r>
          </w:p>
          <w:tbl>
            <w:tblPr>
              <w:tblStyle w:val="28"/>
              <w:tblW w:w="79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3464"/>
              <w:gridCol w:w="2424"/>
              <w:gridCol w:w="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5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依据</w:t>
                  </w:r>
                </w:p>
              </w:tc>
              <w:tc>
                <w:tcPr>
                  <w:tcW w:w="346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文件要求</w:t>
                  </w:r>
                </w:p>
              </w:tc>
              <w:tc>
                <w:tcPr>
                  <w:tcW w:w="242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本项目情况</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符合</w:t>
                  </w:r>
                </w:p>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5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color w:val="000000" w:themeColor="text1"/>
                      <w:spacing w:val="-5"/>
                      <w:sz w:val="24"/>
                      <w14:textFill>
                        <w14:solidFill>
                          <w14:schemeClr w14:val="tx1"/>
                        </w14:solidFill>
                      </w14:textFill>
                    </w:rPr>
                    <w:t>《陕西省水污染防治工作方案》</w:t>
                  </w:r>
                </w:p>
              </w:tc>
              <w:tc>
                <w:tcPr>
                  <w:tcW w:w="3464" w:type="dxa"/>
                  <w:tcBorders>
                    <w:tl2br w:val="nil"/>
                    <w:tr2bl w:val="nil"/>
                  </w:tcBorders>
                  <w:vAlign w:val="center"/>
                </w:tcPr>
                <w:p>
                  <w:pPr>
                    <w:pStyle w:val="92"/>
                    <w:spacing w:line="240" w:lineRule="auto"/>
                    <w:ind w:firstLine="0"/>
                    <w:jc w:val="left"/>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第15条</w:t>
                  </w:r>
                  <w:r>
                    <w:rPr>
                      <w:rFonts w:hint="eastAsia" w:ascii="Times New Roman" w:hAnsi="Times New Roman"/>
                      <w:bCs/>
                      <w:color w:val="000000" w:themeColor="text1"/>
                      <w:kern w:val="2"/>
                      <w:sz w:val="21"/>
                      <w:szCs w:val="21"/>
                      <w14:textFill>
                        <w14:solidFill>
                          <w14:schemeClr w14:val="tx1"/>
                        </w14:solidFill>
                      </w14:textFill>
                    </w:rPr>
                    <w:t>：</w:t>
                  </w:r>
                  <w:r>
                    <w:rPr>
                      <w:rFonts w:ascii="Times New Roman" w:hAnsi="Times New Roman"/>
                      <w:bCs/>
                      <w:color w:val="000000" w:themeColor="text1"/>
                      <w:kern w:val="2"/>
                      <w:sz w:val="21"/>
                      <w:szCs w:val="21"/>
                      <w14:textFill>
                        <w14:solidFill>
                          <w14:schemeClr w14:val="tx1"/>
                        </w14:solidFill>
                      </w14:textFill>
                    </w:rPr>
                    <w:t>防治地下水污染“2017年底前，加油站地下油罐全部更新为双层罐或完成防渗池建设</w:t>
                  </w:r>
                  <w:r>
                    <w:rPr>
                      <w:rFonts w:hint="eastAsia" w:ascii="Times New Roman" w:hAnsi="Times New Roman"/>
                      <w:bCs/>
                      <w:color w:val="000000" w:themeColor="text1"/>
                      <w:kern w:val="2"/>
                      <w:sz w:val="21"/>
                      <w:szCs w:val="21"/>
                      <w14:textFill>
                        <w14:solidFill>
                          <w14:schemeClr w14:val="tx1"/>
                        </w14:solidFill>
                      </w14:textFill>
                    </w:rPr>
                    <w:t>。</w:t>
                  </w:r>
                </w:p>
              </w:tc>
              <w:tc>
                <w:tcPr>
                  <w:tcW w:w="242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本项目为加油站单层罐改双层罐项目，改造完成后储罐为双层罐。</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54" w:type="dxa"/>
                  <w:tcBorders>
                    <w:tl2br w:val="nil"/>
                    <w:tr2bl w:val="nil"/>
                  </w:tcBorders>
                  <w:vAlign w:val="center"/>
                </w:tcPr>
                <w:p>
                  <w:pPr>
                    <w:pStyle w:val="92"/>
                    <w:spacing w:line="280" w:lineRule="exact"/>
                    <w:ind w:firstLine="0"/>
                    <w:jc w:val="center"/>
                    <w:rPr>
                      <w:color w:val="000000" w:themeColor="text1"/>
                      <w:spacing w:val="-5"/>
                      <w:sz w:val="24"/>
                      <w14:textFill>
                        <w14:solidFill>
                          <w14:schemeClr w14:val="tx1"/>
                        </w14:solidFill>
                      </w14:textFill>
                    </w:rPr>
                  </w:pPr>
                  <w:r>
                    <w:rPr>
                      <w:rFonts w:hint="eastAsia"/>
                      <w:color w:val="000000" w:themeColor="text1"/>
                      <w:spacing w:val="-5"/>
                      <w:sz w:val="24"/>
                      <w14:textFill>
                        <w14:solidFill>
                          <w14:schemeClr w14:val="tx1"/>
                        </w14:solidFill>
                      </w14:textFill>
                    </w:rPr>
                    <w:t>《重点行业挥发性有机物综合治理方案》环大气[2019]53号</w:t>
                  </w:r>
                </w:p>
              </w:tc>
              <w:tc>
                <w:tcPr>
                  <w:tcW w:w="3464" w:type="dxa"/>
                  <w:tcBorders>
                    <w:tl2br w:val="nil"/>
                    <w:tr2bl w:val="nil"/>
                  </w:tcBorders>
                  <w:vAlign w:val="center"/>
                </w:tcPr>
                <w:p>
                  <w:pPr>
                    <w:pStyle w:val="92"/>
                    <w:spacing w:line="240" w:lineRule="auto"/>
                    <w:ind w:firstLine="0"/>
                    <w:jc w:val="left"/>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油品储运销VOCs综合治理。加大汽油（含乙醇汽油）、石脑油、煤油（含航空煤油）以及原油等 VOCs 排放控制，重点推进加油站、油罐车、储油库油气回收治理。重点区域还应推进油船油气回收治理工作。深化加油站油气回收工作。O</w:t>
                  </w:r>
                  <w:r>
                    <w:rPr>
                      <w:rFonts w:hint="eastAsia" w:ascii="Times New Roman" w:hAnsi="Times New Roman"/>
                      <w:bCs/>
                      <w:color w:val="000000" w:themeColor="text1"/>
                      <w:kern w:val="2"/>
                      <w:sz w:val="21"/>
                      <w:szCs w:val="21"/>
                      <w:vertAlign w:val="subscript"/>
                      <w14:textFill>
                        <w14:solidFill>
                          <w14:schemeClr w14:val="tx1"/>
                        </w14:solidFill>
                      </w14:textFill>
                    </w:rPr>
                    <w:t>3</w:t>
                  </w:r>
                  <w:r>
                    <w:rPr>
                      <w:rFonts w:hint="eastAsia" w:ascii="Times New Roman" w:hAnsi="Times New Roman"/>
                      <w:bCs/>
                      <w:color w:val="000000" w:themeColor="text1"/>
                      <w:kern w:val="2"/>
                      <w:sz w:val="21"/>
                      <w:szCs w:val="21"/>
                      <w14:textFill>
                        <w14:solidFill>
                          <w14:schemeClr w14:val="tx1"/>
                        </w14:solidFill>
                      </w14:textFill>
                    </w:rPr>
                    <w:t>污染较重的地区，行政区域内大力推进加油站储油、加油油气回收治理工作，重点区域2019 年年底前基本完成。埋地油罐全面采用电子液位仪进行汽油密闭测量。规范油气回收设施运行，自行或聘请第三方加强加油枪气液比、系统密闭性及管线液阻等检查，提高检测频次，重点区域原则上每半年开展一次，确保油气回收系统正常运行。重点区域加快推进年销售汽油量大于5000吨的加油站安装油气回收自动监控设备，并与生态环境部门联网，2020年年底前基本完成。</w:t>
                  </w:r>
                </w:p>
              </w:tc>
              <w:tc>
                <w:tcPr>
                  <w:tcW w:w="242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本项目为加油站项目，设有汽油储罐、汽油加油机，安装有卸油油气回收系统、加油油气回收系统、储油油气回收系统。汽油储油罐设置有电子液位仪。定期委托检测公司对本项目加油站进行加油枪气液比、系统密闭性及管线液阻等检查</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54" w:type="dxa"/>
                  <w:vMerge w:val="restart"/>
                  <w:tcBorders>
                    <w:tl2br w:val="nil"/>
                    <w:tr2bl w:val="nil"/>
                  </w:tcBorders>
                  <w:vAlign w:val="center"/>
                </w:tcPr>
                <w:p>
                  <w:pPr>
                    <w:pStyle w:val="92"/>
                    <w:spacing w:line="280" w:lineRule="exact"/>
                    <w:ind w:firstLine="0"/>
                    <w:jc w:val="center"/>
                    <w:rPr>
                      <w:color w:val="000000" w:themeColor="text1"/>
                      <w:spacing w:val="-5"/>
                      <w:sz w:val="24"/>
                      <w14:textFill>
                        <w14:solidFill>
                          <w14:schemeClr w14:val="tx1"/>
                        </w14:solidFill>
                      </w14:textFill>
                    </w:rPr>
                  </w:pPr>
                  <w:r>
                    <w:rPr>
                      <w:rFonts w:hint="eastAsia"/>
                      <w:color w:val="000000" w:themeColor="text1"/>
                      <w:spacing w:val="-5"/>
                      <w:sz w:val="24"/>
                      <w14:textFill>
                        <w14:solidFill>
                          <w14:schemeClr w14:val="tx1"/>
                        </w14:solidFill>
                      </w14:textFill>
                    </w:rPr>
                    <w:t>《十三五挥发性有机物污染防治工作方案》</w:t>
                  </w:r>
                </w:p>
                <w:p>
                  <w:pPr>
                    <w:pStyle w:val="92"/>
                    <w:spacing w:line="280" w:lineRule="exact"/>
                    <w:ind w:firstLine="0"/>
                    <w:jc w:val="center"/>
                    <w:rPr>
                      <w:color w:val="000000" w:themeColor="text1"/>
                      <w:spacing w:val="-5"/>
                      <w:sz w:val="24"/>
                      <w14:textFill>
                        <w14:solidFill>
                          <w14:schemeClr w14:val="tx1"/>
                        </w14:solidFill>
                      </w14:textFill>
                    </w:rPr>
                  </w:pPr>
                  <w:r>
                    <w:rPr>
                      <w:rFonts w:hint="eastAsia"/>
                      <w:color w:val="000000" w:themeColor="text1"/>
                      <w:spacing w:val="-5"/>
                      <w:sz w:val="24"/>
                      <w14:textFill>
                        <w14:solidFill>
                          <w14:schemeClr w14:val="tx1"/>
                        </w14:solidFill>
                      </w14:textFill>
                    </w:rPr>
                    <w:t>要求</w:t>
                  </w:r>
                </w:p>
              </w:tc>
              <w:tc>
                <w:tcPr>
                  <w:tcW w:w="3464" w:type="dxa"/>
                  <w:tcBorders>
                    <w:tl2br w:val="nil"/>
                    <w:tr2bl w:val="nil"/>
                  </w:tcBorders>
                  <w:vAlign w:val="center"/>
                </w:tcPr>
                <w:p>
                  <w:pPr>
                    <w:pStyle w:val="92"/>
                    <w:spacing w:line="240" w:lineRule="auto"/>
                    <w:ind w:firstLine="0"/>
                    <w:jc w:val="left"/>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有机液体装卸必须采取全密闭底部装载、顶部浸没式装载等方式，汽油、航空汽油、石脑油、煤油等高挥发性有机液体装卸过程采取高效油气回收措施，使用具有油气回收接口的车船。</w:t>
                  </w:r>
                </w:p>
              </w:tc>
              <w:tc>
                <w:tcPr>
                  <w:tcW w:w="242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项目卸油采用平衡式密闭油气回收系统， 整个卸油处于密闭状态；项目加油采用真空辅助式油气回收系统。项目油气回收措施完善。</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8" w:hRule="atLeast"/>
                <w:jc w:val="center"/>
              </w:trPr>
              <w:tc>
                <w:tcPr>
                  <w:tcW w:w="1354" w:type="dxa"/>
                  <w:vMerge w:val="continue"/>
                  <w:tcBorders>
                    <w:tl2br w:val="nil"/>
                    <w:tr2bl w:val="nil"/>
                  </w:tcBorders>
                  <w:vAlign w:val="center"/>
                </w:tcPr>
                <w:p>
                  <w:pPr>
                    <w:pStyle w:val="92"/>
                    <w:spacing w:line="280" w:lineRule="exact"/>
                    <w:ind w:firstLine="0"/>
                    <w:jc w:val="center"/>
                    <w:rPr>
                      <w:color w:val="000000" w:themeColor="text1"/>
                      <w:spacing w:val="-5"/>
                      <w:sz w:val="24"/>
                      <w14:textFill>
                        <w14:solidFill>
                          <w14:schemeClr w14:val="tx1"/>
                        </w14:solidFill>
                      </w14:textFill>
                    </w:rPr>
                  </w:pPr>
                </w:p>
              </w:tc>
              <w:tc>
                <w:tcPr>
                  <w:tcW w:w="3464" w:type="dxa"/>
                  <w:tcBorders>
                    <w:tl2br w:val="nil"/>
                    <w:tr2bl w:val="nil"/>
                  </w:tcBorders>
                  <w:vAlign w:val="center"/>
                </w:tcPr>
                <w:p>
                  <w:pPr>
                    <w:pStyle w:val="92"/>
                    <w:spacing w:line="240" w:lineRule="auto"/>
                    <w:ind w:firstLine="0"/>
                    <w:jc w:val="left"/>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加强汽油储运销油气排放控制。减少油品周转次数。严格按照排放标准要求，加快完成加油站、储油库、油罐车油气回收治理工作。</w:t>
                  </w:r>
                </w:p>
              </w:tc>
              <w:tc>
                <w:tcPr>
                  <w:tcW w:w="2424"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本项目油品由延长壳牌石油有限公司专门储油库直接用罐车输送，站内按规范设计有较为完善的卸油及加油油气回收系统。</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5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《西咸新区沣</w:t>
                  </w:r>
                  <w:r>
                    <w:rPr>
                      <w:rFonts w:hint="eastAsia" w:ascii="Times New Roman" w:hAnsi="Times New Roman"/>
                      <w:color w:val="000000" w:themeColor="text1"/>
                      <w:kern w:val="2"/>
                      <w:sz w:val="21"/>
                      <w:szCs w:val="21"/>
                      <w14:textFill>
                        <w14:solidFill>
                          <w14:schemeClr w14:val="tx1"/>
                        </w14:solidFill>
                      </w14:textFill>
                    </w:rPr>
                    <w:t>东</w:t>
                  </w:r>
                  <w:r>
                    <w:rPr>
                      <w:rFonts w:ascii="Times New Roman" w:hAnsi="Times New Roman"/>
                      <w:color w:val="000000" w:themeColor="text1"/>
                      <w:kern w:val="2"/>
                      <w:sz w:val="21"/>
                      <w:szCs w:val="21"/>
                      <w14:textFill>
                        <w14:solidFill>
                          <w14:schemeClr w14:val="tx1"/>
                        </w14:solidFill>
                      </w14:textFill>
                    </w:rPr>
                    <w:t>新城分区规划（20</w:t>
                  </w:r>
                  <w:r>
                    <w:rPr>
                      <w:rFonts w:hint="eastAsia" w:ascii="Times New Roman" w:hAnsi="Times New Roman"/>
                      <w:color w:val="000000" w:themeColor="text1"/>
                      <w:kern w:val="2"/>
                      <w:sz w:val="21"/>
                      <w:szCs w:val="21"/>
                      <w14:textFill>
                        <w14:solidFill>
                          <w14:schemeClr w14:val="tx1"/>
                        </w14:solidFill>
                      </w14:textFill>
                    </w:rPr>
                    <w:t>10</w:t>
                  </w:r>
                  <w:r>
                    <w:rPr>
                      <w:rFonts w:ascii="Times New Roman" w:hAnsi="Times New Roman"/>
                      <w:color w:val="000000" w:themeColor="text1"/>
                      <w:kern w:val="2"/>
                      <w:sz w:val="21"/>
                      <w:szCs w:val="21"/>
                      <w14:textFill>
                        <w14:solidFill>
                          <w14:schemeClr w14:val="tx1"/>
                        </w14:solidFill>
                      </w14:textFill>
                    </w:rPr>
                    <w:t>-20</w:t>
                  </w:r>
                  <w:r>
                    <w:rPr>
                      <w:rFonts w:hint="eastAsia" w:ascii="Times New Roman" w:hAnsi="Times New Roman"/>
                      <w:color w:val="000000" w:themeColor="text1"/>
                      <w:kern w:val="2"/>
                      <w:sz w:val="21"/>
                      <w:szCs w:val="21"/>
                      <w14:textFill>
                        <w14:solidFill>
                          <w14:schemeClr w14:val="tx1"/>
                        </w14:solidFill>
                      </w14:textFill>
                    </w:rPr>
                    <w:t>20</w:t>
                  </w:r>
                  <w:r>
                    <w:rPr>
                      <w:rFonts w:ascii="Times New Roman" w:hAnsi="Times New Roman"/>
                      <w:color w:val="000000" w:themeColor="text1"/>
                      <w:kern w:val="2"/>
                      <w:sz w:val="21"/>
                      <w:szCs w:val="21"/>
                      <w14:textFill>
                        <w14:solidFill>
                          <w14:schemeClr w14:val="tx1"/>
                        </w14:solidFill>
                      </w14:textFill>
                    </w:rPr>
                    <w:t>年）》</w:t>
                  </w:r>
                </w:p>
              </w:tc>
              <w:tc>
                <w:tcPr>
                  <w:tcW w:w="346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规划确定沣东新城总体规划空间结构布局：“两带、七板块”，周秦汉历史文化景观带、沣河景观风貌带、沣河田园城市板块、六村堡现代产业板块、三桥现代商贸板块、科学城科技统筹板块、阿房宫人文旅游板块、昆明池生态文化板块、昆明池生态文化板块。三桥现代商贸板块：依托三桥街—世纪大道、三桥车城及地铁一号线，建设以商贸流通、现代商务、总部物流、服务外包、文化旅游、金融科技等产业为主的多元复合的现代服务业聚集区。</w:t>
                  </w:r>
                </w:p>
              </w:tc>
              <w:tc>
                <w:tcPr>
                  <w:tcW w:w="242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本项目位于规划范围内，本项目为社会服务与事业项目，因此符合沣</w:t>
                  </w:r>
                  <w:r>
                    <w:rPr>
                      <w:rFonts w:hint="eastAsia" w:ascii="Times New Roman" w:hAnsi="Times New Roman"/>
                      <w:color w:val="000000" w:themeColor="text1"/>
                      <w:kern w:val="2"/>
                      <w:sz w:val="21"/>
                      <w:szCs w:val="21"/>
                      <w14:textFill>
                        <w14:solidFill>
                          <w14:schemeClr w14:val="tx1"/>
                        </w14:solidFill>
                      </w14:textFill>
                    </w:rPr>
                    <w:t>东</w:t>
                  </w:r>
                  <w:r>
                    <w:rPr>
                      <w:rFonts w:ascii="Times New Roman" w:hAnsi="Times New Roman"/>
                      <w:color w:val="000000" w:themeColor="text1"/>
                      <w:kern w:val="2"/>
                      <w:sz w:val="21"/>
                      <w:szCs w:val="21"/>
                      <w14:textFill>
                        <w14:solidFill>
                          <w14:schemeClr w14:val="tx1"/>
                        </w14:solidFill>
                      </w14:textFill>
                    </w:rPr>
                    <w:t>新城分区规划要求。</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54" w:type="dxa"/>
                  <w:vMerge w:val="restart"/>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《西咸新区沣</w:t>
                  </w:r>
                  <w:r>
                    <w:rPr>
                      <w:rFonts w:hint="eastAsia" w:ascii="Times New Roman" w:hAnsi="Times New Roman"/>
                      <w:color w:val="000000" w:themeColor="text1"/>
                      <w:kern w:val="2"/>
                      <w:sz w:val="21"/>
                      <w:szCs w:val="21"/>
                      <w14:textFill>
                        <w14:solidFill>
                          <w14:schemeClr w14:val="tx1"/>
                        </w14:solidFill>
                      </w14:textFill>
                    </w:rPr>
                    <w:t>东</w:t>
                  </w:r>
                  <w:r>
                    <w:rPr>
                      <w:rFonts w:ascii="Times New Roman" w:hAnsi="Times New Roman"/>
                      <w:color w:val="000000" w:themeColor="text1"/>
                      <w:kern w:val="2"/>
                      <w:sz w:val="21"/>
                      <w:szCs w:val="21"/>
                      <w14:textFill>
                        <w14:solidFill>
                          <w14:schemeClr w14:val="tx1"/>
                        </w14:solidFill>
                      </w14:textFill>
                    </w:rPr>
                    <w:t>新城分区规划（20</w:t>
                  </w:r>
                  <w:r>
                    <w:rPr>
                      <w:rFonts w:hint="eastAsia" w:ascii="Times New Roman" w:hAnsi="Times New Roman"/>
                      <w:color w:val="000000" w:themeColor="text1"/>
                      <w:kern w:val="2"/>
                      <w:sz w:val="21"/>
                      <w:szCs w:val="21"/>
                      <w14:textFill>
                        <w14:solidFill>
                          <w14:schemeClr w14:val="tx1"/>
                        </w14:solidFill>
                      </w14:textFill>
                    </w:rPr>
                    <w:t>10</w:t>
                  </w:r>
                  <w:r>
                    <w:rPr>
                      <w:rFonts w:ascii="Times New Roman" w:hAnsi="Times New Roman"/>
                      <w:color w:val="000000" w:themeColor="text1"/>
                      <w:kern w:val="2"/>
                      <w:sz w:val="21"/>
                      <w:szCs w:val="21"/>
                      <w14:textFill>
                        <w14:solidFill>
                          <w14:schemeClr w14:val="tx1"/>
                        </w14:solidFill>
                      </w14:textFill>
                    </w:rPr>
                    <w:t>-20</w:t>
                  </w:r>
                  <w:r>
                    <w:rPr>
                      <w:rFonts w:hint="eastAsia" w:ascii="Times New Roman" w:hAnsi="Times New Roman"/>
                      <w:color w:val="000000" w:themeColor="text1"/>
                      <w:kern w:val="2"/>
                      <w:sz w:val="21"/>
                      <w:szCs w:val="21"/>
                      <w14:textFill>
                        <w14:solidFill>
                          <w14:schemeClr w14:val="tx1"/>
                        </w14:solidFill>
                      </w14:textFill>
                    </w:rPr>
                    <w:t>20</w:t>
                  </w:r>
                  <w:r>
                    <w:rPr>
                      <w:rFonts w:ascii="Times New Roman" w:hAnsi="Times New Roman"/>
                      <w:color w:val="000000" w:themeColor="text1"/>
                      <w:kern w:val="2"/>
                      <w:sz w:val="21"/>
                      <w:szCs w:val="21"/>
                      <w14:textFill>
                        <w14:solidFill>
                          <w14:schemeClr w14:val="tx1"/>
                        </w14:solidFill>
                      </w14:textFill>
                    </w:rPr>
                    <w:t>年）</w:t>
                  </w:r>
                  <w:r>
                    <w:rPr>
                      <w:rFonts w:hint="eastAsia" w:ascii="Times New Roman" w:hAnsi="Times New Roman"/>
                      <w:color w:val="000000" w:themeColor="text1"/>
                      <w:kern w:val="2"/>
                      <w:sz w:val="21"/>
                      <w:szCs w:val="21"/>
                      <w14:textFill>
                        <w14:solidFill>
                          <w14:schemeClr w14:val="tx1"/>
                        </w14:solidFill>
                      </w14:textFill>
                    </w:rPr>
                    <w:t>环境影响报告书</w:t>
                  </w:r>
                  <w:r>
                    <w:rPr>
                      <w:rFonts w:ascii="Times New Roman" w:hAnsi="Times New Roman"/>
                      <w:color w:val="000000" w:themeColor="text1"/>
                      <w:kern w:val="2"/>
                      <w:sz w:val="21"/>
                      <w:szCs w:val="21"/>
                      <w14:textFill>
                        <w14:solidFill>
                          <w14:schemeClr w14:val="tx1"/>
                        </w14:solidFill>
                      </w14:textFill>
                    </w:rPr>
                    <w:t>》</w:t>
                  </w:r>
                  <w:r>
                    <w:rPr>
                      <w:rFonts w:hint="eastAsia" w:ascii="Times New Roman" w:hAnsi="Times New Roman"/>
                      <w:color w:val="000000" w:themeColor="text1"/>
                      <w:kern w:val="2"/>
                      <w:sz w:val="21"/>
                      <w:szCs w:val="21"/>
                      <w14:textFill>
                        <w14:solidFill>
                          <w14:schemeClr w14:val="tx1"/>
                        </w14:solidFill>
                      </w14:textFill>
                    </w:rPr>
                    <w:t>及审查意见</w:t>
                  </w:r>
                </w:p>
              </w:tc>
              <w:tc>
                <w:tcPr>
                  <w:tcW w:w="346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入区企业清洁生产必须达到国内先进水平、严禁“三高一低”企业入区、由总量指标限制企业类型和规模、污染物排放指标等工业企业的准入条件。</w:t>
                  </w:r>
                </w:p>
              </w:tc>
              <w:tc>
                <w:tcPr>
                  <w:tcW w:w="242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本项目为</w:t>
                  </w:r>
                  <w:r>
                    <w:rPr>
                      <w:rFonts w:hint="eastAsia" w:ascii="Times New Roman" w:hAnsi="Times New Roman"/>
                      <w:color w:val="000000" w:themeColor="text1"/>
                      <w:kern w:val="2"/>
                      <w:sz w:val="21"/>
                      <w:szCs w:val="21"/>
                      <w14:textFill>
                        <w14:solidFill>
                          <w14:schemeClr w14:val="tx1"/>
                        </w14:solidFill>
                      </w14:textFill>
                    </w:rPr>
                    <w:t>加油站</w:t>
                  </w:r>
                  <w:r>
                    <w:rPr>
                      <w:rFonts w:ascii="Times New Roman" w:hAnsi="Times New Roman"/>
                      <w:color w:val="000000" w:themeColor="text1"/>
                      <w:kern w:val="2"/>
                      <w:sz w:val="21"/>
                      <w:szCs w:val="21"/>
                      <w14:textFill>
                        <w14:solidFill>
                          <w14:schemeClr w14:val="tx1"/>
                        </w14:solidFill>
                      </w14:textFill>
                    </w:rPr>
                    <w:t>项目，不属于“三高一低”企业。符合西咸新区-沣东新城分区规划（2010-2020）环境影响报告书审查意见相关要求。</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54" w:type="dxa"/>
                  <w:vMerge w:val="continue"/>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p>
              </w:tc>
              <w:tc>
                <w:tcPr>
                  <w:tcW w:w="346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水环境保护对策和措施：严格环境准入制度，防治企业污染排放。在规划建设中， 要设置相应的环保准入门槛，限制造纸、化工、食品饮料加工、皮革、电镀等高耗水、重污染行业进入。</w:t>
                  </w:r>
                </w:p>
              </w:tc>
              <w:tc>
                <w:tcPr>
                  <w:tcW w:w="242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本项目为加油站，废水为生活污水，</w:t>
                  </w:r>
                  <w:r>
                    <w:rPr>
                      <w:rFonts w:ascii="Times New Roman" w:hAnsi="Times New Roman"/>
                      <w:color w:val="000000" w:themeColor="text1"/>
                      <w:kern w:val="2"/>
                      <w:sz w:val="21"/>
                      <w:szCs w:val="21"/>
                      <w14:textFill>
                        <w14:solidFill>
                          <w14:schemeClr w14:val="tx1"/>
                        </w14:solidFill>
                      </w14:textFill>
                    </w:rPr>
                    <w:t>生活污水</w:t>
                  </w:r>
                  <w:r>
                    <w:rPr>
                      <w:rFonts w:hint="eastAsia" w:ascii="Times New Roman" w:hAnsi="Times New Roman"/>
                      <w:color w:val="000000" w:themeColor="text1"/>
                      <w:kern w:val="2"/>
                      <w:sz w:val="21"/>
                      <w:szCs w:val="21"/>
                      <w14:textFill>
                        <w14:solidFill>
                          <w14:schemeClr w14:val="tx1"/>
                        </w14:solidFill>
                      </w14:textFill>
                    </w:rPr>
                    <w:t>经</w:t>
                  </w:r>
                  <w:r>
                    <w:rPr>
                      <w:rFonts w:ascii="Times New Roman" w:hAnsi="Times New Roman"/>
                      <w:color w:val="000000" w:themeColor="text1"/>
                      <w:kern w:val="2"/>
                      <w:sz w:val="21"/>
                      <w:szCs w:val="21"/>
                      <w14:textFill>
                        <w14:solidFill>
                          <w14:schemeClr w14:val="tx1"/>
                        </w14:solidFill>
                      </w14:textFill>
                    </w:rPr>
                    <w:t>化粪池处理后</w:t>
                  </w:r>
                  <w:r>
                    <w:rPr>
                      <w:rFonts w:hint="eastAsia" w:ascii="Times New Roman" w:hAnsi="Times New Roman"/>
                      <w:color w:val="000000" w:themeColor="text1"/>
                      <w:kern w:val="2"/>
                      <w:sz w:val="21"/>
                      <w:szCs w:val="21"/>
                      <w14:textFill>
                        <w14:solidFill>
                          <w14:schemeClr w14:val="tx1"/>
                        </w14:solidFill>
                      </w14:textFill>
                    </w:rPr>
                    <w:t>定期清掏。</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53" w:hRule="atLeast"/>
                <w:jc w:val="center"/>
              </w:trPr>
              <w:tc>
                <w:tcPr>
                  <w:tcW w:w="1354" w:type="dxa"/>
                  <w:vMerge w:val="continue"/>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p>
              </w:tc>
              <w:tc>
                <w:tcPr>
                  <w:tcW w:w="346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大气环境保护对策和措施：严格产业准入制度，控制企业污染排放。设置新城产业准入大气环境标准，对排污量大的行业进行限制，防止对新城产生影响。</w:t>
                  </w:r>
                </w:p>
              </w:tc>
              <w:tc>
                <w:tcPr>
                  <w:tcW w:w="242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本项目现有</w:t>
                  </w:r>
                  <w:r>
                    <w:rPr>
                      <w:rFonts w:hint="eastAsia" w:ascii="Times New Roman" w:hAnsi="Times New Roman"/>
                      <w:color w:val="000000" w:themeColor="text1"/>
                      <w:kern w:val="2"/>
                      <w:sz w:val="21"/>
                      <w:szCs w:val="21"/>
                      <w14:textFill>
                        <w14:solidFill>
                          <w14:schemeClr w14:val="tx1"/>
                        </w14:solidFill>
                      </w14:textFill>
                    </w:rPr>
                    <w:t>三级</w:t>
                  </w:r>
                  <w:r>
                    <w:rPr>
                      <w:rFonts w:ascii="Times New Roman" w:hAnsi="Times New Roman"/>
                      <w:color w:val="000000" w:themeColor="text1"/>
                      <w:kern w:val="2"/>
                      <w:sz w:val="21"/>
                      <w:szCs w:val="21"/>
                      <w14:textFill>
                        <w14:solidFill>
                          <w14:schemeClr w14:val="tx1"/>
                        </w14:solidFill>
                      </w14:textFill>
                    </w:rPr>
                    <w:t>油气回收装置</w:t>
                  </w:r>
                  <w:r>
                    <w:rPr>
                      <w:rFonts w:hint="eastAsia" w:ascii="Times New Roman" w:hAnsi="Times New Roman"/>
                      <w:color w:val="000000" w:themeColor="text1"/>
                      <w:kern w:val="2"/>
                      <w:sz w:val="21"/>
                      <w:szCs w:val="21"/>
                      <w14:textFill>
                        <w14:solidFill>
                          <w14:schemeClr w14:val="tx1"/>
                        </w14:solidFill>
                      </w14:textFill>
                    </w:rPr>
                    <w:t>，采用一次、二次、三次油气回收，减少有机废气排放</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54" w:type="dxa"/>
                  <w:vMerge w:val="continue"/>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p>
              </w:tc>
              <w:tc>
                <w:tcPr>
                  <w:tcW w:w="346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声环境保护对策和措施：加强环境噪声管理，建立完善的环境噪声管理办法。完善环境噪声达标区管理办法，加强对公共和个人娱乐区、商业区等的环境噪声管理，加强对建筑噪声以及固定噪声源的管理。</w:t>
                  </w:r>
                </w:p>
              </w:tc>
              <w:tc>
                <w:tcPr>
                  <w:tcW w:w="242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本项目运营期设备均优先选用低噪声设备，并采取基础减振、隔声等措施，同时加强对设备的维修保养管理。</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54" w:type="dxa"/>
                  <w:vMerge w:val="continue"/>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p>
              </w:tc>
              <w:tc>
                <w:tcPr>
                  <w:tcW w:w="346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固体废物综合整治对策：提高全民的环境意识，提倡节约，减少城市生活垃圾产生量，推行生活垃圾分类收集，提高生活垃圾无害化处理率和固体废物的综合利用率。提高危险固废和医疗垃圾的安全处理、处置能力。建立危险废物和医疗废物的收集、运输、处置的全过程环境监督管理体系。</w:t>
                  </w:r>
                </w:p>
              </w:tc>
              <w:tc>
                <w:tcPr>
                  <w:tcW w:w="242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本项目运营期生活垃圾分类收集，委托环卫部门处置。危险废物设置危险废物暂存间，交有资质单位处置。</w:t>
                  </w:r>
                </w:p>
              </w:tc>
              <w:tc>
                <w:tcPr>
                  <w:tcW w:w="677" w:type="dxa"/>
                  <w:tcBorders>
                    <w:tl2br w:val="nil"/>
                    <w:tr2bl w:val="nil"/>
                  </w:tcBorders>
                  <w:vAlign w:val="center"/>
                </w:tcPr>
                <w:p>
                  <w:pPr>
                    <w:pStyle w:val="92"/>
                    <w:spacing w:line="280" w:lineRule="exact"/>
                    <w:ind w:firstLine="0"/>
                    <w:jc w:val="center"/>
                    <w:rPr>
                      <w:rFonts w:ascii="Times New Roman" w:hAnsi="Times New Roman"/>
                      <w:bCs/>
                      <w:color w:val="000000" w:themeColor="text1"/>
                      <w:kern w:val="2"/>
                      <w:sz w:val="21"/>
                      <w:szCs w:val="21"/>
                      <w14:textFill>
                        <w14:solidFill>
                          <w14:schemeClr w14:val="tx1"/>
                        </w14:solidFill>
                      </w14:textFill>
                    </w:rPr>
                  </w:pPr>
                  <w:r>
                    <w:rPr>
                      <w:rFonts w:hint="eastAsia" w:ascii="Times New Roman" w:hAnsi="Times New Roman"/>
                      <w:bCs/>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135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《国务院关于印发大气污染防治行动计划的通知》国发[2013]37号</w:t>
                  </w:r>
                </w:p>
              </w:tc>
              <w:tc>
                <w:tcPr>
                  <w:tcW w:w="346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限时完成加油站、储油库、油罐车的油气回收治理，在原油成品油源头积极开展油气回收治理。</w:t>
                  </w:r>
                </w:p>
              </w:tc>
              <w:tc>
                <w:tcPr>
                  <w:tcW w:w="242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本项目现有三级油气回收装置</w:t>
                  </w:r>
                  <w:r>
                    <w:rPr>
                      <w:rFonts w:ascii="Times New Roman" w:hAnsi="Times New Roman"/>
                      <w:color w:val="000000" w:themeColor="text1"/>
                      <w:kern w:val="2"/>
                      <w:sz w:val="21"/>
                      <w:szCs w:val="21"/>
                      <w14:textFill>
                        <w14:solidFill>
                          <w14:schemeClr w14:val="tx1"/>
                        </w14:solidFill>
                      </w14:textFill>
                    </w:rPr>
                    <w:t>。</w:t>
                  </w:r>
                </w:p>
              </w:tc>
              <w:tc>
                <w:tcPr>
                  <w:tcW w:w="677" w:type="dxa"/>
                  <w:tcBorders>
                    <w:tl2br w:val="nil"/>
                    <w:tr2bl w:val="nil"/>
                  </w:tcBorders>
                  <w:vAlign w:val="center"/>
                </w:tcPr>
                <w:p>
                  <w:pPr>
                    <w:pStyle w:val="92"/>
                    <w:spacing w:line="280" w:lineRule="exact"/>
                    <w:ind w:firstLine="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5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中华人民共和国大气污染防治法（主席令第31号）</w:t>
                  </w:r>
                </w:p>
              </w:tc>
              <w:tc>
                <w:tcPr>
                  <w:tcW w:w="3464" w:type="dxa"/>
                  <w:tcBorders>
                    <w:tl2br w:val="nil"/>
                    <w:tr2bl w:val="nil"/>
                  </w:tcBorders>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储油储气库、加油加气站、原油成品油码头、原油成品油运输船舶和油罐车、气罐车等，应当按照国家有关规定安装油气回收装置并保持正常使用。</w:t>
                  </w:r>
                </w:p>
              </w:tc>
              <w:tc>
                <w:tcPr>
                  <w:tcW w:w="242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sz w:val="21"/>
                      <w:szCs w:val="21"/>
                      <w14:textFill>
                        <w14:solidFill>
                          <w14:schemeClr w14:val="tx1"/>
                        </w14:solidFill>
                      </w14:textFill>
                    </w:rPr>
                    <w:t>本项目现有三级油气回收装置</w:t>
                  </w:r>
                  <w:r>
                    <w:rPr>
                      <w:rFonts w:ascii="Times New Roman" w:hAnsi="Times New Roman"/>
                      <w:color w:val="000000" w:themeColor="text1"/>
                      <w:kern w:val="2"/>
                      <w:sz w:val="21"/>
                      <w:szCs w:val="21"/>
                      <w14:textFill>
                        <w14:solidFill>
                          <w14:schemeClr w14:val="tx1"/>
                        </w14:solidFill>
                      </w14:textFill>
                    </w:rPr>
                    <w:t>。</w:t>
                  </w:r>
                </w:p>
              </w:tc>
              <w:tc>
                <w:tcPr>
                  <w:tcW w:w="677" w:type="dxa"/>
                  <w:tcBorders>
                    <w:tl2br w:val="nil"/>
                    <w:tr2bl w:val="nil"/>
                  </w:tcBorders>
                  <w:vAlign w:val="center"/>
                </w:tcPr>
                <w:p>
                  <w:pPr>
                    <w:pStyle w:val="92"/>
                    <w:spacing w:line="280" w:lineRule="exact"/>
                    <w:ind w:firstLine="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5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《国务院关于印发水污染防治行动计划的通知》国发[2015]17号</w:t>
                  </w:r>
                </w:p>
              </w:tc>
              <w:tc>
                <w:tcPr>
                  <w:tcW w:w="346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加油站地下油罐应于201</w:t>
                  </w:r>
                  <w:r>
                    <w:rPr>
                      <w:rFonts w:hint="eastAsia" w:ascii="Times New Roman" w:hAnsi="Times New Roman"/>
                      <w:color w:val="000000" w:themeColor="text1"/>
                      <w:kern w:val="2"/>
                      <w:sz w:val="21"/>
                      <w:szCs w:val="21"/>
                      <w14:textFill>
                        <w14:solidFill>
                          <w14:schemeClr w14:val="tx1"/>
                        </w14:solidFill>
                      </w14:textFill>
                    </w:rPr>
                    <w:t>7</w:t>
                  </w:r>
                  <w:r>
                    <w:rPr>
                      <w:rFonts w:ascii="Times New Roman" w:hAnsi="Times New Roman"/>
                      <w:color w:val="000000" w:themeColor="text1"/>
                      <w:kern w:val="2"/>
                      <w:sz w:val="21"/>
                      <w:szCs w:val="21"/>
                      <w14:textFill>
                        <w14:solidFill>
                          <w14:schemeClr w14:val="tx1"/>
                        </w14:solidFill>
                      </w14:textFill>
                    </w:rPr>
                    <w:t>年底前全部更新为双层罐或完成防渗池设置。</w:t>
                  </w:r>
                </w:p>
              </w:tc>
              <w:tc>
                <w:tcPr>
                  <w:tcW w:w="2424" w:type="dxa"/>
                  <w:tcBorders>
                    <w:tl2br w:val="nil"/>
                    <w:tr2bl w:val="nil"/>
                  </w:tcBorders>
                  <w:vAlign w:val="center"/>
                </w:tcPr>
                <w:p>
                  <w:pPr>
                    <w:pStyle w:val="92"/>
                    <w:spacing w:line="280" w:lineRule="exact"/>
                    <w:ind w:firstLine="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本项目设置直埋地下双层油罐</w:t>
                  </w:r>
                  <w:r>
                    <w:rPr>
                      <w:rFonts w:hint="eastAsia" w:ascii="Times New Roman" w:hAnsi="Times New Roman"/>
                      <w:color w:val="000000" w:themeColor="text1"/>
                      <w:kern w:val="2"/>
                      <w:sz w:val="21"/>
                      <w:szCs w:val="21"/>
                      <w14:textFill>
                        <w14:solidFill>
                          <w14:schemeClr w14:val="tx1"/>
                        </w14:solidFill>
                      </w14:textFill>
                    </w:rPr>
                    <w:t>4</w:t>
                  </w:r>
                  <w:r>
                    <w:rPr>
                      <w:rFonts w:ascii="Times New Roman" w:hAnsi="Times New Roman"/>
                      <w:color w:val="000000" w:themeColor="text1"/>
                      <w:kern w:val="2"/>
                      <w:sz w:val="21"/>
                      <w:szCs w:val="21"/>
                      <w14:textFill>
                        <w14:solidFill>
                          <w14:schemeClr w14:val="tx1"/>
                        </w14:solidFill>
                      </w14:textFill>
                    </w:rPr>
                    <w:t>个。</w:t>
                  </w:r>
                </w:p>
              </w:tc>
              <w:tc>
                <w:tcPr>
                  <w:tcW w:w="677" w:type="dxa"/>
                  <w:tcBorders>
                    <w:tl2br w:val="nil"/>
                    <w:tr2bl w:val="nil"/>
                  </w:tcBorders>
                  <w:vAlign w:val="center"/>
                </w:tcPr>
                <w:p>
                  <w:pPr>
                    <w:pStyle w:val="92"/>
                    <w:spacing w:line="280" w:lineRule="exact"/>
                    <w:ind w:firstLine="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符合</w:t>
                  </w:r>
                </w:p>
              </w:tc>
            </w:tr>
          </w:tbl>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w:t>
            </w:r>
            <w:r>
              <w:rPr>
                <w:rFonts w:hAnsi="宋体"/>
                <w:b/>
                <w:color w:val="000000" w:themeColor="text1"/>
                <w:kern w:val="0"/>
                <w14:textFill>
                  <w14:solidFill>
                    <w14:schemeClr w14:val="tx1"/>
                  </w14:solidFill>
                </w14:textFill>
              </w:rPr>
              <w:t>4</w:t>
            </w:r>
            <w:r>
              <w:rPr>
                <w:rFonts w:hint="eastAsia" w:hAnsi="宋体"/>
                <w:b/>
                <w:color w:val="000000" w:themeColor="text1"/>
                <w:kern w:val="0"/>
                <w14:textFill>
                  <w14:solidFill>
                    <w14:schemeClr w14:val="tx1"/>
                  </w14:solidFill>
                </w14:textFill>
              </w:rPr>
              <w:t>）选址可行性分析</w:t>
            </w:r>
          </w:p>
          <w:p>
            <w:pPr>
              <w:autoSpaceDE w:val="0"/>
              <w:autoSpaceDN w:val="0"/>
              <w:adjustRightInd w:val="0"/>
              <w:ind w:firstLine="480"/>
              <w:jc w:val="left"/>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①</w:t>
            </w:r>
            <w:r>
              <w:rPr>
                <w:rFonts w:hint="eastAsia"/>
                <w:color w:val="000000" w:themeColor="text1"/>
                <w14:textFill>
                  <w14:solidFill>
                    <w14:schemeClr w14:val="tx1"/>
                  </w14:solidFill>
                </w14:textFill>
              </w:rPr>
              <w:t>本加油站</w:t>
            </w:r>
            <w:r>
              <w:rPr>
                <w:color w:val="000000" w:themeColor="text1"/>
                <w14:textFill>
                  <w14:solidFill>
                    <w14:schemeClr w14:val="tx1"/>
                  </w14:solidFill>
                </w14:textFill>
              </w:rPr>
              <w:t>位</w:t>
            </w:r>
            <w:r>
              <w:rPr>
                <w:rFonts w:hint="eastAsia"/>
                <w:color w:val="000000" w:themeColor="text1"/>
                <w14:textFill>
                  <w14:solidFill>
                    <w14:schemeClr w14:val="tx1"/>
                  </w14:solidFill>
                </w14:textFill>
              </w:rPr>
              <w:t>于陕西省西咸新区沣东新城沣东镇北槐村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北侧正对世纪大道，</w:t>
            </w:r>
            <w:r>
              <w:rPr>
                <w:color w:val="000000" w:themeColor="text1"/>
                <w14:textFill>
                  <w14:solidFill>
                    <w14:schemeClr w14:val="tx1"/>
                  </w14:solidFill>
                </w14:textFill>
              </w:rPr>
              <w:t>西</w:t>
            </w:r>
            <w:r>
              <w:rPr>
                <w:rFonts w:hint="eastAsia"/>
                <w:color w:val="000000" w:themeColor="text1"/>
                <w14:textFill>
                  <w14:solidFill>
                    <w14:schemeClr w14:val="tx1"/>
                  </w14:solidFill>
                </w14:textFill>
              </w:rPr>
              <w:t>侧为世纪锦城小区</w:t>
            </w:r>
            <w:r>
              <w:rPr>
                <w:color w:val="000000" w:themeColor="text1"/>
                <w14:textFill>
                  <w14:solidFill>
                    <w14:schemeClr w14:val="tx1"/>
                  </w14:solidFill>
                </w14:textFill>
              </w:rPr>
              <w:t>，东侧为</w:t>
            </w:r>
            <w:r>
              <w:rPr>
                <w:rFonts w:hint="eastAsia"/>
                <w:color w:val="000000" w:themeColor="text1"/>
                <w14:textFill>
                  <w14:solidFill>
                    <w14:schemeClr w14:val="tx1"/>
                  </w14:solidFill>
                </w14:textFill>
              </w:rPr>
              <w:t>洗车店，</w:t>
            </w:r>
            <w:r>
              <w:rPr>
                <w:color w:val="000000" w:themeColor="text1"/>
                <w14:textFill>
                  <w14:solidFill>
                    <w14:schemeClr w14:val="tx1"/>
                  </w14:solidFill>
                </w14:textFill>
              </w:rPr>
              <w:t>北侧为汽车修理厂</w:t>
            </w:r>
            <w:r>
              <w:rPr>
                <w:rFonts w:hint="eastAsia"/>
                <w:color w:val="000000" w:themeColor="text1"/>
                <w14:textFill>
                  <w14:solidFill>
                    <w14:schemeClr w14:val="tx1"/>
                  </w14:solidFill>
                </w14:textFill>
              </w:rPr>
              <w:t>，东南侧</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饭店</w:t>
            </w:r>
            <w:r>
              <w:rPr>
                <w:color w:val="000000" w:themeColor="text1"/>
                <w14:textFill>
                  <w14:solidFill>
                    <w14:schemeClr w14:val="tx1"/>
                  </w14:solidFill>
                </w14:textFill>
              </w:rPr>
              <w:t>。</w:t>
            </w:r>
            <w:r>
              <w:rPr>
                <w:rFonts w:hint="eastAsia" w:hAnsi="宋体"/>
                <w:color w:val="000000" w:themeColor="text1"/>
                <w:kern w:val="0"/>
                <w14:textFill>
                  <w14:solidFill>
                    <w14:schemeClr w14:val="tx1"/>
                  </w14:solidFill>
                </w14:textFill>
              </w:rPr>
              <w:t>加油站</w:t>
            </w:r>
            <w:r>
              <w:rPr>
                <w:rFonts w:hAnsi="宋体"/>
                <w:color w:val="000000" w:themeColor="text1"/>
                <w:kern w:val="0"/>
                <w14:textFill>
                  <w14:solidFill>
                    <w14:schemeClr w14:val="tx1"/>
                  </w14:solidFill>
                </w14:textFill>
              </w:rPr>
              <w:t>周围</w:t>
            </w:r>
            <w:r>
              <w:rPr>
                <w:rFonts w:hint="eastAsia" w:hAnsi="宋体"/>
                <w:color w:val="000000" w:themeColor="text1"/>
                <w:kern w:val="0"/>
                <w14:textFill>
                  <w14:solidFill>
                    <w14:schemeClr w14:val="tx1"/>
                  </w14:solidFill>
                </w14:textFill>
              </w:rPr>
              <w:t>200m范围内无</w:t>
            </w:r>
            <w:r>
              <w:rPr>
                <w:rFonts w:hAnsi="宋体"/>
                <w:color w:val="000000" w:themeColor="text1"/>
                <w:kern w:val="0"/>
                <w14:textFill>
                  <w14:solidFill>
                    <w14:schemeClr w14:val="tx1"/>
                  </w14:solidFill>
                </w14:textFill>
              </w:rPr>
              <w:t>饮用水源保护区、风景名胜区、自然保护区等环境敏感点，</w:t>
            </w:r>
            <w:r>
              <w:rPr>
                <w:rFonts w:hint="eastAsia" w:hAnsi="宋体"/>
                <w:color w:val="000000" w:themeColor="text1"/>
                <w:kern w:val="0"/>
                <w14:textFill>
                  <w14:solidFill>
                    <w14:schemeClr w14:val="tx1"/>
                  </w14:solidFill>
                </w14:textFill>
              </w:rPr>
              <w:t>外环境关系简单。项目所在地电力、交通便捷，建站条件良好。评价范围内无明显环境制约因素。</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②根据《汽车加油站设计与施工规范》（</w:t>
            </w:r>
            <w:r>
              <w:rPr>
                <w:color w:val="000000" w:themeColor="text1"/>
                <w:kern w:val="0"/>
                <w14:textFill>
                  <w14:solidFill>
                    <w14:schemeClr w14:val="tx1"/>
                  </w14:solidFill>
                </w14:textFill>
              </w:rPr>
              <w:t>GB50156-2012</w:t>
            </w:r>
            <w:r>
              <w:rPr>
                <w:rFonts w:hAnsi="宋体"/>
                <w:color w:val="000000" w:themeColor="text1"/>
                <w:kern w:val="0"/>
                <w14:textFill>
                  <w14:solidFill>
                    <w14:schemeClr w14:val="tx1"/>
                  </w14:solidFill>
                </w14:textFill>
              </w:rPr>
              <w:t>）</w:t>
            </w:r>
            <w:r>
              <w:rPr>
                <w:rFonts w:hint="eastAsia" w:hAnsi="宋体"/>
                <w:color w:val="000000" w:themeColor="text1"/>
                <w:kern w:val="0"/>
                <w14:textFill>
                  <w14:solidFill>
                    <w14:schemeClr w14:val="tx1"/>
                  </w14:solidFill>
                </w14:textFill>
              </w:rPr>
              <w:t>中对二</w:t>
            </w:r>
            <w:r>
              <w:rPr>
                <w:rFonts w:hAnsi="宋体"/>
                <w:color w:val="000000" w:themeColor="text1"/>
                <w:kern w:val="0"/>
                <w14:textFill>
                  <w14:solidFill>
                    <w14:schemeClr w14:val="tx1"/>
                  </w14:solidFill>
                </w14:textFill>
              </w:rPr>
              <w:t>级</w:t>
            </w:r>
            <w:r>
              <w:rPr>
                <w:rFonts w:hint="eastAsia" w:hAnsi="宋体"/>
                <w:color w:val="000000" w:themeColor="text1"/>
                <w:kern w:val="0"/>
                <w14:textFill>
                  <w14:solidFill>
                    <w14:schemeClr w14:val="tx1"/>
                  </w14:solidFill>
                </w14:textFill>
              </w:rPr>
              <w:t>加油站的各项要求，从项目选址以及工艺设备与站外建（构）筑物安全间距等方面分析其合理性。</w:t>
            </w:r>
            <w:r>
              <w:rPr>
                <w:rFonts w:hAnsi="宋体"/>
                <w:color w:val="000000" w:themeColor="text1"/>
                <w:kern w:val="0"/>
                <w14:textFill>
                  <w14:solidFill>
                    <w14:schemeClr w14:val="tx1"/>
                  </w14:solidFill>
                </w14:textFill>
              </w:rPr>
              <w:t>详见</w:t>
            </w:r>
            <w:r>
              <w:rPr>
                <w:rFonts w:hint="eastAsia" w:hAnsi="宋体"/>
                <w:color w:val="000000" w:themeColor="text1"/>
                <w:kern w:val="0"/>
                <w14:textFill>
                  <w14:solidFill>
                    <w14:schemeClr w14:val="tx1"/>
                  </w14:solidFill>
                </w14:textFill>
              </w:rPr>
              <w:t>表1-1</w:t>
            </w:r>
            <w:r>
              <w:rPr>
                <w:rFonts w:hAnsi="宋体"/>
                <w:color w:val="000000" w:themeColor="text1"/>
                <w:kern w:val="0"/>
                <w14:textFill>
                  <w14:solidFill>
                    <w14:schemeClr w14:val="tx1"/>
                  </w14:solidFill>
                </w14:textFill>
              </w:rPr>
              <w:t>。</w:t>
            </w:r>
          </w:p>
          <w:p>
            <w:pPr>
              <w:pStyle w:val="7"/>
              <w:spacing w:before="0" w:after="0" w:line="240" w:lineRule="auto"/>
              <w:ind w:firstLine="0" w:firstLineChars="0"/>
              <w:jc w:val="center"/>
              <w:rPr>
                <w:rFonts w:ascii="Times New Roman" w:hAnsi="宋体" w:eastAsia="宋体"/>
                <w:bCs w:val="0"/>
                <w:color w:val="000000" w:themeColor="text1"/>
                <w:kern w:val="0"/>
                <w:sz w:val="21"/>
                <w:szCs w:val="21"/>
                <w14:textFill>
                  <w14:solidFill>
                    <w14:schemeClr w14:val="tx1"/>
                  </w14:solidFill>
                </w14:textFill>
              </w:rPr>
            </w:pPr>
            <w:r>
              <w:rPr>
                <w:rFonts w:hint="eastAsia" w:ascii="Times New Roman" w:hAnsi="宋体" w:eastAsia="宋体"/>
                <w:bCs w:val="0"/>
                <w:color w:val="000000" w:themeColor="text1"/>
                <w:kern w:val="0"/>
                <w:sz w:val="21"/>
                <w:szCs w:val="21"/>
                <w14:textFill>
                  <w14:solidFill>
                    <w14:schemeClr w14:val="tx1"/>
                  </w14:solidFill>
                </w14:textFill>
              </w:rPr>
              <w:t>表1-1  汽/柴油设备与站外建(构)筑物的安全间距  (m，标准/设计)</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067"/>
              <w:gridCol w:w="1166"/>
              <w:gridCol w:w="1039"/>
              <w:gridCol w:w="1070"/>
              <w:gridCol w:w="1141"/>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710" w:type="dxa"/>
                  <w:tcBorders>
                    <w:top w:val="single" w:color="auto" w:sz="4" w:space="0"/>
                    <w:left w:val="single" w:color="auto" w:sz="4" w:space="0"/>
                    <w:tl2br w:val="single" w:color="auto" w:sz="4" w:space="0"/>
                  </w:tcBorders>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bookmarkStart w:id="0" w:name="OLE_LINK28"/>
                  <w:r>
                    <w:rPr>
                      <w:rFonts w:hAnsi="宋体"/>
                      <w:color w:val="000000" w:themeColor="text1"/>
                      <w:kern w:val="0"/>
                      <w:sz w:val="21"/>
                      <w:szCs w:val="21"/>
                      <w14:textFill>
                        <w14:solidFill>
                          <w14:schemeClr w14:val="tx1"/>
                        </w14:solidFill>
                      </w14:textFill>
                    </w:rPr>
                    <w:t xml:space="preserve">          </w:t>
                  </w:r>
                  <w:r>
                    <w:rPr>
                      <w:rFonts w:hint="eastAsia" w:hAnsi="宋体"/>
                      <w:color w:val="000000" w:themeColor="text1"/>
                      <w:kern w:val="0"/>
                      <w:sz w:val="21"/>
                      <w:szCs w:val="21"/>
                      <w14:textFill>
                        <w14:solidFill>
                          <w14:schemeClr w14:val="tx1"/>
                        </w14:solidFill>
                      </w14:textFill>
                    </w:rPr>
                    <w:t xml:space="preserve">             </w:t>
                  </w:r>
                  <w:r>
                    <w:rPr>
                      <w:rFonts w:hAnsi="宋体"/>
                      <w:color w:val="000000" w:themeColor="text1"/>
                      <w:kern w:val="0"/>
                      <w:sz w:val="21"/>
                      <w:szCs w:val="21"/>
                      <w14:textFill>
                        <w14:solidFill>
                          <w14:schemeClr w14:val="tx1"/>
                        </w14:solidFill>
                      </w14:textFill>
                    </w:rPr>
                    <w:t xml:space="preserve"> </w:t>
                  </w:r>
                </w:p>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 xml:space="preserve">        </w:t>
                  </w:r>
                  <w:r>
                    <w:rPr>
                      <w:rFonts w:hAnsi="宋体"/>
                      <w:color w:val="000000" w:themeColor="text1"/>
                      <w:kern w:val="0"/>
                      <w:sz w:val="21"/>
                      <w:szCs w:val="21"/>
                      <w14:textFill>
                        <w14:solidFill>
                          <w14:schemeClr w14:val="tx1"/>
                        </w14:solidFill>
                      </w14:textFill>
                    </w:rPr>
                    <w:t>内容</w:t>
                  </w:r>
                </w:p>
                <w:p>
                  <w:pPr>
                    <w:autoSpaceDE w:val="0"/>
                    <w:autoSpaceDN w:val="0"/>
                    <w:adjustRightInd w:val="0"/>
                    <w:spacing w:line="240" w:lineRule="auto"/>
                    <w:ind w:firstLine="0" w:firstLineChars="0"/>
                    <w:rPr>
                      <w:rFonts w:hAnsi="宋体"/>
                      <w:color w:val="000000" w:themeColor="text1"/>
                      <w:kern w:val="0"/>
                      <w:sz w:val="21"/>
                      <w:szCs w:val="21"/>
                      <w14:textFill>
                        <w14:solidFill>
                          <w14:schemeClr w14:val="tx1"/>
                        </w14:solidFill>
                      </w14:textFill>
                    </w:rPr>
                  </w:pPr>
                  <w:r>
                    <w:rPr>
                      <w:rFonts w:hAnsi="宋体"/>
                      <w:color w:val="000000" w:themeColor="text1"/>
                      <w:kern w:val="0"/>
                      <w:sz w:val="21"/>
                      <w:szCs w:val="21"/>
                      <w14:textFill>
                        <w14:solidFill>
                          <w14:schemeClr w14:val="tx1"/>
                        </w14:solidFill>
                      </w14:textFill>
                    </w:rPr>
                    <w:t>项目</w:t>
                  </w:r>
                </w:p>
              </w:tc>
              <w:tc>
                <w:tcPr>
                  <w:tcW w:w="1067" w:type="dxa"/>
                  <w:tcBorders>
                    <w:top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汽油罐</w:t>
                  </w:r>
                </w:p>
              </w:tc>
              <w:tc>
                <w:tcPr>
                  <w:tcW w:w="1166" w:type="dxa"/>
                  <w:tcBorders>
                    <w:top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汽油通气管管口</w:t>
                  </w:r>
                </w:p>
              </w:tc>
              <w:tc>
                <w:tcPr>
                  <w:tcW w:w="1039" w:type="dxa"/>
                  <w:tcBorders>
                    <w:top w:val="single" w:color="auto" w:sz="4" w:space="0"/>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汽油</w:t>
                  </w:r>
                </w:p>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加油机</w:t>
                  </w:r>
                </w:p>
              </w:tc>
              <w:tc>
                <w:tcPr>
                  <w:tcW w:w="1070" w:type="dxa"/>
                  <w:tcBorders>
                    <w:top w:val="single" w:color="auto" w:sz="4" w:space="0"/>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柴油罐</w:t>
                  </w:r>
                </w:p>
              </w:tc>
              <w:tc>
                <w:tcPr>
                  <w:tcW w:w="1141" w:type="dxa"/>
                  <w:tcBorders>
                    <w:top w:val="single" w:color="auto" w:sz="4" w:space="0"/>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柴油通气管管口</w:t>
                  </w:r>
                </w:p>
              </w:tc>
              <w:tc>
                <w:tcPr>
                  <w:tcW w:w="963" w:type="dxa"/>
                  <w:tcBorders>
                    <w:top w:val="single" w:color="auto" w:sz="4" w:space="0"/>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柴油</w:t>
                  </w:r>
                </w:p>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10" w:type="dxa"/>
                  <w:tcBorders>
                    <w:lef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bookmarkStart w:id="1" w:name="OLE_LINK18" w:colFirst="1" w:colLast="1"/>
                  <w:r>
                    <w:rPr>
                      <w:rFonts w:hint="eastAsia" w:hAnsi="宋体"/>
                      <w:color w:val="000000" w:themeColor="text1"/>
                      <w:kern w:val="0"/>
                      <w:sz w:val="21"/>
                      <w:szCs w:val="21"/>
                      <w14:textFill>
                        <w14:solidFill>
                          <w14:schemeClr w14:val="tx1"/>
                        </w14:solidFill>
                      </w14:textFill>
                    </w:rPr>
                    <w:t>北侧世纪大道（主干道）</w:t>
                  </w:r>
                </w:p>
              </w:tc>
              <w:tc>
                <w:tcPr>
                  <w:tcW w:w="106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5.5/53.1</w:t>
                  </w:r>
                </w:p>
              </w:tc>
              <w:tc>
                <w:tcPr>
                  <w:tcW w:w="116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5/56.2</w:t>
                  </w:r>
                </w:p>
              </w:tc>
              <w:tc>
                <w:tcPr>
                  <w:tcW w:w="1039"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5/31.7</w:t>
                  </w:r>
                </w:p>
              </w:tc>
              <w:tc>
                <w:tcPr>
                  <w:tcW w:w="1070"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3/51.3</w:t>
                  </w:r>
                </w:p>
              </w:tc>
              <w:tc>
                <w:tcPr>
                  <w:tcW w:w="1141"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3/55.9</w:t>
                  </w:r>
                </w:p>
              </w:tc>
              <w:tc>
                <w:tcPr>
                  <w:tcW w:w="963"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3/18.5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0" w:type="dxa"/>
                  <w:tcBorders>
                    <w:lef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南侧民建（三类保护物）</w:t>
                  </w:r>
                </w:p>
              </w:tc>
              <w:tc>
                <w:tcPr>
                  <w:tcW w:w="106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8.5/31</w:t>
                  </w:r>
                </w:p>
              </w:tc>
              <w:tc>
                <w:tcPr>
                  <w:tcW w:w="116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7/36.1</w:t>
                  </w:r>
                </w:p>
              </w:tc>
              <w:tc>
                <w:tcPr>
                  <w:tcW w:w="1039"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7/47.7</w:t>
                  </w:r>
                </w:p>
              </w:tc>
              <w:tc>
                <w:tcPr>
                  <w:tcW w:w="1070"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6/40.5</w:t>
                  </w:r>
                </w:p>
              </w:tc>
              <w:tc>
                <w:tcPr>
                  <w:tcW w:w="1141"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6/37.4</w:t>
                  </w:r>
                </w:p>
              </w:tc>
              <w:tc>
                <w:tcPr>
                  <w:tcW w:w="963"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6/62.3</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0" w:type="dxa"/>
                  <w:tcBorders>
                    <w:lef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bookmarkStart w:id="2" w:name="OLE_LINK17" w:colFirst="0" w:colLast="4"/>
                  <w:r>
                    <w:rPr>
                      <w:rFonts w:hint="eastAsia" w:hAnsi="宋体"/>
                      <w:color w:val="000000" w:themeColor="text1"/>
                      <w:kern w:val="0"/>
                      <w:sz w:val="21"/>
                      <w:szCs w:val="21"/>
                      <w14:textFill>
                        <w14:solidFill>
                          <w14:schemeClr w14:val="tx1"/>
                        </w14:solidFill>
                      </w14:textFill>
                    </w:rPr>
                    <w:t>西侧民建（一类保护物）</w:t>
                  </w:r>
                </w:p>
              </w:tc>
              <w:tc>
                <w:tcPr>
                  <w:tcW w:w="106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14/14.9</w:t>
                  </w:r>
                </w:p>
              </w:tc>
              <w:tc>
                <w:tcPr>
                  <w:tcW w:w="116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11/21.7</w:t>
                  </w:r>
                </w:p>
              </w:tc>
              <w:tc>
                <w:tcPr>
                  <w:tcW w:w="1039"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11/25.7</w:t>
                  </w:r>
                </w:p>
              </w:tc>
              <w:tc>
                <w:tcPr>
                  <w:tcW w:w="1070"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6/13.7</w:t>
                  </w:r>
                </w:p>
              </w:tc>
              <w:tc>
                <w:tcPr>
                  <w:tcW w:w="1141"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6/21.6</w:t>
                  </w:r>
                </w:p>
              </w:tc>
              <w:tc>
                <w:tcPr>
                  <w:tcW w:w="963"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710" w:type="dxa"/>
                  <w:tcBorders>
                    <w:lef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东侧洗车（三类保护物）</w:t>
                  </w:r>
                </w:p>
              </w:tc>
              <w:tc>
                <w:tcPr>
                  <w:tcW w:w="106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8.5/59.8</w:t>
                  </w:r>
                </w:p>
              </w:tc>
              <w:tc>
                <w:tcPr>
                  <w:tcW w:w="116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7/61.2</w:t>
                  </w:r>
                </w:p>
              </w:tc>
              <w:tc>
                <w:tcPr>
                  <w:tcW w:w="1039"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7/34.5</w:t>
                  </w:r>
                </w:p>
              </w:tc>
              <w:tc>
                <w:tcPr>
                  <w:tcW w:w="1070"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6/61.9</w:t>
                  </w:r>
                </w:p>
              </w:tc>
              <w:tc>
                <w:tcPr>
                  <w:tcW w:w="1141"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6/61.2</w:t>
                  </w:r>
                </w:p>
              </w:tc>
              <w:tc>
                <w:tcPr>
                  <w:tcW w:w="963"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710" w:type="dxa"/>
                  <w:tcBorders>
                    <w:left w:val="single" w:color="auto" w:sz="4" w:space="0"/>
                  </w:tcBorders>
                  <w:vAlign w:val="center"/>
                </w:tcPr>
                <w:p>
                  <w:pPr>
                    <w:autoSpaceDE w:val="0"/>
                    <w:autoSpaceDN w:val="0"/>
                    <w:adjustRightInd w:val="0"/>
                    <w:spacing w:line="240" w:lineRule="auto"/>
                    <w:ind w:firstLine="0" w:firstLineChars="0"/>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东侧饭店（散发火花地点）</w:t>
                  </w:r>
                </w:p>
              </w:tc>
              <w:tc>
                <w:tcPr>
                  <w:tcW w:w="106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17.5/40</w:t>
                  </w:r>
                </w:p>
              </w:tc>
              <w:tc>
                <w:tcPr>
                  <w:tcW w:w="116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12.5/43.9</w:t>
                  </w:r>
                </w:p>
              </w:tc>
              <w:tc>
                <w:tcPr>
                  <w:tcW w:w="1039"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12.5/41.9</w:t>
                  </w:r>
                </w:p>
              </w:tc>
              <w:tc>
                <w:tcPr>
                  <w:tcW w:w="1070"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12.5/47.7</w:t>
                  </w:r>
                </w:p>
              </w:tc>
              <w:tc>
                <w:tcPr>
                  <w:tcW w:w="1141"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10/44.8</w:t>
                  </w:r>
                </w:p>
              </w:tc>
              <w:tc>
                <w:tcPr>
                  <w:tcW w:w="963"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10" w:type="dxa"/>
                  <w:tcBorders>
                    <w:lef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东侧架空电力线</w:t>
                  </w:r>
                </w:p>
              </w:tc>
              <w:tc>
                <w:tcPr>
                  <w:tcW w:w="106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15/55.8</w:t>
                  </w:r>
                </w:p>
              </w:tc>
              <w:tc>
                <w:tcPr>
                  <w:tcW w:w="116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5/57.2</w:t>
                  </w:r>
                </w:p>
              </w:tc>
              <w:tc>
                <w:tcPr>
                  <w:tcW w:w="1039"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5/30.6</w:t>
                  </w:r>
                </w:p>
              </w:tc>
              <w:tc>
                <w:tcPr>
                  <w:tcW w:w="1070"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10/57.9</w:t>
                  </w:r>
                </w:p>
              </w:tc>
              <w:tc>
                <w:tcPr>
                  <w:tcW w:w="1141"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5/57.4</w:t>
                  </w:r>
                </w:p>
              </w:tc>
              <w:tc>
                <w:tcPr>
                  <w:tcW w:w="963" w:type="dxa"/>
                  <w:tcBorders>
                    <w:right w:val="single" w:color="auto" w:sz="4" w:space="0"/>
                  </w:tcBorders>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5/24.4</w:t>
                  </w:r>
                </w:p>
              </w:tc>
            </w:tr>
            <w:bookmarkEnd w:id="0"/>
            <w:bookmarkEnd w:id="2"/>
          </w:tbl>
          <w:p>
            <w:pPr>
              <w:autoSpaceDE w:val="0"/>
              <w:autoSpaceDN w:val="0"/>
              <w:adjustRightInd w:val="0"/>
              <w:ind w:firstLine="361"/>
              <w:jc w:val="left"/>
              <w:rPr>
                <w:rFonts w:hAnsi="宋体"/>
                <w:b/>
                <w:color w:val="000000" w:themeColor="text1"/>
                <w:kern w:val="0"/>
                <w:sz w:val="18"/>
                <w:szCs w:val="18"/>
                <w14:textFill>
                  <w14:solidFill>
                    <w14:schemeClr w14:val="tx1"/>
                  </w14:solidFill>
                </w14:textFill>
              </w:rPr>
            </w:pPr>
            <w:r>
              <w:rPr>
                <w:rFonts w:hint="eastAsia" w:hAnsi="宋体"/>
                <w:b/>
                <w:color w:val="000000" w:themeColor="text1"/>
                <w:kern w:val="0"/>
                <w:sz w:val="18"/>
                <w:szCs w:val="18"/>
                <w14:textFill>
                  <w14:solidFill>
                    <w14:schemeClr w14:val="tx1"/>
                  </w14:solidFill>
                </w14:textFill>
              </w:rPr>
              <w:t>注：1、左侧为规范值，右侧为实测值。</w:t>
            </w:r>
          </w:p>
          <w:p>
            <w:pPr>
              <w:autoSpaceDE w:val="0"/>
              <w:autoSpaceDN w:val="0"/>
              <w:adjustRightInd w:val="0"/>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因此站内汽/柴油设备与站外建（构）筑物的安全距离全部满足相关规定。</w:t>
            </w:r>
          </w:p>
          <w:p>
            <w:pPr>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《西咸新区总体规划（2016-2035）》及《陕西省商务厅关于确认西安市等6市成品油零售分销体系“十三五”发展规划的通知》</w:t>
            </w:r>
            <w:r>
              <w:rPr>
                <w:color w:val="000000" w:themeColor="text1"/>
                <w14:textFill>
                  <w14:solidFill>
                    <w14:schemeClr w14:val="tx1"/>
                  </w14:solidFill>
                </w14:textFill>
              </w:rPr>
              <w:t>中关于公共加油（气）站规划，加油（气）站进出口宜设在次干道上。具体位置由管理部门根据专业规划及需要设置，在城市出入口附近应设置昼夜加油（气）站。本项目位于</w:t>
            </w:r>
            <w:r>
              <w:rPr>
                <w:rFonts w:hint="eastAsia"/>
                <w:color w:val="000000" w:themeColor="text1"/>
                <w14:textFill>
                  <w14:solidFill>
                    <w14:schemeClr w14:val="tx1"/>
                  </w14:solidFill>
                </w14:textFill>
              </w:rPr>
              <w:t>陕西省西咸新区沣东新城北槐村</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《西咸新区总体规划（2016-2035）》及《沣东新城分区规划（2010-2020）》。</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综上可知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该项目从环境可行性角度看选址可行</w:t>
            </w:r>
            <w:r>
              <w:rPr>
                <w:rFonts w:hint="eastAsia"/>
                <w:color w:val="000000" w:themeColor="text1"/>
                <w14:textFill>
                  <w14:solidFill>
                    <w14:schemeClr w14:val="tx1"/>
                  </w14:solidFill>
                </w14:textFill>
              </w:rPr>
              <w:t>。</w:t>
            </w:r>
          </w:p>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w:t>
            </w:r>
            <w:r>
              <w:rPr>
                <w:rFonts w:hAnsi="宋体"/>
                <w:b/>
                <w:color w:val="000000" w:themeColor="text1"/>
                <w:kern w:val="0"/>
                <w14:textFill>
                  <w14:solidFill>
                    <w14:schemeClr w14:val="tx1"/>
                  </w14:solidFill>
                </w14:textFill>
              </w:rPr>
              <w:t>5</w:t>
            </w:r>
            <w:r>
              <w:rPr>
                <w:rFonts w:hint="eastAsia" w:hAnsi="宋体"/>
                <w:b/>
                <w:color w:val="000000" w:themeColor="text1"/>
                <w:kern w:val="0"/>
                <w14:textFill>
                  <w14:solidFill>
                    <w14:schemeClr w14:val="tx1"/>
                  </w14:solidFill>
                </w14:textFill>
              </w:rPr>
              <w:t>）标准相符性分析</w:t>
            </w:r>
          </w:p>
          <w:p>
            <w:pPr>
              <w:autoSpaceDE w:val="0"/>
              <w:autoSpaceDN w:val="0"/>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根据总平面布置原则，该加油站面向</w:t>
            </w:r>
            <w:r>
              <w:rPr>
                <w:rFonts w:hint="eastAsia"/>
                <w:color w:val="000000" w:themeColor="text1"/>
                <w14:textFill>
                  <w14:solidFill>
                    <w14:schemeClr w14:val="tx1"/>
                  </w14:solidFill>
                </w14:textFill>
              </w:rPr>
              <w:t>世纪大道</w:t>
            </w:r>
            <w:r>
              <w:rPr>
                <w:rFonts w:hint="eastAsia"/>
                <w:color w:val="000000" w:themeColor="text1"/>
                <w:lang w:val="zh-CN"/>
                <w14:textFill>
                  <w14:solidFill>
                    <w14:schemeClr w14:val="tx1"/>
                  </w14:solidFill>
                </w14:textFill>
              </w:rPr>
              <w:t>开敞。</w:t>
            </w:r>
          </w:p>
          <w:p>
            <w:pPr>
              <w:autoSpaceDE w:val="0"/>
              <w:autoSpaceDN w:val="0"/>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加油区设置在站区中部，加油区设置罩棚和5台加油机。储油区布置在站区西北侧，</w:t>
            </w:r>
            <w:r>
              <w:rPr>
                <w:rFonts w:hint="eastAsia"/>
                <w:color w:val="000000" w:themeColor="text1"/>
                <w14:textFill>
                  <w14:solidFill>
                    <w14:schemeClr w14:val="tx1"/>
                  </w14:solidFill>
                </w14:textFill>
              </w:rPr>
              <w:t>罐</w:t>
            </w:r>
            <w:r>
              <w:rPr>
                <w:rFonts w:hint="eastAsia"/>
                <w:color w:val="000000" w:themeColor="text1"/>
                <w:lang w:val="zh-CN"/>
                <w14:textFill>
                  <w14:solidFill>
                    <w14:schemeClr w14:val="tx1"/>
                  </w14:solidFill>
                </w14:textFill>
              </w:rPr>
              <w:t>区内布置埋地双层油罐</w:t>
            </w: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台。三次油气回收装置与通气管均设置在</w:t>
            </w:r>
            <w:r>
              <w:rPr>
                <w:rFonts w:hint="eastAsia"/>
                <w:bCs/>
                <w:color w:val="000000" w:themeColor="text1"/>
                <w:lang w:val="zh-CN"/>
                <w14:textFill>
                  <w14:solidFill>
                    <w14:schemeClr w14:val="tx1"/>
                  </w14:solidFill>
                </w14:textFill>
              </w:rPr>
              <w:t>储油区</w:t>
            </w:r>
            <w:r>
              <w:rPr>
                <w:rFonts w:hint="eastAsia"/>
                <w:color w:val="000000" w:themeColor="text1"/>
                <w:lang w:val="zh-CN"/>
                <w14:textFill>
                  <w14:solidFill>
                    <w14:schemeClr w14:val="tx1"/>
                  </w14:solidFill>
                </w14:textFill>
              </w:rPr>
              <w:t>西部，密闭卸油口布置在储油区东侧。站房布置在加油区西侧，站房为地上一层。站区内道路采用混凝土路面。单车道宽度5m，双车道宽度10m，转弯半径为9米，道路坡度1％，坡向西侧道路。车辆入口和出口分开设置。</w:t>
            </w:r>
          </w:p>
          <w:p>
            <w:pPr>
              <w:autoSpaceDE w:val="0"/>
              <w:autoSpaceDN w:val="0"/>
              <w:adjustRightInd w:val="0"/>
              <w:ind w:firstLine="480"/>
              <w:jc w:val="left"/>
              <w:rPr>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根据《汽车加油加气站设计与施工规范》（</w:t>
            </w:r>
            <w:r>
              <w:rPr>
                <w:color w:val="000000" w:themeColor="text1"/>
                <w:kern w:val="0"/>
                <w14:textFill>
                  <w14:solidFill>
                    <w14:schemeClr w14:val="tx1"/>
                  </w14:solidFill>
                </w14:textFill>
              </w:rPr>
              <w:t>GB50156-2012</w:t>
            </w:r>
            <w:r>
              <w:rPr>
                <w:rFonts w:hAnsi="宋体"/>
                <w:color w:val="000000" w:themeColor="text1"/>
                <w:kern w:val="0"/>
                <w14:textFill>
                  <w14:solidFill>
                    <w14:schemeClr w14:val="tx1"/>
                  </w14:solidFill>
                </w14:textFill>
              </w:rPr>
              <w:t>）中关于总平面布置标准要求，本项目总平面布置与标准情况对比分别见表</w:t>
            </w:r>
            <w:r>
              <w:rPr>
                <w:rFonts w:hint="eastAsia"/>
                <w:color w:val="000000" w:themeColor="text1"/>
                <w:kern w:val="0"/>
                <w14:textFill>
                  <w14:solidFill>
                    <w14:schemeClr w14:val="tx1"/>
                  </w14:solidFill>
                </w14:textFill>
              </w:rPr>
              <w:t>1-2</w:t>
            </w:r>
            <w:r>
              <w:rPr>
                <w:rFonts w:hAnsi="宋体"/>
                <w:color w:val="000000" w:themeColor="text1"/>
                <w:kern w:val="0"/>
                <w14:textFill>
                  <w14:solidFill>
                    <w14:schemeClr w14:val="tx1"/>
                  </w14:solidFill>
                </w14:textFill>
              </w:rPr>
              <w:t>、表</w:t>
            </w:r>
            <w:r>
              <w:rPr>
                <w:rFonts w:hint="eastAsia"/>
                <w:color w:val="000000" w:themeColor="text1"/>
                <w:kern w:val="0"/>
                <w14:textFill>
                  <w14:solidFill>
                    <w14:schemeClr w14:val="tx1"/>
                  </w14:solidFill>
                </w14:textFill>
              </w:rPr>
              <w:t>1-3</w:t>
            </w:r>
            <w:r>
              <w:rPr>
                <w:rFonts w:hAnsi="宋体"/>
                <w:color w:val="000000" w:themeColor="text1"/>
                <w:kern w:val="0"/>
                <w14:textFill>
                  <w14:solidFill>
                    <w14:schemeClr w14:val="tx1"/>
                  </w14:solidFill>
                </w14:textFill>
              </w:rPr>
              <w:t>。</w:t>
            </w:r>
          </w:p>
          <w:p>
            <w:pPr>
              <w:autoSpaceDE w:val="0"/>
              <w:autoSpaceDN w:val="0"/>
              <w:adjustRightInd w:val="0"/>
              <w:spacing w:line="240" w:lineRule="auto"/>
              <w:ind w:firstLine="0" w:firstLineChars="0"/>
              <w:jc w:val="center"/>
              <w:rPr>
                <w:b/>
                <w:color w:val="000000" w:themeColor="text1"/>
                <w:kern w:val="0"/>
                <w:sz w:val="21"/>
                <w:szCs w:val="21"/>
                <w14:textFill>
                  <w14:solidFill>
                    <w14:schemeClr w14:val="tx1"/>
                  </w14:solidFill>
                </w14:textFill>
              </w:rPr>
            </w:pPr>
            <w:r>
              <w:rPr>
                <w:rFonts w:hAnsi="宋体"/>
                <w:b/>
                <w:color w:val="000000" w:themeColor="text1"/>
                <w:kern w:val="0"/>
                <w:sz w:val="21"/>
                <w:szCs w:val="21"/>
                <w14:textFill>
                  <w14:solidFill>
                    <w14:schemeClr w14:val="tx1"/>
                  </w14:solidFill>
                </w14:textFill>
              </w:rPr>
              <w:t>表</w:t>
            </w:r>
            <w:r>
              <w:rPr>
                <w:rFonts w:hint="eastAsia"/>
                <w:b/>
                <w:bCs/>
                <w:color w:val="000000" w:themeColor="text1"/>
                <w:kern w:val="0"/>
                <w:sz w:val="21"/>
                <w:szCs w:val="21"/>
                <w14:textFill>
                  <w14:solidFill>
                    <w14:schemeClr w14:val="tx1"/>
                  </w14:solidFill>
                </w14:textFill>
              </w:rPr>
              <w:t xml:space="preserve">1-2  </w:t>
            </w:r>
            <w:r>
              <w:rPr>
                <w:b/>
                <w:bCs/>
                <w:color w:val="000000" w:themeColor="text1"/>
                <w:kern w:val="0"/>
                <w:sz w:val="21"/>
                <w:szCs w:val="21"/>
                <w14:textFill>
                  <w14:solidFill>
                    <w14:schemeClr w14:val="tx1"/>
                  </w14:solidFill>
                </w14:textFill>
              </w:rPr>
              <w:t xml:space="preserve"> </w:t>
            </w:r>
            <w:r>
              <w:rPr>
                <w:rFonts w:hAnsi="宋体"/>
                <w:b/>
                <w:color w:val="000000" w:themeColor="text1"/>
                <w:kern w:val="0"/>
                <w:sz w:val="21"/>
                <w:szCs w:val="21"/>
                <w14:textFill>
                  <w14:solidFill>
                    <w14:schemeClr w14:val="tx1"/>
                  </w14:solidFill>
                </w14:textFill>
              </w:rPr>
              <w:t>本项目总平面布置与标准对比情况</w:t>
            </w:r>
          </w:p>
          <w:tbl>
            <w:tblPr>
              <w:tblStyle w:val="2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265"/>
              <w:gridCol w:w="3185"/>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9"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序号</w:t>
                  </w:r>
                </w:p>
              </w:tc>
              <w:tc>
                <w:tcPr>
                  <w:tcW w:w="326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标准要求</w:t>
                  </w:r>
                </w:p>
              </w:tc>
              <w:tc>
                <w:tcPr>
                  <w:tcW w:w="318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设计</w:t>
                  </w:r>
                </w:p>
              </w:tc>
              <w:tc>
                <w:tcPr>
                  <w:tcW w:w="1147"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326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单车道宽度≥4m，双车道宽度≥6m</w:t>
                  </w:r>
                </w:p>
              </w:tc>
              <w:tc>
                <w:tcPr>
                  <w:tcW w:w="318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单车道宽度</w:t>
                  </w:r>
                  <w:r>
                    <w:rPr>
                      <w:rFonts w:hint="eastAsia"/>
                      <w:color w:val="000000" w:themeColor="text1"/>
                      <w:kern w:val="0"/>
                      <w:sz w:val="21"/>
                      <w:szCs w:val="21"/>
                      <w14:textFill>
                        <w14:solidFill>
                          <w14:schemeClr w14:val="tx1"/>
                        </w14:solidFill>
                      </w14:textFill>
                    </w:rPr>
                    <w:t>5</w:t>
                  </w:r>
                  <w:r>
                    <w:rPr>
                      <w:color w:val="000000" w:themeColor="text1"/>
                      <w:kern w:val="0"/>
                      <w:sz w:val="21"/>
                      <w:szCs w:val="21"/>
                      <w14:textFill>
                        <w14:solidFill>
                          <w14:schemeClr w14:val="tx1"/>
                        </w14:solidFill>
                      </w14:textFill>
                    </w:rPr>
                    <w:t>m，双车道宽度</w:t>
                  </w:r>
                  <w:r>
                    <w:rPr>
                      <w:rFonts w:hint="eastAsia"/>
                      <w:color w:val="000000" w:themeColor="text1"/>
                      <w:kern w:val="0"/>
                      <w:sz w:val="21"/>
                      <w:szCs w:val="21"/>
                      <w14:textFill>
                        <w14:solidFill>
                          <w14:schemeClr w14:val="tx1"/>
                        </w14:solidFill>
                      </w14:textFill>
                    </w:rPr>
                    <w:t>10</w:t>
                  </w:r>
                  <w:r>
                    <w:rPr>
                      <w:color w:val="000000" w:themeColor="text1"/>
                      <w:kern w:val="0"/>
                      <w:sz w:val="21"/>
                      <w:szCs w:val="21"/>
                      <w14:textFill>
                        <w14:solidFill>
                          <w14:schemeClr w14:val="tx1"/>
                        </w14:solidFill>
                      </w14:textFill>
                    </w:rPr>
                    <w:t>m</w:t>
                  </w:r>
                </w:p>
              </w:tc>
              <w:tc>
                <w:tcPr>
                  <w:tcW w:w="1147"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326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站内车道转弯半径≥9m</w:t>
                  </w:r>
                </w:p>
              </w:tc>
              <w:tc>
                <w:tcPr>
                  <w:tcW w:w="318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站内车道转弯半径9</w:t>
                  </w:r>
                  <w:r>
                    <w:rPr>
                      <w:color w:val="000000" w:themeColor="text1"/>
                      <w:kern w:val="0"/>
                      <w:sz w:val="21"/>
                      <w:szCs w:val="21"/>
                      <w14:textFill>
                        <w14:solidFill>
                          <w14:schemeClr w14:val="tx1"/>
                        </w14:solidFill>
                      </w14:textFill>
                    </w:rPr>
                    <w:t>m</w:t>
                  </w:r>
                </w:p>
              </w:tc>
              <w:tc>
                <w:tcPr>
                  <w:tcW w:w="1147"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326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站内道路坡度不应大于8%</w:t>
                  </w:r>
                </w:p>
              </w:tc>
              <w:tc>
                <w:tcPr>
                  <w:tcW w:w="318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站内道路坡度</w:t>
                  </w:r>
                  <w:r>
                    <w:rPr>
                      <w:color w:val="000000" w:themeColor="text1"/>
                      <w:kern w:val="0"/>
                      <w:sz w:val="21"/>
                      <w:szCs w:val="21"/>
                      <w14:textFill>
                        <w14:solidFill>
                          <w14:schemeClr w14:val="tx1"/>
                        </w14:solidFill>
                      </w14:textFill>
                    </w:rPr>
                    <w:t>1%</w:t>
                  </w:r>
                </w:p>
              </w:tc>
              <w:tc>
                <w:tcPr>
                  <w:tcW w:w="1147"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w:t>
                  </w:r>
                </w:p>
              </w:tc>
              <w:tc>
                <w:tcPr>
                  <w:tcW w:w="326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车辆入口、出口道路分开设置</w:t>
                  </w:r>
                </w:p>
              </w:tc>
              <w:tc>
                <w:tcPr>
                  <w:tcW w:w="318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车辆入口、出口道路分开设置</w:t>
                  </w:r>
                </w:p>
              </w:tc>
              <w:tc>
                <w:tcPr>
                  <w:tcW w:w="1147"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326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站内停车场和道路路面不应采用沥青路面</w:t>
                  </w:r>
                </w:p>
              </w:tc>
              <w:tc>
                <w:tcPr>
                  <w:tcW w:w="3185"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混凝土路面</w:t>
                  </w:r>
                </w:p>
              </w:tc>
              <w:tc>
                <w:tcPr>
                  <w:tcW w:w="1147" w:type="dxa"/>
                  <w:vAlign w:val="center"/>
                </w:tcPr>
                <w:p>
                  <w:pPr>
                    <w:autoSpaceDE w:val="0"/>
                    <w:autoSpaceDN w:val="0"/>
                    <w:adjustRightIn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bl>
          <w:p>
            <w:pPr>
              <w:autoSpaceDE w:val="0"/>
              <w:autoSpaceDN w:val="0"/>
              <w:adjustRightInd w:val="0"/>
              <w:spacing w:line="240" w:lineRule="auto"/>
              <w:ind w:firstLine="0" w:firstLineChars="0"/>
              <w:jc w:val="center"/>
              <w:rPr>
                <w:rFonts w:hAnsi="宋体"/>
                <w:b/>
                <w:color w:val="000000" w:themeColor="text1"/>
                <w:kern w:val="0"/>
                <w:sz w:val="21"/>
                <w:szCs w:val="21"/>
                <w14:textFill>
                  <w14:solidFill>
                    <w14:schemeClr w14:val="tx1"/>
                  </w14:solidFill>
                </w14:textFill>
              </w:rPr>
            </w:pPr>
            <w:r>
              <w:rPr>
                <w:rFonts w:hint="eastAsia" w:hAnsi="宋体"/>
                <w:b/>
                <w:color w:val="000000" w:themeColor="text1"/>
                <w:kern w:val="0"/>
                <w:sz w:val="21"/>
                <w:szCs w:val="21"/>
                <w14:textFill>
                  <w14:solidFill>
                    <w14:schemeClr w14:val="tx1"/>
                  </w14:solidFill>
                </w14:textFill>
              </w:rPr>
              <w:t>表1-3   站内设施之间防火间距与标准对比情况（m）</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362"/>
              <w:gridCol w:w="1316"/>
              <w:gridCol w:w="1159"/>
              <w:gridCol w:w="1119"/>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82" w:type="dxa"/>
                  <w:tcBorders>
                    <w:tl2br w:val="single" w:color="auto" w:sz="4" w:space="0"/>
                  </w:tcBorders>
                </w:tcPr>
                <w:p>
                  <w:pPr>
                    <w:tabs>
                      <w:tab w:val="left" w:pos="6492"/>
                      <w:tab w:val="left" w:pos="7088"/>
                    </w:tabs>
                    <w:autoSpaceDE w:val="0"/>
                    <w:autoSpaceDN w:val="0"/>
                    <w:spacing w:line="480" w:lineRule="exact"/>
                    <w:ind w:firstLine="843" w:firstLineChars="400"/>
                    <w:rPr>
                      <w:rFonts w:ascii="宋体" w:hAnsi="宋体"/>
                      <w:b/>
                      <w:color w:val="000000" w:themeColor="text1"/>
                      <w:sz w:val="21"/>
                      <w:szCs w:val="21"/>
                      <w14:textFill>
                        <w14:solidFill>
                          <w14:schemeClr w14:val="tx1"/>
                        </w14:solidFill>
                      </w14:textFill>
                    </w:rPr>
                  </w:pPr>
                  <w:bookmarkStart w:id="3" w:name="OLE_LINK31"/>
                  <w:r>
                    <w:rPr>
                      <w:rFonts w:hint="eastAsia" w:ascii="宋体" w:hAnsi="宋体"/>
                      <w:b/>
                      <w:color w:val="000000" w:themeColor="text1"/>
                      <w:sz w:val="21"/>
                      <w:szCs w:val="21"/>
                      <w14:textFill>
                        <w14:solidFill>
                          <w14:schemeClr w14:val="tx1"/>
                        </w14:solidFill>
                      </w14:textFill>
                    </w:rPr>
                    <w:t>项目</w:t>
                  </w:r>
                </w:p>
                <w:p>
                  <w:pPr>
                    <w:tabs>
                      <w:tab w:val="left" w:pos="6492"/>
                      <w:tab w:val="left" w:pos="7088"/>
                    </w:tabs>
                    <w:autoSpaceDE w:val="0"/>
                    <w:autoSpaceDN w:val="0"/>
                    <w:spacing w:line="480" w:lineRule="exact"/>
                    <w:ind w:firstLine="0" w:firstLineChars="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站内设施</w:t>
                  </w:r>
                </w:p>
              </w:tc>
              <w:tc>
                <w:tcPr>
                  <w:tcW w:w="1362" w:type="dxa"/>
                  <w:vAlign w:val="center"/>
                </w:tcPr>
                <w:p>
                  <w:pPr>
                    <w:tabs>
                      <w:tab w:val="left" w:pos="6492"/>
                      <w:tab w:val="left" w:pos="7088"/>
                    </w:tabs>
                    <w:autoSpaceDE w:val="0"/>
                    <w:autoSpaceDN w:val="0"/>
                    <w:spacing w:line="480" w:lineRule="exact"/>
                    <w:ind w:firstLine="0" w:firstLineChars="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埋地汽油罐</w:t>
                  </w:r>
                </w:p>
              </w:tc>
              <w:tc>
                <w:tcPr>
                  <w:tcW w:w="1316" w:type="dxa"/>
                  <w:vAlign w:val="center"/>
                </w:tcPr>
                <w:p>
                  <w:pPr>
                    <w:tabs>
                      <w:tab w:val="left" w:pos="6492"/>
                      <w:tab w:val="left" w:pos="7088"/>
                    </w:tabs>
                    <w:autoSpaceDE w:val="0"/>
                    <w:autoSpaceDN w:val="0"/>
                    <w:spacing w:line="480" w:lineRule="exact"/>
                    <w:ind w:firstLine="0" w:firstLineChars="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埋地柴油罐</w:t>
                  </w:r>
                </w:p>
              </w:tc>
              <w:tc>
                <w:tcPr>
                  <w:tcW w:w="1159" w:type="dxa"/>
                  <w:vAlign w:val="center"/>
                </w:tcPr>
                <w:p>
                  <w:pPr>
                    <w:tabs>
                      <w:tab w:val="left" w:pos="6492"/>
                      <w:tab w:val="left" w:pos="7088"/>
                    </w:tabs>
                    <w:autoSpaceDE w:val="0"/>
                    <w:autoSpaceDN w:val="0"/>
                    <w:spacing w:line="480" w:lineRule="exact"/>
                    <w:ind w:firstLine="0" w:firstLineChars="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汽油通气管口</w:t>
                  </w:r>
                </w:p>
              </w:tc>
              <w:tc>
                <w:tcPr>
                  <w:tcW w:w="1119" w:type="dxa"/>
                  <w:vAlign w:val="center"/>
                </w:tcPr>
                <w:p>
                  <w:pPr>
                    <w:tabs>
                      <w:tab w:val="left" w:pos="6492"/>
                      <w:tab w:val="left" w:pos="7088"/>
                    </w:tabs>
                    <w:autoSpaceDE w:val="0"/>
                    <w:autoSpaceDN w:val="0"/>
                    <w:spacing w:line="480" w:lineRule="exact"/>
                    <w:ind w:firstLine="0" w:firstLineChars="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柴油通气管口</w:t>
                  </w:r>
                </w:p>
              </w:tc>
              <w:tc>
                <w:tcPr>
                  <w:tcW w:w="1320" w:type="dxa"/>
                  <w:vAlign w:val="center"/>
                </w:tcPr>
                <w:p>
                  <w:pPr>
                    <w:tabs>
                      <w:tab w:val="left" w:pos="6492"/>
                      <w:tab w:val="left" w:pos="7088"/>
                    </w:tabs>
                    <w:autoSpaceDE w:val="0"/>
                    <w:autoSpaceDN w:val="0"/>
                    <w:spacing w:line="480" w:lineRule="exact"/>
                    <w:ind w:firstLine="0" w:firstLineChars="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油品卸车点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埋地汽油罐</w:t>
                  </w:r>
                </w:p>
              </w:tc>
              <w:tc>
                <w:tcPr>
                  <w:tcW w:w="136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0.5/0.6</w:t>
                  </w:r>
                </w:p>
              </w:tc>
              <w:tc>
                <w:tcPr>
                  <w:tcW w:w="1316"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0.5/0.6</w:t>
                  </w:r>
                </w:p>
              </w:tc>
              <w:tc>
                <w:tcPr>
                  <w:tcW w:w="115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c>
                <w:tcPr>
                  <w:tcW w:w="111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c>
                <w:tcPr>
                  <w:tcW w:w="1320"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埋地柴油罐</w:t>
                  </w:r>
                </w:p>
              </w:tc>
              <w:tc>
                <w:tcPr>
                  <w:tcW w:w="136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0.5/0.6</w:t>
                  </w:r>
                </w:p>
              </w:tc>
              <w:tc>
                <w:tcPr>
                  <w:tcW w:w="1316"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0.5/0.6</w:t>
                  </w:r>
                </w:p>
              </w:tc>
              <w:tc>
                <w:tcPr>
                  <w:tcW w:w="115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c>
                <w:tcPr>
                  <w:tcW w:w="111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c>
                <w:tcPr>
                  <w:tcW w:w="1320"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油品卸车点</w:t>
                  </w:r>
                </w:p>
              </w:tc>
              <w:tc>
                <w:tcPr>
                  <w:tcW w:w="136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c>
                <w:tcPr>
                  <w:tcW w:w="1316"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c>
                <w:tcPr>
                  <w:tcW w:w="115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3/6.6</w:t>
                  </w:r>
                </w:p>
              </w:tc>
              <w:tc>
                <w:tcPr>
                  <w:tcW w:w="111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2/6.6</w:t>
                  </w:r>
                </w:p>
              </w:tc>
              <w:tc>
                <w:tcPr>
                  <w:tcW w:w="1320"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站房</w:t>
                  </w:r>
                </w:p>
              </w:tc>
              <w:tc>
                <w:tcPr>
                  <w:tcW w:w="136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4/7.4</w:t>
                  </w:r>
                </w:p>
              </w:tc>
              <w:tc>
                <w:tcPr>
                  <w:tcW w:w="1316"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3/5.5</w:t>
                  </w:r>
                </w:p>
              </w:tc>
              <w:tc>
                <w:tcPr>
                  <w:tcW w:w="115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4/10.4</w:t>
                  </w:r>
                </w:p>
              </w:tc>
              <w:tc>
                <w:tcPr>
                  <w:tcW w:w="111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3.5/10.1</w:t>
                  </w:r>
                </w:p>
              </w:tc>
              <w:tc>
                <w:tcPr>
                  <w:tcW w:w="1320"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5/12.8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配电室</w:t>
                  </w:r>
                </w:p>
              </w:tc>
              <w:tc>
                <w:tcPr>
                  <w:tcW w:w="136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4/13</w:t>
                  </w:r>
                </w:p>
              </w:tc>
              <w:tc>
                <w:tcPr>
                  <w:tcW w:w="1316"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3/9.8</w:t>
                  </w:r>
                </w:p>
              </w:tc>
              <w:tc>
                <w:tcPr>
                  <w:tcW w:w="115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5/16.1</w:t>
                  </w:r>
                </w:p>
              </w:tc>
              <w:tc>
                <w:tcPr>
                  <w:tcW w:w="111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3.5/15.4</w:t>
                  </w:r>
                </w:p>
              </w:tc>
              <w:tc>
                <w:tcPr>
                  <w:tcW w:w="1320"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5/15.8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围墙</w:t>
                  </w:r>
                </w:p>
              </w:tc>
              <w:tc>
                <w:tcPr>
                  <w:tcW w:w="1362"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3/5..9</w:t>
                  </w:r>
                </w:p>
              </w:tc>
              <w:tc>
                <w:tcPr>
                  <w:tcW w:w="1316"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2/5.9</w:t>
                  </w:r>
                </w:p>
              </w:tc>
              <w:tc>
                <w:tcPr>
                  <w:tcW w:w="115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2/12.5</w:t>
                  </w:r>
                </w:p>
              </w:tc>
              <w:tc>
                <w:tcPr>
                  <w:tcW w:w="1119"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2/12.5</w:t>
                  </w:r>
                </w:p>
              </w:tc>
              <w:tc>
                <w:tcPr>
                  <w:tcW w:w="1320" w:type="dxa"/>
                  <w:vAlign w:val="center"/>
                </w:tcPr>
                <w:p>
                  <w:pPr>
                    <w:tabs>
                      <w:tab w:val="left" w:pos="6492"/>
                      <w:tab w:val="left" w:pos="7088"/>
                    </w:tabs>
                    <w:autoSpaceDE w:val="0"/>
                    <w:autoSpaceDN w:val="0"/>
                    <w:spacing w:line="480" w:lineRule="exac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58" w:type="dxa"/>
                  <w:gridSpan w:val="6"/>
                  <w:vAlign w:val="center"/>
                </w:tcPr>
                <w:p>
                  <w:pPr>
                    <w:tabs>
                      <w:tab w:val="left" w:pos="6492"/>
                      <w:tab w:val="left" w:pos="7088"/>
                    </w:tabs>
                    <w:autoSpaceDE w:val="0"/>
                    <w:autoSpaceDN w:val="0"/>
                    <w:spacing w:line="480" w:lineRule="exact"/>
                    <w:ind w:firstLine="0" w:firstLineChars="0"/>
                    <w:rPr>
                      <w:rFonts w:ascii="宋体" w:hAnsi="宋体"/>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注：表中数字为（</w:t>
                  </w:r>
                  <w:r>
                    <w:rPr>
                      <w:rFonts w:hint="eastAsia" w:hAnsi="宋体"/>
                      <w:bCs/>
                      <w:color w:val="000000" w:themeColor="text1"/>
                      <w:kern w:val="0"/>
                      <w:sz w:val="21"/>
                      <w:szCs w:val="21"/>
                      <w14:textFill>
                        <w14:solidFill>
                          <w14:schemeClr w14:val="tx1"/>
                        </w14:solidFill>
                      </w14:textFill>
                    </w:rPr>
                    <w:t>标准/实测)，“--”</w:t>
                  </w:r>
                  <w:r>
                    <w:rPr>
                      <w:rFonts w:hint="eastAsia"/>
                      <w:color w:val="000000" w:themeColor="text1"/>
                      <w14:textFill>
                        <w14:solidFill>
                          <w14:schemeClr w14:val="tx1"/>
                        </w14:solidFill>
                      </w14:textFill>
                    </w:rPr>
                    <w:t xml:space="preserve"> </w:t>
                  </w:r>
                  <w:r>
                    <w:rPr>
                      <w:rFonts w:hint="eastAsia" w:hAnsi="宋体"/>
                      <w:bCs/>
                      <w:color w:val="000000" w:themeColor="text1"/>
                      <w:kern w:val="0"/>
                      <w:sz w:val="21"/>
                      <w:szCs w:val="21"/>
                      <w14:textFill>
                        <w14:solidFill>
                          <w14:schemeClr w14:val="tx1"/>
                        </w14:solidFill>
                      </w14:textFill>
                    </w:rPr>
                    <w:t>表示无防火间距要求</w:t>
                  </w:r>
                </w:p>
              </w:tc>
            </w:tr>
            <w:bookmarkEnd w:id="3"/>
          </w:tbl>
          <w:p>
            <w:pPr>
              <w:autoSpaceDE w:val="0"/>
              <w:autoSpaceDN w:val="0"/>
              <w:adjustRightInd w:val="0"/>
              <w:ind w:firstLine="480"/>
              <w:jc w:val="left"/>
              <w:rPr>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由表</w:t>
            </w:r>
            <w:r>
              <w:rPr>
                <w:rFonts w:hint="eastAsia"/>
                <w:color w:val="000000" w:themeColor="text1"/>
                <w:kern w:val="0"/>
                <w14:textFill>
                  <w14:solidFill>
                    <w14:schemeClr w14:val="tx1"/>
                  </w14:solidFill>
                </w14:textFill>
              </w:rPr>
              <w:t>1-2</w:t>
            </w:r>
            <w:r>
              <w:rPr>
                <w:rFonts w:hAnsi="宋体"/>
                <w:color w:val="000000" w:themeColor="text1"/>
                <w:kern w:val="0"/>
                <w14:textFill>
                  <w14:solidFill>
                    <w14:schemeClr w14:val="tx1"/>
                  </w14:solidFill>
                </w14:textFill>
              </w:rPr>
              <w:t>、表</w:t>
            </w:r>
            <w:r>
              <w:rPr>
                <w:rFonts w:hint="eastAsia"/>
                <w:color w:val="000000" w:themeColor="text1"/>
                <w:kern w:val="0"/>
                <w14:textFill>
                  <w14:solidFill>
                    <w14:schemeClr w14:val="tx1"/>
                  </w14:solidFill>
                </w14:textFill>
              </w:rPr>
              <w:t>1-3</w:t>
            </w:r>
            <w:r>
              <w:rPr>
                <w:rFonts w:hAnsi="宋体"/>
                <w:color w:val="000000" w:themeColor="text1"/>
                <w:kern w:val="0"/>
                <w14:textFill>
                  <w14:solidFill>
                    <w14:schemeClr w14:val="tx1"/>
                  </w14:solidFill>
                </w14:textFill>
              </w:rPr>
              <w:t>可以看出本项目总图布置规范，各项指标均满足《汽车加油加气站设计与施工规范》（</w:t>
            </w:r>
            <w:r>
              <w:rPr>
                <w:color w:val="000000" w:themeColor="text1"/>
                <w:kern w:val="0"/>
                <w14:textFill>
                  <w14:solidFill>
                    <w14:schemeClr w14:val="tx1"/>
                  </w14:solidFill>
                </w14:textFill>
              </w:rPr>
              <w:t>GB50156-2012</w:t>
            </w:r>
            <w:r>
              <w:rPr>
                <w:rFonts w:hAnsi="宋体"/>
                <w:color w:val="000000" w:themeColor="text1"/>
                <w:kern w:val="0"/>
                <w14:textFill>
                  <w14:solidFill>
                    <w14:schemeClr w14:val="tx1"/>
                  </w14:solidFill>
                </w14:textFill>
              </w:rPr>
              <w:t>）中</w:t>
            </w:r>
            <w:r>
              <w:rPr>
                <w:rFonts w:hint="eastAsia" w:hAnsi="宋体"/>
                <w:color w:val="000000" w:themeColor="text1"/>
                <w:kern w:val="0"/>
                <w14:textFill>
                  <w14:solidFill>
                    <w14:schemeClr w14:val="tx1"/>
                  </w14:solidFill>
                </w14:textFill>
              </w:rPr>
              <w:t>站内设施的防火间距</w:t>
            </w:r>
            <w:r>
              <w:rPr>
                <w:rFonts w:hAnsi="宋体"/>
                <w:color w:val="000000" w:themeColor="text1"/>
                <w:kern w:val="0"/>
                <w14:textFill>
                  <w14:solidFill>
                    <w14:schemeClr w14:val="tx1"/>
                  </w14:solidFill>
                </w14:textFill>
              </w:rPr>
              <w:t>的要求，人流、车流互不交叉干扰，有机的协调了与周围环境的关系，建设与保护的关系。</w:t>
            </w:r>
          </w:p>
          <w:p>
            <w:pPr>
              <w:autoSpaceDE w:val="0"/>
              <w:autoSpaceDN w:val="0"/>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综上所述，本项目平面布置合理。</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3、建设项目基本情况</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（1）项目名称、地点、建设单位及性质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项目名称：咸阳世纪大道中段南加油站项目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建设地点：陕西省西咸新区沣东新城沣世纪大道中段南侧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建设单位：延长壳牌石油有限公司</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建设性质：新建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总投资：项目总投资210.7万元，其中环保投资31万元。</w:t>
            </w:r>
          </w:p>
          <w:p>
            <w:pPr>
              <w:ind w:firstLine="482"/>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（2）项目建设内容</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本项目各加油站工程组成见表 </w:t>
            </w:r>
            <w:r>
              <w:rPr>
                <w:rFonts w:eastAsia="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4</w:t>
            </w:r>
          </w:p>
          <w:p>
            <w:pPr>
              <w:spacing w:line="240" w:lineRule="auto"/>
              <w:ind w:firstLine="0" w:firstLineChars="0"/>
              <w:jc w:val="center"/>
              <w:rPr>
                <w:color w:val="000000" w:themeColor="text1"/>
                <w14:textFill>
                  <w14:solidFill>
                    <w14:schemeClr w14:val="tx1"/>
                  </w14:solidFill>
                </w14:textFill>
              </w:rPr>
            </w:pPr>
            <w:r>
              <w:rPr>
                <w:rFonts w:hint="eastAsia"/>
                <w:b/>
                <w:color w:val="000000" w:themeColor="text1"/>
                <w:sz w:val="21"/>
                <w:szCs w:val="21"/>
                <w14:textFill>
                  <w14:solidFill>
                    <w14:schemeClr w14:val="tx1"/>
                  </w14:solidFill>
                </w14:textFill>
              </w:rPr>
              <w:t>表1-4 项目组成及主要环境问题一览表</w:t>
            </w:r>
          </w:p>
          <w:tbl>
            <w:tblPr>
              <w:tblStyle w:val="29"/>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4785"/>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类别</w:t>
                  </w:r>
                </w:p>
              </w:tc>
              <w:tc>
                <w:tcPr>
                  <w:tcW w:w="1559"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项目名称</w:t>
                  </w:r>
                </w:p>
              </w:tc>
              <w:tc>
                <w:tcPr>
                  <w:tcW w:w="6096" w:type="dxa"/>
                  <w:gridSpan w:val="2"/>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4785"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建设内容</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4"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主体工程</w:t>
                  </w:r>
                </w:p>
              </w:tc>
              <w:tc>
                <w:tcPr>
                  <w:tcW w:w="1559" w:type="dxa"/>
                  <w:vAlign w:val="center"/>
                </w:tcPr>
                <w:p>
                  <w:pPr>
                    <w:pStyle w:val="88"/>
                    <w:spacing w:line="274" w:lineRule="exact"/>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油罐区</w:t>
                  </w: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2</w:t>
                  </w:r>
                  <w:r>
                    <w:rPr>
                      <w:rFonts w:ascii="Times New Roman" w:hAnsi="Times New Roman" w:cs="Times New Roman"/>
                      <w:color w:val="000000" w:themeColor="text1"/>
                      <w:lang w:eastAsia="zh-CN"/>
                      <w14:textFill>
                        <w14:solidFill>
                          <w14:schemeClr w14:val="tx1"/>
                        </w14:solidFill>
                      </w14:textFill>
                    </w:rPr>
                    <w:t>个</w:t>
                  </w:r>
                  <w:r>
                    <w:rPr>
                      <w:rFonts w:hint="eastAsia" w:ascii="Times New Roman" w:hAnsi="Times New Roman" w:cs="Times New Roman"/>
                      <w:color w:val="000000" w:themeColor="text1"/>
                      <w:lang w:eastAsia="zh-CN"/>
                      <w14:textFill>
                        <w14:solidFill>
                          <w14:schemeClr w14:val="tx1"/>
                        </w14:solidFill>
                      </w14:textFill>
                    </w:rPr>
                    <w:t>4</w:t>
                  </w:r>
                  <w:r>
                    <w:rPr>
                      <w:rFonts w:ascii="Times New Roman" w:hAnsi="Times New Roman" w:cs="Times New Roman"/>
                      <w:color w:val="000000" w:themeColor="text1"/>
                      <w:lang w:eastAsia="zh-CN"/>
                      <w14:textFill>
                        <w14:solidFill>
                          <w14:schemeClr w14:val="tx1"/>
                        </w14:solidFill>
                      </w14:textFill>
                    </w:rPr>
                    <w:t>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双层汽油储罐，</w:t>
                  </w:r>
                  <w:r>
                    <w:rPr>
                      <w:rFonts w:hint="eastAsia" w:ascii="Times New Roman" w:hAnsi="Times New Roman" w:cs="Times New Roman"/>
                      <w:color w:val="000000" w:themeColor="text1"/>
                      <w:lang w:eastAsia="zh-CN"/>
                      <w14:textFill>
                        <w14:solidFill>
                          <w14:schemeClr w14:val="tx1"/>
                        </w14:solidFill>
                      </w14:textFill>
                    </w:rPr>
                    <w:t>1</w:t>
                  </w:r>
                  <w:r>
                    <w:rPr>
                      <w:rFonts w:ascii="Times New Roman" w:hAnsi="Times New Roman" w:cs="Times New Roman"/>
                      <w:color w:val="000000" w:themeColor="text1"/>
                      <w:lang w:eastAsia="zh-CN"/>
                      <w14:textFill>
                        <w14:solidFill>
                          <w14:schemeClr w14:val="tx1"/>
                        </w14:solidFill>
                      </w14:textFill>
                    </w:rPr>
                    <w:t>个30m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双层</w:t>
                  </w:r>
                  <w:r>
                    <w:rPr>
                      <w:rFonts w:hint="eastAsia" w:ascii="Times New Roman" w:hAnsi="Times New Roman" w:cs="Times New Roman"/>
                      <w:color w:val="000000" w:themeColor="text1"/>
                      <w:lang w:eastAsia="zh-CN"/>
                      <w14:textFill>
                        <w14:solidFill>
                          <w14:schemeClr w14:val="tx1"/>
                        </w14:solidFill>
                      </w14:textFill>
                    </w:rPr>
                    <w:t>汽</w:t>
                  </w:r>
                  <w:r>
                    <w:rPr>
                      <w:rFonts w:ascii="Times New Roman" w:hAnsi="Times New Roman" w:cs="Times New Roman"/>
                      <w:color w:val="000000" w:themeColor="text1"/>
                      <w:lang w:eastAsia="zh-CN"/>
                      <w14:textFill>
                        <w14:solidFill>
                          <w14:schemeClr w14:val="tx1"/>
                        </w14:solidFill>
                      </w14:textFill>
                    </w:rPr>
                    <w:t>油储罐</w:t>
                  </w:r>
                  <w:r>
                    <w:rPr>
                      <w:rFonts w:hint="eastAsia" w:ascii="Times New Roman" w:hAnsi="Times New Roman" w:cs="Times New Roman"/>
                      <w:color w:val="000000" w:themeColor="text1"/>
                      <w:lang w:eastAsia="zh-CN"/>
                      <w14:textFill>
                        <w14:solidFill>
                          <w14:schemeClr w14:val="tx1"/>
                        </w14:solidFill>
                      </w14:textFill>
                    </w:rPr>
                    <w:t>，1</w:t>
                  </w:r>
                  <w:r>
                    <w:rPr>
                      <w:rFonts w:ascii="Times New Roman" w:hAnsi="Times New Roman" w:cs="Times New Roman"/>
                      <w:color w:val="000000" w:themeColor="text1"/>
                      <w:lang w:eastAsia="zh-CN"/>
                      <w14:textFill>
                        <w14:solidFill>
                          <w14:schemeClr w14:val="tx1"/>
                        </w14:solidFill>
                      </w14:textFill>
                    </w:rPr>
                    <w:t>个30m</w:t>
                  </w:r>
                  <w:r>
                    <w:rPr>
                      <w:rFonts w:ascii="Times New Roman" w:hAnsi="Times New Roman" w:cs="Times New Roman"/>
                      <w:color w:val="000000" w:themeColor="text1"/>
                      <w:vertAlign w:val="superscript"/>
                      <w:lang w:eastAsia="zh-CN"/>
                      <w14:textFill>
                        <w14:solidFill>
                          <w14:schemeClr w14:val="tx1"/>
                        </w14:solidFill>
                      </w14:textFill>
                    </w:rPr>
                    <w:t>3</w:t>
                  </w:r>
                  <w:r>
                    <w:rPr>
                      <w:rFonts w:ascii="Times New Roman" w:hAnsi="Times New Roman" w:cs="Times New Roman"/>
                      <w:color w:val="000000" w:themeColor="text1"/>
                      <w:lang w:eastAsia="zh-CN"/>
                      <w14:textFill>
                        <w14:solidFill>
                          <w14:schemeClr w14:val="tx1"/>
                        </w14:solidFill>
                      </w14:textFill>
                    </w:rPr>
                    <w:t>双层柴油储罐</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Merge w:val="restart"/>
                  <w:vAlign w:val="center"/>
                </w:tcPr>
                <w:p>
                  <w:pPr>
                    <w:pStyle w:val="88"/>
                    <w:spacing w:line="274" w:lineRule="exact"/>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加油区</w:t>
                  </w: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5台加油机（</w:t>
                  </w:r>
                  <w:r>
                    <w:rPr>
                      <w:rFonts w:hint="eastAsia" w:ascii="宋体" w:hAnsi="宋体" w:eastAsia="Calibri" w:cs="宋体"/>
                      <w:color w:val="000000" w:themeColor="text1"/>
                      <w:kern w:val="2"/>
                      <w:sz w:val="21"/>
                      <w:szCs w:val="21"/>
                      <w:lang w:val="zh-CN" w:eastAsia="zh-CN"/>
                      <w14:textFill>
                        <w14:solidFill>
                          <w14:schemeClr w14:val="tx1"/>
                        </w14:solidFill>
                      </w14:textFill>
                    </w:rPr>
                    <w:t>6枪加油机×2</w:t>
                  </w:r>
                  <w:r>
                    <w:rPr>
                      <w:rFonts w:hint="eastAsia" w:eastAsia="Calibri" w:cs="宋体"/>
                      <w:color w:val="000000" w:themeColor="text1"/>
                      <w:kern w:val="2"/>
                      <w:sz w:val="21"/>
                      <w:szCs w:val="21"/>
                      <w:lang w:val="zh-CN" w:eastAsia="zh-CN"/>
                      <w14:textFill>
                        <w14:solidFill>
                          <w14:schemeClr w14:val="tx1"/>
                        </w14:solidFill>
                      </w14:textFill>
                    </w:rPr>
                    <w:t>，</w:t>
                  </w:r>
                  <w:r>
                    <w:rPr>
                      <w:rFonts w:hint="eastAsia" w:eastAsia="Calibri" w:cs="宋体"/>
                      <w:color w:val="000000" w:themeColor="text1"/>
                      <w:kern w:val="2"/>
                      <w:sz w:val="21"/>
                      <w:szCs w:val="21"/>
                      <w:lang w:eastAsia="zh-CN"/>
                      <w14:textFill>
                        <w14:solidFill>
                          <w14:schemeClr w14:val="tx1"/>
                        </w14:solidFill>
                      </w14:textFill>
                    </w:rPr>
                    <w:t>4</w:t>
                  </w:r>
                  <w:r>
                    <w:rPr>
                      <w:rFonts w:hint="eastAsia" w:ascii="宋体" w:hAnsi="宋体" w:eastAsia="Calibri" w:cs="宋体"/>
                      <w:color w:val="000000" w:themeColor="text1"/>
                      <w:kern w:val="2"/>
                      <w:sz w:val="21"/>
                      <w:szCs w:val="21"/>
                      <w:lang w:val="zh-CN" w:eastAsia="zh-CN"/>
                      <w14:textFill>
                        <w14:solidFill>
                          <w14:schemeClr w14:val="tx1"/>
                        </w14:solidFill>
                      </w14:textFill>
                    </w:rPr>
                    <w:t>枪加油机×3</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Merge w:val="continue"/>
                  <w:vAlign w:val="center"/>
                </w:tcPr>
                <w:p>
                  <w:pPr>
                    <w:pStyle w:val="88"/>
                    <w:spacing w:line="295" w:lineRule="exact"/>
                    <w:jc w:val="center"/>
                    <w:rPr>
                      <w:rFonts w:ascii="Times New Roman" w:hAnsi="Times New Roman" w:eastAsia="宋体" w:cs="Times New Roman"/>
                      <w:color w:val="000000" w:themeColor="text1"/>
                      <w:sz w:val="21"/>
                      <w:szCs w:val="21"/>
                      <w14:textFill>
                        <w14:solidFill>
                          <w14:schemeClr w14:val="tx1"/>
                        </w14:solidFill>
                      </w14:textFill>
                    </w:rPr>
                  </w:pP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5</w:t>
                  </w:r>
                  <w:r>
                    <w:rPr>
                      <w:rFonts w:ascii="Times New Roman" w:hAnsi="Times New Roman" w:eastAsia="宋体" w:cs="Times New Roman"/>
                      <w:color w:val="000000" w:themeColor="text1"/>
                      <w:spacing w:val="-3"/>
                      <w:sz w:val="21"/>
                      <w:szCs w:val="21"/>
                      <w:lang w:eastAsia="zh-CN"/>
                      <w14:textFill>
                        <w14:solidFill>
                          <w14:schemeClr w14:val="tx1"/>
                        </w14:solidFill>
                      </w14:textFill>
                    </w:rPr>
                    <w:t>座独立加油岛，宽 1.2m。</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Merge w:val="continue"/>
                  <w:vAlign w:val="center"/>
                </w:tcPr>
                <w:p>
                  <w:pPr>
                    <w:pStyle w:val="88"/>
                    <w:jc w:val="center"/>
                    <w:rPr>
                      <w:rFonts w:ascii="Times New Roman" w:hAnsi="Times New Roman" w:eastAsia="宋体" w:cs="Times New Roman"/>
                      <w:color w:val="000000" w:themeColor="text1"/>
                      <w:sz w:val="21"/>
                      <w:szCs w:val="21"/>
                      <w:lang w:eastAsia="zh-CN"/>
                      <w14:textFill>
                        <w14:solidFill>
                          <w14:schemeClr w14:val="tx1"/>
                        </w14:solidFill>
                      </w14:textFill>
                    </w:rPr>
                  </w:pP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eastAsia="zh-CN"/>
                      <w14:textFill>
                        <w14:solidFill>
                          <w14:schemeClr w14:val="tx1"/>
                        </w14:solidFill>
                      </w14:textFill>
                    </w:rPr>
                    <w:t>加油棚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长为33.4m，宽为29m，占地面积为968.6m</w:t>
                  </w:r>
                  <w:r>
                    <w:rPr>
                      <w:rFonts w:hint="eastAsia" w:ascii="Times New Roman" w:hAnsi="Times New Roman" w:eastAsia="宋体" w:cs="Times New Roman"/>
                      <w:color w:val="000000" w:themeColor="text1"/>
                      <w:spacing w:val="-3"/>
                      <w:sz w:val="21"/>
                      <w:szCs w:val="21"/>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；净高度为6m，钢结构网架。</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04"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辅助工程</w:t>
                  </w: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站房</w:t>
                  </w:r>
                </w:p>
              </w:tc>
              <w:tc>
                <w:tcPr>
                  <w:tcW w:w="4785" w:type="dxa"/>
                  <w:vAlign w:val="center"/>
                </w:tcPr>
                <w:p>
                  <w:pPr>
                    <w:pStyle w:val="88"/>
                    <w:spacing w:line="276" w:lineRule="exact"/>
                    <w:ind w:right="13"/>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Calibri" w:hAnsi="Calibri" w:eastAsia="宋体" w:cs="Times New Roman"/>
                      <w:color w:val="000000" w:themeColor="text1"/>
                      <w:spacing w:val="-1"/>
                      <w:lang w:eastAsia="zh-CN"/>
                      <w14:textFill>
                        <w14:solidFill>
                          <w14:schemeClr w14:val="tx1"/>
                        </w14:solidFill>
                      </w14:textFill>
                    </w:rPr>
                    <w:t>长</w:t>
                  </w:r>
                  <w:r>
                    <w:rPr>
                      <w:rFonts w:ascii="Calibri" w:hAnsi="Calibri" w:eastAsia="宋体"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spacing w:val="-2"/>
                      <w:lang w:eastAsia="zh-CN"/>
                      <w14:textFill>
                        <w14:solidFill>
                          <w14:schemeClr w14:val="tx1"/>
                        </w14:solidFill>
                      </w14:textFill>
                    </w:rPr>
                    <w:t>37</w:t>
                  </w:r>
                  <w:r>
                    <w:rPr>
                      <w:rFonts w:ascii="Times New Roman" w:hAnsi="Times New Roman" w:eastAsia="Times New Roman" w:cs="Times New Roman"/>
                      <w:color w:val="000000" w:themeColor="text1"/>
                      <w:lang w:eastAsia="zh-CN"/>
                      <w14:textFill>
                        <w14:solidFill>
                          <w14:schemeClr w14:val="tx1"/>
                        </w14:solidFill>
                      </w14:textFill>
                    </w:rPr>
                    <w:t>m</w:t>
                  </w:r>
                  <w:r>
                    <w:rPr>
                      <w:rFonts w:ascii="Calibri" w:hAnsi="Calibri" w:eastAsia="宋体" w:cs="Times New Roman"/>
                      <w:color w:val="000000" w:themeColor="text1"/>
                      <w:spacing w:val="-3"/>
                      <w:lang w:eastAsia="zh-CN"/>
                      <w14:textFill>
                        <w14:solidFill>
                          <w14:schemeClr w14:val="tx1"/>
                        </w14:solidFill>
                      </w14:textFill>
                    </w:rPr>
                    <w:t>，</w:t>
                  </w:r>
                  <w:r>
                    <w:rPr>
                      <w:rFonts w:ascii="Calibri" w:hAnsi="Calibri" w:eastAsia="宋体" w:cs="Times New Roman"/>
                      <w:color w:val="000000" w:themeColor="text1"/>
                      <w:spacing w:val="-1"/>
                      <w:lang w:eastAsia="zh-CN"/>
                      <w14:textFill>
                        <w14:solidFill>
                          <w14:schemeClr w14:val="tx1"/>
                        </w14:solidFill>
                      </w14:textFill>
                    </w:rPr>
                    <w:t>宽</w:t>
                  </w:r>
                  <w:r>
                    <w:rPr>
                      <w:rFonts w:ascii="Calibri" w:hAnsi="Calibri" w:eastAsia="宋体"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spacing w:val="1"/>
                      <w:lang w:eastAsia="zh-CN"/>
                      <w14:textFill>
                        <w14:solidFill>
                          <w14:schemeClr w14:val="tx1"/>
                        </w14:solidFill>
                      </w14:textFill>
                    </w:rPr>
                    <w:t>5.8</w:t>
                  </w:r>
                  <w:r>
                    <w:rPr>
                      <w:rFonts w:ascii="Times New Roman" w:hAnsi="Times New Roman" w:eastAsia="Times New Roman" w:cs="Times New Roman"/>
                      <w:color w:val="000000" w:themeColor="text1"/>
                      <w:spacing w:val="-3"/>
                      <w:lang w:eastAsia="zh-CN"/>
                      <w14:textFill>
                        <w14:solidFill>
                          <w14:schemeClr w14:val="tx1"/>
                        </w14:solidFill>
                      </w14:textFill>
                    </w:rPr>
                    <w:t>m</w:t>
                  </w:r>
                  <w:r>
                    <w:rPr>
                      <w:rFonts w:ascii="Calibri" w:hAnsi="Calibri" w:eastAsia="宋体" w:cs="Times New Roman"/>
                      <w:color w:val="000000" w:themeColor="text1"/>
                      <w:spacing w:val="-1"/>
                      <w:lang w:eastAsia="zh-CN"/>
                      <w14:textFill>
                        <w14:solidFill>
                          <w14:schemeClr w14:val="tx1"/>
                        </w14:solidFill>
                      </w14:textFill>
                    </w:rPr>
                    <w:t>，占</w:t>
                  </w:r>
                  <w:r>
                    <w:rPr>
                      <w:rFonts w:ascii="Calibri" w:hAnsi="Calibri" w:eastAsia="宋体" w:cs="Times New Roman"/>
                      <w:color w:val="000000" w:themeColor="text1"/>
                      <w:spacing w:val="-3"/>
                      <w:lang w:eastAsia="zh-CN"/>
                      <w14:textFill>
                        <w14:solidFill>
                          <w14:schemeClr w14:val="tx1"/>
                        </w14:solidFill>
                      </w14:textFill>
                    </w:rPr>
                    <w:t>地</w:t>
                  </w:r>
                  <w:r>
                    <w:rPr>
                      <w:rFonts w:ascii="Calibri" w:hAnsi="Calibri" w:eastAsia="宋体" w:cs="Times New Roman"/>
                      <w:color w:val="000000" w:themeColor="text1"/>
                      <w:spacing w:val="-1"/>
                      <w:lang w:eastAsia="zh-CN"/>
                      <w14:textFill>
                        <w14:solidFill>
                          <w14:schemeClr w14:val="tx1"/>
                        </w14:solidFill>
                      </w14:textFill>
                    </w:rPr>
                    <w:t>面积</w:t>
                  </w:r>
                  <w:r>
                    <w:rPr>
                      <w:rFonts w:ascii="Calibri" w:hAnsi="Calibri" w:eastAsia="宋体" w:cs="Times New Roman"/>
                      <w:color w:val="000000" w:themeColor="text1"/>
                      <w:lang w:eastAsia="zh-CN"/>
                      <w14:textFill>
                        <w14:solidFill>
                          <w14:schemeClr w14:val="tx1"/>
                        </w14:solidFill>
                      </w14:textFill>
                    </w:rPr>
                    <w:t>为</w:t>
                  </w:r>
                  <w:r>
                    <w:rPr>
                      <w:rFonts w:hint="eastAsia" w:ascii="Calibri" w:hAnsi="Calibri" w:eastAsia="宋体" w:cs="Times New Roman"/>
                      <w:color w:val="000000" w:themeColor="text1"/>
                      <w:lang w:eastAsia="zh-CN"/>
                      <w14:textFill>
                        <w14:solidFill>
                          <w14:schemeClr w14:val="tx1"/>
                        </w14:solidFill>
                      </w14:textFill>
                    </w:rPr>
                    <w:t>214.6m</w:t>
                  </w:r>
                  <w:r>
                    <w:rPr>
                      <w:rFonts w:hint="eastAsia" w:ascii="Times New Roman" w:hAnsi="Times New Roman" w:cs="Times New Roman"/>
                      <w:color w:val="000000" w:themeColor="text1"/>
                      <w:vertAlign w:val="superscript"/>
                      <w:lang w:eastAsia="zh-CN"/>
                      <w14:textFill>
                        <w14:solidFill>
                          <w14:schemeClr w14:val="tx1"/>
                        </w14:solidFill>
                      </w14:textFill>
                    </w:rPr>
                    <w:t>2</w:t>
                  </w:r>
                  <w:r>
                    <w:rPr>
                      <w:rFonts w:ascii="Calibri" w:hAnsi="Calibri" w:eastAsia="宋体" w:cs="Times New Roman"/>
                      <w:color w:val="000000" w:themeColor="text1"/>
                      <w:lang w:eastAsia="zh-CN"/>
                      <w14:textFill>
                        <w14:solidFill>
                          <w14:schemeClr w14:val="tx1"/>
                        </w14:solidFill>
                      </w14:textFill>
                    </w:rPr>
                    <w:t xml:space="preserve">； </w:t>
                  </w:r>
                  <w:r>
                    <w:rPr>
                      <w:rFonts w:ascii="Calibri" w:hAnsi="Calibri" w:eastAsia="宋体" w:cs="Times New Roman"/>
                      <w:color w:val="000000" w:themeColor="text1"/>
                      <w:spacing w:val="-1"/>
                      <w:lang w:eastAsia="zh-CN"/>
                      <w14:textFill>
                        <w14:solidFill>
                          <w14:schemeClr w14:val="tx1"/>
                        </w14:solidFill>
                      </w14:textFill>
                    </w:rPr>
                    <w:t>站</w:t>
                  </w:r>
                  <w:r>
                    <w:rPr>
                      <w:rFonts w:ascii="Calibri" w:hAnsi="Calibri" w:eastAsia="宋体" w:cs="Times New Roman"/>
                      <w:color w:val="000000" w:themeColor="text1"/>
                      <w:spacing w:val="-3"/>
                      <w:lang w:eastAsia="zh-CN"/>
                      <w14:textFill>
                        <w14:solidFill>
                          <w14:schemeClr w14:val="tx1"/>
                        </w14:solidFill>
                      </w14:textFill>
                    </w:rPr>
                    <w:t>房</w:t>
                  </w:r>
                  <w:r>
                    <w:rPr>
                      <w:rFonts w:ascii="Calibri" w:hAnsi="Calibri" w:eastAsia="宋体" w:cs="Times New Roman"/>
                      <w:color w:val="000000" w:themeColor="text1"/>
                      <w:spacing w:val="-1"/>
                      <w:lang w:eastAsia="zh-CN"/>
                      <w14:textFill>
                        <w14:solidFill>
                          <w14:schemeClr w14:val="tx1"/>
                        </w14:solidFill>
                      </w14:textFill>
                    </w:rPr>
                    <w:t>功能</w:t>
                  </w:r>
                  <w:r>
                    <w:rPr>
                      <w:rFonts w:ascii="Calibri" w:hAnsi="Calibri" w:eastAsia="宋体" w:cs="Times New Roman"/>
                      <w:color w:val="000000" w:themeColor="text1"/>
                      <w:spacing w:val="-3"/>
                      <w:lang w:eastAsia="zh-CN"/>
                      <w14:textFill>
                        <w14:solidFill>
                          <w14:schemeClr w14:val="tx1"/>
                        </w14:solidFill>
                      </w14:textFill>
                    </w:rPr>
                    <w:t>为</w:t>
                  </w:r>
                  <w:r>
                    <w:rPr>
                      <w:rFonts w:ascii="Calibri" w:hAnsi="Calibri" w:eastAsia="宋体" w:cs="Times New Roman"/>
                      <w:color w:val="000000" w:themeColor="text1"/>
                      <w:spacing w:val="-1"/>
                      <w:lang w:eastAsia="zh-CN"/>
                      <w14:textFill>
                        <w14:solidFill>
                          <w14:schemeClr w14:val="tx1"/>
                        </w14:solidFill>
                      </w14:textFill>
                    </w:rPr>
                    <w:t>：配</w:t>
                  </w:r>
                  <w:r>
                    <w:rPr>
                      <w:rFonts w:ascii="Calibri" w:hAnsi="Calibri" w:eastAsia="宋体" w:cs="Times New Roman"/>
                      <w:color w:val="000000" w:themeColor="text1"/>
                      <w:spacing w:val="-3"/>
                      <w:lang w:eastAsia="zh-CN"/>
                      <w14:textFill>
                        <w14:solidFill>
                          <w14:schemeClr w14:val="tx1"/>
                        </w14:solidFill>
                      </w14:textFill>
                    </w:rPr>
                    <w:t>电</w:t>
                  </w:r>
                  <w:r>
                    <w:rPr>
                      <w:rFonts w:ascii="Calibri" w:hAnsi="Calibri" w:eastAsia="宋体" w:cs="Times New Roman"/>
                      <w:color w:val="000000" w:themeColor="text1"/>
                      <w:spacing w:val="-1"/>
                      <w:lang w:eastAsia="zh-CN"/>
                      <w14:textFill>
                        <w14:solidFill>
                          <w14:schemeClr w14:val="tx1"/>
                        </w14:solidFill>
                      </w14:textFill>
                    </w:rPr>
                    <w:t>室</w:t>
                  </w:r>
                  <w:r>
                    <w:rPr>
                      <w:rFonts w:ascii="Calibri" w:hAnsi="Calibri" w:eastAsia="宋体" w:cs="Times New Roman"/>
                      <w:color w:val="000000" w:themeColor="text1"/>
                      <w:spacing w:val="-3"/>
                      <w:lang w:eastAsia="zh-CN"/>
                      <w14:textFill>
                        <w14:solidFill>
                          <w14:schemeClr w14:val="tx1"/>
                        </w14:solidFill>
                      </w14:textFill>
                    </w:rPr>
                    <w:t>、</w:t>
                  </w:r>
                  <w:r>
                    <w:rPr>
                      <w:rFonts w:hint="eastAsia" w:ascii="Calibri" w:hAnsi="Calibri" w:eastAsia="宋体" w:cs="Times New Roman"/>
                      <w:color w:val="000000" w:themeColor="text1"/>
                      <w:spacing w:val="-3"/>
                      <w:lang w:eastAsia="zh-CN"/>
                      <w14:textFill>
                        <w14:solidFill>
                          <w14:schemeClr w14:val="tx1"/>
                        </w14:solidFill>
                      </w14:textFill>
                    </w:rPr>
                    <w:t>发电室、</w:t>
                  </w:r>
                  <w:r>
                    <w:rPr>
                      <w:rFonts w:ascii="Calibri" w:hAnsi="Calibri" w:eastAsia="宋体" w:cs="Times New Roman"/>
                      <w:color w:val="000000" w:themeColor="text1"/>
                      <w:spacing w:val="-1"/>
                      <w:lang w:eastAsia="zh-CN"/>
                      <w14:textFill>
                        <w14:solidFill>
                          <w14:schemeClr w14:val="tx1"/>
                        </w14:solidFill>
                      </w14:textFill>
                    </w:rPr>
                    <w:t>营</w:t>
                  </w:r>
                  <w:r>
                    <w:rPr>
                      <w:rFonts w:ascii="Calibri" w:hAnsi="Calibri" w:eastAsia="宋体" w:cs="Times New Roman"/>
                      <w:color w:val="000000" w:themeColor="text1"/>
                      <w:spacing w:val="-3"/>
                      <w:lang w:eastAsia="zh-CN"/>
                      <w14:textFill>
                        <w14:solidFill>
                          <w14:schemeClr w14:val="tx1"/>
                        </w14:solidFill>
                      </w14:textFill>
                    </w:rPr>
                    <w:t>业</w:t>
                  </w:r>
                  <w:r>
                    <w:rPr>
                      <w:rFonts w:ascii="Calibri" w:hAnsi="Calibri" w:eastAsia="宋体" w:cs="Times New Roman"/>
                      <w:color w:val="000000" w:themeColor="text1"/>
                      <w:spacing w:val="-1"/>
                      <w:lang w:eastAsia="zh-CN"/>
                      <w14:textFill>
                        <w14:solidFill>
                          <w14:schemeClr w14:val="tx1"/>
                        </w14:solidFill>
                      </w14:textFill>
                    </w:rPr>
                    <w:t>室、</w:t>
                  </w:r>
                  <w:r>
                    <w:rPr>
                      <w:rFonts w:ascii="Calibri" w:hAnsi="Calibri" w:eastAsia="宋体" w:cs="Times New Roman"/>
                      <w:color w:val="000000" w:themeColor="text1"/>
                      <w:spacing w:val="-3"/>
                      <w:lang w:eastAsia="zh-CN"/>
                      <w14:textFill>
                        <w14:solidFill>
                          <w14:schemeClr w14:val="tx1"/>
                        </w14:solidFill>
                      </w14:textFill>
                    </w:rPr>
                    <w:t>值</w:t>
                  </w:r>
                  <w:r>
                    <w:rPr>
                      <w:rFonts w:ascii="Calibri" w:hAnsi="Calibri" w:eastAsia="宋体" w:cs="Times New Roman"/>
                      <w:color w:val="000000" w:themeColor="text1"/>
                      <w:spacing w:val="-1"/>
                      <w:lang w:eastAsia="zh-CN"/>
                      <w14:textFill>
                        <w14:solidFill>
                          <w14:schemeClr w14:val="tx1"/>
                        </w14:solidFill>
                      </w14:textFill>
                    </w:rPr>
                    <w:t>班室</w:t>
                  </w:r>
                  <w:r>
                    <w:rPr>
                      <w:rFonts w:ascii="Calibri" w:hAnsi="Calibri" w:eastAsia="宋体" w:cs="Times New Roman"/>
                      <w:color w:val="000000" w:themeColor="text1"/>
                      <w:spacing w:val="-3"/>
                      <w:lang w:eastAsia="zh-CN"/>
                      <w14:textFill>
                        <w14:solidFill>
                          <w14:schemeClr w14:val="tx1"/>
                        </w14:solidFill>
                      </w14:textFill>
                    </w:rPr>
                    <w:t>、</w:t>
                  </w:r>
                  <w:r>
                    <w:rPr>
                      <w:rFonts w:ascii="Calibri" w:hAnsi="Calibri" w:eastAsia="宋体" w:cs="Times New Roman"/>
                      <w:color w:val="000000" w:themeColor="text1"/>
                      <w:spacing w:val="-1"/>
                      <w:lang w:eastAsia="zh-CN"/>
                      <w14:textFill>
                        <w14:solidFill>
                          <w14:schemeClr w14:val="tx1"/>
                        </w14:solidFill>
                      </w14:textFill>
                    </w:rPr>
                    <w:t>休息</w:t>
                  </w:r>
                  <w:r>
                    <w:rPr>
                      <w:rFonts w:ascii="Calibri" w:hAnsi="Calibri" w:eastAsia="宋体" w:cs="Times New Roman"/>
                      <w:color w:val="000000" w:themeColor="text1"/>
                      <w:spacing w:val="-3"/>
                      <w:lang w:eastAsia="zh-CN"/>
                      <w14:textFill>
                        <w14:solidFill>
                          <w14:schemeClr w14:val="tx1"/>
                        </w14:solidFill>
                      </w14:textFill>
                    </w:rPr>
                    <w:t>室</w:t>
                  </w:r>
                  <w:r>
                    <w:rPr>
                      <w:rFonts w:ascii="Calibri" w:hAnsi="Calibri" w:eastAsia="宋体" w:cs="Times New Roman"/>
                      <w:color w:val="000000" w:themeColor="text1"/>
                      <w:spacing w:val="-1"/>
                      <w:lang w:eastAsia="zh-CN"/>
                      <w14:textFill>
                        <w14:solidFill>
                          <w14:schemeClr w14:val="tx1"/>
                        </w14:solidFill>
                      </w14:textFill>
                    </w:rPr>
                    <w:t>、办</w:t>
                  </w:r>
                  <w:r>
                    <w:rPr>
                      <w:rFonts w:ascii="Calibri" w:hAnsi="Calibri" w:eastAsia="宋体" w:cs="Times New Roman"/>
                      <w:color w:val="000000" w:themeColor="text1"/>
                      <w:spacing w:val="-3"/>
                      <w:lang w:eastAsia="zh-CN"/>
                      <w14:textFill>
                        <w14:solidFill>
                          <w14:schemeClr w14:val="tx1"/>
                        </w14:solidFill>
                      </w14:textFill>
                    </w:rPr>
                    <w:t>公</w:t>
                  </w:r>
                  <w:r>
                    <w:rPr>
                      <w:rFonts w:ascii="Calibri" w:hAnsi="Calibri" w:eastAsia="宋体" w:cs="Times New Roman"/>
                      <w:color w:val="000000" w:themeColor="text1"/>
                      <w:spacing w:val="-1"/>
                      <w:lang w:eastAsia="zh-CN"/>
                      <w14:textFill>
                        <w14:solidFill>
                          <w14:schemeClr w14:val="tx1"/>
                        </w14:solidFill>
                      </w14:textFill>
                    </w:rPr>
                    <w:t>室等</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辅助用房</w:t>
                  </w:r>
                </w:p>
              </w:tc>
              <w:tc>
                <w:tcPr>
                  <w:tcW w:w="4785" w:type="dxa"/>
                  <w:vAlign w:val="center"/>
                </w:tcPr>
                <w:p>
                  <w:pPr>
                    <w:pStyle w:val="88"/>
                    <w:spacing w:line="276" w:lineRule="exact"/>
                    <w:ind w:right="13"/>
                    <w:rPr>
                      <w:rFonts w:ascii="Calibri" w:hAnsi="Calibri" w:eastAsia="宋体" w:cs="Times New Roman"/>
                      <w:color w:val="000000" w:themeColor="text1"/>
                      <w:spacing w:val="-1"/>
                      <w:lang w:eastAsia="zh-CN"/>
                      <w14:textFill>
                        <w14:solidFill>
                          <w14:schemeClr w14:val="tx1"/>
                        </w14:solidFill>
                      </w14:textFill>
                    </w:rPr>
                  </w:pPr>
                  <w:r>
                    <w:rPr>
                      <w:rFonts w:hint="eastAsia" w:ascii="Calibri" w:hAnsi="Calibri" w:eastAsia="宋体" w:cs="Times New Roman"/>
                      <w:color w:val="000000" w:themeColor="text1"/>
                      <w:spacing w:val="-1"/>
                      <w:lang w:eastAsia="zh-CN"/>
                      <w14:textFill>
                        <w14:solidFill>
                          <w14:schemeClr w14:val="tx1"/>
                        </w14:solidFill>
                      </w14:textFill>
                    </w:rPr>
                    <w:t>设置</w:t>
                  </w:r>
                  <w:r>
                    <w:rPr>
                      <w:rFonts w:ascii="Calibri" w:hAnsi="Calibri" w:eastAsia="宋体" w:cs="Times New Roman"/>
                      <w:color w:val="000000" w:themeColor="text1"/>
                      <w:spacing w:val="-1"/>
                      <w:lang w:eastAsia="zh-CN"/>
                      <w14:textFill>
                        <w14:solidFill>
                          <w14:schemeClr w14:val="tx1"/>
                        </w14:solidFill>
                      </w14:textFill>
                    </w:rPr>
                    <w:t>长</w:t>
                  </w:r>
                  <w:r>
                    <w:rPr>
                      <w:rFonts w:ascii="Calibri" w:hAnsi="Calibri" w:eastAsia="宋体"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spacing w:val="-2"/>
                      <w:lang w:eastAsia="zh-CN"/>
                      <w14:textFill>
                        <w14:solidFill>
                          <w14:schemeClr w14:val="tx1"/>
                        </w14:solidFill>
                      </w14:textFill>
                    </w:rPr>
                    <w:t>16.7</w:t>
                  </w:r>
                  <w:r>
                    <w:rPr>
                      <w:rFonts w:ascii="Times New Roman" w:hAnsi="Times New Roman" w:eastAsia="Times New Roman" w:cs="Times New Roman"/>
                      <w:color w:val="000000" w:themeColor="text1"/>
                      <w:lang w:eastAsia="zh-CN"/>
                      <w14:textFill>
                        <w14:solidFill>
                          <w14:schemeClr w14:val="tx1"/>
                        </w14:solidFill>
                      </w14:textFill>
                    </w:rPr>
                    <w:t>m</w:t>
                  </w:r>
                  <w:r>
                    <w:rPr>
                      <w:rFonts w:ascii="Calibri" w:hAnsi="Calibri" w:eastAsia="宋体" w:cs="Times New Roman"/>
                      <w:color w:val="000000" w:themeColor="text1"/>
                      <w:spacing w:val="-3"/>
                      <w:lang w:eastAsia="zh-CN"/>
                      <w14:textFill>
                        <w14:solidFill>
                          <w14:schemeClr w14:val="tx1"/>
                        </w14:solidFill>
                      </w14:textFill>
                    </w:rPr>
                    <w:t>，</w:t>
                  </w:r>
                  <w:r>
                    <w:rPr>
                      <w:rFonts w:ascii="Calibri" w:hAnsi="Calibri" w:eastAsia="宋体" w:cs="Times New Roman"/>
                      <w:color w:val="000000" w:themeColor="text1"/>
                      <w:spacing w:val="-1"/>
                      <w:lang w:eastAsia="zh-CN"/>
                      <w14:textFill>
                        <w14:solidFill>
                          <w14:schemeClr w14:val="tx1"/>
                        </w14:solidFill>
                      </w14:textFill>
                    </w:rPr>
                    <w:t>宽</w:t>
                  </w:r>
                  <w:r>
                    <w:rPr>
                      <w:rFonts w:ascii="Calibri" w:hAnsi="Calibri" w:eastAsia="宋体"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spacing w:val="1"/>
                      <w:lang w:eastAsia="zh-CN"/>
                      <w14:textFill>
                        <w14:solidFill>
                          <w14:schemeClr w14:val="tx1"/>
                        </w14:solidFill>
                      </w14:textFill>
                    </w:rPr>
                    <w:t>5.7</w:t>
                  </w:r>
                  <w:r>
                    <w:rPr>
                      <w:rFonts w:ascii="Times New Roman" w:hAnsi="Times New Roman" w:eastAsia="Times New Roman" w:cs="Times New Roman"/>
                      <w:color w:val="000000" w:themeColor="text1"/>
                      <w:spacing w:val="-3"/>
                      <w:lang w:eastAsia="zh-CN"/>
                      <w14:textFill>
                        <w14:solidFill>
                          <w14:schemeClr w14:val="tx1"/>
                        </w14:solidFill>
                      </w14:textFill>
                    </w:rPr>
                    <w:t>m</w:t>
                  </w:r>
                  <w:r>
                    <w:rPr>
                      <w:rFonts w:ascii="Calibri" w:hAnsi="Calibri" w:eastAsia="宋体" w:cs="Times New Roman"/>
                      <w:color w:val="000000" w:themeColor="text1"/>
                      <w:spacing w:val="-1"/>
                      <w:lang w:eastAsia="zh-CN"/>
                      <w14:textFill>
                        <w14:solidFill>
                          <w14:schemeClr w14:val="tx1"/>
                        </w14:solidFill>
                      </w14:textFill>
                    </w:rPr>
                    <w:t>，占</w:t>
                  </w:r>
                  <w:r>
                    <w:rPr>
                      <w:rFonts w:ascii="Calibri" w:hAnsi="Calibri" w:eastAsia="宋体" w:cs="Times New Roman"/>
                      <w:color w:val="000000" w:themeColor="text1"/>
                      <w:spacing w:val="-3"/>
                      <w:lang w:eastAsia="zh-CN"/>
                      <w14:textFill>
                        <w14:solidFill>
                          <w14:schemeClr w14:val="tx1"/>
                        </w14:solidFill>
                      </w14:textFill>
                    </w:rPr>
                    <w:t>地</w:t>
                  </w:r>
                  <w:r>
                    <w:rPr>
                      <w:rFonts w:ascii="Calibri" w:hAnsi="Calibri" w:eastAsia="宋体" w:cs="Times New Roman"/>
                      <w:color w:val="000000" w:themeColor="text1"/>
                      <w:spacing w:val="-1"/>
                      <w:lang w:eastAsia="zh-CN"/>
                      <w14:textFill>
                        <w14:solidFill>
                          <w14:schemeClr w14:val="tx1"/>
                        </w14:solidFill>
                      </w14:textFill>
                    </w:rPr>
                    <w:t>面积</w:t>
                  </w:r>
                  <w:r>
                    <w:rPr>
                      <w:rFonts w:ascii="Calibri" w:hAnsi="Calibri" w:eastAsia="宋体" w:cs="Times New Roman"/>
                      <w:color w:val="000000" w:themeColor="text1"/>
                      <w:lang w:eastAsia="zh-CN"/>
                      <w14:textFill>
                        <w14:solidFill>
                          <w14:schemeClr w14:val="tx1"/>
                        </w14:solidFill>
                      </w14:textFill>
                    </w:rPr>
                    <w:t>为</w:t>
                  </w:r>
                  <w:r>
                    <w:rPr>
                      <w:rFonts w:hint="eastAsia" w:ascii="Calibri" w:hAnsi="Calibri" w:eastAsia="宋体" w:cs="Times New Roman"/>
                      <w:color w:val="000000" w:themeColor="text1"/>
                      <w:lang w:eastAsia="zh-CN"/>
                      <w14:textFill>
                        <w14:solidFill>
                          <w14:schemeClr w14:val="tx1"/>
                        </w14:solidFill>
                      </w14:textFill>
                    </w:rPr>
                    <w:t>95.19m</w:t>
                  </w:r>
                  <w:r>
                    <w:rPr>
                      <w:rFonts w:hint="eastAsia" w:ascii="Times New Roman" w:hAnsi="Times New Roman" w:cs="Times New Roman"/>
                      <w:color w:val="000000" w:themeColor="text1"/>
                      <w:vertAlign w:val="superscript"/>
                      <w:lang w:eastAsia="zh-CN"/>
                      <w14:textFill>
                        <w14:solidFill>
                          <w14:schemeClr w14:val="tx1"/>
                        </w14:solidFill>
                      </w14:textFill>
                    </w:rPr>
                    <w:t>2</w:t>
                  </w:r>
                  <w:r>
                    <w:rPr>
                      <w:rFonts w:ascii="Calibri" w:hAnsi="Calibri" w:eastAsia="宋体" w:cs="Times New Roman"/>
                      <w:color w:val="000000" w:themeColor="text1"/>
                      <w:lang w:eastAsia="zh-CN"/>
                      <w14:textFill>
                        <w14:solidFill>
                          <w14:schemeClr w14:val="tx1"/>
                        </w14:solidFill>
                      </w14:textFill>
                    </w:rPr>
                    <w:t>；</w:t>
                  </w:r>
                  <w:r>
                    <w:rPr>
                      <w:rFonts w:hint="eastAsia" w:ascii="Calibri" w:hAnsi="Calibri" w:eastAsia="宋体" w:cs="Times New Roman"/>
                      <w:color w:val="000000" w:themeColor="text1"/>
                      <w:lang w:eastAsia="zh-CN"/>
                      <w14:textFill>
                        <w14:solidFill>
                          <w14:schemeClr w14:val="tx1"/>
                        </w14:solidFill>
                      </w14:textFill>
                    </w:rPr>
                    <w:t>该辅助用房</w:t>
                  </w:r>
                  <w:r>
                    <w:rPr>
                      <w:rFonts w:ascii="Calibri" w:hAnsi="Calibri" w:eastAsia="宋体" w:cs="Times New Roman"/>
                      <w:color w:val="000000" w:themeColor="text1"/>
                      <w:spacing w:val="-1"/>
                      <w:lang w:eastAsia="zh-CN"/>
                      <w14:textFill>
                        <w14:solidFill>
                          <w14:schemeClr w14:val="tx1"/>
                        </w14:solidFill>
                      </w14:textFill>
                    </w:rPr>
                    <w:t>功能</w:t>
                  </w:r>
                  <w:r>
                    <w:rPr>
                      <w:rFonts w:ascii="Calibri" w:hAnsi="Calibri" w:eastAsia="宋体" w:cs="Times New Roman"/>
                      <w:color w:val="000000" w:themeColor="text1"/>
                      <w:spacing w:val="-3"/>
                      <w:lang w:eastAsia="zh-CN"/>
                      <w14:textFill>
                        <w14:solidFill>
                          <w14:schemeClr w14:val="tx1"/>
                        </w14:solidFill>
                      </w14:textFill>
                    </w:rPr>
                    <w:t>为</w:t>
                  </w:r>
                  <w:r>
                    <w:rPr>
                      <w:rFonts w:ascii="Calibri" w:hAnsi="Calibri" w:eastAsia="宋体" w:cs="Times New Roman"/>
                      <w:color w:val="000000" w:themeColor="text1"/>
                      <w:spacing w:val="-1"/>
                      <w:lang w:eastAsia="zh-CN"/>
                      <w14:textFill>
                        <w14:solidFill>
                          <w14:schemeClr w14:val="tx1"/>
                        </w14:solidFill>
                      </w14:textFill>
                    </w:rPr>
                    <w:t>：配</w:t>
                  </w:r>
                  <w:r>
                    <w:rPr>
                      <w:rFonts w:ascii="Calibri" w:hAnsi="Calibri" w:eastAsia="宋体" w:cs="Times New Roman"/>
                      <w:color w:val="000000" w:themeColor="text1"/>
                      <w:spacing w:val="-3"/>
                      <w:lang w:eastAsia="zh-CN"/>
                      <w14:textFill>
                        <w14:solidFill>
                          <w14:schemeClr w14:val="tx1"/>
                        </w14:solidFill>
                      </w14:textFill>
                    </w:rPr>
                    <w:t>电</w:t>
                  </w:r>
                  <w:r>
                    <w:rPr>
                      <w:rFonts w:ascii="Calibri" w:hAnsi="Calibri" w:eastAsia="宋体" w:cs="Times New Roman"/>
                      <w:color w:val="000000" w:themeColor="text1"/>
                      <w:spacing w:val="-1"/>
                      <w:lang w:eastAsia="zh-CN"/>
                      <w14:textFill>
                        <w14:solidFill>
                          <w14:schemeClr w14:val="tx1"/>
                        </w14:solidFill>
                      </w14:textFill>
                    </w:rPr>
                    <w:t>室</w:t>
                  </w:r>
                  <w:r>
                    <w:rPr>
                      <w:rFonts w:ascii="Calibri" w:hAnsi="Calibri" w:eastAsia="宋体" w:cs="Times New Roman"/>
                      <w:color w:val="000000" w:themeColor="text1"/>
                      <w:spacing w:val="-3"/>
                      <w:lang w:eastAsia="zh-CN"/>
                      <w14:textFill>
                        <w14:solidFill>
                          <w14:schemeClr w14:val="tx1"/>
                        </w14:solidFill>
                      </w14:textFill>
                    </w:rPr>
                    <w:t>、</w:t>
                  </w:r>
                  <w:r>
                    <w:rPr>
                      <w:rFonts w:hint="eastAsia" w:ascii="Calibri" w:hAnsi="Calibri" w:eastAsia="宋体" w:cs="Times New Roman"/>
                      <w:color w:val="000000" w:themeColor="text1"/>
                      <w:spacing w:val="-3"/>
                      <w:lang w:eastAsia="zh-CN"/>
                      <w14:textFill>
                        <w14:solidFill>
                          <w14:schemeClr w14:val="tx1"/>
                        </w14:solidFill>
                      </w14:textFill>
                    </w:rPr>
                    <w:t>库房；另设有</w:t>
                  </w:r>
                  <w:r>
                    <w:rPr>
                      <w:rFonts w:ascii="Calibri" w:hAnsi="Calibri" w:eastAsia="宋体" w:cs="Times New Roman"/>
                      <w:color w:val="000000" w:themeColor="text1"/>
                      <w:spacing w:val="-1"/>
                      <w:lang w:eastAsia="zh-CN"/>
                      <w14:textFill>
                        <w14:solidFill>
                          <w14:schemeClr w14:val="tx1"/>
                        </w14:solidFill>
                      </w14:textFill>
                    </w:rPr>
                    <w:t>长</w:t>
                  </w:r>
                  <w:r>
                    <w:rPr>
                      <w:rFonts w:ascii="Calibri" w:hAnsi="Calibri" w:eastAsia="宋体"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spacing w:val="-2"/>
                      <w:lang w:eastAsia="zh-CN"/>
                      <w14:textFill>
                        <w14:solidFill>
                          <w14:schemeClr w14:val="tx1"/>
                        </w14:solidFill>
                      </w14:textFill>
                    </w:rPr>
                    <w:t>14.18</w:t>
                  </w:r>
                  <w:r>
                    <w:rPr>
                      <w:rFonts w:ascii="Times New Roman" w:hAnsi="Times New Roman" w:eastAsia="Times New Roman" w:cs="Times New Roman"/>
                      <w:color w:val="000000" w:themeColor="text1"/>
                      <w:lang w:eastAsia="zh-CN"/>
                      <w14:textFill>
                        <w14:solidFill>
                          <w14:schemeClr w14:val="tx1"/>
                        </w14:solidFill>
                      </w14:textFill>
                    </w:rPr>
                    <w:t>m</w:t>
                  </w:r>
                  <w:r>
                    <w:rPr>
                      <w:rFonts w:ascii="Calibri" w:hAnsi="Calibri" w:eastAsia="宋体" w:cs="Times New Roman"/>
                      <w:color w:val="000000" w:themeColor="text1"/>
                      <w:spacing w:val="-3"/>
                      <w:lang w:eastAsia="zh-CN"/>
                      <w14:textFill>
                        <w14:solidFill>
                          <w14:schemeClr w14:val="tx1"/>
                        </w14:solidFill>
                      </w14:textFill>
                    </w:rPr>
                    <w:t>，</w:t>
                  </w:r>
                  <w:r>
                    <w:rPr>
                      <w:rFonts w:ascii="Calibri" w:hAnsi="Calibri" w:eastAsia="宋体" w:cs="Times New Roman"/>
                      <w:color w:val="000000" w:themeColor="text1"/>
                      <w:spacing w:val="-1"/>
                      <w:lang w:eastAsia="zh-CN"/>
                      <w14:textFill>
                        <w14:solidFill>
                          <w14:schemeClr w14:val="tx1"/>
                        </w14:solidFill>
                      </w14:textFill>
                    </w:rPr>
                    <w:t>宽</w:t>
                  </w:r>
                  <w:r>
                    <w:rPr>
                      <w:rFonts w:ascii="Calibri" w:hAnsi="Calibri" w:eastAsia="宋体" w:cs="Times New Roman"/>
                      <w:color w:val="000000" w:themeColor="text1"/>
                      <w:lang w:eastAsia="zh-CN"/>
                      <w14:textFill>
                        <w14:solidFill>
                          <w14:schemeClr w14:val="tx1"/>
                        </w14:solidFill>
                      </w14:textFill>
                    </w:rPr>
                    <w:t>为</w:t>
                  </w:r>
                  <w:r>
                    <w:rPr>
                      <w:rFonts w:hint="eastAsia" w:ascii="Times New Roman" w:hAnsi="Times New Roman" w:cs="Times New Roman"/>
                      <w:color w:val="000000" w:themeColor="text1"/>
                      <w:spacing w:val="1"/>
                      <w:lang w:eastAsia="zh-CN"/>
                      <w14:textFill>
                        <w14:solidFill>
                          <w14:schemeClr w14:val="tx1"/>
                        </w14:solidFill>
                      </w14:textFill>
                    </w:rPr>
                    <w:t>6.16</w:t>
                  </w:r>
                  <w:r>
                    <w:rPr>
                      <w:rFonts w:ascii="Times New Roman" w:hAnsi="Times New Roman" w:eastAsia="Times New Roman" w:cs="Times New Roman"/>
                      <w:color w:val="000000" w:themeColor="text1"/>
                      <w:spacing w:val="-3"/>
                      <w:lang w:eastAsia="zh-CN"/>
                      <w14:textFill>
                        <w14:solidFill>
                          <w14:schemeClr w14:val="tx1"/>
                        </w14:solidFill>
                      </w14:textFill>
                    </w:rPr>
                    <w:t>m</w:t>
                  </w:r>
                  <w:r>
                    <w:rPr>
                      <w:rFonts w:ascii="Calibri" w:hAnsi="Calibri" w:eastAsia="宋体" w:cs="Times New Roman"/>
                      <w:color w:val="000000" w:themeColor="text1"/>
                      <w:spacing w:val="-1"/>
                      <w:lang w:eastAsia="zh-CN"/>
                      <w14:textFill>
                        <w14:solidFill>
                          <w14:schemeClr w14:val="tx1"/>
                        </w14:solidFill>
                      </w14:textFill>
                    </w:rPr>
                    <w:t>，占</w:t>
                  </w:r>
                  <w:r>
                    <w:rPr>
                      <w:rFonts w:ascii="Calibri" w:hAnsi="Calibri" w:eastAsia="宋体" w:cs="Times New Roman"/>
                      <w:color w:val="000000" w:themeColor="text1"/>
                      <w:spacing w:val="-3"/>
                      <w:lang w:eastAsia="zh-CN"/>
                      <w14:textFill>
                        <w14:solidFill>
                          <w14:schemeClr w14:val="tx1"/>
                        </w14:solidFill>
                      </w14:textFill>
                    </w:rPr>
                    <w:t>地</w:t>
                  </w:r>
                  <w:r>
                    <w:rPr>
                      <w:rFonts w:ascii="Calibri" w:hAnsi="Calibri" w:eastAsia="宋体" w:cs="Times New Roman"/>
                      <w:color w:val="000000" w:themeColor="text1"/>
                      <w:spacing w:val="-1"/>
                      <w:lang w:eastAsia="zh-CN"/>
                      <w14:textFill>
                        <w14:solidFill>
                          <w14:schemeClr w14:val="tx1"/>
                        </w14:solidFill>
                      </w14:textFill>
                    </w:rPr>
                    <w:t>面积</w:t>
                  </w:r>
                  <w:r>
                    <w:rPr>
                      <w:rFonts w:ascii="Calibri" w:hAnsi="Calibri" w:eastAsia="宋体" w:cs="Times New Roman"/>
                      <w:color w:val="000000" w:themeColor="text1"/>
                      <w:lang w:eastAsia="zh-CN"/>
                      <w14:textFill>
                        <w14:solidFill>
                          <w14:schemeClr w14:val="tx1"/>
                        </w14:solidFill>
                      </w14:textFill>
                    </w:rPr>
                    <w:t>为</w:t>
                  </w:r>
                  <w:r>
                    <w:rPr>
                      <w:rFonts w:hint="eastAsia" w:ascii="Calibri" w:hAnsi="Calibri" w:eastAsia="宋体" w:cs="Times New Roman"/>
                      <w:color w:val="000000" w:themeColor="text1"/>
                      <w:lang w:eastAsia="zh-CN"/>
                      <w14:textFill>
                        <w14:solidFill>
                          <w14:schemeClr w14:val="tx1"/>
                        </w14:solidFill>
                      </w14:textFill>
                    </w:rPr>
                    <w:t>87.35m</w:t>
                  </w:r>
                  <w:r>
                    <w:rPr>
                      <w:rFonts w:hint="eastAsia" w:ascii="Times New Roman" w:hAnsi="Times New Roman" w:cs="Times New Roman"/>
                      <w:color w:val="000000" w:themeColor="text1"/>
                      <w:vertAlign w:val="superscript"/>
                      <w:lang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辅助用房。</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通气管口</w:t>
                  </w:r>
                </w:p>
              </w:tc>
              <w:tc>
                <w:tcPr>
                  <w:tcW w:w="4785" w:type="dxa"/>
                </w:tcPr>
                <w:p>
                  <w:pPr>
                    <w:pStyle w:val="88"/>
                    <w:spacing w:line="276" w:lineRule="exact"/>
                    <w:ind w:right="13"/>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项目柴油罐、汽油罐分别设置通气管，共</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4</w:t>
                  </w:r>
                  <w:r>
                    <w:rPr>
                      <w:rFonts w:ascii="Times New Roman" w:hAnsi="Times New Roman" w:eastAsia="宋体" w:cs="Times New Roman"/>
                      <w:color w:val="000000" w:themeColor="text1"/>
                      <w:spacing w:val="-3"/>
                      <w:sz w:val="21"/>
                      <w:szCs w:val="21"/>
                      <w:lang w:eastAsia="zh-CN"/>
                      <w14:textFill>
                        <w14:solidFill>
                          <w14:schemeClr w14:val="tx1"/>
                        </w14:solidFill>
                      </w14:textFill>
                    </w:rPr>
                    <w:t>根，立管高出地平面4.5m。通气管管口安装机械呼吸阀。</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卸油场</w:t>
                  </w:r>
                </w:p>
              </w:tc>
              <w:tc>
                <w:tcPr>
                  <w:tcW w:w="4785" w:type="dxa"/>
                  <w:vAlign w:val="center"/>
                </w:tcPr>
                <w:p>
                  <w:pPr>
                    <w:pStyle w:val="88"/>
                    <w:spacing w:line="276" w:lineRule="exact"/>
                    <w:ind w:right="13"/>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卸油平台1个，露天设置</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4" w:type="dxa"/>
                  <w:vMerge w:val="continue"/>
                  <w:tcBorders>
                    <w:bottom w:val="single" w:color="auto" w:sz="4" w:space="0"/>
                  </w:tcBorders>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tcBorders>
                    <w:bottom w:val="single" w:color="auto" w:sz="4" w:space="0"/>
                  </w:tcBorders>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加油车道</w:t>
                  </w:r>
                </w:p>
              </w:tc>
              <w:tc>
                <w:tcPr>
                  <w:tcW w:w="4785" w:type="dxa"/>
                  <w:tcBorders>
                    <w:bottom w:val="single" w:color="auto" w:sz="4" w:space="0"/>
                  </w:tcBorders>
                  <w:vAlign w:val="center"/>
                </w:tcPr>
                <w:p>
                  <w:pPr>
                    <w:pStyle w:val="88"/>
                    <w:spacing w:line="276" w:lineRule="exact"/>
                    <w:ind w:right="13"/>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行车道宽度分别为</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7</w:t>
                  </w:r>
                  <w:r>
                    <w:rPr>
                      <w:rFonts w:ascii="Times New Roman" w:hAnsi="Times New Roman" w:eastAsia="宋体" w:cs="Times New Roman"/>
                      <w:color w:val="000000" w:themeColor="text1"/>
                      <w:spacing w:val="-3"/>
                      <w:sz w:val="21"/>
                      <w:szCs w:val="21"/>
                      <w:lang w:eastAsia="zh-CN"/>
                      <w14:textFill>
                        <w14:solidFill>
                          <w14:schemeClr w14:val="tx1"/>
                        </w14:solidFill>
                      </w14:textFill>
                    </w:rPr>
                    <w:t>m，转弯半径</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9</w:t>
                  </w:r>
                  <w:r>
                    <w:rPr>
                      <w:rFonts w:ascii="Times New Roman" w:hAnsi="Times New Roman" w:eastAsia="宋体" w:cs="Times New Roman"/>
                      <w:color w:val="000000" w:themeColor="text1"/>
                      <w:spacing w:val="-3"/>
                      <w:sz w:val="21"/>
                      <w:szCs w:val="21"/>
                      <w:lang w:eastAsia="zh-CN"/>
                      <w14:textFill>
                        <w14:solidFill>
                          <w14:schemeClr w14:val="tx1"/>
                        </w14:solidFill>
                      </w14:textFill>
                    </w:rPr>
                    <w:t>m。</w:t>
                  </w:r>
                </w:p>
              </w:tc>
              <w:tc>
                <w:tcPr>
                  <w:tcW w:w="1311" w:type="dxa"/>
                  <w:tcBorders>
                    <w:bottom w:val="single" w:color="auto" w:sz="4" w:space="0"/>
                  </w:tcBorders>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消防设施</w:t>
                  </w:r>
                </w:p>
              </w:tc>
              <w:tc>
                <w:tcPr>
                  <w:tcW w:w="4785" w:type="dxa"/>
                  <w:vAlign w:val="center"/>
                </w:tcPr>
                <w:p>
                  <w:pPr>
                    <w:pStyle w:val="88"/>
                    <w:spacing w:line="276" w:lineRule="exact"/>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手提式干粉灭火器8kg6具，推车式干粉灭火器35kg2具，灭火毯6块，消防沙箱2m</w:t>
                  </w:r>
                  <w:r>
                    <w:rPr>
                      <w:rFonts w:hint="eastAsia" w:ascii="Times New Roman" w:hAnsi="Times New Roman" w:eastAsia="宋体" w:cs="Times New Roman"/>
                      <w:color w:val="000000" w:themeColor="text1"/>
                      <w:spacing w:val="-3"/>
                      <w:sz w:val="21"/>
                      <w:szCs w:val="21"/>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1座，消防锨2个，消防桶4个</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公用工程</w:t>
                  </w: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供水</w:t>
                  </w:r>
                </w:p>
              </w:tc>
              <w:tc>
                <w:tcPr>
                  <w:tcW w:w="4785" w:type="dxa"/>
                  <w:vAlign w:val="center"/>
                </w:tcPr>
                <w:p>
                  <w:pPr>
                    <w:pStyle w:val="88"/>
                    <w:spacing w:line="276" w:lineRule="exact"/>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市政自来水管网。</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供电</w:t>
                  </w:r>
                </w:p>
              </w:tc>
              <w:tc>
                <w:tcPr>
                  <w:tcW w:w="4785" w:type="dxa"/>
                  <w:vAlign w:val="center"/>
                </w:tcPr>
                <w:p>
                  <w:pPr>
                    <w:pStyle w:val="88"/>
                    <w:spacing w:line="276" w:lineRule="exact"/>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市政电网。</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4785" w:type="dxa"/>
                  <w:vAlign w:val="center"/>
                </w:tcPr>
                <w:p>
                  <w:pPr>
                    <w:pStyle w:val="88"/>
                    <w:spacing w:line="276" w:lineRule="exact"/>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30kW柴油发电机一台。</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环保工程</w:t>
                  </w: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废水治理</w:t>
                  </w:r>
                </w:p>
              </w:tc>
              <w:tc>
                <w:tcPr>
                  <w:tcW w:w="4785" w:type="dxa"/>
                  <w:vAlign w:val="center"/>
                </w:tcPr>
                <w:p>
                  <w:pPr>
                    <w:pStyle w:val="88"/>
                    <w:spacing w:line="276" w:lineRule="exact"/>
                    <w:jc w:val="both"/>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生活污水经化粪池（位于站区西北角）预处理后，定期清掏。</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废气治理</w:t>
                  </w: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采用加油</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w:t>
                  </w:r>
                  <w:r>
                    <w:rPr>
                      <w:rFonts w:ascii="Times New Roman" w:hAnsi="Times New Roman" w:eastAsia="宋体" w:cs="Times New Roman"/>
                      <w:color w:val="000000" w:themeColor="text1"/>
                      <w:spacing w:val="-3"/>
                      <w:sz w:val="21"/>
                      <w:szCs w:val="21"/>
                      <w:lang w:eastAsia="zh-CN"/>
                      <w14:textFill>
                        <w14:solidFill>
                          <w14:schemeClr w14:val="tx1"/>
                        </w14:solidFill>
                      </w14:textFill>
                    </w:rPr>
                    <w:t>卸油</w:t>
                  </w: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、储油</w:t>
                  </w:r>
                  <w:r>
                    <w:rPr>
                      <w:rFonts w:ascii="Times New Roman" w:hAnsi="Times New Roman" w:eastAsia="宋体" w:cs="Times New Roman"/>
                      <w:color w:val="000000" w:themeColor="text1"/>
                      <w:spacing w:val="-3"/>
                      <w:sz w:val="21"/>
                      <w:szCs w:val="21"/>
                      <w:lang w:eastAsia="zh-CN"/>
                      <w14:textFill>
                        <w14:solidFill>
                          <w14:schemeClr w14:val="tx1"/>
                        </w14:solidFill>
                      </w14:textFill>
                    </w:rPr>
                    <w:t>油气回收系统</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固废治理</w:t>
                  </w: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生活垃圾设垃圾桶，分类收集后由环卫部门统一收集清运，危险废物交有资质单位处置，加油站设置危废暂存桶，且设置符合《危险废物贮存污染控制标准》（GB18597-2001）及修改单的危废暂存间。</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噪声治理</w:t>
                  </w: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设置减速带、禁止鸣笛、保持道路通畅。</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4" w:type="dxa"/>
                  <w:vMerge w:val="continue"/>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p>
              </w:tc>
              <w:tc>
                <w:tcPr>
                  <w:tcW w:w="1559"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ascii="Times New Roman" w:hAnsi="Times New Roman" w:eastAsia="宋体" w:cs="Times New Roman"/>
                      <w:color w:val="000000" w:themeColor="text1"/>
                      <w:spacing w:val="-3"/>
                      <w:sz w:val="21"/>
                      <w:szCs w:val="21"/>
                      <w:lang w:eastAsia="zh-CN"/>
                      <w14:textFill>
                        <w14:solidFill>
                          <w14:schemeClr w14:val="tx1"/>
                        </w14:solidFill>
                      </w14:textFill>
                    </w:rPr>
                    <w:t>绿化</w:t>
                  </w:r>
                </w:p>
              </w:tc>
              <w:tc>
                <w:tcPr>
                  <w:tcW w:w="4785" w:type="dxa"/>
                  <w:vAlign w:val="center"/>
                </w:tcPr>
                <w:p>
                  <w:pPr>
                    <w:pStyle w:val="88"/>
                    <w:spacing w:line="276" w:lineRule="exact"/>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绿化面积150m</w:t>
                  </w:r>
                  <w:r>
                    <w:rPr>
                      <w:rFonts w:hint="eastAsia" w:ascii="Times New Roman" w:hAnsi="Times New Roman" w:eastAsia="宋体" w:cs="Times New Roman"/>
                      <w:color w:val="000000" w:themeColor="text1"/>
                      <w:spacing w:val="-3"/>
                      <w:sz w:val="21"/>
                      <w:szCs w:val="21"/>
                      <w:vertAlign w:val="superscript"/>
                      <w:lang w:eastAsia="zh-CN"/>
                      <w14:textFill>
                        <w14:solidFill>
                          <w14:schemeClr w14:val="tx1"/>
                        </w14:solidFill>
                      </w14:textFill>
                    </w:rPr>
                    <w:t>2</w:t>
                  </w:r>
                </w:p>
              </w:tc>
              <w:tc>
                <w:tcPr>
                  <w:tcW w:w="1311" w:type="dxa"/>
                  <w:vAlign w:val="center"/>
                </w:tcPr>
                <w:p>
                  <w:pPr>
                    <w:pStyle w:val="88"/>
                    <w:spacing w:line="276" w:lineRule="exact"/>
                    <w:jc w:val="center"/>
                    <w:rPr>
                      <w:rFonts w:ascii="Times New Roman" w:hAnsi="Times New Roman" w:eastAsia="宋体" w:cs="Times New Roman"/>
                      <w:color w:val="000000" w:themeColor="text1"/>
                      <w:spacing w:val="-3"/>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3"/>
                      <w:sz w:val="21"/>
                      <w:szCs w:val="21"/>
                      <w:lang w:eastAsia="zh-CN"/>
                      <w14:textFill>
                        <w14:solidFill>
                          <w14:schemeClr w14:val="tx1"/>
                        </w14:solidFill>
                      </w14:textFill>
                    </w:rPr>
                    <w:t>已建成</w:t>
                  </w:r>
                </w:p>
              </w:tc>
            </w:tr>
          </w:tbl>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（3）项目主要设备一览表</w:t>
            </w:r>
          </w:p>
          <w:p>
            <w:pPr>
              <w:spacing w:line="240" w:lineRule="auto"/>
              <w:ind w:firstLine="422"/>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表1-5    项目主要设备一览表</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45"/>
              <w:gridCol w:w="3469"/>
              <w:gridCol w:w="85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名称</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规格</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税控型加油机</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汽油储罐</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SF</w:t>
                  </w:r>
                  <w:r>
                    <w:rPr>
                      <w:rFonts w:hint="eastAsia"/>
                      <w:color w:val="000000" w:themeColor="text1"/>
                      <w:sz w:val="21"/>
                      <w:szCs w:val="21"/>
                      <w14:textFill>
                        <w14:solidFill>
                          <w14:schemeClr w14:val="tx1"/>
                        </w14:solidFill>
                      </w14:textFill>
                    </w:rPr>
                    <w:t>复合双层罐40m</w:t>
                  </w:r>
                  <w:r>
                    <w:rPr>
                      <w:rFonts w:hint="eastAsia"/>
                      <w:color w:val="000000" w:themeColor="text1"/>
                      <w:sz w:val="21"/>
                      <w:szCs w:val="21"/>
                      <w:vertAlign w:val="superscript"/>
                      <w14:textFill>
                        <w14:solidFill>
                          <w14:schemeClr w14:val="tx1"/>
                        </w14:solidFill>
                      </w14:textFill>
                    </w:rPr>
                    <w:t>3</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汽油储罐</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SF</w:t>
                  </w:r>
                  <w:r>
                    <w:rPr>
                      <w:rFonts w:hint="eastAsia"/>
                      <w:color w:val="000000" w:themeColor="text1"/>
                      <w:sz w:val="21"/>
                      <w:szCs w:val="21"/>
                      <w14:textFill>
                        <w14:solidFill>
                          <w14:schemeClr w14:val="tx1"/>
                        </w14:solidFill>
                      </w14:textFill>
                    </w:rPr>
                    <w:t>复合双层罐30m</w:t>
                  </w:r>
                  <w:r>
                    <w:rPr>
                      <w:rFonts w:hint="eastAsia"/>
                      <w:color w:val="000000" w:themeColor="text1"/>
                      <w:sz w:val="21"/>
                      <w:szCs w:val="21"/>
                      <w:vertAlign w:val="superscript"/>
                      <w14:textFill>
                        <w14:solidFill>
                          <w14:schemeClr w14:val="tx1"/>
                        </w14:solidFill>
                      </w14:textFill>
                    </w:rPr>
                    <w:t>3</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柴油储罐</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SF</w:t>
                  </w:r>
                  <w:r>
                    <w:rPr>
                      <w:rFonts w:hint="eastAsia"/>
                      <w:color w:val="000000" w:themeColor="text1"/>
                      <w:sz w:val="21"/>
                      <w:szCs w:val="21"/>
                      <w14:textFill>
                        <w14:solidFill>
                          <w14:schemeClr w14:val="tx1"/>
                        </w14:solidFill>
                      </w14:textFill>
                    </w:rPr>
                    <w:t>复合双层罐30m</w:t>
                  </w:r>
                  <w:r>
                    <w:rPr>
                      <w:rFonts w:hint="eastAsia"/>
                      <w:color w:val="000000" w:themeColor="text1"/>
                      <w:sz w:val="21"/>
                      <w:szCs w:val="21"/>
                      <w:vertAlign w:val="superscript"/>
                      <w14:textFill>
                        <w14:solidFill>
                          <w14:schemeClr w14:val="tx1"/>
                        </w14:solidFill>
                      </w14:textFill>
                    </w:rPr>
                    <w:t>3</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0"/>
                      <w14:textFill>
                        <w14:solidFill>
                          <w14:schemeClr w14:val="tx1"/>
                        </w14:solidFill>
                      </w14:textFill>
                    </w:rPr>
                    <w:t>高液位报警仪</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潜油泵</w:t>
                  </w:r>
                </w:p>
              </w:tc>
              <w:tc>
                <w:tcPr>
                  <w:tcW w:w="3469" w:type="dxa"/>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Q=228L/min </w:t>
                  </w:r>
                  <w:r>
                    <w:rPr>
                      <w:rFonts w:hint="eastAsia"/>
                      <w:color w:val="000000" w:themeColor="text1"/>
                      <w:sz w:val="21"/>
                      <w:szCs w:val="21"/>
                      <w14:textFill>
                        <w14:solidFill>
                          <w14:schemeClr w14:val="tx1"/>
                        </w14:solidFill>
                      </w14:textFill>
                    </w:rPr>
                    <w:t>功率</w:t>
                  </w:r>
                  <w:r>
                    <w:rPr>
                      <w:color w:val="000000" w:themeColor="text1"/>
                      <w:sz w:val="21"/>
                      <w:szCs w:val="21"/>
                      <w14:textFill>
                        <w14:solidFill>
                          <w14:schemeClr w14:val="tx1"/>
                        </w14:solidFill>
                      </w14:textFill>
                    </w:rPr>
                    <w:t>=2.0HP</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31" w:type="dxa"/>
                  <w:vAlign w:val="center"/>
                </w:tcPr>
                <w:p>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卸油油气回收系统</w:t>
                  </w:r>
                </w:p>
              </w:tc>
              <w:tc>
                <w:tcPr>
                  <w:tcW w:w="346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储油油气回收系统</w:t>
                  </w:r>
                </w:p>
              </w:tc>
              <w:tc>
                <w:tcPr>
                  <w:tcW w:w="346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加油油气回收系统</w:t>
                  </w:r>
                </w:p>
              </w:tc>
              <w:tc>
                <w:tcPr>
                  <w:tcW w:w="346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9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0"/>
                      <w14:textFill>
                        <w14:solidFill>
                          <w14:schemeClr w14:val="tx1"/>
                        </w14:solidFill>
                      </w14:textFill>
                    </w:rPr>
                    <w:t>信息及监控系统</w:t>
                  </w:r>
                </w:p>
              </w:tc>
              <w:tc>
                <w:tcPr>
                  <w:tcW w:w="346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5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3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1945" w:type="dxa"/>
                </w:tcPr>
                <w:p>
                  <w:pPr>
                    <w:pStyle w:val="88"/>
                    <w:spacing w:before="91"/>
                    <w:ind w:left="546"/>
                    <w:rPr>
                      <w:color w:val="000000" w:themeColor="text1"/>
                      <w:sz w:val="20"/>
                      <w:lang w:eastAsia="zh-CN"/>
                      <w14:textFill>
                        <w14:solidFill>
                          <w14:schemeClr w14:val="tx1"/>
                        </w14:solidFill>
                      </w14:textFill>
                    </w:rPr>
                  </w:pPr>
                  <w:r>
                    <w:rPr>
                      <w:color w:val="000000" w:themeColor="text1"/>
                      <w:sz w:val="20"/>
                      <w:lang w:eastAsia="zh-CN"/>
                      <w14:textFill>
                        <w14:solidFill>
                          <w14:schemeClr w14:val="tx1"/>
                        </w14:solidFill>
                      </w14:textFill>
                    </w:rPr>
                    <w:t>发电机</w:t>
                  </w:r>
                </w:p>
              </w:tc>
              <w:tc>
                <w:tcPr>
                  <w:tcW w:w="3469" w:type="dxa"/>
                </w:tcPr>
                <w:p>
                  <w:pPr>
                    <w:pStyle w:val="88"/>
                    <w:spacing w:before="104"/>
                    <w:ind w:left="223" w:right="196"/>
                    <w:jc w:val="center"/>
                    <w:rPr>
                      <w:rFonts w:ascii="Times New Roman"/>
                      <w:color w:val="000000" w:themeColor="text1"/>
                      <w:sz w:val="20"/>
                      <w:lang w:eastAsia="zh-CN"/>
                      <w14:textFill>
                        <w14:solidFill>
                          <w14:schemeClr w14:val="tx1"/>
                        </w14:solidFill>
                      </w14:textFill>
                    </w:rPr>
                  </w:pPr>
                  <w:r>
                    <w:rPr>
                      <w:rFonts w:ascii="Times New Roman"/>
                      <w:color w:val="000000" w:themeColor="text1"/>
                      <w:sz w:val="20"/>
                      <w:lang w:eastAsia="zh-CN"/>
                      <w14:textFill>
                        <w14:solidFill>
                          <w14:schemeClr w14:val="tx1"/>
                        </w14:solidFill>
                      </w14:textFill>
                    </w:rPr>
                    <w:t>30kW</w:t>
                  </w:r>
                </w:p>
              </w:tc>
              <w:tc>
                <w:tcPr>
                  <w:tcW w:w="850" w:type="dxa"/>
                </w:tcPr>
                <w:p>
                  <w:pPr>
                    <w:pStyle w:val="88"/>
                    <w:spacing w:before="91"/>
                    <w:ind w:left="26"/>
                    <w:jc w:val="center"/>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eastAsia="zh-CN"/>
                      <w14:textFill>
                        <w14:solidFill>
                          <w14:schemeClr w14:val="tx1"/>
                        </w14:solidFill>
                      </w14:textFill>
                    </w:rPr>
                    <w:t>台</w:t>
                  </w:r>
                </w:p>
              </w:tc>
              <w:tc>
                <w:tcPr>
                  <w:tcW w:w="931" w:type="dxa"/>
                </w:tcPr>
                <w:p>
                  <w:pPr>
                    <w:pStyle w:val="88"/>
                    <w:spacing w:before="104"/>
                    <w:ind w:left="28"/>
                    <w:jc w:val="center"/>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eastAsia="zh-CN"/>
                      <w14:textFill>
                        <w14:solidFill>
                          <w14:schemeClr w14:val="tx1"/>
                        </w14:solidFill>
                      </w14:textFill>
                    </w:rPr>
                    <w:t>1</w:t>
                  </w:r>
                </w:p>
              </w:tc>
            </w:tr>
          </w:tbl>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（4）产品方案及经营规模</w:t>
            </w:r>
          </w:p>
          <w:p>
            <w:pPr>
              <w:ind w:firstLine="48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项目储存汽油最大量110m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（约86.9t，汽油密度按0.79t/ 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计算），储存柴油最大量30m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（约25.5t，柴油密度按0.85t/ 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计算），储罐均为埋地油罐。根据项目业主提供数据，项目经营规模为每年可销售成品汽油4000t、柴油500t，项目原有和改建后油品年销售量基本一致。项目油品具体储存和销售情况见下表。</w:t>
            </w:r>
          </w:p>
          <w:p>
            <w:pPr>
              <w:spacing w:line="240" w:lineRule="auto"/>
              <w:ind w:firstLine="422"/>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表1-6  项目原材料及来源</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993"/>
              <w:gridCol w:w="1417"/>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8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27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储量</w:t>
                  </w:r>
                </w:p>
              </w:tc>
              <w:tc>
                <w:tcPr>
                  <w:tcW w:w="993"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单位</w:t>
                  </w:r>
                </w:p>
              </w:tc>
              <w:tc>
                <w:tcPr>
                  <w:tcW w:w="1417" w:type="dxa"/>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年销售量</w:t>
                  </w:r>
                </w:p>
              </w:tc>
              <w:tc>
                <w:tcPr>
                  <w:tcW w:w="3623" w:type="dxa"/>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8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汽油</w:t>
                  </w:r>
                </w:p>
              </w:tc>
              <w:tc>
                <w:tcPr>
                  <w:tcW w:w="127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110</w:t>
                  </w:r>
                </w:p>
              </w:tc>
              <w:tc>
                <w:tcPr>
                  <w:tcW w:w="993"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p>
              </w:tc>
              <w:tc>
                <w:tcPr>
                  <w:tcW w:w="1417"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4000t</w:t>
                  </w:r>
                </w:p>
              </w:tc>
              <w:tc>
                <w:tcPr>
                  <w:tcW w:w="3623"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延长壳牌石油有限公司提供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8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柴油</w:t>
                  </w:r>
                </w:p>
              </w:tc>
              <w:tc>
                <w:tcPr>
                  <w:tcW w:w="127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993"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p>
              </w:tc>
              <w:tc>
                <w:tcPr>
                  <w:tcW w:w="1417"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500t</w:t>
                  </w:r>
                </w:p>
              </w:tc>
              <w:tc>
                <w:tcPr>
                  <w:tcW w:w="3623" w:type="dxa"/>
                  <w:vMerge w:val="continue"/>
                </w:tcPr>
                <w:p>
                  <w:pPr>
                    <w:spacing w:line="240" w:lineRule="auto"/>
                    <w:ind w:firstLine="0" w:firstLineChars="0"/>
                    <w:jc w:val="center"/>
                    <w:rPr>
                      <w:color w:val="000000" w:themeColor="text1"/>
                      <w:sz w:val="21"/>
                      <w:szCs w:val="21"/>
                      <w14:textFill>
                        <w14:solidFill>
                          <w14:schemeClr w14:val="tx1"/>
                        </w14:solidFill>
                      </w14:textFill>
                    </w:rPr>
                  </w:pP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根据本项目所使用的原辅材料，对照《危险化学品名录（2015 版）》，本项目主要危险物质有：汽油和柴油，具有易燃易爆的特性。汽油和柴油理化性质和危险特性见表1-7和表1-8。</w:t>
            </w:r>
          </w:p>
          <w:p>
            <w:pPr>
              <w:ind w:firstLine="0" w:firstLineChars="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表</w:t>
            </w:r>
            <w:r>
              <w:rPr>
                <w:rFonts w:hint="eastAsia"/>
                <w:b/>
                <w:color w:val="000000" w:themeColor="text1"/>
                <w:sz w:val="21"/>
                <w14:textFill>
                  <w14:solidFill>
                    <w14:schemeClr w14:val="tx1"/>
                  </w14:solidFill>
                </w14:textFill>
              </w:rPr>
              <w:t>1-7</w:t>
            </w:r>
            <w:r>
              <w:rPr>
                <w:b/>
                <w:color w:val="000000" w:themeColor="text1"/>
                <w:sz w:val="21"/>
                <w14:textFill>
                  <w14:solidFill>
                    <w14:schemeClr w14:val="tx1"/>
                  </w14:solidFill>
                </w14:textFill>
              </w:rPr>
              <w:t xml:space="preserve">  汽油的理化性质和危险特性</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91"/>
              <w:gridCol w:w="2004"/>
              <w:gridCol w:w="853"/>
              <w:gridCol w:w="1562"/>
              <w:gridCol w:w="113"/>
              <w:gridCol w:w="22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28" w:type="dxa"/>
                  <w:gridSpan w:val="6"/>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第一部分    危险性概述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危险性类别：</w:t>
                  </w:r>
                </w:p>
              </w:tc>
              <w:tc>
                <w:tcPr>
                  <w:tcW w:w="2857"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第3.1类低闪点易燃液体</w:t>
                  </w:r>
                </w:p>
              </w:tc>
              <w:tc>
                <w:tcPr>
                  <w:tcW w:w="167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燃爆危险：</w:t>
                  </w:r>
                </w:p>
              </w:tc>
              <w:tc>
                <w:tcPr>
                  <w:tcW w:w="2205"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易燃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侵入途径：</w:t>
                  </w:r>
                </w:p>
              </w:tc>
              <w:tc>
                <w:tcPr>
                  <w:tcW w:w="2857"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吸入、食入、经皮吸收</w:t>
                  </w:r>
                </w:p>
              </w:tc>
              <w:tc>
                <w:tcPr>
                  <w:tcW w:w="1675" w:type="dxa"/>
                  <w:gridSpan w:val="2"/>
                  <w:vAlign w:val="center"/>
                </w:tcPr>
                <w:p>
                  <w:pPr>
                    <w:spacing w:line="240" w:lineRule="auto"/>
                    <w:ind w:firstLine="0" w:firstLineChars="0"/>
                    <w:jc w:val="center"/>
                    <w:rPr>
                      <w:color w:val="000000" w:themeColor="text1"/>
                      <w:spacing w:val="-20"/>
                      <w:sz w:val="21"/>
                      <w14:textFill>
                        <w14:solidFill>
                          <w14:schemeClr w14:val="tx1"/>
                        </w14:solidFill>
                      </w14:textFill>
                    </w:rPr>
                  </w:pPr>
                  <w:r>
                    <w:rPr>
                      <w:color w:val="000000" w:themeColor="text1"/>
                      <w:spacing w:val="-20"/>
                      <w:sz w:val="21"/>
                      <w14:textFill>
                        <w14:solidFill>
                          <w14:schemeClr w14:val="tx1"/>
                        </w14:solidFill>
                      </w14:textFill>
                    </w:rPr>
                    <w:t>有 害燃烧产物：</w:t>
                  </w:r>
                </w:p>
              </w:tc>
              <w:tc>
                <w:tcPr>
                  <w:tcW w:w="2205"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一氧化碳、二氧化碳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健康危害：</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环境危害：</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该物质对环境有危害，应特别注意对地表水、土壤、大气和饮用水的污染。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28" w:type="dxa"/>
                  <w:gridSpan w:val="6"/>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第二部分   理化特性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外观及性状：</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无色或淡黄色易挥发液体，具有特殊臭味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熔点（℃）：</w:t>
                  </w:r>
                </w:p>
              </w:tc>
              <w:tc>
                <w:tcPr>
                  <w:tcW w:w="2004"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&lt;-60</w:t>
                  </w:r>
                </w:p>
              </w:tc>
              <w:tc>
                <w:tcPr>
                  <w:tcW w:w="241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相对密度（水＝1）</w:t>
                  </w:r>
                </w:p>
              </w:tc>
              <w:tc>
                <w:tcPr>
                  <w:tcW w:w="231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0.70～0.79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闪点（℃）：</w:t>
                  </w:r>
                </w:p>
              </w:tc>
              <w:tc>
                <w:tcPr>
                  <w:tcW w:w="2004"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w:t>
                  </w:r>
                </w:p>
              </w:tc>
              <w:tc>
                <w:tcPr>
                  <w:tcW w:w="241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相对密度（空气=1）</w:t>
                  </w:r>
                </w:p>
              </w:tc>
              <w:tc>
                <w:tcPr>
                  <w:tcW w:w="231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引燃温度（℃）：</w:t>
                  </w:r>
                </w:p>
              </w:tc>
              <w:tc>
                <w:tcPr>
                  <w:tcW w:w="2004"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415～530</w:t>
                  </w:r>
                </w:p>
              </w:tc>
              <w:tc>
                <w:tcPr>
                  <w:tcW w:w="241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爆炸上限％（V/V）：</w:t>
                  </w:r>
                </w:p>
              </w:tc>
              <w:tc>
                <w:tcPr>
                  <w:tcW w:w="231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沸点（℃）：</w:t>
                  </w:r>
                </w:p>
              </w:tc>
              <w:tc>
                <w:tcPr>
                  <w:tcW w:w="2004"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40～200</w:t>
                  </w:r>
                </w:p>
              </w:tc>
              <w:tc>
                <w:tcPr>
                  <w:tcW w:w="241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爆炸下限％（V/V）：</w:t>
                  </w:r>
                </w:p>
              </w:tc>
              <w:tc>
                <w:tcPr>
                  <w:tcW w:w="231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溶解性：</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28" w:type="dxa"/>
                  <w:gridSpan w:val="6"/>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第三部分   稳定性及化学活性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稳定性：</w:t>
                  </w:r>
                </w:p>
              </w:tc>
              <w:tc>
                <w:tcPr>
                  <w:tcW w:w="2004"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稳定</w:t>
                  </w:r>
                </w:p>
              </w:tc>
              <w:tc>
                <w:tcPr>
                  <w:tcW w:w="241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避免接触的条件：</w:t>
                  </w:r>
                </w:p>
              </w:tc>
              <w:tc>
                <w:tcPr>
                  <w:tcW w:w="231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明火、高热。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禁配物：</w:t>
                  </w:r>
                </w:p>
              </w:tc>
              <w:tc>
                <w:tcPr>
                  <w:tcW w:w="2004"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强氧化剂</w:t>
                  </w:r>
                </w:p>
              </w:tc>
              <w:tc>
                <w:tcPr>
                  <w:tcW w:w="2415"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聚合危害：</w:t>
                  </w:r>
                </w:p>
              </w:tc>
              <w:tc>
                <w:tcPr>
                  <w:tcW w:w="2318" w:type="dxa"/>
                  <w:gridSpan w:val="2"/>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不聚合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分解产物：</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一氧化碳、二氧化碳。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28" w:type="dxa"/>
                  <w:gridSpan w:val="6"/>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第四部分  毒理学资料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急性毒性：</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LD</w:t>
                  </w:r>
                  <w:r>
                    <w:rPr>
                      <w:color w:val="000000" w:themeColor="text1"/>
                      <w:sz w:val="21"/>
                      <w:vertAlign w:val="subscript"/>
                      <w14:textFill>
                        <w14:solidFill>
                          <w14:schemeClr w14:val="tx1"/>
                        </w14:solidFill>
                      </w14:textFill>
                    </w:rPr>
                    <w:t>50</w:t>
                  </w:r>
                  <w:r>
                    <w:rPr>
                      <w:color w:val="000000" w:themeColor="text1"/>
                      <w:sz w:val="21"/>
                      <w14:textFill>
                        <w14:solidFill>
                          <w14:schemeClr w14:val="tx1"/>
                        </w14:solidFill>
                      </w14:textFill>
                    </w:rPr>
                    <w:t>：67000mg/kg（大鼠经口），（120号溶剂汽油）</w:t>
                  </w:r>
                </w:p>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LC</w:t>
                  </w:r>
                  <w:r>
                    <w:rPr>
                      <w:color w:val="000000" w:themeColor="text1"/>
                      <w:sz w:val="21"/>
                      <w:vertAlign w:val="subscript"/>
                      <w14:textFill>
                        <w14:solidFill>
                          <w14:schemeClr w14:val="tx1"/>
                        </w14:solidFill>
                      </w14:textFill>
                    </w:rPr>
                    <w:t>50</w:t>
                  </w:r>
                  <w:r>
                    <w:rPr>
                      <w:color w:val="000000" w:themeColor="text1"/>
                      <w:sz w:val="21"/>
                      <w14:textFill>
                        <w14:solidFill>
                          <w14:schemeClr w14:val="tx1"/>
                        </w14:solidFill>
                      </w14:textFill>
                    </w:rPr>
                    <w:t>：103000mg/m</w:t>
                  </w:r>
                  <w:r>
                    <w:rPr>
                      <w:color w:val="000000" w:themeColor="text1"/>
                      <w:sz w:val="21"/>
                      <w:vertAlign w:val="superscript"/>
                      <w14:textFill>
                        <w14:solidFill>
                          <w14:schemeClr w14:val="tx1"/>
                        </w14:solidFill>
                      </w14:textFill>
                    </w:rPr>
                    <w:t>3</w:t>
                  </w:r>
                  <w:r>
                    <w:rPr>
                      <w:color w:val="000000" w:themeColor="text1"/>
                      <w:sz w:val="21"/>
                      <w14:textFill>
                        <w14:solidFill>
                          <w14:schemeClr w14:val="tx1"/>
                        </w14:solidFill>
                      </w14:textFill>
                    </w:rPr>
                    <w:t>（小鼠吸入），2小时（120号溶剂汽油）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急性中毒：</w:t>
                  </w:r>
                </w:p>
              </w:tc>
              <w:tc>
                <w:tcPr>
                  <w:tcW w:w="6737" w:type="dxa"/>
                  <w:gridSpan w:val="5"/>
                  <w:vAlign w:val="center"/>
                </w:tcPr>
                <w:p>
                  <w:pPr>
                    <w:spacing w:line="240" w:lineRule="auto"/>
                    <w:ind w:firstLine="0" w:firstLineChars="0"/>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慢性中毒：</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神经衰弱综合症，周围神经病，皮肤损害。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刺激性：</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人经眼：140ppm（8小时），轻度刺激。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91" w:type="dxa"/>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最高容许浓度</w:t>
                  </w:r>
                </w:p>
              </w:tc>
              <w:tc>
                <w:tcPr>
                  <w:tcW w:w="6737" w:type="dxa"/>
                  <w:gridSpan w:val="5"/>
                  <w:vAlign w:val="center"/>
                </w:tcPr>
                <w:p>
                  <w:pPr>
                    <w:spacing w:line="240" w:lineRule="auto"/>
                    <w:ind w:firstLine="0" w:firstLineChars="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300mg/m</w:t>
                  </w:r>
                  <w:r>
                    <w:rPr>
                      <w:color w:val="000000" w:themeColor="text1"/>
                      <w:sz w:val="21"/>
                      <w:vertAlign w:val="superscript"/>
                      <w14:textFill>
                        <w14:solidFill>
                          <w14:schemeClr w14:val="tx1"/>
                        </w14:solidFill>
                      </w14:textFill>
                    </w:rPr>
                    <w:t>3</w:t>
                  </w:r>
                </w:p>
              </w:tc>
            </w:tr>
          </w:tbl>
          <w:p>
            <w:pPr>
              <w:ind w:firstLine="0" w:firstLineChars="0"/>
              <w:jc w:val="center"/>
              <w:rPr>
                <w:b/>
                <w:color w:val="000000" w:themeColor="text1"/>
                <w:sz w:val="21"/>
                <w14:textFill>
                  <w14:solidFill>
                    <w14:schemeClr w14:val="tx1"/>
                  </w14:solidFill>
                </w14:textFill>
              </w:rPr>
            </w:pPr>
            <w:bookmarkStart w:id="4" w:name="_Toc506115304"/>
            <w:r>
              <w:rPr>
                <w:b/>
                <w:color w:val="000000" w:themeColor="text1"/>
                <w:sz w:val="21"/>
                <w14:textFill>
                  <w14:solidFill>
                    <w14:schemeClr w14:val="tx1"/>
                  </w14:solidFill>
                </w14:textFill>
              </w:rPr>
              <w:t>表</w:t>
            </w:r>
            <w:r>
              <w:rPr>
                <w:rFonts w:hint="eastAsia"/>
                <w:b/>
                <w:color w:val="000000" w:themeColor="text1"/>
                <w:sz w:val="21"/>
                <w14:textFill>
                  <w14:solidFill>
                    <w14:schemeClr w14:val="tx1"/>
                  </w14:solidFill>
                </w14:textFill>
              </w:rPr>
              <w:t>1-8</w:t>
            </w:r>
            <w:r>
              <w:rPr>
                <w:b/>
                <w:color w:val="000000" w:themeColor="text1"/>
                <w:sz w:val="21"/>
                <w14:textFill>
                  <w14:solidFill>
                    <w14:schemeClr w14:val="tx1"/>
                  </w14:solidFill>
                </w14:textFill>
              </w:rPr>
              <w:t xml:space="preserve"> </w:t>
            </w:r>
            <w:r>
              <w:rPr>
                <w:rFonts w:hint="eastAsia"/>
                <w:b/>
                <w:color w:val="000000" w:themeColor="text1"/>
                <w:sz w:val="21"/>
                <w14:textFill>
                  <w14:solidFill>
                    <w14:schemeClr w14:val="tx1"/>
                  </w14:solidFill>
                </w14:textFill>
              </w:rPr>
              <w:t>柴油</w:t>
            </w:r>
            <w:r>
              <w:rPr>
                <w:b/>
                <w:color w:val="000000" w:themeColor="text1"/>
                <w:sz w:val="21"/>
                <w14:textFill>
                  <w14:solidFill>
                    <w14:schemeClr w14:val="tx1"/>
                  </w14:solidFill>
                </w14:textFill>
              </w:rPr>
              <w:t>的理化性质和危险特性</w:t>
            </w:r>
            <w:bookmarkEnd w:id="4"/>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7"/>
              <w:gridCol w:w="1664"/>
              <w:gridCol w:w="1297"/>
              <w:gridCol w:w="784"/>
              <w:gridCol w:w="2107"/>
              <w:gridCol w:w="139"/>
              <w:gridCol w:w="1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标识</w:t>
                  </w:r>
                </w:p>
              </w:tc>
              <w:tc>
                <w:tcPr>
                  <w:tcW w:w="296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英文名</w:t>
                  </w:r>
                  <w:r>
                    <w:rPr>
                      <w:rFonts w:hint="eastAsia" w:ascii="宋体" w:hAnsi="宋体"/>
                      <w:color w:val="000000" w:themeColor="text1"/>
                      <w:sz w:val="21"/>
                      <w:szCs w:val="21"/>
                      <w:lang w:val="en-GB"/>
                      <w14:textFill>
                        <w14:solidFill>
                          <w14:schemeClr w14:val="tx1"/>
                        </w14:solidFill>
                      </w14:textFill>
                    </w:rPr>
                    <w:t>：</w:t>
                  </w:r>
                  <w:r>
                    <w:rPr>
                      <w:rFonts w:hint="eastAsia" w:ascii="宋体" w:hAnsi="宋体"/>
                      <w:bCs/>
                      <w:color w:val="000000" w:themeColor="text1"/>
                      <w:sz w:val="21"/>
                      <w:szCs w:val="21"/>
                      <w:lang w:val="en-GB"/>
                      <w14:textFill>
                        <w14:solidFill>
                          <w14:schemeClr w14:val="tx1"/>
                        </w14:solidFill>
                      </w14:textFill>
                    </w:rPr>
                    <w:t>Diesel oil，</w:t>
                  </w:r>
                  <w:r>
                    <w:rPr>
                      <w:rFonts w:ascii="宋体" w:hAnsi="宋体"/>
                      <w:color w:val="000000" w:themeColor="text1"/>
                      <w:sz w:val="21"/>
                      <w:szCs w:val="21"/>
                      <w14:textFill>
                        <w14:solidFill>
                          <w14:schemeClr w14:val="tx1"/>
                        </w14:solidFill>
                      </w14:textFill>
                    </w:rPr>
                    <w:t xml:space="preserve">  </w:t>
                  </w:r>
                </w:p>
              </w:tc>
              <w:tc>
                <w:tcPr>
                  <w:tcW w:w="4515"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成分</w:t>
                  </w:r>
                  <w:r>
                    <w:rPr>
                      <w:rFonts w:hint="eastAsia" w:ascii="宋体" w:hAnsi="宋体"/>
                      <w:color w:val="000000" w:themeColor="text1"/>
                      <w:sz w:val="21"/>
                      <w:szCs w:val="21"/>
                      <w:lang w:val="en-GB"/>
                      <w14:textFill>
                        <w14:solidFill>
                          <w14:schemeClr w14:val="tx1"/>
                        </w14:solidFill>
                      </w14:textFill>
                    </w:rPr>
                    <w:t>：</w:t>
                  </w:r>
                  <w:r>
                    <w:rPr>
                      <w:rFonts w:ascii="宋体" w:hAnsi="宋体"/>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烷烃、芳烃、烯烃等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296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危险货物编号：33648</w:t>
                  </w:r>
                </w:p>
              </w:tc>
              <w:tc>
                <w:tcPr>
                  <w:tcW w:w="4515"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ascii="宋体" w:hAnsi="宋体"/>
                      <w:color w:val="000000" w:themeColor="text1"/>
                      <w:sz w:val="21"/>
                      <w:szCs w:val="21"/>
                      <w14:textFill>
                        <w14:solidFill>
                          <w14:schemeClr w14:val="tx1"/>
                        </w14:solidFill>
                      </w14:textFill>
                    </w:rPr>
                    <w:t>UN</w:t>
                  </w:r>
                  <w:r>
                    <w:rPr>
                      <w:rFonts w:hint="eastAsia" w:ascii="宋体" w:hAnsi="宋体"/>
                      <w:color w:val="000000" w:themeColor="text1"/>
                      <w:sz w:val="21"/>
                      <w:szCs w:val="21"/>
                      <w14:textFill>
                        <w14:solidFill>
                          <w14:schemeClr w14:val="tx1"/>
                        </w14:solidFill>
                      </w14:textFill>
                    </w:rPr>
                    <w:t>编号：</w:t>
                  </w:r>
                  <w:r>
                    <w:rPr>
                      <w:rFonts w:ascii="宋体" w:hAnsi="宋体"/>
                      <w:color w:val="000000" w:themeColor="text1"/>
                      <w:sz w:val="21"/>
                      <w:szCs w:val="21"/>
                      <w:lang w:val="en-GB"/>
                      <w14:textFill>
                        <w14:solidFill>
                          <w14:schemeClr w14:val="tx1"/>
                        </w14:solidFill>
                      </w14:textFill>
                    </w:rPr>
                    <w:t xml:space="preserve"> </w:t>
                  </w:r>
                  <w:r>
                    <w:rPr>
                      <w:rFonts w:hint="eastAsia" w:ascii="宋体" w:hAnsi="宋体"/>
                      <w:color w:val="000000" w:themeColor="text1"/>
                      <w:sz w:val="21"/>
                      <w:szCs w:val="21"/>
                      <w:lang w:val="en-GB"/>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理化性质</w:t>
                  </w:r>
                </w:p>
              </w:tc>
              <w:tc>
                <w:tcPr>
                  <w:tcW w:w="7476" w:type="dxa"/>
                  <w:gridSpan w:val="6"/>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外观与性状：</w:t>
                  </w:r>
                  <w:r>
                    <w:rPr>
                      <w:rFonts w:hint="eastAsia" w:ascii="宋体" w:hAnsi="宋体"/>
                      <w:color w:val="000000" w:themeColor="text1"/>
                      <w:sz w:val="21"/>
                      <w:szCs w:val="21"/>
                      <w:lang w:val="en-GB"/>
                      <w14:textFill>
                        <w14:solidFill>
                          <w14:schemeClr w14:val="tx1"/>
                        </w14:solidFill>
                      </w14:textFill>
                    </w:rPr>
                    <w:t>稍有粘性的棕色液体。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7476" w:type="dxa"/>
                  <w:gridSpan w:val="6"/>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主要用途：</w:t>
                  </w:r>
                  <w:r>
                    <w:rPr>
                      <w:rFonts w:hint="eastAsia" w:ascii="宋体" w:hAnsi="宋体"/>
                      <w:color w:val="000000" w:themeColor="text1"/>
                      <w:sz w:val="21"/>
                      <w:szCs w:val="21"/>
                      <w:lang w:val="en-GB"/>
                      <w14:textFill>
                        <w14:solidFill>
                          <w14:schemeClr w14:val="tx1"/>
                        </w14:solidFill>
                      </w14:textFill>
                    </w:rPr>
                    <w:t>主要用作柴油机的燃料。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熔点</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ascii="宋体" w:hAnsi="宋体"/>
                      <w:color w:val="000000" w:themeColor="text1"/>
                      <w:sz w:val="21"/>
                      <w:szCs w:val="21"/>
                      <w14:textFill>
                        <w14:solidFill>
                          <w14:schemeClr w14:val="tx1"/>
                        </w14:solidFill>
                      </w14:textFill>
                    </w:rPr>
                    <w:t>)</w:t>
                  </w:r>
                </w:p>
              </w:tc>
              <w:tc>
                <w:tcPr>
                  <w:tcW w:w="20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bCs/>
                      <w:color w:val="000000" w:themeColor="text1"/>
                      <w:sz w:val="21"/>
                      <w:szCs w:val="21"/>
                      <w:lang w:val="en-GB"/>
                      <w14:textFill>
                        <w14:solidFill>
                          <w14:schemeClr w14:val="tx1"/>
                        </w14:solidFill>
                      </w14:textFill>
                    </w:rPr>
                  </w:pPr>
                  <w:r>
                    <w:rPr>
                      <w:rFonts w:hint="eastAsia" w:ascii="宋体" w:hAnsi="宋体"/>
                      <w:bCs/>
                      <w:color w:val="000000" w:themeColor="text1"/>
                      <w:sz w:val="21"/>
                      <w:szCs w:val="21"/>
                      <w:lang w:val="en-GB"/>
                      <w14:textFill>
                        <w14:solidFill>
                          <w14:schemeClr w14:val="tx1"/>
                        </w14:solidFill>
                      </w14:textFill>
                    </w:rPr>
                    <w:t>-18</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相对密度（空气</w:t>
                  </w:r>
                  <w:r>
                    <w:rPr>
                      <w:rFonts w:ascii="宋体" w:hAnsi="宋体"/>
                      <w:color w:val="000000" w:themeColor="text1"/>
                      <w:sz w:val="21"/>
                      <w:szCs w:val="21"/>
                      <w14:textFill>
                        <w14:solidFill>
                          <w14:schemeClr w14:val="tx1"/>
                        </w14:solidFill>
                      </w14:textFill>
                    </w:rPr>
                    <w:t>=1</w:t>
                  </w:r>
                  <w:r>
                    <w:rPr>
                      <w:rFonts w:hint="eastAsia" w:ascii="宋体" w:hAnsi="宋体"/>
                      <w:color w:val="000000" w:themeColor="text1"/>
                      <w:sz w:val="21"/>
                      <w:szCs w:val="21"/>
                      <w14:textFill>
                        <w14:solidFill>
                          <w14:schemeClr w14:val="tx1"/>
                        </w14:solidFill>
                      </w14:textFill>
                    </w:rPr>
                    <w:t>）</w:t>
                  </w:r>
                </w:p>
              </w:tc>
              <w:tc>
                <w:tcPr>
                  <w:tcW w:w="148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沸点</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ascii="宋体" w:hAnsi="宋体"/>
                      <w:color w:val="000000" w:themeColor="text1"/>
                      <w:sz w:val="21"/>
                      <w:szCs w:val="21"/>
                      <w14:textFill>
                        <w14:solidFill>
                          <w14:schemeClr w14:val="tx1"/>
                        </w14:solidFill>
                      </w14:textFill>
                    </w:rPr>
                    <w:t>)</w:t>
                  </w:r>
                </w:p>
              </w:tc>
              <w:tc>
                <w:tcPr>
                  <w:tcW w:w="20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bCs/>
                      <w:color w:val="000000" w:themeColor="text1"/>
                      <w:sz w:val="21"/>
                      <w:szCs w:val="21"/>
                      <w:lang w:val="en-GB"/>
                      <w14:textFill>
                        <w14:solidFill>
                          <w14:schemeClr w14:val="tx1"/>
                        </w14:solidFill>
                      </w14:textFill>
                    </w:rPr>
                  </w:pPr>
                  <w:r>
                    <w:rPr>
                      <w:rFonts w:hint="eastAsia" w:ascii="宋体" w:hAnsi="宋体"/>
                      <w:bCs/>
                      <w:color w:val="000000" w:themeColor="text1"/>
                      <w:sz w:val="21"/>
                      <w:szCs w:val="21"/>
                      <w:lang w:val="en-GB"/>
                      <w14:textFill>
                        <w14:solidFill>
                          <w14:schemeClr w14:val="tx1"/>
                        </w14:solidFill>
                      </w14:textFill>
                    </w:rPr>
                    <w:t>282—338</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相对密度（水</w:t>
                  </w:r>
                  <w:r>
                    <w:rPr>
                      <w:rFonts w:ascii="宋体" w:hAnsi="宋体"/>
                      <w:color w:val="000000" w:themeColor="text1"/>
                      <w:sz w:val="21"/>
                      <w:szCs w:val="21"/>
                      <w14:textFill>
                        <w14:solidFill>
                          <w14:schemeClr w14:val="tx1"/>
                        </w14:solidFill>
                      </w14:textFill>
                    </w:rPr>
                    <w:t>=1</w:t>
                  </w:r>
                  <w:r>
                    <w:rPr>
                      <w:rFonts w:hint="eastAsia" w:ascii="宋体" w:hAnsi="宋体"/>
                      <w:color w:val="000000" w:themeColor="text1"/>
                      <w:sz w:val="21"/>
                      <w:szCs w:val="21"/>
                      <w14:textFill>
                        <w14:solidFill>
                          <w14:schemeClr w14:val="tx1"/>
                        </w14:solidFill>
                      </w14:textFill>
                    </w:rPr>
                    <w:t>）</w:t>
                  </w:r>
                </w:p>
              </w:tc>
              <w:tc>
                <w:tcPr>
                  <w:tcW w:w="148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0.87—0.9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燃烧热</w:t>
                  </w:r>
                  <w:r>
                    <w:rPr>
                      <w:rFonts w:ascii="宋体" w:hAnsi="宋体"/>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w:t>
                  </w:r>
                  <w:r>
                    <w:rPr>
                      <w:rFonts w:ascii="宋体" w:hAnsi="宋体"/>
                      <w:color w:val="000000" w:themeColor="text1"/>
                      <w:sz w:val="21"/>
                      <w:szCs w:val="21"/>
                      <w14:textFill>
                        <w14:solidFill>
                          <w14:schemeClr w14:val="tx1"/>
                        </w14:solidFill>
                      </w14:textFill>
                    </w:rPr>
                    <w:t>kJ/</w:t>
                  </w:r>
                  <w:r>
                    <w:rPr>
                      <w:rFonts w:hint="eastAsia" w:ascii="宋体" w:hAnsi="宋体"/>
                      <w:color w:val="000000" w:themeColor="text1"/>
                      <w:sz w:val="21"/>
                      <w:szCs w:val="21"/>
                      <w14:textFill>
                        <w14:solidFill>
                          <w14:schemeClr w14:val="tx1"/>
                        </w14:solidFill>
                      </w14:textFill>
                    </w:rPr>
                    <w:t>kg）</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43728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毒性及健康危害</w:t>
                  </w:r>
                </w:p>
              </w:tc>
              <w:tc>
                <w:tcPr>
                  <w:tcW w:w="1664" w:type="dxa"/>
                  <w:tcBorders>
                    <w:top w:val="single" w:color="auto" w:sz="4" w:space="0"/>
                    <w:left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侵入途径</w:t>
                  </w:r>
                </w:p>
              </w:tc>
              <w:tc>
                <w:tcPr>
                  <w:tcW w:w="5812" w:type="dxa"/>
                  <w:gridSpan w:val="5"/>
                  <w:tcBorders>
                    <w:top w:val="single" w:color="auto" w:sz="4" w:space="0"/>
                    <w:left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吸入、食入、皮肤接触。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健康危害</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皮肤接触为主要吸收途径，可致急性肾脏损害。柴油可引起接触性皮炎、油性痤疮。吸入其雾滴或液体呛入可引起吸入性肺炎。柴油废气可引起眼、鼻刺激症状、头晕及头痛。</w:t>
                  </w:r>
                </w:p>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环境危害：对环境有危害，对水体和大气可造成污染。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急救措施</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left="1046" w:hanging="1045" w:hangingChars="498"/>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皮肤接触：立即脱去污染的衣着，用肥皂水和清水冲洗皮肤。就医。</w:t>
                  </w:r>
                </w:p>
                <w:p>
                  <w:pPr>
                    <w:spacing w:line="240" w:lineRule="atLeast"/>
                    <w:ind w:left="1018" w:hanging="1018" w:hangingChars="485"/>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眼睛接触：立即提起眼睑，用流动清水或生理盐水冲洗。就医。</w:t>
                  </w:r>
                </w:p>
                <w:p>
                  <w:pPr>
                    <w:spacing w:line="240" w:lineRule="atLeast"/>
                    <w:ind w:left="1050" w:hanging="1050" w:hangingChars="5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吸   入：迅速脱离现场至空气清新处，保持呼吸道畅通。如呼吸困难，给输氧。如呼吸停止，立即进行人工呼吸。就医。</w:t>
                  </w:r>
                </w:p>
                <w:p>
                  <w:pPr>
                    <w:spacing w:line="240" w:lineRule="atLeast"/>
                    <w:ind w:left="1050" w:hanging="1050" w:hangingChars="5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食   入：尽快彻底洗胃。就医。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燃烧爆炸危险性</w:t>
                  </w: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闪点（℃）</w:t>
                  </w:r>
                </w:p>
              </w:tc>
              <w:tc>
                <w:tcPr>
                  <w:tcW w:w="2081"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lang w:val="en-GB"/>
                      <w14:textFill>
                        <w14:solidFill>
                          <w14:schemeClr w14:val="tx1"/>
                        </w14:solidFill>
                      </w14:textFill>
                    </w:rPr>
                  </w:pPr>
                  <w:r>
                    <w:rPr>
                      <w:rFonts w:hint="eastAsia" w:ascii="宋体" w:hAnsi="宋体"/>
                      <w:bCs/>
                      <w:color w:val="000000" w:themeColor="text1"/>
                      <w:sz w:val="21"/>
                      <w:szCs w:val="21"/>
                      <w:lang w:val="en-GB"/>
                      <w14:textFill>
                        <w14:solidFill>
                          <w14:schemeClr w14:val="tx1"/>
                        </w14:solidFill>
                      </w14:textFill>
                    </w:rPr>
                    <w:t>&gt;45</w:t>
                  </w:r>
                </w:p>
              </w:tc>
              <w:tc>
                <w:tcPr>
                  <w:tcW w:w="2107"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爆炸极限</w:t>
                  </w:r>
                  <w:r>
                    <w:rPr>
                      <w:rFonts w:hint="eastAsia" w:ascii="宋体" w:hAnsi="宋体"/>
                      <w:color w:val="000000" w:themeColor="text1"/>
                      <w:sz w:val="21"/>
                      <w:szCs w:val="21"/>
                      <w:lang w:val="en-GB"/>
                      <w14:textFill>
                        <w14:solidFill>
                          <w14:schemeClr w14:val="tx1"/>
                        </w14:solidFill>
                      </w14:textFill>
                    </w:rPr>
                    <w:t>（</w:t>
                  </w:r>
                  <w:r>
                    <w:rPr>
                      <w:rFonts w:ascii="宋体" w:hAnsi="宋体"/>
                      <w:color w:val="000000" w:themeColor="text1"/>
                      <w:sz w:val="21"/>
                      <w:szCs w:val="21"/>
                      <w:lang w:val="en-GB"/>
                      <w14:textFill>
                        <w14:solidFill>
                          <w14:schemeClr w14:val="tx1"/>
                        </w14:solidFill>
                      </w14:textFill>
                    </w:rPr>
                    <w:t>v</w:t>
                  </w:r>
                  <w:r>
                    <w:rPr>
                      <w:rFonts w:ascii="宋体" w:hAnsi="宋体"/>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lang w:val="en-GB"/>
                      <w14:textFill>
                        <w14:solidFill>
                          <w14:schemeClr w14:val="tx1"/>
                        </w14:solidFill>
                      </w14:textFill>
                    </w:rPr>
                    <w:t>）</w:t>
                  </w:r>
                </w:p>
              </w:tc>
              <w:tc>
                <w:tcPr>
                  <w:tcW w:w="1624"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危险特性</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本品极度易燃。遇明火、高热或氧化剂接触，有引起燃烧爆炸的危险。若遇高热，容器内压增大，有开裂和爆炸的危险。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燃烧分解产物</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一氧化碳、二氧化碳和水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稳定性</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聚合危害</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不聚合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禁忌物</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强氧化剂、卤素。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center"/>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灭火方法</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喷水冷却容器，可能的话将容器从火场移至空旷处。喷水保持火场容器冷却，直至灭火结束。处在火场中的容器已变色或从安全泄压装置中产生声音，必须马上撤离。采用雾状水、泡沫、干粉、二氧化碳等灭火剂灭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防护措施</w:t>
                  </w: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泄漏应急处理</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区域。小量泄漏：用活性碳或其它惰性材料吸收。或在保证安全的情况下，就地焚烧。大量泄漏：构筑围堤或挖坑收容。用转移至槽车或专用收集器，回收或运至废物处理场所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left"/>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防护措施</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呼吸系统防护：空气中浓度超标时，建议佩戴自吸过滤式防毒面具（半面罩）。紧急事态抢救或撤离时，应佩戴空气呼吸器。</w:t>
                  </w:r>
                </w:p>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眼睛防护：戴化学安全防护眼镜。</w:t>
                  </w:r>
                </w:p>
                <w:p>
                  <w:pPr>
                    <w:spacing w:line="240" w:lineRule="atLeast"/>
                    <w:ind w:firstLine="480" w:firstLineChars="0"/>
                    <w:rPr>
                      <w:rFonts w:ascii="宋体" w:hAnsi="宋体"/>
                      <w:color w:val="000000" w:themeColor="text1"/>
                      <w:sz w:val="21"/>
                      <w:szCs w:val="21"/>
                      <w:lang w:val="en-GB"/>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身体防护：穿一般作业防护服。</w:t>
                  </w:r>
                </w:p>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GB"/>
                      <w14:textFill>
                        <w14:solidFill>
                          <w14:schemeClr w14:val="tx1"/>
                        </w14:solidFill>
                      </w14:textFill>
                    </w:rPr>
                    <w:t xml:space="preserve">手 防 护：戴橡胶耐油手套。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ind w:firstLine="480" w:firstLineChars="0"/>
                    <w:jc w:val="left"/>
                    <w:rPr>
                      <w:rFonts w:ascii="宋体" w:hAnsi="宋体"/>
                      <w:color w:val="000000" w:themeColor="text1"/>
                      <w:sz w:val="21"/>
                      <w:szCs w:val="21"/>
                      <w14:textFill>
                        <w14:solidFill>
                          <w14:schemeClr w14:val="tx1"/>
                        </w14:solidFill>
                      </w14:textFill>
                    </w:rPr>
                  </w:pPr>
                </w:p>
              </w:tc>
              <w:tc>
                <w:tcPr>
                  <w:tcW w:w="1664"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其它</w:t>
                  </w:r>
                </w:p>
              </w:tc>
              <w:tc>
                <w:tcPr>
                  <w:tcW w:w="5812"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ind w:firstLine="480" w:firstLineChars="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工作现场严禁吸烟。避免长期反复接触。</w:t>
                  </w:r>
                </w:p>
              </w:tc>
            </w:tr>
          </w:tbl>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（5）公用工程</w:t>
            </w:r>
          </w:p>
          <w:p>
            <w:pPr>
              <w:ind w:firstLine="480"/>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①</w:t>
            </w:r>
            <w:r>
              <w:rPr>
                <w:color w:val="000000" w:themeColor="text1"/>
                <w:kern w:val="0"/>
                <w14:textFill>
                  <w14:solidFill>
                    <w14:schemeClr w14:val="tx1"/>
                  </w14:solidFill>
                </w14:textFill>
              </w:rPr>
              <w:t>给水</w:t>
            </w:r>
          </w:p>
          <w:p>
            <w:pPr>
              <w:autoSpaceDE w:val="0"/>
              <w:autoSpaceDN w:val="0"/>
              <w:adjustRightInd w:val="0"/>
              <w:ind w:firstLine="480"/>
              <w:jc w:val="left"/>
              <w:rPr>
                <w:color w:val="000000" w:themeColor="text1"/>
                <w14:textFill>
                  <w14:solidFill>
                    <w14:schemeClr w14:val="tx1"/>
                  </w14:solidFill>
                </w14:textFill>
              </w:rPr>
            </w:pPr>
            <w:r>
              <w:rPr>
                <w:rFonts w:hint="eastAsia" w:hAnsi="宋体"/>
                <w:color w:val="000000" w:themeColor="text1"/>
                <w:kern w:val="0"/>
                <w14:textFill>
                  <w14:solidFill>
                    <w14:schemeClr w14:val="tx1"/>
                  </w14:solidFill>
                </w14:textFill>
              </w:rPr>
              <w:t>项目用水来自市政供水管网，主要为生活用水、</w:t>
            </w:r>
            <w:r>
              <w:rPr>
                <w:rFonts w:hAnsi="宋体"/>
                <w:color w:val="000000" w:themeColor="text1"/>
                <w:kern w:val="0"/>
                <w14:textFill>
                  <w14:solidFill>
                    <w14:schemeClr w14:val="tx1"/>
                  </w14:solidFill>
                </w14:textFill>
              </w:rPr>
              <w:t>绿化用水</w:t>
            </w:r>
            <w:r>
              <w:rPr>
                <w:rFonts w:hint="eastAsia" w:hAnsi="宋体"/>
                <w:color w:val="000000" w:themeColor="text1"/>
                <w:kern w:val="0"/>
                <w14:textFill>
                  <w14:solidFill>
                    <w14:schemeClr w14:val="tx1"/>
                  </w14:solidFill>
                </w14:textFill>
              </w:rPr>
              <w:t>。</w:t>
            </w:r>
            <w:r>
              <w:rPr>
                <w:rFonts w:hAnsi="宋体"/>
                <w:color w:val="000000" w:themeColor="text1"/>
                <w:kern w:val="0"/>
                <w14:textFill>
                  <w14:solidFill>
                    <w14:schemeClr w14:val="tx1"/>
                  </w14:solidFill>
                </w14:textFill>
              </w:rPr>
              <w:t>生活用水主要为职工、顾客生活用水</w:t>
            </w:r>
            <w:r>
              <w:rPr>
                <w:rFonts w:hint="eastAsia" w:hAnsi="宋体"/>
                <w:color w:val="000000" w:themeColor="text1"/>
                <w:kern w:val="0"/>
                <w14:textFill>
                  <w14:solidFill>
                    <w14:schemeClr w14:val="tx1"/>
                  </w14:solidFill>
                </w14:textFill>
              </w:rPr>
              <w:t>。</w:t>
            </w:r>
            <w:r>
              <w:rPr>
                <w:color w:val="000000" w:themeColor="text1"/>
                <w14:textFill>
                  <w14:solidFill>
                    <w14:schemeClr w14:val="tx1"/>
                  </w14:solidFill>
                </w14:textFill>
              </w:rPr>
              <w:t>站区不设食堂和宿舍，用水主要为站内工作人员和站外流动人员用水，由市政供水管网供给用水，用水量由建设单位根据 2019 年实际用水量确定。</w:t>
            </w:r>
          </w:p>
          <w:p>
            <w:pPr>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②</w:t>
            </w:r>
            <w:r>
              <w:rPr>
                <w:color w:val="000000" w:themeColor="text1"/>
                <w:kern w:val="0"/>
                <w14:textFill>
                  <w14:solidFill>
                    <w14:schemeClr w14:val="tx1"/>
                  </w14:solidFill>
                </w14:textFill>
              </w:rPr>
              <w:t>排水</w:t>
            </w:r>
          </w:p>
          <w:p>
            <w:pPr>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本项目执行国家相关环境保护的政策，排水体制采用雨污分流制。排水系统分污水系统与雨水系统。</w:t>
            </w:r>
            <w:r>
              <w:rPr>
                <w:rFonts w:hint="eastAsia"/>
                <w:color w:val="000000" w:themeColor="text1"/>
                <w:kern w:val="0"/>
                <w14:textFill>
                  <w14:solidFill>
                    <w14:schemeClr w14:val="tx1"/>
                  </w14:solidFill>
                </w14:textFill>
              </w:rPr>
              <w:t>站区雨水散排出站。加油站</w:t>
            </w:r>
            <w:r>
              <w:rPr>
                <w:rStyle w:val="71"/>
                <w:rFonts w:hint="eastAsia"/>
                <w:i w:val="0"/>
                <w:color w:val="000000" w:themeColor="text1"/>
                <w14:textFill>
                  <w14:solidFill>
                    <w14:schemeClr w14:val="tx1"/>
                  </w14:solidFill>
                </w14:textFill>
              </w:rPr>
              <w:t>生活污水由化粪池预处理后，定期清掏。</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54805" cy="1934210"/>
                  <wp:effectExtent l="0" t="0" r="1714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154805" cy="1934210"/>
                          </a:xfrm>
                          <a:prstGeom prst="rect">
                            <a:avLst/>
                          </a:prstGeom>
                          <a:noFill/>
                          <a:ln>
                            <a:noFill/>
                          </a:ln>
                        </pic:spPr>
                      </pic:pic>
                    </a:graphicData>
                  </a:graphic>
                </wp:inline>
              </w:drawing>
            </w:r>
          </w:p>
          <w:p>
            <w:pPr>
              <w:spacing w:line="240" w:lineRule="auto"/>
              <w:ind w:firstLine="0" w:firstLineChars="0"/>
              <w:jc w:val="center"/>
              <w:rPr>
                <w:b/>
                <w:color w:val="000000" w:themeColor="text1"/>
                <w:kern w:val="0"/>
                <w14:textFill>
                  <w14:solidFill>
                    <w14:schemeClr w14:val="tx1"/>
                  </w14:solidFill>
                </w14:textFill>
              </w:rPr>
            </w:pPr>
            <w:r>
              <w:rPr>
                <w:rFonts w:hint="eastAsia"/>
                <w:b/>
                <w:color w:val="000000" w:themeColor="text1"/>
                <w:kern w:val="0"/>
                <w:sz w:val="21"/>
                <w:szCs w:val="21"/>
                <w14:textFill>
                  <w14:solidFill>
                    <w14:schemeClr w14:val="tx1"/>
                  </w14:solidFill>
                </w14:textFill>
              </w:rPr>
              <w:t>图1-1  本项目用排水平衡图   单位：m</w:t>
            </w:r>
            <w:r>
              <w:rPr>
                <w:rFonts w:hint="eastAsia"/>
                <w:b/>
                <w:color w:val="000000" w:themeColor="text1"/>
                <w:kern w:val="0"/>
                <w:sz w:val="21"/>
                <w:szCs w:val="21"/>
                <w:vertAlign w:val="superscript"/>
                <w14:textFill>
                  <w14:solidFill>
                    <w14:schemeClr w14:val="tx1"/>
                  </w14:solidFill>
                </w14:textFill>
              </w:rPr>
              <w:t>3</w:t>
            </w:r>
            <w:r>
              <w:rPr>
                <w:rFonts w:hint="eastAsia"/>
                <w:b/>
                <w:color w:val="000000" w:themeColor="text1"/>
                <w:kern w:val="0"/>
                <w:sz w:val="21"/>
                <w:szCs w:val="21"/>
                <w14:textFill>
                  <w14:solidFill>
                    <w14:schemeClr w14:val="tx1"/>
                  </w14:solidFill>
                </w14:textFill>
              </w:rPr>
              <w:t>/d</w:t>
            </w:r>
          </w:p>
          <w:p>
            <w:pPr>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③</w:t>
            </w:r>
            <w:r>
              <w:rPr>
                <w:color w:val="000000" w:themeColor="text1"/>
                <w:kern w:val="0"/>
                <w14:textFill>
                  <w14:solidFill>
                    <w14:schemeClr w14:val="tx1"/>
                  </w14:solidFill>
                </w14:textFill>
              </w:rPr>
              <w:t>采暖</w:t>
            </w:r>
            <w:r>
              <w:rPr>
                <w:rFonts w:hint="eastAsia"/>
                <w:color w:val="000000" w:themeColor="text1"/>
                <w:kern w:val="0"/>
                <w14:textFill>
                  <w14:solidFill>
                    <w14:schemeClr w14:val="tx1"/>
                  </w14:solidFill>
                </w14:textFill>
              </w:rPr>
              <w:t>制冷</w:t>
            </w:r>
          </w:p>
          <w:p>
            <w:pPr>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站房采用分体式空调来满足冬季的供热</w:t>
            </w:r>
            <w:r>
              <w:rPr>
                <w:rFonts w:hint="eastAsia"/>
                <w:color w:val="000000" w:themeColor="text1"/>
                <w:kern w:val="0"/>
                <w14:textFill>
                  <w14:solidFill>
                    <w14:schemeClr w14:val="tx1"/>
                  </w14:solidFill>
                </w14:textFill>
              </w:rPr>
              <w:t>，夏季制冷的</w:t>
            </w:r>
            <w:r>
              <w:rPr>
                <w:color w:val="000000" w:themeColor="text1"/>
                <w:kern w:val="0"/>
                <w14:textFill>
                  <w14:solidFill>
                    <w14:schemeClr w14:val="tx1"/>
                  </w14:solidFill>
                </w14:textFill>
              </w:rPr>
              <w:t>要求。</w:t>
            </w:r>
          </w:p>
          <w:p>
            <w:pPr>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④</w:t>
            </w:r>
            <w:r>
              <w:rPr>
                <w:color w:val="000000" w:themeColor="text1"/>
                <w:kern w:val="0"/>
                <w14:textFill>
                  <w14:solidFill>
                    <w14:schemeClr w14:val="tx1"/>
                  </w14:solidFill>
                </w14:textFill>
              </w:rPr>
              <w:t>通风</w:t>
            </w:r>
          </w:p>
          <w:p>
            <w:pPr>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工艺装置区：敞开式设置，采用自然通风；站房内各房间采用门窗自然通风换气。</w:t>
            </w:r>
          </w:p>
          <w:p>
            <w:pPr>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⑤消防</w:t>
            </w:r>
          </w:p>
          <w:p>
            <w:pPr>
              <w:autoSpaceDE w:val="0"/>
              <w:autoSpaceDN w:val="0"/>
              <w:adjustRightInd w:val="0"/>
              <w:ind w:firstLine="480"/>
              <w:jc w:val="left"/>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a、</w:t>
            </w:r>
            <w:r>
              <w:rPr>
                <w:color w:val="000000" w:themeColor="text1"/>
                <w:kern w:val="0"/>
                <w14:textFill>
                  <w14:solidFill>
                    <w14:schemeClr w14:val="tx1"/>
                  </w14:solidFill>
                </w14:textFill>
              </w:rPr>
              <w:t>根据相邻建</w:t>
            </w:r>
            <w:r>
              <w:rPr>
                <w:rFonts w:eastAsia="TimesNewRomanPSMT"/>
                <w:color w:val="000000" w:themeColor="text1"/>
                <w:kern w:val="0"/>
                <w14:textFill>
                  <w14:solidFill>
                    <w14:schemeClr w14:val="tx1"/>
                  </w14:solidFill>
                </w14:textFill>
              </w:rPr>
              <w:t>(</w:t>
            </w:r>
            <w:r>
              <w:rPr>
                <w:color w:val="000000" w:themeColor="text1"/>
                <w:kern w:val="0"/>
                <w14:textFill>
                  <w14:solidFill>
                    <w14:schemeClr w14:val="tx1"/>
                  </w14:solidFill>
                </w14:textFill>
              </w:rPr>
              <w:t>构</w:t>
            </w:r>
            <w:r>
              <w:rPr>
                <w:rFonts w:eastAsia="TimesNewRomanPSMT"/>
                <w:color w:val="000000" w:themeColor="text1"/>
                <w:kern w:val="0"/>
                <w14:textFill>
                  <w14:solidFill>
                    <w14:schemeClr w14:val="tx1"/>
                  </w14:solidFill>
                </w14:textFill>
              </w:rPr>
              <w:t>)</w:t>
            </w:r>
            <w:r>
              <w:rPr>
                <w:color w:val="000000" w:themeColor="text1"/>
                <w:kern w:val="0"/>
                <w14:textFill>
                  <w14:solidFill>
                    <w14:schemeClr w14:val="tx1"/>
                  </w14:solidFill>
                </w14:textFill>
              </w:rPr>
              <w:t>筑物特点，结合地形、风向等因素布置储罐等危险源设备，远离人口密集区，远离明火场所。</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b、</w:t>
            </w:r>
            <w:r>
              <w:rPr>
                <w:color w:val="000000" w:themeColor="text1"/>
                <w:kern w:val="0"/>
                <w14:textFill>
                  <w14:solidFill>
                    <w14:schemeClr w14:val="tx1"/>
                  </w14:solidFill>
                </w14:textFill>
              </w:rPr>
              <w:t>站内各设施之间防火间距严格按照相关规范确定。站内各工艺设施之间的防火间距均满足相关标准和规范。站区布置满足《汽车加油加气站设计与施工规范》（</w:t>
            </w:r>
            <w:r>
              <w:rPr>
                <w:rFonts w:eastAsia="TimesNewRomanPSMT"/>
                <w:color w:val="000000" w:themeColor="text1"/>
                <w:kern w:val="0"/>
                <w14:textFill>
                  <w14:solidFill>
                    <w14:schemeClr w14:val="tx1"/>
                  </w14:solidFill>
                </w14:textFill>
              </w:rPr>
              <w:t>GB500160-2012</w:t>
            </w:r>
            <w:r>
              <w:rPr>
                <w:color w:val="000000" w:themeColor="text1"/>
                <w:kern w:val="0"/>
                <w14:textFill>
                  <w14:solidFill>
                    <w14:schemeClr w14:val="tx1"/>
                  </w14:solidFill>
                </w14:textFill>
              </w:rPr>
              <w:t>，</w:t>
            </w:r>
            <w:r>
              <w:rPr>
                <w:rFonts w:eastAsia="TimesNewRomanPSMT"/>
                <w:color w:val="000000" w:themeColor="text1"/>
                <w:kern w:val="0"/>
                <w14:textFill>
                  <w14:solidFill>
                    <w14:schemeClr w14:val="tx1"/>
                  </w14:solidFill>
                </w14:textFill>
              </w:rPr>
              <w:t xml:space="preserve">2014 </w:t>
            </w:r>
            <w:r>
              <w:rPr>
                <w:color w:val="000000" w:themeColor="text1"/>
                <w:kern w:val="0"/>
                <w14:textFill>
                  <w14:solidFill>
                    <w14:schemeClr w14:val="tx1"/>
                  </w14:solidFill>
                </w14:textFill>
              </w:rPr>
              <w:t>年版）的防火间距要求。</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c、</w:t>
            </w:r>
            <w:r>
              <w:rPr>
                <w:color w:val="000000" w:themeColor="text1"/>
                <w:kern w:val="0"/>
                <w14:textFill>
                  <w14:solidFill>
                    <w14:schemeClr w14:val="tx1"/>
                  </w14:solidFill>
                </w14:textFill>
              </w:rPr>
              <w:t>出入口分开设置站区出入口分开设置，方便消防及加油车辆的出入。</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d、</w:t>
            </w:r>
            <w:r>
              <w:rPr>
                <w:color w:val="000000" w:themeColor="text1"/>
                <w:kern w:val="0"/>
                <w14:textFill>
                  <w14:solidFill>
                    <w14:schemeClr w14:val="tx1"/>
                  </w14:solidFill>
                </w14:textFill>
              </w:rPr>
              <w:t>装置露天化、敞棚化汽油泄漏后油气扩散迅速，与空气混合后容易形成爆炸混合物。密闭房间内部易积聚气体，易引发火灾爆炸事故。本工程在设计时充分考虑了装置露天化、敞棚化，如储罐区采用露天化布置，加油区是经常性工作场所，采用四周完全敞开的罩棚。</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e、</w:t>
            </w:r>
            <w:r>
              <w:rPr>
                <w:color w:val="000000" w:themeColor="text1"/>
                <w:kern w:val="0"/>
                <w14:textFill>
                  <w14:solidFill>
                    <w14:schemeClr w14:val="tx1"/>
                  </w14:solidFill>
                </w14:textFill>
              </w:rPr>
              <w:t>加油站消防箱放置2具35kg推车式干粉灭火器，2具8kg手提式干粉灭火器；加油区放</w:t>
            </w:r>
            <w:r>
              <w:rPr>
                <w:rFonts w:hAnsi="宋体"/>
                <w:color w:val="000000" w:themeColor="text1"/>
                <w:kern w:val="0"/>
                <w14:textFill>
                  <w14:solidFill>
                    <w14:schemeClr w14:val="tx1"/>
                  </w14:solidFill>
                </w14:textFill>
              </w:rPr>
              <w:t>置</w:t>
            </w:r>
            <w:r>
              <w:rPr>
                <w:color w:val="000000" w:themeColor="text1"/>
                <w:kern w:val="0"/>
                <w14:textFill>
                  <w14:solidFill>
                    <w14:schemeClr w14:val="tx1"/>
                  </w14:solidFill>
                </w14:textFill>
              </w:rPr>
              <w:t>3</w:t>
            </w:r>
            <w:r>
              <w:rPr>
                <w:rFonts w:hAnsi="宋体"/>
                <w:color w:val="000000" w:themeColor="text1"/>
                <w:kern w:val="0"/>
                <w14:textFill>
                  <w14:solidFill>
                    <w14:schemeClr w14:val="tx1"/>
                  </w14:solidFill>
                </w14:textFill>
              </w:rPr>
              <w:t>具</w:t>
            </w:r>
            <w:r>
              <w:rPr>
                <w:rFonts w:hint="eastAsia"/>
                <w:color w:val="000000" w:themeColor="text1"/>
                <w:kern w:val="0"/>
                <w14:textFill>
                  <w14:solidFill>
                    <w14:schemeClr w14:val="tx1"/>
                  </w14:solidFill>
                </w14:textFill>
              </w:rPr>
              <w:t>8</w:t>
            </w:r>
            <w:r>
              <w:rPr>
                <w:color w:val="000000" w:themeColor="text1"/>
                <w:kern w:val="0"/>
                <w14:textFill>
                  <w14:solidFill>
                    <w14:schemeClr w14:val="tx1"/>
                  </w14:solidFill>
                </w14:textFill>
              </w:rPr>
              <w:t>kg</w:t>
            </w:r>
            <w:r>
              <w:rPr>
                <w:rFonts w:hAnsi="宋体"/>
                <w:color w:val="000000" w:themeColor="text1"/>
                <w:kern w:val="0"/>
                <w14:textFill>
                  <w14:solidFill>
                    <w14:schemeClr w14:val="tx1"/>
                  </w14:solidFill>
                </w14:textFill>
              </w:rPr>
              <w:t>手提式干粉灭火器，办公室放置</w:t>
            </w:r>
            <w:r>
              <w:rPr>
                <w:color w:val="000000" w:themeColor="text1"/>
                <w:kern w:val="0"/>
                <w14:textFill>
                  <w14:solidFill>
                    <w14:schemeClr w14:val="tx1"/>
                  </w14:solidFill>
                </w14:textFill>
              </w:rPr>
              <w:t>1</w:t>
            </w:r>
            <w:r>
              <w:rPr>
                <w:rFonts w:hAnsi="宋体"/>
                <w:color w:val="000000" w:themeColor="text1"/>
                <w:kern w:val="0"/>
                <w14:textFill>
                  <w14:solidFill>
                    <w14:schemeClr w14:val="tx1"/>
                  </w14:solidFill>
                </w14:textFill>
              </w:rPr>
              <w:t>具</w:t>
            </w:r>
            <w:r>
              <w:rPr>
                <w:rFonts w:hint="eastAsia"/>
                <w:color w:val="000000" w:themeColor="text1"/>
                <w:kern w:val="0"/>
                <w14:textFill>
                  <w14:solidFill>
                    <w14:schemeClr w14:val="tx1"/>
                  </w14:solidFill>
                </w14:textFill>
              </w:rPr>
              <w:t>8</w:t>
            </w:r>
            <w:r>
              <w:rPr>
                <w:color w:val="000000" w:themeColor="text1"/>
                <w:kern w:val="0"/>
                <w14:textFill>
                  <w14:solidFill>
                    <w14:schemeClr w14:val="tx1"/>
                  </w14:solidFill>
                </w14:textFill>
              </w:rPr>
              <w:t>kg</w:t>
            </w:r>
            <w:r>
              <w:rPr>
                <w:rFonts w:hAnsi="宋体"/>
                <w:color w:val="000000" w:themeColor="text1"/>
                <w:kern w:val="0"/>
                <w14:textFill>
                  <w14:solidFill>
                    <w14:schemeClr w14:val="tx1"/>
                  </w14:solidFill>
                </w14:textFill>
              </w:rPr>
              <w:t>手提式干粉灭火器</w:t>
            </w:r>
            <w:r>
              <w:rPr>
                <w:rFonts w:hint="eastAsia" w:hAnsi="宋体"/>
                <w:color w:val="000000" w:themeColor="text1"/>
                <w:kern w:val="0"/>
                <w14:textFill>
                  <w14:solidFill>
                    <w14:schemeClr w14:val="tx1"/>
                  </w14:solidFill>
                </w14:textFill>
              </w:rPr>
              <w:t>。</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（6）</w:t>
            </w:r>
            <w:r>
              <w:rPr>
                <w:b/>
                <w:color w:val="000000" w:themeColor="text1"/>
                <w14:textFill>
                  <w14:solidFill>
                    <w14:schemeClr w14:val="tx1"/>
                  </w14:solidFill>
                </w14:textFill>
              </w:rPr>
              <w:t>劳动定员和工作制度</w:t>
            </w:r>
          </w:p>
          <w:p>
            <w:pPr>
              <w:ind w:right="-1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本项目工作时间为年</w:t>
            </w:r>
            <w:r>
              <w:rPr>
                <w:color w:val="000000" w:themeColor="text1"/>
                <w14:textFill>
                  <w14:solidFill>
                    <w14:schemeClr w14:val="tx1"/>
                  </w14:solidFill>
                </w14:textFill>
              </w:rPr>
              <w:t>365</w:t>
            </w:r>
            <w:r>
              <w:rPr>
                <w:rFonts w:hint="eastAsia"/>
                <w:color w:val="000000" w:themeColor="text1"/>
                <w14:textFill>
                  <w14:solidFill>
                    <w14:schemeClr w14:val="tx1"/>
                  </w14:solidFill>
                </w14:textFill>
              </w:rPr>
              <w:t>天，每天</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小时，三班两运转，每班8小时，该加油站定员18人。</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（7）环保投资</w:t>
            </w:r>
          </w:p>
          <w:p>
            <w:pPr>
              <w:ind w:right="-1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本项目总投资为210.7万元，环保投资为31万元，占总投资比例的14.71%，所需资金由企业自筹。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8522" w:type="dxa"/>
            <w:gridSpan w:val="10"/>
            <w:tcBorders>
              <w:top w:val="single" w:color="auto" w:sz="12" w:space="0"/>
            </w:tcBorders>
          </w:tcPr>
          <w:p>
            <w:pPr>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与本项目有关的污染情况及主要环境问题：</w:t>
            </w:r>
          </w:p>
          <w:p>
            <w:pPr>
              <w:pStyle w:val="88"/>
              <w:spacing w:before="214"/>
              <w:ind w:left="508"/>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本项目为已建项目。加油站自建站至今，未发生环境污染事故投诉。</w:t>
            </w:r>
          </w:p>
          <w:p>
            <w:pPr>
              <w:pStyle w:val="88"/>
              <w:spacing w:before="161"/>
              <w:ind w:left="508"/>
              <w:rPr>
                <w:b/>
                <w:color w:val="000000" w:themeColor="text1"/>
                <w:sz w:val="24"/>
                <w:lang w:eastAsia="zh-CN"/>
                <w14:textFill>
                  <w14:solidFill>
                    <w14:schemeClr w14:val="tx1"/>
                  </w14:solidFill>
                </w14:textFill>
              </w:rPr>
            </w:pPr>
            <w:r>
              <w:rPr>
                <w:b/>
                <w:color w:val="000000" w:themeColor="text1"/>
                <w:sz w:val="24"/>
                <w:lang w:eastAsia="zh-CN"/>
                <w14:textFill>
                  <w14:solidFill>
                    <w14:schemeClr w14:val="tx1"/>
                  </w14:solidFill>
                </w14:textFill>
              </w:rPr>
              <w:t>根据现场勘查，项目各加油站现有环保设施及存在的主要问题统计如下。</w:t>
            </w:r>
          </w:p>
          <w:tbl>
            <w:tblPr>
              <w:tblStyle w:val="28"/>
              <w:tblW w:w="8437" w:type="dxa"/>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529"/>
              <w:gridCol w:w="1299"/>
              <w:gridCol w:w="2205"/>
              <w:gridCol w:w="1800"/>
              <w:gridCol w:w="1604"/>
            </w:tblGrid>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26" w:hRule="atLeast"/>
                <w:jc w:val="center"/>
              </w:trPr>
              <w:tc>
                <w:tcPr>
                  <w:tcW w:w="1529" w:type="dxa"/>
                  <w:tcBorders>
                    <w:top w:val="single" w:color="000000" w:sz="12" w:space="0"/>
                    <w:left w:val="single" w:color="000000" w:sz="12" w:space="0"/>
                    <w:bottom w:val="single" w:color="000000" w:sz="6" w:space="0"/>
                    <w:right w:val="single" w:color="000000" w:sz="6" w:space="0"/>
                  </w:tcBorders>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项目</w:t>
                  </w:r>
                </w:p>
              </w:tc>
              <w:tc>
                <w:tcPr>
                  <w:tcW w:w="1299" w:type="dxa"/>
                  <w:tcBorders>
                    <w:top w:val="single" w:color="000000" w:sz="12" w:space="0"/>
                    <w:left w:val="single" w:color="000000" w:sz="6" w:space="0"/>
                    <w:bottom w:val="single" w:color="000000" w:sz="6" w:space="0"/>
                    <w:right w:val="single" w:color="000000" w:sz="6" w:space="0"/>
                  </w:tcBorders>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污染物</w:t>
                  </w:r>
                </w:p>
              </w:tc>
              <w:tc>
                <w:tcPr>
                  <w:tcW w:w="2205" w:type="dxa"/>
                  <w:tcBorders>
                    <w:top w:val="single" w:color="000000" w:sz="12" w:space="0"/>
                    <w:left w:val="single" w:color="000000" w:sz="6" w:space="0"/>
                    <w:bottom w:val="single" w:color="000000" w:sz="6" w:space="0"/>
                    <w:right w:val="single" w:color="000000" w:sz="6" w:space="0"/>
                  </w:tcBorders>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环保设施</w:t>
                  </w:r>
                </w:p>
              </w:tc>
              <w:tc>
                <w:tcPr>
                  <w:tcW w:w="1800" w:type="dxa"/>
                  <w:tcBorders>
                    <w:top w:val="single" w:color="000000" w:sz="12" w:space="0"/>
                    <w:left w:val="single" w:color="000000" w:sz="6" w:space="0"/>
                    <w:bottom w:val="single" w:color="000000" w:sz="6" w:space="0"/>
                    <w:right w:val="single" w:color="000000" w:sz="6" w:space="0"/>
                  </w:tcBorders>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存在问题</w:t>
                  </w:r>
                </w:p>
              </w:tc>
              <w:tc>
                <w:tcPr>
                  <w:tcW w:w="1604" w:type="dxa"/>
                  <w:tcBorders>
                    <w:top w:val="single" w:color="000000" w:sz="12" w:space="0"/>
                    <w:left w:val="single" w:color="000000" w:sz="6" w:space="0"/>
                    <w:bottom w:val="single" w:color="000000" w:sz="6" w:space="0"/>
                    <w:right w:val="single" w:color="000000" w:sz="12" w:space="0"/>
                  </w:tcBorders>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整改措施</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57" w:hRule="atLeast"/>
                <w:jc w:val="center"/>
              </w:trPr>
              <w:tc>
                <w:tcPr>
                  <w:tcW w:w="1529" w:type="dxa"/>
                  <w:tcBorders>
                    <w:top w:val="single" w:color="000000" w:sz="6" w:space="0"/>
                    <w:left w:val="single" w:color="000000" w:sz="12" w:space="0"/>
                    <w:bottom w:val="single" w:color="000000" w:sz="6" w:space="0"/>
                    <w:right w:val="single" w:color="000000" w:sz="6" w:space="0"/>
                  </w:tcBorders>
                </w:tcPr>
                <w:p>
                  <w:pPr>
                    <w:pStyle w:val="88"/>
                    <w:jc w:val="center"/>
                    <w:rPr>
                      <w:rFonts w:ascii="宋体" w:hAnsi="宋体" w:eastAsia="宋体" w:cs="宋体"/>
                      <w:color w:val="000000" w:themeColor="text1"/>
                      <w:sz w:val="20"/>
                      <w:lang w:eastAsia="zh-CN"/>
                      <w14:textFill>
                        <w14:solidFill>
                          <w14:schemeClr w14:val="tx1"/>
                        </w14:solidFill>
                      </w14:textFill>
                    </w:rPr>
                  </w:pPr>
                  <w:r>
                    <w:rPr>
                      <w:rFonts w:hint="eastAsia" w:ascii="宋体" w:hAnsi="宋体" w:eastAsia="宋体" w:cs="宋体"/>
                      <w:color w:val="000000" w:themeColor="text1"/>
                      <w:sz w:val="20"/>
                      <w:lang w:eastAsia="zh-CN"/>
                      <w14:textFill>
                        <w14:solidFill>
                          <w14:schemeClr w14:val="tx1"/>
                        </w14:solidFill>
                      </w14:textFill>
                    </w:rPr>
                    <w:t>环境管理</w:t>
                  </w:r>
                </w:p>
              </w:tc>
              <w:tc>
                <w:tcPr>
                  <w:tcW w:w="1299" w:type="dxa"/>
                  <w:tcBorders>
                    <w:top w:val="single" w:color="000000" w:sz="6" w:space="0"/>
                    <w:left w:val="single" w:color="000000" w:sz="6" w:space="0"/>
                    <w:bottom w:val="single" w:color="000000" w:sz="6" w:space="0"/>
                    <w:right w:val="single" w:color="000000" w:sz="6" w:space="0"/>
                  </w:tcBorders>
                </w:tcPr>
                <w:p>
                  <w:pPr>
                    <w:pStyle w:val="88"/>
                    <w:jc w:val="center"/>
                    <w:rPr>
                      <w:rFonts w:ascii="宋体" w:hAnsi="宋体" w:eastAsia="宋体" w:cs="宋体"/>
                      <w:color w:val="000000" w:themeColor="text1"/>
                      <w:sz w:val="20"/>
                      <w:lang w:eastAsia="zh-CN"/>
                      <w14:textFill>
                        <w14:solidFill>
                          <w14:schemeClr w14:val="tx1"/>
                        </w14:solidFill>
                      </w14:textFill>
                    </w:rPr>
                  </w:pPr>
                  <w:r>
                    <w:rPr>
                      <w:rFonts w:hint="eastAsia" w:ascii="宋体" w:hAnsi="宋体" w:eastAsia="宋体" w:cs="宋体"/>
                      <w:color w:val="000000" w:themeColor="text1"/>
                      <w:sz w:val="20"/>
                      <w:lang w:eastAsia="zh-CN"/>
                      <w14:textFill>
                        <w14:solidFill>
                          <w14:schemeClr w14:val="tx1"/>
                        </w14:solidFill>
                      </w14:textFill>
                    </w:rPr>
                    <w:t>/</w:t>
                  </w:r>
                </w:p>
              </w:tc>
              <w:tc>
                <w:tcPr>
                  <w:tcW w:w="2205" w:type="dxa"/>
                  <w:tcBorders>
                    <w:top w:val="single" w:color="000000" w:sz="6" w:space="0"/>
                    <w:left w:val="single" w:color="000000" w:sz="6" w:space="0"/>
                    <w:bottom w:val="single" w:color="000000" w:sz="6" w:space="0"/>
                    <w:right w:val="single" w:color="000000" w:sz="6" w:space="0"/>
                  </w:tcBorders>
                </w:tcPr>
                <w:p>
                  <w:pPr>
                    <w:pStyle w:val="88"/>
                    <w:spacing w:line="269" w:lineRule="exact"/>
                    <w:rPr>
                      <w:rFonts w:ascii="宋体" w:hAnsi="宋体" w:eastAsia="宋体" w:cs="宋体"/>
                      <w:color w:val="000000" w:themeColor="text1"/>
                      <w:sz w:val="21"/>
                      <w:lang w:eastAsia="zh-CN"/>
                      <w14:textFill>
                        <w14:solidFill>
                          <w14:schemeClr w14:val="tx1"/>
                        </w14:solidFill>
                      </w14:textFill>
                    </w:rPr>
                  </w:pPr>
                  <w:r>
                    <w:rPr>
                      <w:rFonts w:hint="eastAsia" w:ascii="宋体" w:hAnsi="宋体" w:eastAsia="宋体" w:cs="宋体"/>
                      <w:color w:val="000000" w:themeColor="text1"/>
                      <w:sz w:val="21"/>
                      <w:lang w:eastAsia="zh-CN"/>
                      <w14:textFill>
                        <w14:solidFill>
                          <w14:schemeClr w14:val="tx1"/>
                        </w14:solidFill>
                      </w14:textFill>
                    </w:rPr>
                    <w:t>/</w:t>
                  </w:r>
                </w:p>
              </w:tc>
              <w:tc>
                <w:tcPr>
                  <w:tcW w:w="1800" w:type="dxa"/>
                  <w:tcBorders>
                    <w:top w:val="single" w:color="000000" w:sz="6" w:space="0"/>
                    <w:left w:val="single" w:color="000000" w:sz="6" w:space="0"/>
                    <w:bottom w:val="single" w:color="000000" w:sz="6" w:space="0"/>
                    <w:right w:val="single" w:color="000000" w:sz="6" w:space="0"/>
                  </w:tcBorders>
                </w:tcPr>
                <w:p>
                  <w:pPr>
                    <w:pStyle w:val="88"/>
                    <w:jc w:val="center"/>
                    <w:rPr>
                      <w:rFonts w:ascii="宋体" w:hAnsi="宋体" w:eastAsia="宋体" w:cs="宋体"/>
                      <w:color w:val="000000" w:themeColor="text1"/>
                      <w:w w:val="99"/>
                      <w:sz w:val="20"/>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尚未建立健全的环境应急管理体系，环境风险防控重点岗位责任人不够明确，环境风险设施定期巡检和维护责任制度未落实，突发环境事件信息报告制度也未建立。</w:t>
                  </w:r>
                </w:p>
              </w:tc>
              <w:tc>
                <w:tcPr>
                  <w:tcW w:w="1604" w:type="dxa"/>
                  <w:tcBorders>
                    <w:top w:val="single" w:color="000000" w:sz="6" w:space="0"/>
                    <w:left w:val="single" w:color="000000" w:sz="6" w:space="0"/>
                    <w:bottom w:val="single" w:color="000000" w:sz="6" w:space="0"/>
                    <w:right w:val="single" w:color="000000" w:sz="12" w:space="0"/>
                  </w:tcBorders>
                </w:tcPr>
                <w:p>
                  <w:pPr>
                    <w:pStyle w:val="88"/>
                    <w:jc w:val="center"/>
                    <w:rPr>
                      <w:rFonts w:ascii="Times New Roman"/>
                      <w:color w:val="000000" w:themeColor="text1"/>
                      <w:w w:val="99"/>
                      <w:sz w:val="20"/>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（1）健全环境应急管理体系；（2）明确重点岗位的人员职责；（3）建立风险设施巡检及维护制度；（4）建立突发环境事件信息报告制度；（5）编制加油站突发环境事件应急预案并备完成备案。</w:t>
                  </w:r>
                </w:p>
              </w:tc>
            </w:tr>
            <w:tr>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57" w:hRule="atLeast"/>
                <w:jc w:val="center"/>
              </w:trPr>
              <w:tc>
                <w:tcPr>
                  <w:tcW w:w="1529" w:type="dxa"/>
                  <w:tcBorders>
                    <w:top w:val="single" w:color="000000" w:sz="6" w:space="0"/>
                    <w:left w:val="single" w:color="000000" w:sz="12" w:space="0"/>
                    <w:bottom w:val="single" w:color="000000" w:sz="12" w:space="0"/>
                    <w:right w:val="single" w:color="000000" w:sz="6" w:space="0"/>
                  </w:tcBorders>
                </w:tcPr>
                <w:p>
                  <w:pPr>
                    <w:pStyle w:val="88"/>
                    <w:jc w:val="center"/>
                    <w:rPr>
                      <w:rFonts w:ascii="宋体" w:hAnsi="宋体" w:eastAsia="宋体" w:cs="宋体"/>
                      <w:color w:val="000000" w:themeColor="text1"/>
                      <w:sz w:val="20"/>
                      <w:lang w:eastAsia="zh-CN"/>
                      <w14:textFill>
                        <w14:solidFill>
                          <w14:schemeClr w14:val="tx1"/>
                        </w14:solidFill>
                      </w14:textFill>
                    </w:rPr>
                  </w:pPr>
                  <w:r>
                    <w:rPr>
                      <w:rFonts w:hint="eastAsia" w:ascii="宋体" w:hAnsi="宋体" w:eastAsia="宋体" w:cs="宋体"/>
                      <w:color w:val="000000" w:themeColor="text1"/>
                      <w:sz w:val="20"/>
                      <w:lang w:eastAsia="zh-CN"/>
                      <w14:textFill>
                        <w14:solidFill>
                          <w14:schemeClr w14:val="tx1"/>
                        </w14:solidFill>
                      </w14:textFill>
                    </w:rPr>
                    <w:t>相关手续</w:t>
                  </w:r>
                </w:p>
              </w:tc>
              <w:tc>
                <w:tcPr>
                  <w:tcW w:w="1299" w:type="dxa"/>
                  <w:tcBorders>
                    <w:top w:val="single" w:color="000000" w:sz="6" w:space="0"/>
                    <w:left w:val="single" w:color="000000" w:sz="6" w:space="0"/>
                    <w:bottom w:val="single" w:color="000000" w:sz="12" w:space="0"/>
                    <w:right w:val="single" w:color="000000" w:sz="6" w:space="0"/>
                  </w:tcBorders>
                </w:tcPr>
                <w:p>
                  <w:pPr>
                    <w:pStyle w:val="88"/>
                    <w:jc w:val="center"/>
                    <w:rPr>
                      <w:rFonts w:ascii="宋体" w:hAnsi="宋体" w:eastAsia="宋体" w:cs="宋体"/>
                      <w:color w:val="000000" w:themeColor="text1"/>
                      <w:sz w:val="20"/>
                      <w:lang w:eastAsia="zh-CN"/>
                      <w14:textFill>
                        <w14:solidFill>
                          <w14:schemeClr w14:val="tx1"/>
                        </w14:solidFill>
                      </w14:textFill>
                    </w:rPr>
                  </w:pPr>
                  <w:r>
                    <w:rPr>
                      <w:rFonts w:hint="eastAsia" w:ascii="宋体" w:hAnsi="宋体" w:eastAsia="宋体" w:cs="宋体"/>
                      <w:color w:val="000000" w:themeColor="text1"/>
                      <w:sz w:val="20"/>
                      <w:lang w:eastAsia="zh-CN"/>
                      <w14:textFill>
                        <w14:solidFill>
                          <w14:schemeClr w14:val="tx1"/>
                        </w14:solidFill>
                      </w14:textFill>
                    </w:rPr>
                    <w:t>/</w:t>
                  </w:r>
                </w:p>
              </w:tc>
              <w:tc>
                <w:tcPr>
                  <w:tcW w:w="2205" w:type="dxa"/>
                  <w:tcBorders>
                    <w:top w:val="single" w:color="000000" w:sz="6" w:space="0"/>
                    <w:left w:val="single" w:color="000000" w:sz="6" w:space="0"/>
                    <w:bottom w:val="single" w:color="000000" w:sz="12" w:space="0"/>
                    <w:right w:val="single" w:color="000000" w:sz="6" w:space="0"/>
                  </w:tcBorders>
                </w:tcPr>
                <w:p>
                  <w:pPr>
                    <w:pStyle w:val="88"/>
                    <w:spacing w:line="269" w:lineRule="exact"/>
                    <w:rPr>
                      <w:rFonts w:ascii="宋体" w:hAnsi="宋体" w:eastAsia="宋体" w:cs="宋体"/>
                      <w:color w:val="000000" w:themeColor="text1"/>
                      <w:sz w:val="21"/>
                      <w:lang w:eastAsia="zh-CN"/>
                      <w14:textFill>
                        <w14:solidFill>
                          <w14:schemeClr w14:val="tx1"/>
                        </w14:solidFill>
                      </w14:textFill>
                    </w:rPr>
                  </w:pPr>
                  <w:r>
                    <w:rPr>
                      <w:rFonts w:hint="eastAsia" w:ascii="宋体" w:hAnsi="宋体" w:eastAsia="宋体" w:cs="宋体"/>
                      <w:color w:val="000000" w:themeColor="text1"/>
                      <w:sz w:val="21"/>
                      <w:lang w:eastAsia="zh-CN"/>
                      <w14:textFill>
                        <w14:solidFill>
                          <w14:schemeClr w14:val="tx1"/>
                        </w14:solidFill>
                      </w14:textFill>
                    </w:rPr>
                    <w:t>/</w:t>
                  </w:r>
                </w:p>
              </w:tc>
              <w:tc>
                <w:tcPr>
                  <w:tcW w:w="1800" w:type="dxa"/>
                  <w:tcBorders>
                    <w:top w:val="single" w:color="000000" w:sz="6" w:space="0"/>
                    <w:left w:val="single" w:color="000000" w:sz="6" w:space="0"/>
                    <w:bottom w:val="single" w:color="000000" w:sz="12" w:space="0"/>
                    <w:right w:val="single" w:color="000000" w:sz="6" w:space="0"/>
                  </w:tcBorders>
                </w:tcPr>
                <w:p>
                  <w:pPr>
                    <w:pStyle w:val="88"/>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未完善“环保三同时”手续，尚未办理完善排污许可证，未制定环境监测计划。</w:t>
                  </w:r>
                </w:p>
              </w:tc>
              <w:tc>
                <w:tcPr>
                  <w:tcW w:w="1604" w:type="dxa"/>
                  <w:tcBorders>
                    <w:top w:val="single" w:color="000000" w:sz="6" w:space="0"/>
                    <w:left w:val="single" w:color="000000" w:sz="6" w:space="0"/>
                    <w:bottom w:val="single" w:color="000000" w:sz="12" w:space="0"/>
                    <w:right w:val="single" w:color="000000" w:sz="12" w:space="0"/>
                  </w:tcBorders>
                </w:tcPr>
                <w:p>
                  <w:pPr>
                    <w:pStyle w:val="88"/>
                    <w:jc w:val="center"/>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完善“环保三同时”手续，办理完善排污许可证，制定环境监测计划。</w:t>
                  </w:r>
                </w:p>
              </w:tc>
            </w:tr>
          </w:tbl>
          <w:p>
            <w:pPr>
              <w:pStyle w:val="7"/>
              <w:ind w:firstLine="643"/>
              <w:rPr>
                <w:color w:val="000000" w:themeColor="text1"/>
                <w14:textFill>
                  <w14:solidFill>
                    <w14:schemeClr w14:val="tx1"/>
                  </w14:solidFill>
                </w14:textFill>
              </w:rPr>
            </w:pP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sectPr>
          <w:headerReference r:id="rId13" w:type="default"/>
          <w:footerReference r:id="rId14" w:type="default"/>
          <w:pgSz w:w="11906" w:h="16838"/>
          <w:pgMar w:top="1440" w:right="1800" w:bottom="1440" w:left="1800" w:header="851" w:footer="992" w:gutter="0"/>
          <w:pgNumType w:start="1"/>
          <w:cols w:space="720" w:num="1"/>
          <w:docGrid w:type="lines" w:linePitch="312" w:charSpace="0"/>
        </w:sectPr>
      </w:pPr>
    </w:p>
    <w:p>
      <w:pPr>
        <w:pStyle w:val="51"/>
        <w:spacing w:after="0" w:line="500" w:lineRule="exact"/>
        <w:ind w:firstLine="0" w:firstLineChars="0"/>
        <w:outlineLvl w:val="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建设项目所在地自然环境简况</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8522" w:type="dxa"/>
            <w:tcBorders>
              <w:top w:val="single" w:color="auto" w:sz="12" w:space="0"/>
              <w:left w:val="single" w:color="auto" w:sz="12" w:space="0"/>
              <w:bottom w:val="single" w:color="auto" w:sz="12" w:space="0"/>
              <w:right w:val="single" w:color="auto" w:sz="12" w:space="0"/>
            </w:tcBorders>
          </w:tcPr>
          <w:p>
            <w:pPr>
              <w:spacing w:line="500" w:lineRule="exact"/>
              <w:ind w:firstLine="482"/>
              <w:rPr>
                <w:b/>
                <w:color w:val="000000" w:themeColor="text1"/>
                <w14:textFill>
                  <w14:solidFill>
                    <w14:schemeClr w14:val="tx1"/>
                  </w14:solidFill>
                </w14:textFill>
              </w:rPr>
            </w:pPr>
            <w:r>
              <w:rPr>
                <w:b/>
                <w:bCs/>
                <w:color w:val="000000" w:themeColor="text1"/>
                <w14:textFill>
                  <w14:solidFill>
                    <w14:schemeClr w14:val="tx1"/>
                  </w14:solidFill>
                </w14:textFill>
              </w:rPr>
              <w:t>自然环境简况（地形、地貌、地质、气候、气象、水文、植被、生物多样性等）：</w:t>
            </w:r>
          </w:p>
          <w:p>
            <w:pPr>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1、</w:t>
            </w:r>
            <w:r>
              <w:rPr>
                <w:b/>
                <w:color w:val="000000" w:themeColor="text1"/>
                <w14:textFill>
                  <w14:solidFill>
                    <w14:schemeClr w14:val="tx1"/>
                  </w14:solidFill>
                </w14:textFill>
              </w:rPr>
              <w:t>地理位置</w:t>
            </w:r>
          </w:p>
          <w:p>
            <w:pPr>
              <w:widowControl/>
              <w:adjustRightInd w:val="0"/>
              <w:snapToGrid w:val="0"/>
              <w:ind w:firstLine="48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沣东新城位于陕西省关中平原中部，西安市与咸阳市之间，南北宽约 17km， 东西长约 27km，规划总面积 159.36km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，海拔 400m 左右，地势西南高、东北低，由河流冲积和黄土堆积形成。地势平坦，土质肥沃，水源丰富，气候温暖，机耕、灌溉条件都很好，是陕西自然条件最好的地区之一。</w:t>
            </w:r>
          </w:p>
          <w:p>
            <w:pPr>
              <w:widowControl/>
              <w:adjustRightInd w:val="0"/>
              <w:snapToGrid w:val="0"/>
              <w:ind w:firstLine="48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陕西省西咸新区沣东新城沣东镇北槐村。</w:t>
            </w:r>
          </w:p>
          <w:p>
            <w:pPr>
              <w:ind w:firstLine="482"/>
              <w:rPr>
                <w:b/>
                <w:color w:val="000000" w:themeColor="text1"/>
                <w14:textFill>
                  <w14:solidFill>
                    <w14:schemeClr w14:val="tx1"/>
                  </w14:solidFill>
                </w14:textFill>
              </w:rPr>
            </w:pPr>
            <w:r>
              <w:rPr>
                <w:b/>
                <w:bCs/>
                <w:color w:val="000000" w:themeColor="text1"/>
                <w:kern w:val="0"/>
                <w14:textFill>
                  <w14:solidFill>
                    <w14:schemeClr w14:val="tx1"/>
                  </w14:solidFill>
                </w14:textFill>
              </w:rPr>
              <w:t>2、</w:t>
            </w:r>
            <w:r>
              <w:rPr>
                <w:rFonts w:hint="eastAsia"/>
                <w:b/>
                <w:color w:val="000000" w:themeColor="text1"/>
                <w14:textFill>
                  <w14:solidFill>
                    <w14:schemeClr w14:val="tx1"/>
                  </w14:solidFill>
                </w14:textFill>
              </w:rPr>
              <w:t>地形地貌</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沣东新城基本地貌类型主要是渭河、沣河的河流阶地和黄土台塬，构成台阶式现状河谷地貌景观。河流阶地由河流作用形成沿河谷两侧伸展且高出洪水位的阶梯状地形。黄土台塬是由黄土覆盖在河谷阶地台面上，沿河谷成长条状分布的黄土台面。台面一般向河谷倾斜。它的形成受河流发育的控制，黄土层下伏一般为河流冲积相堆积物。</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本项目区域总的地势开阔平坦，起伏和缓，地形、地貌条件良好。</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根据《中国地震烈度区划图》该区域基本烈度为</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度。</w:t>
            </w:r>
          </w:p>
          <w:p>
            <w:pPr>
              <w:ind w:firstLine="482"/>
              <w:rPr>
                <w:b/>
                <w:color w:val="000000" w:themeColor="text1"/>
                <w14:textFill>
                  <w14:solidFill>
                    <w14:schemeClr w14:val="tx1"/>
                  </w14:solidFill>
                </w14:textFill>
              </w:rPr>
            </w:pPr>
            <w:r>
              <w:rPr>
                <w:b/>
                <w:bCs/>
                <w:color w:val="000000" w:themeColor="text1"/>
                <w:kern w:val="0"/>
                <w14:textFill>
                  <w14:solidFill>
                    <w14:schemeClr w14:val="tx1"/>
                  </w14:solidFill>
                </w14:textFill>
              </w:rPr>
              <w:t>3、</w:t>
            </w:r>
            <w:r>
              <w:rPr>
                <w:rFonts w:hint="eastAsia"/>
                <w:b/>
                <w:bCs/>
                <w:color w:val="000000" w:themeColor="text1"/>
                <w:kern w:val="0"/>
                <w14:textFill>
                  <w14:solidFill>
                    <w14:schemeClr w14:val="tx1"/>
                  </w14:solidFill>
                </w14:textFill>
              </w:rPr>
              <w:t>气候、</w:t>
            </w:r>
            <w:r>
              <w:rPr>
                <w:b/>
                <w:color w:val="000000" w:themeColor="text1"/>
                <w14:textFill>
                  <w14:solidFill>
                    <w14:schemeClr w14:val="tx1"/>
                  </w14:solidFill>
                </w14:textFill>
              </w:rPr>
              <w:t>气象</w:t>
            </w:r>
            <w:r>
              <w:rPr>
                <w:rFonts w:hint="eastAsia"/>
                <w:b/>
                <w:color w:val="000000" w:themeColor="text1"/>
                <w14:textFill>
                  <w14:solidFill>
                    <w14:schemeClr w14:val="tx1"/>
                  </w14:solidFill>
                </w14:textFill>
              </w:rPr>
              <w:t>特征</w:t>
            </w:r>
          </w:p>
          <w:p>
            <w:pPr>
              <w:widowControl/>
              <w:adjustRightInd w:val="0"/>
              <w:snapToGrid w:val="0"/>
              <w:ind w:firstLine="480"/>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（1）大气压力：冬季 97.87KPa，夏季 95.92KPa；</w:t>
            </w:r>
          </w:p>
          <w:p>
            <w:pPr>
              <w:widowControl/>
              <w:adjustRightInd w:val="0"/>
              <w:snapToGrid w:val="0"/>
              <w:ind w:firstLine="480"/>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（2）温度：年平均气温 13.6 ℃，最热月份为7月，平均可达26.8℃，月绝对最高气温可达 43℃，最冷月份为1月份，平均气温-0.5℃，绝对气温为-19℃；</w:t>
            </w:r>
          </w:p>
          <w:p>
            <w:pPr>
              <w:widowControl/>
              <w:adjustRightInd w:val="0"/>
              <w:snapToGrid w:val="0"/>
              <w:ind w:firstLine="480"/>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（3）湿度：最冷月平均 67%，最热月平均 72%；</w:t>
            </w:r>
          </w:p>
          <w:p>
            <w:pPr>
              <w:widowControl/>
              <w:adjustRightInd w:val="0"/>
              <w:snapToGrid w:val="0"/>
              <w:ind w:firstLine="480"/>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（4）降水：一日最大降水量 69.8mm，平均年降水量 584.4mm，最大积水深度 22cm；</w:t>
            </w:r>
          </w:p>
          <w:p>
            <w:pPr>
              <w:widowControl/>
              <w:adjustRightInd w:val="0"/>
              <w:snapToGrid w:val="0"/>
              <w:ind w:firstLine="480"/>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（5）风：夏季平均风速 2.2m/s，冬季平均风速 1.8m/s，全年主导风向为NE14，夏季主导风向为 NE16，冬季主导风向为 NE13；</w:t>
            </w:r>
          </w:p>
          <w:p>
            <w:pPr>
              <w:widowControl/>
              <w:adjustRightInd w:val="0"/>
              <w:snapToGrid w:val="0"/>
              <w:ind w:firstLine="480"/>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（6）日照：全年日照时数为 2038.2 小时，全年日照百分率为 46%，日照间距系数为 1.59。</w:t>
            </w:r>
          </w:p>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4、水文</w:t>
            </w:r>
          </w:p>
          <w:p>
            <w:pPr>
              <w:widowControl/>
              <w:adjustRightInd w:val="0"/>
              <w:snapToGri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沣东新城区域内地表水主要有渭河和沣河，渭河位于本项目</w:t>
            </w:r>
            <w:r>
              <w:rPr>
                <w:rFonts w:hint="eastAsia"/>
                <w:color w:val="000000" w:themeColor="text1"/>
                <w:kern w:val="0"/>
                <w14:textFill>
                  <w14:solidFill>
                    <w14:schemeClr w14:val="tx1"/>
                  </w14:solidFill>
                </w14:textFill>
              </w:rPr>
              <w:t>西北</w:t>
            </w:r>
            <w:r>
              <w:rPr>
                <w:color w:val="000000" w:themeColor="text1"/>
                <w:kern w:val="0"/>
                <w14:textFill>
                  <w14:solidFill>
                    <w14:schemeClr w14:val="tx1"/>
                  </w14:solidFill>
                </w14:textFill>
              </w:rPr>
              <w:t xml:space="preserve">侧 </w:t>
            </w:r>
            <w:r>
              <w:rPr>
                <w:rFonts w:hint="eastAsia"/>
                <w:color w:val="000000" w:themeColor="text1"/>
                <w:kern w:val="0"/>
                <w14:textFill>
                  <w14:solidFill>
                    <w14:schemeClr w14:val="tx1"/>
                  </w14:solidFill>
                </w14:textFill>
              </w:rPr>
              <w:t>2.3</w:t>
            </w:r>
            <w:r>
              <w:rPr>
                <w:color w:val="000000" w:themeColor="text1"/>
                <w:kern w:val="0"/>
                <w14:textFill>
                  <w14:solidFill>
                    <w14:schemeClr w14:val="tx1"/>
                  </w14:solidFill>
                </w14:textFill>
              </w:rPr>
              <w:t>0km处，沣河位于本项目西</w:t>
            </w:r>
            <w:r>
              <w:rPr>
                <w:rFonts w:hint="eastAsia"/>
                <w:color w:val="000000" w:themeColor="text1"/>
                <w:kern w:val="0"/>
                <w14:textFill>
                  <w14:solidFill>
                    <w14:schemeClr w14:val="tx1"/>
                  </w14:solidFill>
                </w14:textFill>
              </w:rPr>
              <w:t>北</w:t>
            </w:r>
            <w:r>
              <w:rPr>
                <w:color w:val="000000" w:themeColor="text1"/>
                <w:kern w:val="0"/>
                <w14:textFill>
                  <w14:solidFill>
                    <w14:schemeClr w14:val="tx1"/>
                  </w14:solidFill>
                </w14:textFill>
              </w:rPr>
              <w:t xml:space="preserve">侧 </w:t>
            </w:r>
            <w:r>
              <w:rPr>
                <w:rFonts w:hint="eastAsia"/>
                <w:color w:val="000000" w:themeColor="text1"/>
                <w:kern w:val="0"/>
                <w14:textFill>
                  <w14:solidFill>
                    <w14:schemeClr w14:val="tx1"/>
                  </w14:solidFill>
                </w14:textFill>
              </w:rPr>
              <w:t>1.2</w:t>
            </w:r>
            <w:r>
              <w:rPr>
                <w:color w:val="000000" w:themeColor="text1"/>
                <w:kern w:val="0"/>
                <w14:textFill>
                  <w14:solidFill>
                    <w14:schemeClr w14:val="tx1"/>
                  </w14:solidFill>
                </w14:textFill>
              </w:rPr>
              <w:t>km 处。</w:t>
            </w:r>
          </w:p>
          <w:p>
            <w:pPr>
              <w:widowControl/>
              <w:adjustRightInd w:val="0"/>
              <w:snapToGri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渭河自西向东沿咸阳市辖区南缘流过，境内长度约 30km。水量季节性变化大，最大流量 6216m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 xml:space="preserve"> /s，最小流量 3.4m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 xml:space="preserve"> /s，平均流量 173m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/s。百年一遇洪水流量 9916m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/s，相应水位 386.5m（铁路桥处）；河床宽浅，平水期水深3.0m，河床比降约 1‰， 河流南岸有沣河等支流汇入。</w:t>
            </w:r>
          </w:p>
          <w:p>
            <w:pPr>
              <w:widowControl/>
              <w:adjustRightInd w:val="0"/>
              <w:snapToGri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沣河为渭河一级支流，发源于西安喂子坪乡鸡窝子以南，流经西安长安区、户县秦渡镇，于咸阳市秦都区沣西乡入境，向北流至沣东乡入渭河。全长 78km， 咸阳境内流长 13.1km，流域面积 1368km</w:t>
            </w:r>
            <w:r>
              <w:rPr>
                <w:color w:val="000000" w:themeColor="text1"/>
                <w:kern w:val="0"/>
                <w:vertAlign w:val="superscript"/>
                <w14:textFill>
                  <w14:solidFill>
                    <w14:schemeClr w14:val="tx1"/>
                  </w14:solidFill>
                </w14:textFill>
              </w:rPr>
              <w:t>2</w:t>
            </w:r>
            <w:r>
              <w:rPr>
                <w:color w:val="000000" w:themeColor="text1"/>
                <w:kern w:val="0"/>
                <w14:textFill>
                  <w14:solidFill>
                    <w14:schemeClr w14:val="tx1"/>
                  </w14:solidFill>
                </w14:textFill>
              </w:rPr>
              <w:t>，平均流量 13.38m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/s，最大流量710m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/s。</w:t>
            </w:r>
          </w:p>
          <w:p>
            <w:pPr>
              <w:spacing w:before="156" w:beforeLines="50"/>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生态</w:t>
            </w:r>
            <w:r>
              <w:rPr>
                <w:b/>
                <w:color w:val="000000" w:themeColor="text1"/>
                <w14:textFill>
                  <w14:solidFill>
                    <w14:schemeClr w14:val="tx1"/>
                  </w14:solidFill>
                </w14:textFill>
              </w:rPr>
              <w:t>植被</w:t>
            </w:r>
          </w:p>
          <w:p>
            <w:pPr>
              <w:widowControl/>
              <w:adjustRightInd w:val="0"/>
              <w:snapToGrid w:val="0"/>
              <w:ind w:firstLine="480"/>
              <w:jc w:val="left"/>
              <w:rPr>
                <w:color w:val="000000" w:themeColor="text1"/>
                <w14:textFill>
                  <w14:solidFill>
                    <w14:schemeClr w14:val="tx1"/>
                  </w14:solidFill>
                </w14:textFill>
              </w:rPr>
            </w:pPr>
            <w:r>
              <w:rPr>
                <w:color w:val="000000" w:themeColor="text1"/>
                <w:kern w:val="0"/>
                <w14:textFill>
                  <w14:solidFill>
                    <w14:schemeClr w14:val="tx1"/>
                  </w14:solidFill>
                </w14:textFill>
              </w:rPr>
              <w:t>项目为城市规划区，植被主要为人工植被，本项目所在地 500m 范围内的区域无列入《国家重点保护野生植物名录》和《国家重点保护野生动物名录》的野生动植物。</w:t>
            </w: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6"/>
        <w:rPr>
          <w:color w:val="000000" w:themeColor="text1"/>
          <w14:textFill>
            <w14:solidFill>
              <w14:schemeClr w14:val="tx1"/>
            </w14:solidFill>
          </w14:textFill>
        </w:rPr>
      </w:pPr>
      <w:r>
        <w:rPr>
          <w:color w:val="000000" w:themeColor="text1"/>
          <w14:textFill>
            <w14:solidFill>
              <w14:schemeClr w14:val="tx1"/>
            </w14:solidFill>
          </w14:textFill>
        </w:rPr>
        <w:t>环境质量状况</w:t>
      </w:r>
    </w:p>
    <w:tbl>
      <w:tblPr>
        <w:tblStyle w:val="28"/>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6" w:hRule="atLeast"/>
          <w:jc w:val="center"/>
        </w:trPr>
        <w:tc>
          <w:tcPr>
            <w:tcW w:w="8522" w:type="dxa"/>
          </w:tcPr>
          <w:p>
            <w:pPr>
              <w:spacing w:line="500" w:lineRule="exact"/>
              <w:ind w:firstLine="482"/>
              <w:rPr>
                <w:color w:val="000000" w:themeColor="text1"/>
                <w14:textFill>
                  <w14:solidFill>
                    <w14:schemeClr w14:val="tx1"/>
                  </w14:solidFill>
                </w14:textFill>
              </w:rPr>
            </w:pPr>
            <w:r>
              <w:rPr>
                <w:color w:val="000000" w:themeColor="text1"/>
                <w14:textFill>
                  <w14:solidFill>
                    <w14:schemeClr w14:val="tx1"/>
                  </w14:solidFill>
                </w14:textFill>
              </w:rPr>
              <w:t>建设项目所在地区域环境质量现状及主要环境问题（环境空气、地面水、地下水、声环境、生态环境等）</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环境空气质量现状</w:t>
            </w:r>
          </w:p>
          <w:p>
            <w:pPr>
              <w:ind w:firstLine="480"/>
              <w:rPr>
                <w:color w:val="000000" w:themeColor="text1"/>
                <w14:textFill>
                  <w14:solidFill>
                    <w14:schemeClr w14:val="tx1"/>
                  </w14:solidFill>
                </w14:textFill>
              </w:rPr>
            </w:pPr>
            <w:bookmarkStart w:id="5" w:name="_Hlk536535566"/>
            <w:r>
              <w:rPr>
                <w:rFonts w:hint="eastAsia"/>
                <w:color w:val="000000" w:themeColor="text1"/>
                <w14:textFill>
                  <w14:solidFill>
                    <w14:schemeClr w14:val="tx1"/>
                  </w14:solidFill>
                </w14:textFill>
              </w:rPr>
              <w:t>根据《环境环境影响评价技术导则大气环境》（HJ2.2-2018），确定本项目大气环境影响评价等级为三级，只调查项目所在区域环境质量达标情况。区域环境空气质量现状如下分析。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本项目环境空气质量基本污染物SO2、NO2、PM2.5、PM10、CO、O3现状监测数据引用陕西省生态环境厅办公室20</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年1月</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日发布的《2019 年 12 月及 1~12 月全省环境空气质量状况》中西咸新区沣东新城 2019 年 1~12 月统计数据，对区域环境空气质量现状进行分析，统计结果见下表3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沣东新城2</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9年空气</w:t>
            </w:r>
            <w:r>
              <w:rPr>
                <w:color w:val="000000" w:themeColor="text1"/>
                <w14:textFill>
                  <w14:solidFill>
                    <w14:schemeClr w14:val="tx1"/>
                  </w14:solidFill>
                </w14:textFill>
              </w:rPr>
              <w:t>质量</w:t>
            </w:r>
            <w:r>
              <w:rPr>
                <w:rFonts w:hint="eastAsia"/>
                <w:color w:val="000000" w:themeColor="text1"/>
                <w14:textFill>
                  <w14:solidFill>
                    <w14:schemeClr w14:val="tx1"/>
                  </w14:solidFill>
                </w14:textFill>
              </w:rPr>
              <w:t>状况</w:t>
            </w:r>
            <w:r>
              <w:rPr>
                <w:color w:val="000000" w:themeColor="text1"/>
                <w14:textFill>
                  <w14:solidFill>
                    <w14:schemeClr w14:val="tx1"/>
                  </w14:solidFill>
                </w14:textFill>
              </w:rPr>
              <w:t>统计表</w:t>
            </w:r>
          </w:p>
          <w:tbl>
            <w:tblPr>
              <w:tblStyle w:val="28"/>
              <w:tblpPr w:leftFromText="180" w:rightFromText="180" w:vertAnchor="text" w:horzAnchor="page" w:tblpX="187" w:tblpY="117"/>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17"/>
              <w:gridCol w:w="1997"/>
              <w:gridCol w:w="1338"/>
              <w:gridCol w:w="1446"/>
              <w:gridCol w:w="1471"/>
              <w:gridCol w:w="11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0" w:hRule="atLeast"/>
              </w:trPr>
              <w:tc>
                <w:tcPr>
                  <w:tcW w:w="717" w:type="dxa"/>
                  <w:tcBorders>
                    <w:bottom w:val="single" w:color="000000" w:sz="8" w:space="0"/>
                    <w:right w:val="single" w:color="000000" w:sz="8" w:space="0"/>
                  </w:tcBorders>
                </w:tcPr>
                <w:p>
                  <w:pPr>
                    <w:pStyle w:val="88"/>
                    <w:spacing w:before="171"/>
                    <w:ind w:right="24"/>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污染物</w:t>
                  </w:r>
                </w:p>
              </w:tc>
              <w:tc>
                <w:tcPr>
                  <w:tcW w:w="1997" w:type="dxa"/>
                  <w:tcBorders>
                    <w:left w:val="single" w:color="000000" w:sz="8" w:space="0"/>
                    <w:bottom w:val="single" w:color="000000" w:sz="8" w:space="0"/>
                    <w:right w:val="single" w:color="000000" w:sz="8" w:space="0"/>
                  </w:tcBorders>
                </w:tcPr>
                <w:p>
                  <w:pPr>
                    <w:pStyle w:val="88"/>
                    <w:spacing w:before="171"/>
                    <w:ind w:left="85"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年评价指标</w:t>
                  </w:r>
                </w:p>
              </w:tc>
              <w:tc>
                <w:tcPr>
                  <w:tcW w:w="1338" w:type="dxa"/>
                  <w:tcBorders>
                    <w:left w:val="single" w:color="000000" w:sz="8" w:space="0"/>
                    <w:bottom w:val="single" w:color="000000" w:sz="8" w:space="0"/>
                    <w:right w:val="single" w:color="000000" w:sz="8" w:space="0"/>
                  </w:tcBorders>
                </w:tcPr>
                <w:p>
                  <w:pPr>
                    <w:pStyle w:val="88"/>
                    <w:spacing w:before="15"/>
                    <w:ind w:left="313"/>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现状浓度</w:t>
                  </w:r>
                </w:p>
                <w:p>
                  <w:pPr>
                    <w:pStyle w:val="88"/>
                    <w:spacing w:before="42"/>
                    <w:ind w:left="361"/>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color w:val="000000" w:themeColor="text1"/>
                      <w14:textFill>
                        <w14:solidFill>
                          <w14:schemeClr w14:val="tx1"/>
                        </w14:solidFill>
                      </w14:textFill>
                    </w:rPr>
                    <w:t>μ</w:t>
                  </w:r>
                  <w:r>
                    <w:rPr>
                      <w:color w:val="000000" w:themeColor="text1"/>
                      <w:lang w:eastAsia="zh-CN"/>
                      <w14:textFill>
                        <w14:solidFill>
                          <w14:schemeClr w14:val="tx1"/>
                        </w14:solidFill>
                      </w14:textFill>
                    </w:rPr>
                    <w:t>g/m3)</w:t>
                  </w:r>
                </w:p>
              </w:tc>
              <w:tc>
                <w:tcPr>
                  <w:tcW w:w="1446" w:type="dxa"/>
                  <w:tcBorders>
                    <w:left w:val="single" w:color="000000" w:sz="8" w:space="0"/>
                    <w:bottom w:val="single" w:color="000000" w:sz="8" w:space="0"/>
                    <w:right w:val="single" w:color="000000" w:sz="8" w:space="0"/>
                  </w:tcBorders>
                </w:tcPr>
                <w:p>
                  <w:pPr>
                    <w:pStyle w:val="88"/>
                    <w:spacing w:before="15"/>
                    <w:ind w:left="43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标准值</w:t>
                  </w:r>
                </w:p>
                <w:p>
                  <w:pPr>
                    <w:pStyle w:val="88"/>
                    <w:spacing w:before="56"/>
                    <w:ind w:left="358"/>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r>
                    <w:rPr>
                      <w:color w:val="000000" w:themeColor="text1"/>
                      <w14:textFill>
                        <w14:solidFill>
                          <w14:schemeClr w14:val="tx1"/>
                        </w14:solidFill>
                      </w14:textFill>
                    </w:rPr>
                    <w:t>μ</w:t>
                  </w:r>
                  <w:r>
                    <w:rPr>
                      <w:color w:val="000000" w:themeColor="text1"/>
                      <w:lang w:eastAsia="zh-CN"/>
                      <w14:textFill>
                        <w14:solidFill>
                          <w14:schemeClr w14:val="tx1"/>
                        </w14:solidFill>
                      </w14:textFill>
                    </w:rPr>
                    <w:t>g/m3)</w:t>
                  </w:r>
                </w:p>
              </w:tc>
              <w:tc>
                <w:tcPr>
                  <w:tcW w:w="1471" w:type="dxa"/>
                  <w:tcBorders>
                    <w:left w:val="single" w:color="000000" w:sz="8" w:space="0"/>
                    <w:bottom w:val="single" w:color="000000" w:sz="8" w:space="0"/>
                    <w:right w:val="single" w:color="000000" w:sz="8" w:space="0"/>
                  </w:tcBorders>
                </w:tcPr>
                <w:p>
                  <w:pPr>
                    <w:pStyle w:val="88"/>
                    <w:spacing w:before="171"/>
                    <w:ind w:left="282"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占标率/%</w:t>
                  </w:r>
                </w:p>
              </w:tc>
              <w:tc>
                <w:tcPr>
                  <w:tcW w:w="1108" w:type="dxa"/>
                  <w:tcBorders>
                    <w:left w:val="single" w:color="000000" w:sz="8" w:space="0"/>
                    <w:bottom w:val="single" w:color="000000" w:sz="8" w:space="0"/>
                  </w:tcBorders>
                </w:tcPr>
                <w:p>
                  <w:pPr>
                    <w:pStyle w:val="88"/>
                    <w:spacing w:before="171"/>
                    <w:ind w:left="126"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达标情况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9" w:hRule="atLeast"/>
              </w:trPr>
              <w:tc>
                <w:tcPr>
                  <w:tcW w:w="717" w:type="dxa"/>
                  <w:tcBorders>
                    <w:top w:val="single" w:color="000000" w:sz="8" w:space="0"/>
                    <w:bottom w:val="single" w:color="000000" w:sz="8" w:space="0"/>
                    <w:right w:val="single" w:color="000000" w:sz="8" w:space="0"/>
                  </w:tcBorders>
                  <w:vAlign w:val="center"/>
                </w:tcPr>
                <w:p>
                  <w:pPr>
                    <w:pStyle w:val="88"/>
                    <w:spacing w:before="85"/>
                    <w:ind w:right="31"/>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SO2</w:t>
                  </w:r>
                </w:p>
              </w:tc>
              <w:tc>
                <w:tcPr>
                  <w:tcW w:w="1997" w:type="dxa"/>
                  <w:tcBorders>
                    <w:top w:val="single" w:color="000000" w:sz="8" w:space="0"/>
                    <w:left w:val="single" w:color="000000" w:sz="8" w:space="0"/>
                    <w:bottom w:val="single" w:color="000000" w:sz="8" w:space="0"/>
                    <w:right w:val="single" w:color="000000" w:sz="8" w:space="0"/>
                  </w:tcBorders>
                  <w:vAlign w:val="center"/>
                </w:tcPr>
                <w:p>
                  <w:pPr>
                    <w:pStyle w:val="88"/>
                    <w:spacing w:before="68"/>
                    <w:ind w:left="82"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年平均质量浓度</w:t>
                  </w:r>
                </w:p>
              </w:tc>
              <w:tc>
                <w:tcPr>
                  <w:tcW w:w="1338" w:type="dxa"/>
                  <w:tcBorders>
                    <w:top w:val="single" w:color="000000" w:sz="8" w:space="0"/>
                    <w:left w:val="single" w:color="000000" w:sz="8" w:space="0"/>
                    <w:bottom w:val="single" w:color="000000" w:sz="8" w:space="0"/>
                    <w:right w:val="single" w:color="000000" w:sz="8" w:space="0"/>
                  </w:tcBorders>
                  <w:vAlign w:val="center"/>
                </w:tcPr>
                <w:p>
                  <w:pPr>
                    <w:pStyle w:val="88"/>
                    <w:spacing w:before="87"/>
                    <w:ind w:firstLine="440" w:firstLineChars="200"/>
                    <w:jc w:val="both"/>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9</w:t>
                  </w:r>
                </w:p>
              </w:tc>
              <w:tc>
                <w:tcPr>
                  <w:tcW w:w="1446" w:type="dxa"/>
                  <w:tcBorders>
                    <w:top w:val="single" w:color="000000" w:sz="8" w:space="0"/>
                    <w:left w:val="single" w:color="000000" w:sz="8" w:space="0"/>
                    <w:bottom w:val="single" w:color="000000" w:sz="8" w:space="0"/>
                    <w:right w:val="single" w:color="000000" w:sz="8" w:space="0"/>
                  </w:tcBorders>
                  <w:vAlign w:val="center"/>
                </w:tcPr>
                <w:p>
                  <w:pPr>
                    <w:pStyle w:val="88"/>
                    <w:spacing w:before="87"/>
                    <w:ind w:left="514" w:right="4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60</w:t>
                  </w:r>
                </w:p>
              </w:tc>
              <w:tc>
                <w:tcPr>
                  <w:tcW w:w="1471" w:type="dxa"/>
                  <w:tcBorders>
                    <w:top w:val="single" w:color="000000" w:sz="8" w:space="0"/>
                    <w:left w:val="single" w:color="000000" w:sz="8" w:space="0"/>
                    <w:bottom w:val="single" w:color="000000" w:sz="8" w:space="0"/>
                    <w:right w:val="single" w:color="000000" w:sz="8" w:space="0"/>
                  </w:tcBorders>
                  <w:vAlign w:val="center"/>
                </w:tcPr>
                <w:p>
                  <w:pPr>
                    <w:pStyle w:val="88"/>
                    <w:spacing w:before="87"/>
                    <w:ind w:left="279"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15</w:t>
                  </w:r>
                </w:p>
              </w:tc>
              <w:tc>
                <w:tcPr>
                  <w:tcW w:w="1108" w:type="dxa"/>
                  <w:tcBorders>
                    <w:top w:val="single" w:color="000000" w:sz="8" w:space="0"/>
                    <w:left w:val="single" w:color="000000" w:sz="8" w:space="0"/>
                    <w:bottom w:val="single" w:color="000000" w:sz="8" w:space="0"/>
                  </w:tcBorders>
                  <w:vAlign w:val="center"/>
                </w:tcPr>
                <w:p>
                  <w:pPr>
                    <w:pStyle w:val="88"/>
                    <w:spacing w:before="68"/>
                    <w:ind w:left="121"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trPr>
              <w:tc>
                <w:tcPr>
                  <w:tcW w:w="717" w:type="dxa"/>
                  <w:tcBorders>
                    <w:top w:val="single" w:color="000000" w:sz="8" w:space="0"/>
                    <w:bottom w:val="single" w:color="000000" w:sz="8" w:space="0"/>
                    <w:right w:val="single" w:color="000000" w:sz="8" w:space="0"/>
                  </w:tcBorders>
                  <w:vAlign w:val="center"/>
                </w:tcPr>
                <w:p>
                  <w:pPr>
                    <w:pStyle w:val="88"/>
                    <w:spacing w:before="73"/>
                    <w:ind w:right="17"/>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NO2</w:t>
                  </w:r>
                </w:p>
              </w:tc>
              <w:tc>
                <w:tcPr>
                  <w:tcW w:w="1997" w:type="dxa"/>
                  <w:tcBorders>
                    <w:top w:val="single" w:color="000000" w:sz="8" w:space="0"/>
                    <w:left w:val="single" w:color="000000" w:sz="8" w:space="0"/>
                    <w:bottom w:val="single" w:color="000000" w:sz="8" w:space="0"/>
                    <w:right w:val="single" w:color="000000" w:sz="8" w:space="0"/>
                  </w:tcBorders>
                  <w:vAlign w:val="center"/>
                </w:tcPr>
                <w:p>
                  <w:pPr>
                    <w:pStyle w:val="88"/>
                    <w:spacing w:before="56"/>
                    <w:ind w:left="82"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年平均质量浓度</w:t>
                  </w:r>
                </w:p>
              </w:tc>
              <w:tc>
                <w:tcPr>
                  <w:tcW w:w="1338" w:type="dxa"/>
                  <w:tcBorders>
                    <w:top w:val="single" w:color="000000" w:sz="8" w:space="0"/>
                    <w:left w:val="single" w:color="000000" w:sz="8" w:space="0"/>
                    <w:bottom w:val="single" w:color="000000" w:sz="8" w:space="0"/>
                    <w:right w:val="single" w:color="000000" w:sz="8" w:space="0"/>
                  </w:tcBorders>
                  <w:vAlign w:val="center"/>
                </w:tcPr>
                <w:p>
                  <w:pPr>
                    <w:pStyle w:val="88"/>
                    <w:spacing w:before="73"/>
                    <w:ind w:right="53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47</w:t>
                  </w:r>
                </w:p>
              </w:tc>
              <w:tc>
                <w:tcPr>
                  <w:tcW w:w="1446" w:type="dxa"/>
                  <w:tcBorders>
                    <w:top w:val="single" w:color="000000" w:sz="8" w:space="0"/>
                    <w:left w:val="single" w:color="000000" w:sz="8" w:space="0"/>
                    <w:bottom w:val="single" w:color="000000" w:sz="8" w:space="0"/>
                    <w:right w:val="single" w:color="000000" w:sz="8" w:space="0"/>
                  </w:tcBorders>
                  <w:vAlign w:val="center"/>
                </w:tcPr>
                <w:p>
                  <w:pPr>
                    <w:pStyle w:val="88"/>
                    <w:spacing w:before="73"/>
                    <w:ind w:left="514" w:right="4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40</w:t>
                  </w:r>
                </w:p>
              </w:tc>
              <w:tc>
                <w:tcPr>
                  <w:tcW w:w="1471" w:type="dxa"/>
                  <w:tcBorders>
                    <w:top w:val="single" w:color="000000" w:sz="8" w:space="0"/>
                    <w:left w:val="single" w:color="000000" w:sz="8" w:space="0"/>
                    <w:bottom w:val="single" w:color="000000" w:sz="8" w:space="0"/>
                    <w:right w:val="single" w:color="000000" w:sz="8" w:space="0"/>
                  </w:tcBorders>
                  <w:vAlign w:val="center"/>
                </w:tcPr>
                <w:p>
                  <w:pPr>
                    <w:pStyle w:val="88"/>
                    <w:spacing w:before="73"/>
                    <w:ind w:left="276"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118</w:t>
                  </w:r>
                </w:p>
              </w:tc>
              <w:tc>
                <w:tcPr>
                  <w:tcW w:w="1108" w:type="dxa"/>
                  <w:tcBorders>
                    <w:top w:val="single" w:color="000000" w:sz="8" w:space="0"/>
                    <w:left w:val="single" w:color="000000" w:sz="8" w:space="0"/>
                    <w:bottom w:val="single" w:color="000000" w:sz="8" w:space="0"/>
                  </w:tcBorders>
                  <w:vAlign w:val="center"/>
                </w:tcPr>
                <w:p>
                  <w:pPr>
                    <w:pStyle w:val="88"/>
                    <w:spacing w:before="56"/>
                    <w:ind w:left="126"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717" w:type="dxa"/>
                  <w:tcBorders>
                    <w:top w:val="single" w:color="000000" w:sz="8" w:space="0"/>
                    <w:bottom w:val="single" w:color="000000" w:sz="8" w:space="0"/>
                    <w:right w:val="single" w:color="000000" w:sz="8" w:space="0"/>
                  </w:tcBorders>
                  <w:vAlign w:val="center"/>
                </w:tcPr>
                <w:p>
                  <w:pPr>
                    <w:pStyle w:val="88"/>
                    <w:spacing w:before="63"/>
                    <w:ind w:right="-15"/>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PM10</w:t>
                  </w:r>
                </w:p>
              </w:tc>
              <w:tc>
                <w:tcPr>
                  <w:tcW w:w="1997" w:type="dxa"/>
                  <w:tcBorders>
                    <w:top w:val="single" w:color="000000" w:sz="8" w:space="0"/>
                    <w:left w:val="single" w:color="000000" w:sz="8" w:space="0"/>
                    <w:bottom w:val="single" w:color="000000" w:sz="8" w:space="0"/>
                    <w:right w:val="single" w:color="000000" w:sz="8" w:space="0"/>
                  </w:tcBorders>
                  <w:vAlign w:val="center"/>
                </w:tcPr>
                <w:p>
                  <w:pPr>
                    <w:pStyle w:val="88"/>
                    <w:spacing w:before="44"/>
                    <w:ind w:left="82"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年平均质量浓度</w:t>
                  </w:r>
                </w:p>
              </w:tc>
              <w:tc>
                <w:tcPr>
                  <w:tcW w:w="1338" w:type="dxa"/>
                  <w:tcBorders>
                    <w:top w:val="single" w:color="000000" w:sz="8" w:space="0"/>
                    <w:left w:val="single" w:color="000000" w:sz="8" w:space="0"/>
                    <w:bottom w:val="single" w:color="000000" w:sz="8" w:space="0"/>
                    <w:right w:val="single" w:color="000000" w:sz="8" w:space="0"/>
                  </w:tcBorders>
                  <w:vAlign w:val="center"/>
                </w:tcPr>
                <w:p>
                  <w:pPr>
                    <w:pStyle w:val="88"/>
                    <w:spacing w:before="63"/>
                    <w:ind w:right="47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100</w:t>
                  </w:r>
                </w:p>
              </w:tc>
              <w:tc>
                <w:tcPr>
                  <w:tcW w:w="1446" w:type="dxa"/>
                  <w:tcBorders>
                    <w:top w:val="single" w:color="000000" w:sz="8" w:space="0"/>
                    <w:left w:val="single" w:color="000000" w:sz="8" w:space="0"/>
                    <w:bottom w:val="single" w:color="000000" w:sz="8" w:space="0"/>
                    <w:right w:val="single" w:color="000000" w:sz="8" w:space="0"/>
                  </w:tcBorders>
                  <w:vAlign w:val="center"/>
                </w:tcPr>
                <w:p>
                  <w:pPr>
                    <w:pStyle w:val="88"/>
                    <w:spacing w:before="63"/>
                    <w:ind w:left="514" w:right="4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70</w:t>
                  </w:r>
                </w:p>
              </w:tc>
              <w:tc>
                <w:tcPr>
                  <w:tcW w:w="1471" w:type="dxa"/>
                  <w:tcBorders>
                    <w:top w:val="single" w:color="000000" w:sz="8" w:space="0"/>
                    <w:left w:val="single" w:color="000000" w:sz="8" w:space="0"/>
                    <w:bottom w:val="single" w:color="000000" w:sz="8" w:space="0"/>
                    <w:right w:val="single" w:color="000000" w:sz="8" w:space="0"/>
                  </w:tcBorders>
                  <w:vAlign w:val="center"/>
                </w:tcPr>
                <w:p>
                  <w:pPr>
                    <w:pStyle w:val="88"/>
                    <w:spacing w:before="63"/>
                    <w:ind w:left="274"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143</w:t>
                  </w:r>
                </w:p>
              </w:tc>
              <w:tc>
                <w:tcPr>
                  <w:tcW w:w="1108" w:type="dxa"/>
                  <w:tcBorders>
                    <w:top w:val="single" w:color="000000" w:sz="8" w:space="0"/>
                    <w:left w:val="single" w:color="000000" w:sz="8" w:space="0"/>
                    <w:bottom w:val="single" w:color="000000" w:sz="8" w:space="0"/>
                  </w:tcBorders>
                  <w:vAlign w:val="center"/>
                </w:tcPr>
                <w:p>
                  <w:pPr>
                    <w:pStyle w:val="88"/>
                    <w:spacing w:before="44"/>
                    <w:ind w:left="126"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5" w:hRule="atLeast"/>
              </w:trPr>
              <w:tc>
                <w:tcPr>
                  <w:tcW w:w="717" w:type="dxa"/>
                  <w:tcBorders>
                    <w:top w:val="single" w:color="000000" w:sz="8" w:space="0"/>
                    <w:bottom w:val="single" w:color="000000" w:sz="8" w:space="0"/>
                    <w:right w:val="single" w:color="000000" w:sz="8" w:space="0"/>
                  </w:tcBorders>
                  <w:vAlign w:val="center"/>
                </w:tcPr>
                <w:p>
                  <w:pPr>
                    <w:pStyle w:val="88"/>
                    <w:spacing w:before="62"/>
                    <w:ind w:right="-2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PM2.5</w:t>
                  </w:r>
                </w:p>
              </w:tc>
              <w:tc>
                <w:tcPr>
                  <w:tcW w:w="1997" w:type="dxa"/>
                  <w:tcBorders>
                    <w:top w:val="single" w:color="000000" w:sz="8" w:space="0"/>
                    <w:left w:val="single" w:color="000000" w:sz="8" w:space="0"/>
                    <w:bottom w:val="single" w:color="000000" w:sz="8" w:space="0"/>
                    <w:right w:val="single" w:color="000000" w:sz="8" w:space="0"/>
                  </w:tcBorders>
                  <w:vAlign w:val="center"/>
                </w:tcPr>
                <w:p>
                  <w:pPr>
                    <w:pStyle w:val="88"/>
                    <w:spacing w:before="44"/>
                    <w:ind w:left="82"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年平均质量浓度</w:t>
                  </w:r>
                </w:p>
              </w:tc>
              <w:tc>
                <w:tcPr>
                  <w:tcW w:w="1338" w:type="dxa"/>
                  <w:tcBorders>
                    <w:top w:val="single" w:color="000000" w:sz="8" w:space="0"/>
                    <w:left w:val="single" w:color="000000" w:sz="8" w:space="0"/>
                    <w:bottom w:val="single" w:color="000000" w:sz="8" w:space="0"/>
                    <w:right w:val="single" w:color="000000" w:sz="8" w:space="0"/>
                  </w:tcBorders>
                  <w:vAlign w:val="center"/>
                </w:tcPr>
                <w:p>
                  <w:pPr>
                    <w:pStyle w:val="88"/>
                    <w:spacing w:before="63"/>
                    <w:ind w:right="53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65</w:t>
                  </w:r>
                </w:p>
              </w:tc>
              <w:tc>
                <w:tcPr>
                  <w:tcW w:w="1446" w:type="dxa"/>
                  <w:tcBorders>
                    <w:top w:val="single" w:color="000000" w:sz="8" w:space="0"/>
                    <w:left w:val="single" w:color="000000" w:sz="8" w:space="0"/>
                    <w:bottom w:val="single" w:color="000000" w:sz="8" w:space="0"/>
                    <w:right w:val="single" w:color="000000" w:sz="8" w:space="0"/>
                  </w:tcBorders>
                  <w:vAlign w:val="center"/>
                </w:tcPr>
                <w:p>
                  <w:pPr>
                    <w:pStyle w:val="88"/>
                    <w:spacing w:before="63"/>
                    <w:ind w:left="514" w:right="4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35</w:t>
                  </w:r>
                </w:p>
              </w:tc>
              <w:tc>
                <w:tcPr>
                  <w:tcW w:w="1471" w:type="dxa"/>
                  <w:tcBorders>
                    <w:top w:val="single" w:color="000000" w:sz="8" w:space="0"/>
                    <w:left w:val="single" w:color="000000" w:sz="8" w:space="0"/>
                    <w:bottom w:val="single" w:color="000000" w:sz="8" w:space="0"/>
                    <w:right w:val="single" w:color="000000" w:sz="8" w:space="0"/>
                  </w:tcBorders>
                  <w:vAlign w:val="center"/>
                </w:tcPr>
                <w:p>
                  <w:pPr>
                    <w:pStyle w:val="88"/>
                    <w:spacing w:before="63"/>
                    <w:ind w:left="274"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186</w:t>
                  </w:r>
                </w:p>
              </w:tc>
              <w:tc>
                <w:tcPr>
                  <w:tcW w:w="1108" w:type="dxa"/>
                  <w:tcBorders>
                    <w:top w:val="single" w:color="000000" w:sz="8" w:space="0"/>
                    <w:left w:val="single" w:color="000000" w:sz="8" w:space="0"/>
                    <w:bottom w:val="single" w:color="000000" w:sz="8" w:space="0"/>
                  </w:tcBorders>
                  <w:vAlign w:val="center"/>
                </w:tcPr>
                <w:p>
                  <w:pPr>
                    <w:pStyle w:val="88"/>
                    <w:spacing w:before="44"/>
                    <w:ind w:left="126"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8" w:hRule="atLeast"/>
              </w:trPr>
              <w:tc>
                <w:tcPr>
                  <w:tcW w:w="717" w:type="dxa"/>
                  <w:tcBorders>
                    <w:top w:val="single" w:color="000000" w:sz="8" w:space="0"/>
                    <w:bottom w:val="single" w:color="000000" w:sz="8" w:space="0"/>
                    <w:right w:val="single" w:color="000000" w:sz="8" w:space="0"/>
                  </w:tcBorders>
                  <w:vAlign w:val="center"/>
                </w:tcPr>
                <w:p>
                  <w:pPr>
                    <w:pStyle w:val="88"/>
                    <w:spacing w:before="66"/>
                    <w:ind w:right="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CO</w:t>
                  </w:r>
                </w:p>
              </w:tc>
              <w:tc>
                <w:tcPr>
                  <w:tcW w:w="1997" w:type="dxa"/>
                  <w:tcBorders>
                    <w:top w:val="single" w:color="000000" w:sz="8" w:space="0"/>
                    <w:left w:val="single" w:color="000000" w:sz="8" w:space="0"/>
                    <w:bottom w:val="single" w:color="000000" w:sz="8" w:space="0"/>
                    <w:right w:val="single" w:color="000000" w:sz="8" w:space="0"/>
                  </w:tcBorders>
                  <w:vAlign w:val="center"/>
                </w:tcPr>
                <w:p>
                  <w:pPr>
                    <w:pStyle w:val="88"/>
                    <w:spacing w:before="44"/>
                    <w:ind w:left="87"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第 95 百分位浓度</w:t>
                  </w:r>
                </w:p>
              </w:tc>
              <w:tc>
                <w:tcPr>
                  <w:tcW w:w="1338" w:type="dxa"/>
                  <w:tcBorders>
                    <w:top w:val="single" w:color="000000" w:sz="8" w:space="0"/>
                    <w:left w:val="single" w:color="000000" w:sz="8" w:space="0"/>
                    <w:bottom w:val="single" w:color="000000" w:sz="8" w:space="0"/>
                    <w:right w:val="single" w:color="000000" w:sz="8" w:space="0"/>
                  </w:tcBorders>
                  <w:vAlign w:val="center"/>
                </w:tcPr>
                <w:p>
                  <w:pPr>
                    <w:pStyle w:val="88"/>
                    <w:spacing w:before="66"/>
                    <w:ind w:right="4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1700</w:t>
                  </w:r>
                </w:p>
              </w:tc>
              <w:tc>
                <w:tcPr>
                  <w:tcW w:w="1446" w:type="dxa"/>
                  <w:tcBorders>
                    <w:top w:val="single" w:color="000000" w:sz="8" w:space="0"/>
                    <w:left w:val="single" w:color="000000" w:sz="8" w:space="0"/>
                    <w:bottom w:val="single" w:color="000000" w:sz="8" w:space="0"/>
                    <w:right w:val="single" w:color="000000" w:sz="8" w:space="0"/>
                  </w:tcBorders>
                  <w:vAlign w:val="center"/>
                </w:tcPr>
                <w:p>
                  <w:pPr>
                    <w:pStyle w:val="88"/>
                    <w:spacing w:before="66"/>
                    <w:ind w:left="518" w:right="4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4000</w:t>
                  </w:r>
                </w:p>
              </w:tc>
              <w:tc>
                <w:tcPr>
                  <w:tcW w:w="1471" w:type="dxa"/>
                  <w:tcBorders>
                    <w:top w:val="single" w:color="000000" w:sz="8" w:space="0"/>
                    <w:left w:val="single" w:color="000000" w:sz="8" w:space="0"/>
                    <w:bottom w:val="single" w:color="000000" w:sz="8" w:space="0"/>
                    <w:right w:val="single" w:color="000000" w:sz="8" w:space="0"/>
                  </w:tcBorders>
                  <w:vAlign w:val="center"/>
                </w:tcPr>
                <w:p>
                  <w:pPr>
                    <w:pStyle w:val="88"/>
                    <w:spacing w:before="66"/>
                    <w:ind w:left="273"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43</w:t>
                  </w:r>
                </w:p>
              </w:tc>
              <w:tc>
                <w:tcPr>
                  <w:tcW w:w="1108" w:type="dxa"/>
                  <w:tcBorders>
                    <w:top w:val="single" w:color="000000" w:sz="8" w:space="0"/>
                    <w:left w:val="single" w:color="000000" w:sz="8" w:space="0"/>
                    <w:bottom w:val="single" w:color="000000" w:sz="8" w:space="0"/>
                  </w:tcBorders>
                  <w:vAlign w:val="center"/>
                </w:tcPr>
                <w:p>
                  <w:pPr>
                    <w:pStyle w:val="88"/>
                    <w:spacing w:before="44"/>
                    <w:ind w:left="120"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2" w:hRule="atLeast"/>
              </w:trPr>
              <w:tc>
                <w:tcPr>
                  <w:tcW w:w="717" w:type="dxa"/>
                  <w:tcBorders>
                    <w:top w:val="single" w:color="000000" w:sz="8" w:space="0"/>
                    <w:right w:val="single" w:color="000000" w:sz="8" w:space="0"/>
                  </w:tcBorders>
                  <w:vAlign w:val="center"/>
                </w:tcPr>
                <w:p>
                  <w:pPr>
                    <w:pStyle w:val="88"/>
                    <w:spacing w:before="78"/>
                    <w:ind w:left="18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O3</w:t>
                  </w:r>
                </w:p>
              </w:tc>
              <w:tc>
                <w:tcPr>
                  <w:tcW w:w="1997" w:type="dxa"/>
                  <w:tcBorders>
                    <w:top w:val="single" w:color="000000" w:sz="8" w:space="0"/>
                    <w:left w:val="single" w:color="000000" w:sz="8" w:space="0"/>
                    <w:right w:val="single" w:color="000000" w:sz="8" w:space="0"/>
                  </w:tcBorders>
                  <w:vAlign w:val="center"/>
                </w:tcPr>
                <w:p>
                  <w:pPr>
                    <w:pStyle w:val="88"/>
                    <w:spacing w:before="58"/>
                    <w:ind w:left="87" w:right="24"/>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第 90 百分位浓度</w:t>
                  </w:r>
                </w:p>
              </w:tc>
              <w:tc>
                <w:tcPr>
                  <w:tcW w:w="1338" w:type="dxa"/>
                  <w:tcBorders>
                    <w:top w:val="single" w:color="000000" w:sz="8" w:space="0"/>
                    <w:left w:val="single" w:color="000000" w:sz="8" w:space="0"/>
                    <w:right w:val="single" w:color="000000" w:sz="8" w:space="0"/>
                  </w:tcBorders>
                  <w:vAlign w:val="center"/>
                </w:tcPr>
                <w:p>
                  <w:pPr>
                    <w:pStyle w:val="88"/>
                    <w:spacing w:before="78"/>
                    <w:ind w:right="47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163</w:t>
                  </w:r>
                </w:p>
              </w:tc>
              <w:tc>
                <w:tcPr>
                  <w:tcW w:w="1446" w:type="dxa"/>
                  <w:tcBorders>
                    <w:top w:val="single" w:color="000000" w:sz="8" w:space="0"/>
                    <w:left w:val="single" w:color="000000" w:sz="8" w:space="0"/>
                    <w:right w:val="single" w:color="000000" w:sz="8" w:space="0"/>
                  </w:tcBorders>
                  <w:vAlign w:val="center"/>
                </w:tcPr>
                <w:p>
                  <w:pPr>
                    <w:pStyle w:val="88"/>
                    <w:spacing w:before="78"/>
                    <w:ind w:left="514" w:right="46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160</w:t>
                  </w:r>
                </w:p>
              </w:tc>
              <w:tc>
                <w:tcPr>
                  <w:tcW w:w="1471" w:type="dxa"/>
                  <w:tcBorders>
                    <w:top w:val="single" w:color="000000" w:sz="8" w:space="0"/>
                    <w:left w:val="single" w:color="000000" w:sz="8" w:space="0"/>
                    <w:right w:val="single" w:color="000000" w:sz="8" w:space="0"/>
                  </w:tcBorders>
                  <w:vAlign w:val="center"/>
                </w:tcPr>
                <w:p>
                  <w:pPr>
                    <w:pStyle w:val="88"/>
                    <w:spacing w:before="78"/>
                    <w:ind w:left="274" w:right="220"/>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102</w:t>
                  </w:r>
                </w:p>
              </w:tc>
              <w:tc>
                <w:tcPr>
                  <w:tcW w:w="1108" w:type="dxa"/>
                  <w:tcBorders>
                    <w:top w:val="single" w:color="000000" w:sz="8" w:space="0"/>
                    <w:left w:val="single" w:color="000000" w:sz="8" w:space="0"/>
                  </w:tcBorders>
                  <w:vAlign w:val="center"/>
                </w:tcPr>
                <w:p>
                  <w:pPr>
                    <w:pStyle w:val="88"/>
                    <w:spacing w:before="58"/>
                    <w:ind w:left="126" w:right="59"/>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不达标</w:t>
                  </w:r>
                </w:p>
              </w:tc>
            </w:tr>
          </w:tbl>
          <w:p>
            <w:pPr>
              <w:adjustRightInd w:val="0"/>
              <w:snapToGrid w:val="0"/>
              <w:spacing w:before="156" w:beforeLines="5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环境空气常规六项指标中，SO2年平均质量浓度、CO第</w:t>
            </w:r>
            <w:r>
              <w:rPr>
                <w:color w:val="000000" w:themeColor="text1"/>
                <w14:textFill>
                  <w14:solidFill>
                    <w14:schemeClr w14:val="tx1"/>
                  </w14:solidFill>
                </w14:textFill>
              </w:rPr>
              <w:t>95百分位浓度</w:t>
            </w:r>
            <w:r>
              <w:rPr>
                <w:rFonts w:hint="eastAsia"/>
                <w:color w:val="000000" w:themeColor="text1"/>
                <w14:textFill>
                  <w14:solidFill>
                    <w14:schemeClr w14:val="tx1"/>
                  </w14:solidFill>
                </w14:textFill>
              </w:rPr>
              <w:t>达到《环境空气质量标准》（GB3095­2012）二级标准要求，PM2.5年平均质量浓度、NO2年平均质量浓度和PM10年平均质量浓度、O3第90</w:t>
            </w:r>
            <w:r>
              <w:rPr>
                <w:color w:val="000000" w:themeColor="text1"/>
                <w14:textFill>
                  <w14:solidFill>
                    <w14:schemeClr w14:val="tx1"/>
                  </w14:solidFill>
                </w14:textFill>
              </w:rPr>
              <w:t>百分位浓度</w:t>
            </w:r>
            <w:r>
              <w:rPr>
                <w:rFonts w:hint="eastAsia"/>
                <w:color w:val="000000" w:themeColor="text1"/>
                <w14:textFill>
                  <w14:solidFill>
                    <w14:schemeClr w14:val="tx1"/>
                  </w14:solidFill>
                </w14:textFill>
              </w:rPr>
              <w:t>超过《环境空气质量标准》（GB3095­2012）二级标准要求。</w:t>
            </w:r>
          </w:p>
          <w:p>
            <w:pPr>
              <w:spacing w:line="440" w:lineRule="exact"/>
              <w:ind w:firstLine="6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大气环境》（HJ2.2­2018），城市环境空气质量达标情况评价指标为SO2、NO2、PM10、PM2.5、CO、O3，六项污染物年评价指标全部达标即为城市环境空气质量达标。因此，本项目所在区域属于不达标区域。</w:t>
            </w:r>
            <w:bookmarkEnd w:id="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同时，针对项目特征污染物非甲烷总烃，本次委托陕西正为环境检测股份有限公司于2020年10月11日至10月12日对项目地大气环境中非甲烷总烃进行监测，监测期间加油站项目设施运行正常。实际监测期间出售表见3-2。项目监测报告见附件，监测结果见表3-3。</w:t>
            </w:r>
          </w:p>
          <w:p>
            <w:pPr>
              <w:spacing w:line="240" w:lineRule="auto"/>
              <w:ind w:firstLine="42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表3-2   监测期间工况统计表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2215"/>
              <w:gridCol w:w="3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监测时间</w:t>
                  </w:r>
                </w:p>
              </w:tc>
              <w:tc>
                <w:tcPr>
                  <w:tcW w:w="2215"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货品</w:t>
                  </w:r>
                </w:p>
              </w:tc>
              <w:tc>
                <w:tcPr>
                  <w:tcW w:w="3444"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实际出售量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81" w:type="dxa"/>
                  <w:vMerge w:val="restart"/>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2020年10月11日</w:t>
                  </w:r>
                </w:p>
              </w:tc>
              <w:tc>
                <w:tcPr>
                  <w:tcW w:w="2215"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汽油</w:t>
                  </w:r>
                </w:p>
              </w:tc>
              <w:tc>
                <w:tcPr>
                  <w:tcW w:w="3444"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14.61t/d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81" w:type="dxa"/>
                  <w:vMerge w:val="continue"/>
                  <w:vAlign w:val="center"/>
                </w:tcPr>
                <w:p>
                  <w:pPr>
                    <w:spacing w:line="240" w:lineRule="auto"/>
                    <w:ind w:firstLine="0" w:firstLineChars="0"/>
                    <w:contextualSpacing/>
                    <w:jc w:val="center"/>
                    <w:rPr>
                      <w:color w:val="000000" w:themeColor="text1"/>
                      <w14:textFill>
                        <w14:solidFill>
                          <w14:schemeClr w14:val="tx1"/>
                        </w14:solidFill>
                      </w14:textFill>
                    </w:rPr>
                  </w:pPr>
                </w:p>
              </w:tc>
              <w:tc>
                <w:tcPr>
                  <w:tcW w:w="2215"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柴油</w:t>
                  </w:r>
                </w:p>
              </w:tc>
              <w:tc>
                <w:tcPr>
                  <w:tcW w:w="3444"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81" w:type="dxa"/>
                  <w:vMerge w:val="restart"/>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2020年10月12日</w:t>
                  </w:r>
                </w:p>
              </w:tc>
              <w:tc>
                <w:tcPr>
                  <w:tcW w:w="2215"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汽油</w:t>
                  </w:r>
                </w:p>
              </w:tc>
              <w:tc>
                <w:tcPr>
                  <w:tcW w:w="3444"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15.69t/d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81" w:type="dxa"/>
                  <w:vMerge w:val="continue"/>
                  <w:vAlign w:val="center"/>
                </w:tcPr>
                <w:p>
                  <w:pPr>
                    <w:spacing w:line="240" w:lineRule="auto"/>
                    <w:ind w:firstLine="0" w:firstLineChars="0"/>
                    <w:contextualSpacing/>
                    <w:jc w:val="center"/>
                    <w:rPr>
                      <w:color w:val="000000" w:themeColor="text1"/>
                      <w14:textFill>
                        <w14:solidFill>
                          <w14:schemeClr w14:val="tx1"/>
                        </w14:solidFill>
                      </w14:textFill>
                    </w:rPr>
                  </w:pPr>
                </w:p>
              </w:tc>
              <w:tc>
                <w:tcPr>
                  <w:tcW w:w="2215"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柴油</w:t>
                  </w:r>
                </w:p>
              </w:tc>
              <w:tc>
                <w:tcPr>
                  <w:tcW w:w="3444"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1.26t/d  </w:t>
                  </w:r>
                </w:p>
              </w:tc>
            </w:tr>
          </w:tbl>
          <w:p>
            <w:pPr>
              <w:spacing w:line="240" w:lineRule="auto"/>
              <w:ind w:firstLine="422"/>
              <w:jc w:val="center"/>
              <w:rPr>
                <w:color w:val="000000" w:themeColor="text1"/>
                <w14:textFill>
                  <w14:solidFill>
                    <w14:schemeClr w14:val="tx1"/>
                  </w14:solidFill>
                </w14:textFill>
              </w:rPr>
            </w:pPr>
          </w:p>
          <w:p>
            <w:pPr>
              <w:spacing w:line="240" w:lineRule="auto"/>
              <w:ind w:firstLine="42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表3-3   非甲烷总烃监测结果统计表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6"/>
              <w:gridCol w:w="1417"/>
              <w:gridCol w:w="1418"/>
              <w:gridCol w:w="1134"/>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1276"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1417"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监测时段</w:t>
                  </w:r>
                </w:p>
              </w:tc>
              <w:tc>
                <w:tcPr>
                  <w:tcW w:w="1418"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监测值范围mg/m3</w:t>
                  </w:r>
                </w:p>
              </w:tc>
              <w:tc>
                <w:tcPr>
                  <w:tcW w:w="1134"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标准限值mg/m3</w:t>
                  </w:r>
                </w:p>
              </w:tc>
              <w:tc>
                <w:tcPr>
                  <w:tcW w:w="709"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超标率%</w:t>
                  </w:r>
                </w:p>
              </w:tc>
              <w:tc>
                <w:tcPr>
                  <w:tcW w:w="992"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271"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项目所在地</w:t>
                  </w:r>
                </w:p>
              </w:tc>
              <w:tc>
                <w:tcPr>
                  <w:tcW w:w="1276"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417"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2020年10月11日至10月12日</w:t>
                  </w:r>
                </w:p>
              </w:tc>
              <w:tc>
                <w:tcPr>
                  <w:tcW w:w="1418"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0.39~0.56</w:t>
                  </w:r>
                </w:p>
              </w:tc>
              <w:tc>
                <w:tcPr>
                  <w:tcW w:w="1134"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w:t>
                  </w:r>
                </w:p>
              </w:tc>
              <w:tc>
                <w:tcPr>
                  <w:tcW w:w="709" w:type="dxa"/>
                  <w:vAlign w:val="center"/>
                </w:tcPr>
                <w:p>
                  <w:pPr>
                    <w:spacing w:line="240" w:lineRule="auto"/>
                    <w:ind w:firstLine="0" w:firstLineChars="0"/>
                    <w:contextualSpacing/>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2" w:type="dxa"/>
                  <w:vAlign w:val="center"/>
                </w:tcPr>
                <w:p>
                  <w:pPr>
                    <w:spacing w:line="240" w:lineRule="auto"/>
                    <w:ind w:firstLine="0" w:firstLineChars="0"/>
                    <w:contextualSpacing/>
                    <w:jc w:val="center"/>
                    <w:rPr>
                      <w:color w:val="000000" w:themeColor="text1"/>
                      <w14:textFill>
                        <w14:solidFill>
                          <w14:schemeClr w14:val="tx1"/>
                        </w14:solidFill>
                      </w14:textFill>
                    </w:rPr>
                  </w:pPr>
                  <w:r>
                    <w:rPr>
                      <w:color w:val="000000" w:themeColor="text1"/>
                      <w14:textFill>
                        <w14:solidFill>
                          <w14:schemeClr w14:val="tx1"/>
                        </w14:solidFill>
                      </w14:textFill>
                    </w:rPr>
                    <w:t>0</w:t>
                  </w:r>
                </w:p>
              </w:tc>
            </w:tr>
          </w:tbl>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根据监测结果可知，项目所在地非甲烷总烃小时平均值满足《环境空气质量非甲烷总烃限值》（DB13/1577-2012）标准要求。</w:t>
            </w:r>
          </w:p>
          <w:p>
            <w:pPr>
              <w:ind w:firstLine="480"/>
              <w:jc w:val="left"/>
              <w:rPr>
                <w:color w:val="000000" w:themeColor="text1"/>
                <w:lang w:val="zh-CN"/>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t>地下水环境质量现状</w:t>
            </w:r>
          </w:p>
          <w:p>
            <w:pPr>
              <w:autoSpaceDN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本项目引用西安</w:t>
            </w:r>
            <w:r>
              <w:rPr>
                <w:rFonts w:hint="eastAsia"/>
                <w:color w:val="000000" w:themeColor="text1"/>
                <w:lang w:val="en-US" w:eastAsia="zh-CN"/>
                <w14:textFill>
                  <w14:solidFill>
                    <w14:schemeClr w14:val="tx1"/>
                  </w14:solidFill>
                </w14:textFill>
              </w:rPr>
              <w:t>国爵汽车销售服务有限公司地下水</w:t>
            </w:r>
            <w:r>
              <w:rPr>
                <w:color w:val="000000" w:themeColor="text1"/>
                <w14:textFill>
                  <w14:solidFill>
                    <w14:schemeClr w14:val="tx1"/>
                  </w14:solidFill>
                </w14:textFill>
              </w:rPr>
              <w:t>现状监测结果见表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p>
          <w:p>
            <w:pPr>
              <w:autoSpaceDE w:val="0"/>
              <w:autoSpaceDN w:val="0"/>
              <w:adjustRightInd w:val="0"/>
              <w:ind w:firstLine="2880" w:firstLineChars="1200"/>
              <w:jc w:val="left"/>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水</w:t>
            </w:r>
            <w:r>
              <w:rPr>
                <w:color w:val="000000" w:themeColor="text1"/>
                <w14:textFill>
                  <w14:solidFill>
                    <w14:schemeClr w14:val="tx1"/>
                  </w14:solidFill>
                </w14:textFill>
              </w:rPr>
              <w:t>监测结果统计表</w:t>
            </w:r>
          </w:p>
          <w:tbl>
            <w:tblPr>
              <w:tblStyle w:val="28"/>
              <w:tblW w:w="46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486"/>
              <w:gridCol w:w="1792"/>
              <w:gridCol w:w="1850"/>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39" w:type="dxa"/>
                  <w:vMerge w:val="restart"/>
                  <w:vAlign w:val="center"/>
                </w:tcPr>
                <w:p>
                  <w:pPr>
                    <w:autoSpaceDE w:val="0"/>
                    <w:autoSpaceDN w:val="0"/>
                    <w:adjustRightInd w:val="0"/>
                    <w:ind w:firstLine="0" w:firstLineChars="0"/>
                    <w:jc w:val="left"/>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监测项目</w:t>
                  </w:r>
                </w:p>
              </w:tc>
              <w:tc>
                <w:tcPr>
                  <w:tcW w:w="5128" w:type="dxa"/>
                  <w:gridSpan w:val="3"/>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结果</w:t>
                  </w:r>
                </w:p>
              </w:tc>
              <w:tc>
                <w:tcPr>
                  <w:tcW w:w="867" w:type="dxa"/>
                  <w:vMerge w:val="restart"/>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9" w:type="dxa"/>
                  <w:vMerge w:val="continue"/>
                  <w:vAlign w:val="center"/>
                </w:tcPr>
                <w:p>
                  <w:pPr>
                    <w:autoSpaceDE w:val="0"/>
                    <w:autoSpaceDN w:val="0"/>
                    <w:adjustRightInd w:val="0"/>
                    <w:ind w:firstLine="0" w:firstLineChars="0"/>
                    <w:jc w:val="left"/>
                    <w:rPr>
                      <w:rFonts w:hint="eastAsia" w:eastAsia="宋体"/>
                      <w:color w:val="000000" w:themeColor="text1"/>
                      <w:lang w:val="en-US" w:eastAsia="zh-CN"/>
                      <w14:textFill>
                        <w14:solidFill>
                          <w14:schemeClr w14:val="tx1"/>
                        </w14:solidFill>
                      </w14:textFill>
                    </w:rPr>
                  </w:pPr>
                </w:p>
              </w:tc>
              <w:tc>
                <w:tcPr>
                  <w:tcW w:w="1486" w:type="dxa"/>
                  <w:vAlign w:val="center"/>
                </w:tcPr>
                <w:p>
                  <w:pPr>
                    <w:autoSpaceDE w:val="0"/>
                    <w:autoSpaceDN w:val="0"/>
                    <w:adjustRightInd w:val="0"/>
                    <w:ind w:firstLine="0" w:firstLineChars="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点</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大苏村</w:t>
                  </w:r>
                </w:p>
              </w:tc>
              <w:tc>
                <w:tcPr>
                  <w:tcW w:w="1792" w:type="dxa"/>
                  <w:vAlign w:val="center"/>
                </w:tcPr>
                <w:p>
                  <w:pPr>
                    <w:autoSpaceDE w:val="0"/>
                    <w:autoSpaceDN w:val="0"/>
                    <w:adjustRightInd w:val="0"/>
                    <w:ind w:left="0" w:leftChars="0" w:firstLine="0" w:firstLineChars="0"/>
                    <w:jc w:val="left"/>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点</w:t>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沈家堡</w:t>
                  </w:r>
                </w:p>
              </w:tc>
              <w:tc>
                <w:tcPr>
                  <w:tcW w:w="1850" w:type="dxa"/>
                  <w:vAlign w:val="center"/>
                </w:tcPr>
                <w:p>
                  <w:pPr>
                    <w:autoSpaceDE w:val="0"/>
                    <w:autoSpaceDN w:val="0"/>
                    <w:adjustRightInd w:val="0"/>
                    <w:ind w:left="0" w:leftChars="0"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点</w:t>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新堡子</w:t>
                  </w:r>
                </w:p>
              </w:tc>
              <w:tc>
                <w:tcPr>
                  <w:tcW w:w="867"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39" w:type="dxa"/>
                  <w:vAlign w:val="top"/>
                </w:tcPr>
                <w:p>
                  <w:pPr>
                    <w:autoSpaceDE w:val="0"/>
                    <w:autoSpaceDN w:val="0"/>
                    <w:adjustRightInd w:val="0"/>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硝酸盐（氮）</w:t>
                  </w:r>
                </w:p>
              </w:tc>
              <w:tc>
                <w:tcPr>
                  <w:tcW w:w="1486"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39" w:type="dxa"/>
                  <w:vAlign w:val="top"/>
                </w:tcPr>
                <w:p>
                  <w:pPr>
                    <w:autoSpaceDE w:val="0"/>
                    <w:autoSpaceDN w:val="0"/>
                    <w:adjustRightInd w:val="0"/>
                    <w:ind w:firstLine="480" w:firstLineChars="200"/>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亚硝酸盐（氮）</w:t>
                  </w:r>
                </w:p>
              </w:tc>
              <w:tc>
                <w:tcPr>
                  <w:tcW w:w="1486" w:type="dxa"/>
                  <w:vAlign w:val="top"/>
                </w:tcPr>
                <w:p>
                  <w:pPr>
                    <w:autoSpaceDE w:val="0"/>
                    <w:autoSpaceDN w:val="0"/>
                    <w:adjustRightInd w:val="0"/>
                    <w:ind w:left="0" w:leftChars="0" w:firstLine="0" w:firstLineChars="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0.003</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0.003</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0.003</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总硬度</w:t>
                  </w:r>
                </w:p>
              </w:tc>
              <w:tc>
                <w:tcPr>
                  <w:tcW w:w="1486"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84.1</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111</w:t>
                  </w:r>
                </w:p>
              </w:tc>
              <w:tc>
                <w:tcPr>
                  <w:tcW w:w="1850" w:type="dxa"/>
                  <w:vAlign w:val="top"/>
                </w:tcPr>
                <w:p>
                  <w:pPr>
                    <w:autoSpaceDE w:val="0"/>
                    <w:autoSpaceDN w:val="0"/>
                    <w:adjustRightInd w:val="0"/>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53.4</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挥发酚</w:t>
                  </w:r>
                </w:p>
              </w:tc>
              <w:tc>
                <w:tcPr>
                  <w:tcW w:w="1486" w:type="dxa"/>
                  <w:vAlign w:val="top"/>
                </w:tcPr>
                <w:p>
                  <w:pPr>
                    <w:autoSpaceDE w:val="0"/>
                    <w:autoSpaceDN w:val="0"/>
                    <w:adjustRightInd w:val="0"/>
                    <w:ind w:left="0" w:leftChars="0"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0.002</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0.002</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0.002</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铬（六价）</w:t>
                  </w:r>
                </w:p>
              </w:tc>
              <w:tc>
                <w:tcPr>
                  <w:tcW w:w="1486" w:type="dxa"/>
                  <w:vAlign w:val="top"/>
                </w:tcPr>
                <w:p>
                  <w:pPr>
                    <w:autoSpaceDE w:val="0"/>
                    <w:autoSpaceDN w:val="0"/>
                    <w:adjustRightInd w:val="0"/>
                    <w:ind w:left="0" w:leftChars="0"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0.004</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0.004</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0.004</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486" w:type="dxa"/>
                  <w:vAlign w:val="top"/>
                </w:tcPr>
                <w:p>
                  <w:pPr>
                    <w:autoSpaceDE w:val="0"/>
                    <w:autoSpaceDN w:val="0"/>
                    <w:adjustRightInd w:val="0"/>
                    <w:ind w:left="0" w:leftChars="0"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0.00004</w:t>
                  </w:r>
                  <w:r>
                    <w:rPr>
                      <w:color w:val="000000" w:themeColor="text1"/>
                      <w14:textFill>
                        <w14:solidFill>
                          <w14:schemeClr w14:val="tx1"/>
                        </w14:solidFill>
                      </w14:textFill>
                    </w:rPr>
                    <w:t>ND</w:t>
                  </w:r>
                </w:p>
              </w:tc>
              <w:tc>
                <w:tcPr>
                  <w:tcW w:w="1792" w:type="dxa"/>
                  <w:vAlign w:val="top"/>
                </w:tcPr>
                <w:p>
                  <w:pPr>
                    <w:autoSpaceDE w:val="0"/>
                    <w:autoSpaceDN w:val="0"/>
                    <w:adjustRightInd w:val="0"/>
                    <w:ind w:left="0" w:leftChars="0" w:firstLine="240" w:firstLineChars="1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0.00004</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0.00004</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砷</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0.0080</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0.0047</w:t>
                  </w:r>
                </w:p>
              </w:tc>
              <w:tc>
                <w:tcPr>
                  <w:tcW w:w="1850" w:type="dxa"/>
                  <w:vAlign w:val="top"/>
                </w:tcPr>
                <w:p>
                  <w:pPr>
                    <w:autoSpaceDE w:val="0"/>
                    <w:autoSpaceDN w:val="0"/>
                    <w:adjustRightInd w:val="0"/>
                    <w:ind w:firstLine="480" w:firstLineChars="200"/>
                    <w:jc w:val="left"/>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0.0039</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铅</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镉</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05</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05</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05</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铁</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锰</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氟化物</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0.3</w:t>
                  </w:r>
                </w:p>
              </w:tc>
              <w:tc>
                <w:tcPr>
                  <w:tcW w:w="1850" w:type="dxa"/>
                  <w:vAlign w:val="top"/>
                </w:tcPr>
                <w:p>
                  <w:pPr>
                    <w:autoSpaceDE w:val="0"/>
                    <w:autoSpaceDN w:val="0"/>
                    <w:adjustRightInd w:val="0"/>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氰化物</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ND</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ND</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ND</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溶解性总固体</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325</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365</w:t>
                  </w:r>
                </w:p>
              </w:tc>
              <w:tc>
                <w:tcPr>
                  <w:tcW w:w="1850" w:type="dxa"/>
                  <w:vAlign w:val="top"/>
                </w:tcPr>
                <w:p>
                  <w:pPr>
                    <w:autoSpaceDE w:val="0"/>
                    <w:autoSpaceDN w:val="0"/>
                    <w:adjustRightInd w:val="0"/>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321</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39"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细菌总数</w:t>
                  </w:r>
                </w:p>
              </w:tc>
              <w:tc>
                <w:tcPr>
                  <w:tcW w:w="1486"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46</w:t>
                  </w:r>
                </w:p>
              </w:tc>
              <w:tc>
                <w:tcPr>
                  <w:tcW w:w="1792" w:type="dxa"/>
                  <w:vAlign w:val="top"/>
                </w:tcPr>
                <w:p>
                  <w:pPr>
                    <w:autoSpaceDE w:val="0"/>
                    <w:autoSpaceDN w:val="0"/>
                    <w:adjustRightInd w:val="0"/>
                    <w:ind w:firstLine="480" w:firstLineChars="20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47</w:t>
                  </w:r>
                </w:p>
              </w:tc>
              <w:tc>
                <w:tcPr>
                  <w:tcW w:w="1850" w:type="dxa"/>
                  <w:vAlign w:val="top"/>
                </w:tcPr>
                <w:p>
                  <w:pPr>
                    <w:autoSpaceDE w:val="0"/>
                    <w:autoSpaceDN w:val="0"/>
                    <w:adjustRightInd w:val="0"/>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39" w:type="dxa"/>
                  <w:vAlign w:val="top"/>
                </w:tcPr>
                <w:p>
                  <w:pPr>
                    <w:autoSpaceDE w:val="0"/>
                    <w:autoSpaceDN w:val="0"/>
                    <w:adjustRightInd w:val="0"/>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总大肠杆菌</w:t>
                  </w:r>
                </w:p>
              </w:tc>
              <w:tc>
                <w:tcPr>
                  <w:tcW w:w="1486" w:type="dxa"/>
                  <w:vAlign w:val="top"/>
                </w:tcPr>
                <w:p>
                  <w:pPr>
                    <w:autoSpaceDE w:val="0"/>
                    <w:autoSpaceDN w:val="0"/>
                    <w:adjustRightInd w:val="0"/>
                    <w:ind w:firstLine="0" w:firstLineChars="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未检出</w:t>
                  </w:r>
                </w:p>
              </w:tc>
              <w:tc>
                <w:tcPr>
                  <w:tcW w:w="1792"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未检出</w:t>
                  </w:r>
                </w:p>
              </w:tc>
              <w:tc>
                <w:tcPr>
                  <w:tcW w:w="1850" w:type="dxa"/>
                  <w:vAlign w:val="top"/>
                </w:tcPr>
                <w:p>
                  <w:pPr>
                    <w:autoSpaceDE w:val="0"/>
                    <w:autoSpaceDN w:val="0"/>
                    <w:adjustRightInd w:val="0"/>
                    <w:ind w:firstLine="480" w:firstLineChars="20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未检出</w:t>
                  </w:r>
                </w:p>
              </w:tc>
              <w:tc>
                <w:tcPr>
                  <w:tcW w:w="867" w:type="dxa"/>
                  <w:vAlign w:val="top"/>
                </w:tcPr>
                <w:p>
                  <w:pPr>
                    <w:autoSpaceDE w:val="0"/>
                    <w:autoSpaceDN w:val="0"/>
                    <w:adjustRightInd w:val="0"/>
                    <w:ind w:firstLine="0" w:firstLineChars="0"/>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r>
          </w:tbl>
          <w:p>
            <w:pPr>
              <w:spacing w:line="30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lang w:val="en-US" w:eastAsia="zh-CN"/>
                <w14:textFill>
                  <w14:solidFill>
                    <w14:schemeClr w14:val="tx1"/>
                  </w14:solidFill>
                </w14:textFill>
              </w:rPr>
              <w:t>3-4</w:t>
            </w:r>
            <w:r>
              <w:rPr>
                <w:color w:val="000000" w:themeColor="text1"/>
                <w14:textFill>
                  <w14:solidFill>
                    <w14:schemeClr w14:val="tx1"/>
                  </w14:solidFill>
                </w14:textFill>
              </w:rPr>
              <w:t>可以看出：项目地</w:t>
            </w:r>
            <w:r>
              <w:rPr>
                <w:rFonts w:hint="eastAsia"/>
                <w:color w:val="000000" w:themeColor="text1"/>
                <w:lang w:val="en-US" w:eastAsia="zh-CN"/>
                <w14:textFill>
                  <w14:solidFill>
                    <w14:schemeClr w14:val="tx1"/>
                  </w14:solidFill>
                </w14:textFill>
              </w:rPr>
              <w:t>地下水</w:t>
            </w:r>
            <w:r>
              <w:rPr>
                <w:color w:val="000000" w:themeColor="text1"/>
                <w14:textFill>
                  <w14:solidFill>
                    <w14:schemeClr w14:val="tx1"/>
                  </w14:solidFill>
                </w14:textFill>
              </w:rPr>
              <w:t>环境各项指标的浓度均达到了</w:t>
            </w:r>
            <w:r>
              <w:rPr>
                <w:color w:val="000000" w:themeColor="text1"/>
                <w:sz w:val="24"/>
                <w:lang w:eastAsia="zh-CN"/>
                <w14:textFill>
                  <w14:solidFill>
                    <w14:schemeClr w14:val="tx1"/>
                  </w14:solidFill>
                </w14:textFill>
              </w:rPr>
              <w:t>地下水质量标准》（</w:t>
            </w:r>
            <w:r>
              <w:rPr>
                <w:rFonts w:ascii="Times New Roman" w:hAnsi="Times New Roman" w:eastAsia="Times New Roman"/>
                <w:color w:val="000000" w:themeColor="text1"/>
                <w:sz w:val="24"/>
                <w:lang w:eastAsia="zh-CN"/>
                <w14:textFill>
                  <w14:solidFill>
                    <w14:schemeClr w14:val="tx1"/>
                  </w14:solidFill>
                </w14:textFill>
              </w:rPr>
              <w:t>GB/T14848-2017</w:t>
            </w:r>
            <w:r>
              <w:rPr>
                <w:color w:val="000000" w:themeColor="text1"/>
                <w:sz w:val="24"/>
                <w:lang w:eastAsia="zh-CN"/>
                <w14:textFill>
                  <w14:solidFill>
                    <w14:schemeClr w14:val="tx1"/>
                  </w14:solidFill>
                </w14:textFill>
              </w:rPr>
              <w:t>）</w:t>
            </w:r>
            <w:r>
              <w:rPr>
                <w:rFonts w:ascii="Times New Roman" w:hAnsi="Times New Roman" w:eastAsia="Times New Roman"/>
                <w:color w:val="000000" w:themeColor="text1"/>
                <w:sz w:val="24"/>
                <w:lang w:eastAsia="zh-CN"/>
                <w14:textFill>
                  <w14:solidFill>
                    <w14:schemeClr w14:val="tx1"/>
                  </w14:solidFill>
                </w14:textFill>
              </w:rPr>
              <w:t>Ⅲ</w:t>
            </w:r>
            <w:r>
              <w:rPr>
                <w:color w:val="000000" w:themeColor="text1"/>
                <w:sz w:val="24"/>
                <w:lang w:eastAsia="zh-CN"/>
                <w14:textFill>
                  <w14:solidFill>
                    <w14:schemeClr w14:val="tx1"/>
                  </w14:solidFill>
                </w14:textFill>
              </w:rPr>
              <w:t>类标准</w:t>
            </w:r>
            <w:r>
              <w:rPr>
                <w:rFonts w:hint="eastAsia"/>
                <w:color w:val="000000" w:themeColor="text1"/>
                <w:sz w:val="24"/>
                <w:lang w:eastAsia="zh-CN"/>
                <w14:textFill>
                  <w14:solidFill>
                    <w14:schemeClr w14:val="tx1"/>
                  </w14:solidFill>
                </w14:textFill>
              </w:rPr>
              <w:t>。</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声环境质量现状</w:t>
            </w:r>
          </w:p>
          <w:p>
            <w:pPr>
              <w:ind w:firstLine="424" w:firstLineChars="177"/>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本次评价委托陕西正为环境检测股份有限公司对</w:t>
            </w:r>
            <w:r>
              <w:rPr>
                <w:color w:val="000000" w:themeColor="text1"/>
                <w14:textFill>
                  <w14:solidFill>
                    <w14:schemeClr w14:val="tx1"/>
                  </w14:solidFill>
                </w14:textFill>
              </w:rPr>
              <w:t>建设项目厂界</w:t>
            </w:r>
            <w:r>
              <w:rPr>
                <w:rFonts w:hint="eastAsia"/>
                <w:color w:val="000000" w:themeColor="text1"/>
                <w14:textFill>
                  <w14:solidFill>
                    <w14:schemeClr w14:val="tx1"/>
                  </w14:solidFill>
                </w14:textFill>
              </w:rPr>
              <w:t>四周噪声</w:t>
            </w:r>
            <w:r>
              <w:rPr>
                <w:color w:val="000000" w:themeColor="text1"/>
                <w14:textFill>
                  <w14:solidFill>
                    <w14:schemeClr w14:val="tx1"/>
                  </w14:solidFill>
                </w14:textFill>
              </w:rPr>
              <w:t>进行了</w:t>
            </w:r>
            <w:r>
              <w:rPr>
                <w:rFonts w:hint="eastAsia"/>
                <w:color w:val="000000" w:themeColor="text1"/>
                <w14:textFill>
                  <w14:solidFill>
                    <w14:schemeClr w14:val="tx1"/>
                  </w14:solidFill>
                </w14:textFill>
              </w:rPr>
              <w:t>实测，监测时间为2020年10月11日至10月12日，共计2天，监测结果见表3-</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pPr>
              <w:pStyle w:val="58"/>
              <w:spacing w:line="240" w:lineRule="auto"/>
              <w:ind w:firstLine="422"/>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项目厂界噪声监测结果    单位：dB（A）</w:t>
            </w:r>
          </w:p>
          <w:tbl>
            <w:tblPr>
              <w:tblStyle w:val="28"/>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350"/>
              <w:gridCol w:w="1134"/>
              <w:gridCol w:w="140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085" w:type="dxa"/>
                  <w:vMerge w:val="restart"/>
                  <w:tcBorders>
                    <w:top w:val="single" w:color="auto" w:sz="12" w:space="0"/>
                    <w:left w:val="single" w:color="auto" w:sz="12" w:space="0"/>
                    <w:tl2br w:val="single" w:color="auto" w:sz="4"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时间</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2484" w:type="dxa"/>
                  <w:gridSpan w:val="2"/>
                  <w:tcBorders>
                    <w:top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10月10日~11日</w:t>
                  </w:r>
                </w:p>
              </w:tc>
              <w:tc>
                <w:tcPr>
                  <w:tcW w:w="2462" w:type="dxa"/>
                  <w:gridSpan w:val="2"/>
                  <w:tcBorders>
                    <w:top w:val="single" w:color="auto" w:sz="12" w:space="0"/>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10月11日~12日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085" w:type="dxa"/>
                  <w:vMerge w:val="continue"/>
                  <w:tcBorders>
                    <w:left w:val="single" w:color="auto" w:sz="12" w:space="0"/>
                    <w:tl2br w:val="single" w:color="auto" w:sz="4" w:space="0"/>
                  </w:tcBorders>
                  <w:vAlign w:val="center"/>
                </w:tcPr>
                <w:p>
                  <w:pPr>
                    <w:spacing w:line="240" w:lineRule="auto"/>
                    <w:ind w:firstLine="0" w:firstLineChars="0"/>
                    <w:jc w:val="center"/>
                    <w:rPr>
                      <w:color w:val="000000" w:themeColor="text1"/>
                      <w14:textFill>
                        <w14:solidFill>
                          <w14:schemeClr w14:val="tx1"/>
                        </w14:solidFill>
                      </w14:textFill>
                    </w:rPr>
                  </w:pP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东厂界</w:t>
                  </w: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南厂界</w:t>
                  </w: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西厂界</w:t>
                  </w: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北厂界</w:t>
                  </w: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69</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68</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监测期间气象条件</w:t>
                  </w:r>
                </w:p>
              </w:tc>
              <w:tc>
                <w:tcPr>
                  <w:tcW w:w="2484"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昼：阴，风速：1.0m/s；</w:t>
                  </w:r>
                </w:p>
                <w:p>
                  <w:pPr>
                    <w:pStyle w:val="2"/>
                    <w:ind w:left="0"/>
                    <w:rPr>
                      <w:color w:val="000000" w:themeColor="text1"/>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夜：阴，风速：0.9m/s。</w:t>
                  </w:r>
                </w:p>
              </w:tc>
              <w:tc>
                <w:tcPr>
                  <w:tcW w:w="2462" w:type="dxa"/>
                  <w:gridSpan w:val="2"/>
                  <w:tcBorders>
                    <w:right w:val="single" w:color="auto" w:sz="12" w:space="0"/>
                  </w:tcBorders>
                  <w:vAlign w:val="center"/>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昼：阴，风速：1.0m/s；</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夜：阴，风速：0.9m/s。</w:t>
                  </w:r>
                </w:p>
              </w:tc>
            </w:tr>
          </w:tbl>
          <w:p>
            <w:pPr>
              <w:tabs>
                <w:tab w:val="left" w:pos="410"/>
              </w:tabs>
              <w:spacing w:line="276" w:lineRule="auto"/>
              <w:ind w:firstLine="6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本项目所在区域声功能区划为《声环境质量标准》(GB3096-2008)中的2类区。厂界北侧为世纪大道，环境噪声执行4a类标准，其它区域执行《声环境质量标准》（GB 3096-2008）2类声环境功能区标准。</w:t>
            </w:r>
          </w:p>
          <w:p>
            <w:pPr>
              <w:tabs>
                <w:tab w:val="left" w:pos="410"/>
              </w:tabs>
              <w:spacing w:line="276" w:lineRule="auto"/>
              <w:ind w:firstLine="6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由</w:t>
            </w:r>
            <w:r>
              <w:rPr>
                <w:color w:val="000000" w:themeColor="text1"/>
                <w14:textFill>
                  <w14:solidFill>
                    <w14:schemeClr w14:val="tx1"/>
                  </w14:solidFill>
                </w14:textFill>
              </w:rPr>
              <w:t>监测结果</w:t>
            </w:r>
            <w:r>
              <w:rPr>
                <w:rFonts w:hint="eastAsia"/>
                <w:color w:val="000000" w:themeColor="text1"/>
                <w14:textFill>
                  <w14:solidFill>
                    <w14:schemeClr w14:val="tx1"/>
                  </w14:solidFill>
                </w14:textFill>
              </w:rPr>
              <w:t>可知，</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北厂界昼间、夜间声环境满足</w:t>
            </w:r>
            <w:r>
              <w:rPr>
                <w:color w:val="000000" w:themeColor="text1"/>
                <w14:textFill>
                  <w14:solidFill>
                    <w14:schemeClr w14:val="tx1"/>
                  </w14:solidFill>
                </w14:textFill>
              </w:rPr>
              <w:t>《声环境质量标准》(GB3096-2008)中的</w:t>
            </w:r>
            <w:r>
              <w:rPr>
                <w:rFonts w:hint="eastAsia"/>
                <w:color w:val="000000" w:themeColor="text1"/>
                <w14:textFill>
                  <w14:solidFill>
                    <w14:schemeClr w14:val="tx1"/>
                  </w14:solidFill>
                </w14:textFill>
              </w:rPr>
              <w:t>4a</w:t>
            </w:r>
            <w:r>
              <w:rPr>
                <w:color w:val="000000" w:themeColor="text1"/>
                <w14:textFill>
                  <w14:solidFill>
                    <w14:schemeClr w14:val="tx1"/>
                  </w14:solidFill>
                </w14:textFill>
              </w:rPr>
              <w:t>类区标准</w:t>
            </w:r>
            <w:r>
              <w:rPr>
                <w:rFonts w:hint="eastAsia"/>
                <w:color w:val="000000" w:themeColor="text1"/>
                <w14:textFill>
                  <w14:solidFill>
                    <w14:schemeClr w14:val="tx1"/>
                  </w14:solidFill>
                </w14:textFill>
              </w:rPr>
              <w:t>；项目东、西、南厂界昼间、夜间声环境均满足《声环境质量标准》(GB3096-2008)中的2类区标准。</w:t>
            </w:r>
          </w:p>
          <w:p>
            <w:pPr>
              <w:tabs>
                <w:tab w:val="left" w:pos="410"/>
              </w:tabs>
              <w:spacing w:line="276" w:lineRule="auto"/>
              <w:ind w:firstLine="6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本次评价委托陕西正为环境检测股份有限公司对建设项目敏感点进行了噪声实测，监测时间为2020年12月08日至12月09日，共计2天，监测结果见表3-</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w:t>
            </w:r>
          </w:p>
          <w:p>
            <w:pPr>
              <w:pStyle w:val="58"/>
              <w:spacing w:line="240" w:lineRule="auto"/>
              <w:ind w:firstLine="422"/>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敏感点</w:t>
            </w:r>
            <w:r>
              <w:rPr>
                <w:color w:val="000000" w:themeColor="text1"/>
                <w14:textFill>
                  <w14:solidFill>
                    <w14:schemeClr w14:val="tx1"/>
                  </w14:solidFill>
                </w14:textFill>
              </w:rPr>
              <w:t>噪声监测结果    单位：dB（A）</w:t>
            </w:r>
          </w:p>
          <w:tbl>
            <w:tblPr>
              <w:tblStyle w:val="28"/>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350"/>
              <w:gridCol w:w="1134"/>
              <w:gridCol w:w="140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085" w:type="dxa"/>
                  <w:vMerge w:val="restart"/>
                  <w:tcBorders>
                    <w:top w:val="single" w:color="auto" w:sz="12" w:space="0"/>
                    <w:left w:val="single" w:color="auto" w:sz="12" w:space="0"/>
                    <w:tl2br w:val="single" w:color="auto" w:sz="4"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时间</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2484" w:type="dxa"/>
                  <w:gridSpan w:val="2"/>
                  <w:tcBorders>
                    <w:top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12月08日</w:t>
                  </w:r>
                </w:p>
              </w:tc>
              <w:tc>
                <w:tcPr>
                  <w:tcW w:w="2462" w:type="dxa"/>
                  <w:gridSpan w:val="2"/>
                  <w:tcBorders>
                    <w:top w:val="single" w:color="auto" w:sz="12" w:space="0"/>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12月09日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085" w:type="dxa"/>
                  <w:vMerge w:val="continue"/>
                  <w:tcBorders>
                    <w:left w:val="single" w:color="auto" w:sz="12" w:space="0"/>
                    <w:tl2br w:val="single" w:color="auto" w:sz="4" w:space="0"/>
                  </w:tcBorders>
                  <w:vAlign w:val="center"/>
                </w:tcPr>
                <w:p>
                  <w:pPr>
                    <w:spacing w:line="240" w:lineRule="auto"/>
                    <w:ind w:firstLine="0" w:firstLineChars="0"/>
                    <w:jc w:val="center"/>
                    <w:rPr>
                      <w:color w:val="000000" w:themeColor="text1"/>
                      <w14:textFill>
                        <w14:solidFill>
                          <w14:schemeClr w14:val="tx1"/>
                        </w14:solidFill>
                      </w14:textFill>
                    </w:rPr>
                  </w:pP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世纪锦城小区</w:t>
                  </w: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新新佳园小区</w:t>
                  </w:r>
                </w:p>
              </w:tc>
              <w:tc>
                <w:tcPr>
                  <w:tcW w:w="135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c>
                <w:tcPr>
                  <w:tcW w:w="1134"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40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1053" w:type="dxa"/>
                  <w:tcBorders>
                    <w:righ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85" w:type="dxa"/>
                  <w:tcBorders>
                    <w:left w:val="single" w:color="auto" w:sz="12" w:space="0"/>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监测期间气象条件</w:t>
                  </w:r>
                </w:p>
              </w:tc>
              <w:tc>
                <w:tcPr>
                  <w:tcW w:w="2484" w:type="dxa"/>
                  <w:gridSpan w:val="2"/>
                  <w:vAlign w:val="center"/>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昼：阴，风速：1.6m/s；</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夜：阴，风速：1.9m/s。</w:t>
                  </w:r>
                </w:p>
              </w:tc>
              <w:tc>
                <w:tcPr>
                  <w:tcW w:w="2462" w:type="dxa"/>
                  <w:gridSpan w:val="2"/>
                  <w:tcBorders>
                    <w:right w:val="single" w:color="auto" w:sz="12" w:space="0"/>
                  </w:tcBorders>
                  <w:vAlign w:val="center"/>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昼：阴，风速：1.0m/s；</w:t>
                  </w:r>
                </w:p>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夜：阴，风速：0.9m/s。</w:t>
                  </w:r>
                </w:p>
              </w:tc>
            </w:tr>
          </w:tbl>
          <w:p>
            <w:pPr>
              <w:tabs>
                <w:tab w:val="left" w:pos="410"/>
              </w:tabs>
              <w:spacing w:line="276" w:lineRule="auto"/>
              <w:ind w:firstLine="600" w:firstLineChars="250"/>
              <w:rPr>
                <w:color w:val="000000" w:themeColor="text1"/>
                <w14:textFill>
                  <w14:solidFill>
                    <w14:schemeClr w14:val="tx1"/>
                  </w14:solidFill>
                </w14:textFill>
              </w:rPr>
            </w:pPr>
          </w:p>
          <w:p>
            <w:pPr>
              <w:tabs>
                <w:tab w:val="left" w:pos="410"/>
              </w:tabs>
              <w:spacing w:line="276" w:lineRule="auto"/>
              <w:ind w:firstLine="600" w:firstLineChars="2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本项目噪声敏感点执行《声环境质量标准》（GB 3096-2008）2类声环境功能区标准，由监测结果可知噪声敏感点昼间、夜间声环境均满足《声环境质量标准》(GB3096-2008)中的2类区标准。</w:t>
            </w:r>
          </w:p>
          <w:p>
            <w:pPr>
              <w:pStyle w:val="2"/>
              <w:numPr>
                <w:ilvl w:val="0"/>
                <w:numId w:val="1"/>
              </w:num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土壤</w:t>
            </w:r>
            <w:r>
              <w:rPr>
                <w:color w:val="000000" w:themeColor="text1"/>
                <w14:textFill>
                  <w14:solidFill>
                    <w14:schemeClr w14:val="tx1"/>
                  </w14:solidFill>
                </w14:textFill>
              </w:rPr>
              <w:t>环境质量现状</w:t>
            </w:r>
          </w:p>
          <w:p>
            <w:pPr>
              <w:autoSpaceDN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本项目引用西安配件厂建章加油加气站</w:t>
            </w:r>
            <w:r>
              <w:rPr>
                <w:color w:val="000000" w:themeColor="text1"/>
                <w14:textFill>
                  <w14:solidFill>
                    <w14:schemeClr w14:val="tx1"/>
                  </w14:solidFill>
                </w14:textFill>
              </w:rPr>
              <w:t>土壤现状监测结果见表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p>
          <w:p>
            <w:pPr>
              <w:autoSpaceDE w:val="0"/>
              <w:autoSpaceDN w:val="0"/>
              <w:adjustRightInd w:val="0"/>
              <w:ind w:firstLine="2880" w:firstLineChars="1200"/>
              <w:jc w:val="left"/>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土壤监测结果统计表</w:t>
            </w:r>
          </w:p>
          <w:tbl>
            <w:tblPr>
              <w:tblStyle w:val="28"/>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962"/>
              <w:gridCol w:w="1263"/>
              <w:gridCol w:w="1792"/>
              <w:gridCol w:w="1857"/>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468" w:type="dxa"/>
                  <w:gridSpan w:val="2"/>
                  <w:vMerge w:val="restart"/>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5029" w:type="dxa"/>
                  <w:gridSpan w:val="3"/>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结果</w:t>
                  </w:r>
                </w:p>
              </w:tc>
              <w:tc>
                <w:tcPr>
                  <w:tcW w:w="881" w:type="dxa"/>
                  <w:vMerge w:val="restart"/>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468" w:type="dxa"/>
                  <w:gridSpan w:val="2"/>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w:t>
                  </w:r>
                  <w:r>
                    <w:rPr>
                      <w:color w:val="000000" w:themeColor="text1"/>
                      <w14:textFill>
                        <w14:solidFill>
                          <w14:schemeClr w14:val="tx1"/>
                        </w14:solidFill>
                      </w14:textFill>
                    </w:rPr>
                    <w:t>1#</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w:t>
                  </w:r>
                  <w:r>
                    <w:rPr>
                      <w:color w:val="000000" w:themeColor="text1"/>
                      <w14:textFill>
                        <w14:solidFill>
                          <w14:schemeClr w14:val="tx1"/>
                        </w14:solidFill>
                      </w14:textFill>
                    </w:rPr>
                    <w:t>2#</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w:t>
                  </w:r>
                  <w:r>
                    <w:rPr>
                      <w:color w:val="000000" w:themeColor="text1"/>
                      <w14:textFill>
                        <w14:solidFill>
                          <w14:schemeClr w14:val="tx1"/>
                        </w14:solidFill>
                      </w14:textFill>
                    </w:rPr>
                    <w:t>3#</w:t>
                  </w:r>
                </w:p>
              </w:tc>
              <w:tc>
                <w:tcPr>
                  <w:tcW w:w="881"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9.49</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8.99</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8.83</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0.169</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0.197</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0.162</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31.7</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50.2</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31.9</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31.0</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38.2</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0.013</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0.007</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0.036</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40.2</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39.3</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42.8</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restart"/>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挥发性有机物</w:t>
                  </w: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四氯化碳</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氯仿</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氯甲烷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1,1-二氯乙烷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1,2-二氯乙烷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1,1-二氯乙烯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87"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顺-1,2-二氯乙烯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反-1,2-二氯乙烯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0.0014ND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0.0014ND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0.0014ND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二氯甲烷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1,2-二氯丙烷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1,1,1,2-四氯乙烷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1,1,2,2-四氯乙烷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四氯乙烯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0.0014ND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0.0014ND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0.0014ND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1,1,1-三氯乙烷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1,1,2-三氯乙烷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三氯乙烯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1,2,3-三氯丙烷</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0.0010ND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0.0019ND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0.0019ND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0.0019ND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氯苯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1,2-二氯苯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1,4-二氯苯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0.0015ND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乙苯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0.0013ND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27"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间二甲苯+对二甲苯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邻二甲苯</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0.0012ND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restart"/>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半挥发性有机物</w:t>
                  </w: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硝基苯</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0.09ND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0.09ND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0.09ND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苯胺</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2-氯酚</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0.06ND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0.06ND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0.06ND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苯并[a]蒽</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苯并[a]芘</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苯并[b]荧蒽</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0.2ND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0.2ND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0.2ND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苯并[k]荧蒽</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䓛</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1393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二苯并[a，h]蒽</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茚并[1，2，3-cd]芘</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0.1ND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58"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2010"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萘</w:t>
                  </w:r>
                </w:p>
              </w:tc>
              <w:tc>
                <w:tcPr>
                  <w:tcW w:w="1293"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0.09ND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0.09ND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0.09ND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2468" w:type="dxa"/>
                  <w:gridSpan w:val="2"/>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石油烃（C10-C40）</w:t>
                  </w:r>
                </w:p>
              </w:tc>
              <w:tc>
                <w:tcPr>
                  <w:tcW w:w="129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6ND</w:t>
                  </w:r>
                </w:p>
              </w:tc>
              <w:tc>
                <w:tcPr>
                  <w:tcW w:w="1835"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6ND</w:t>
                  </w:r>
                </w:p>
              </w:tc>
              <w:tc>
                <w:tcPr>
                  <w:tcW w:w="1901"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6ND</w:t>
                  </w:r>
                </w:p>
              </w:tc>
              <w:tc>
                <w:tcPr>
                  <w:tcW w:w="881" w:type="dxa"/>
                  <w:vAlign w:val="center"/>
                </w:tcPr>
                <w:p>
                  <w:pPr>
                    <w:autoSpaceDE w:val="0"/>
                    <w:autoSpaceDN w:val="0"/>
                    <w:adjustRightInd w:val="0"/>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4500</w:t>
                  </w:r>
                </w:p>
              </w:tc>
            </w:tr>
          </w:tbl>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3-8</w:t>
            </w:r>
            <w:r>
              <w:rPr>
                <w:color w:val="000000" w:themeColor="text1"/>
                <w14:textFill>
                  <w14:solidFill>
                    <w14:schemeClr w14:val="tx1"/>
                  </w14:solidFill>
                </w14:textFill>
              </w:rPr>
              <w:t>土壤理化性质</w:t>
            </w:r>
          </w:p>
          <w:tbl>
            <w:tblPr>
              <w:tblStyle w:val="28"/>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1888"/>
              <w:gridCol w:w="1888"/>
              <w:gridCol w:w="1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2617" w:type="dxa"/>
                  <w:vMerge w:val="restart"/>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5802" w:type="dxa"/>
                  <w:gridSpan w:val="3"/>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2617" w:type="dxa"/>
                  <w:vMerge w:val="continue"/>
                  <w:vAlign w:val="center"/>
                </w:tcPr>
                <w:p>
                  <w:pPr>
                    <w:autoSpaceDE w:val="0"/>
                    <w:autoSpaceDN w:val="0"/>
                    <w:adjustRightInd w:val="0"/>
                    <w:ind w:firstLine="480"/>
                    <w:jc w:val="left"/>
                    <w:rPr>
                      <w:color w:val="000000" w:themeColor="text1"/>
                      <w14:textFill>
                        <w14:solidFill>
                          <w14:schemeClr w14:val="tx1"/>
                        </w14:solidFill>
                      </w14:textFill>
                    </w:rPr>
                  </w:pP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厂区内1#</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厂区内2#</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厂区内3#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17"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颜色</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黄棕</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黄棕</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黄棕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17"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结构</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粒状</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粒状</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粒状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17"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质地</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壤土</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壤土</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17"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砂砾含量（%）</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5</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5</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17"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北纬（°）</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34.292100</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34.292017</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34.291844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17"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东经（°）</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108.840774</w:t>
                  </w:r>
                </w:p>
              </w:tc>
              <w:tc>
                <w:tcPr>
                  <w:tcW w:w="1933"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108.840641</w:t>
                  </w:r>
                </w:p>
              </w:tc>
              <w:tc>
                <w:tcPr>
                  <w:tcW w:w="1936" w:type="dxa"/>
                  <w:vAlign w:val="center"/>
                </w:tcPr>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108.840544</w:t>
                  </w:r>
                </w:p>
              </w:tc>
            </w:tr>
          </w:tbl>
          <w:p>
            <w:pPr>
              <w:autoSpaceDE w:val="0"/>
              <w:autoSpaceDN w:val="0"/>
              <w:adjustRightIn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从表</w:t>
            </w:r>
            <w:r>
              <w:rPr>
                <w:rFonts w:hint="eastAsia"/>
                <w:color w:val="000000" w:themeColor="text1"/>
                <w:lang w:val="en-US" w:eastAsia="zh-CN"/>
                <w14:textFill>
                  <w14:solidFill>
                    <w14:schemeClr w14:val="tx1"/>
                  </w14:solidFill>
                </w14:textFill>
              </w:rPr>
              <w:t>3-7</w:t>
            </w:r>
            <w:r>
              <w:rPr>
                <w:color w:val="000000" w:themeColor="text1"/>
                <w14:textFill>
                  <w14:solidFill>
                    <w14:schemeClr w14:val="tx1"/>
                  </w14:solidFill>
                </w14:textFill>
              </w:rPr>
              <w:t>可以看出：监测期间项目地土壤环境各项指标的浓度均达到了《土壤环境质量 建设用地土壤污染风险管控标准》（试行）（GB36600-2018）第二类用地筛选值。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9" w:hRule="atLeast"/>
          <w:jc w:val="center"/>
        </w:trPr>
        <w:tc>
          <w:tcPr>
            <w:tcW w:w="8522" w:type="dxa"/>
          </w:tcPr>
          <w:p>
            <w:pPr>
              <w:adjustRightInd w:val="0"/>
              <w:snapToGrid w:val="0"/>
              <w:spacing w:line="240" w:lineRule="auto"/>
              <w:ind w:firstLine="482"/>
              <w:rPr>
                <w:b/>
                <w:color w:val="000000" w:themeColor="text1"/>
                <w14:textFill>
                  <w14:solidFill>
                    <w14:schemeClr w14:val="tx1"/>
                  </w14:solidFill>
                </w14:textFill>
              </w:rPr>
            </w:pPr>
            <w:r>
              <w:rPr>
                <w:b/>
                <w:color w:val="000000" w:themeColor="text1"/>
                <w14:textFill>
                  <w14:solidFill>
                    <w14:schemeClr w14:val="tx1"/>
                  </w14:solidFill>
                </w14:textFill>
              </w:rPr>
              <w:t>主要环境保护目标</w:t>
            </w:r>
          </w:p>
          <w:p>
            <w:pPr>
              <w:spacing w:line="240" w:lineRule="auto"/>
              <w:ind w:firstLine="470" w:firstLineChars="196"/>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w:t>
            </w:r>
            <w:r>
              <w:rPr>
                <w:rFonts w:hint="eastAsia"/>
                <w:color w:val="000000" w:themeColor="text1"/>
                <w14:textFill>
                  <w14:solidFill>
                    <w14:schemeClr w14:val="tx1"/>
                  </w14:solidFill>
                </w14:textFill>
              </w:rPr>
              <w:t>项目</w:t>
            </w:r>
            <w:r>
              <w:rPr>
                <w:bCs/>
                <w:color w:val="000000" w:themeColor="text1"/>
                <w14:textFill>
                  <w14:solidFill>
                    <w14:schemeClr w14:val="tx1"/>
                  </w14:solidFill>
                </w14:textFill>
              </w:rPr>
              <w:t>主要环境保护目标见表</w:t>
            </w:r>
            <w:r>
              <w:rPr>
                <w:rFonts w:hint="eastAsia"/>
                <w:bCs/>
                <w:color w:val="000000" w:themeColor="text1"/>
                <w14:textFill>
                  <w14:solidFill>
                    <w14:schemeClr w14:val="tx1"/>
                  </w14:solidFill>
                </w14:textFill>
              </w:rPr>
              <w:t>3-</w:t>
            </w:r>
            <w:r>
              <w:rPr>
                <w:rFonts w:hint="eastAsia"/>
                <w:bCs/>
                <w:color w:val="000000" w:themeColor="text1"/>
                <w:lang w:val="en-US" w:eastAsia="zh-CN"/>
                <w14:textFill>
                  <w14:solidFill>
                    <w14:schemeClr w14:val="tx1"/>
                  </w14:solidFill>
                </w14:textFill>
              </w:rPr>
              <w:t>9</w:t>
            </w:r>
            <w:r>
              <w:rPr>
                <w:bCs/>
                <w:color w:val="000000" w:themeColor="text1"/>
                <w14:textFill>
                  <w14:solidFill>
                    <w14:schemeClr w14:val="tx1"/>
                  </w14:solidFill>
                </w14:textFill>
              </w:rPr>
              <w:t>。</w:t>
            </w:r>
          </w:p>
          <w:p>
            <w:pPr>
              <w:pStyle w:val="58"/>
              <w:spacing w:line="240" w:lineRule="auto"/>
              <w:ind w:firstLine="4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9</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主要环境保护目标</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545"/>
              <w:gridCol w:w="1605"/>
              <w:gridCol w:w="870"/>
              <w:gridCol w:w="1522"/>
              <w:gridCol w:w="98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3150" w:type="dxa"/>
                  <w:gridSpan w:val="2"/>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坐标</w:t>
                  </w:r>
                </w:p>
              </w:tc>
              <w:tc>
                <w:tcPr>
                  <w:tcW w:w="870"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保护对象</w:t>
                  </w:r>
                </w:p>
              </w:tc>
              <w:tc>
                <w:tcPr>
                  <w:tcW w:w="1522"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环境功能区</w:t>
                  </w:r>
                </w:p>
              </w:tc>
              <w:tc>
                <w:tcPr>
                  <w:tcW w:w="983"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相对厂址方位</w:t>
                  </w:r>
                </w:p>
              </w:tc>
              <w:tc>
                <w:tcPr>
                  <w:tcW w:w="1036"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纬度</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经度</w:t>
                  </w:r>
                </w:p>
              </w:tc>
              <w:tc>
                <w:tcPr>
                  <w:tcW w:w="870"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1036"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世纪锦城小区</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34.323367</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108.766235</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《环境空气质</w:t>
                  </w:r>
                </w:p>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量标准》（GB3095-2012）二级标准</w:t>
                  </w: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新新佳园小区</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34.323779</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108.765062</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北槐村</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34.322698</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108.765298</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WS</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北仁义庄</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34.323319</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108.777033</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南仁义庄</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34.31824</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108.774792</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ES</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沣景公寓</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34.321452</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108.75928</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WS</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陕西中医药大学</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34.322022</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108.747781</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学生</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沣东中学</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34.324163</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108.780568</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学生</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阳光城蔷薇溪谷小区</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34.334084</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108.775075</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EN</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世纪锦城小区</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34.323367</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108.766235</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restart"/>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GB3096-2008《声环境质量</w:t>
                  </w:r>
                </w:p>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标准》2类标准、4a类标准</w:t>
                  </w: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新新佳园小区</w:t>
                  </w:r>
                </w:p>
              </w:tc>
              <w:tc>
                <w:tcPr>
                  <w:tcW w:w="154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34.323779</w:t>
                  </w:r>
                  <w:r>
                    <w:rPr>
                      <w:rFonts w:hint="eastAsia"/>
                      <w:color w:val="000000" w:themeColor="text1"/>
                      <w:szCs w:val="21"/>
                      <w14:textFill>
                        <w14:solidFill>
                          <w14:schemeClr w14:val="tx1"/>
                        </w14:solidFill>
                      </w14:textFill>
                    </w:rPr>
                    <w:t>°</w:t>
                  </w:r>
                </w:p>
              </w:tc>
              <w:tc>
                <w:tcPr>
                  <w:tcW w:w="1605"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108.765062</w:t>
                  </w:r>
                  <w:r>
                    <w:rPr>
                      <w:rFonts w:hint="eastAsia"/>
                      <w:color w:val="000000" w:themeColor="text1"/>
                      <w:szCs w:val="21"/>
                      <w14:textFill>
                        <w14:solidFill>
                          <w14:schemeClr w14:val="tx1"/>
                        </w14:solidFill>
                      </w14:textFill>
                    </w:rPr>
                    <w:t>°</w:t>
                  </w:r>
                </w:p>
              </w:tc>
              <w:tc>
                <w:tcPr>
                  <w:tcW w:w="870"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1522" w:type="dxa"/>
                  <w:vMerge w:val="continue"/>
                  <w:vAlign w:val="center"/>
                </w:tcPr>
                <w:p>
                  <w:pPr>
                    <w:spacing w:line="240" w:lineRule="auto"/>
                    <w:ind w:firstLine="0" w:firstLineChars="0"/>
                    <w:jc w:val="center"/>
                    <w:rPr>
                      <w:color w:val="000000" w:themeColor="text1"/>
                      <w:szCs w:val="21"/>
                      <w14:textFill>
                        <w14:solidFill>
                          <w14:schemeClr w14:val="tx1"/>
                        </w14:solidFill>
                      </w14:textFill>
                    </w:rPr>
                  </w:pPr>
                </w:p>
              </w:tc>
              <w:tc>
                <w:tcPr>
                  <w:tcW w:w="98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w:t>
                  </w:r>
                </w:p>
              </w:tc>
              <w:tc>
                <w:tcPr>
                  <w:tcW w:w="1036" w:type="dxa"/>
                  <w:vAlign w:val="center"/>
                </w:tcPr>
                <w:p>
                  <w:pPr>
                    <w:spacing w:line="240" w:lineRule="auto"/>
                    <w:ind w:firstLine="0" w:firstLineChars="0"/>
                    <w:jc w:val="center"/>
                    <w:rPr>
                      <w:color w:val="000000" w:themeColor="text1"/>
                      <w:szCs w:val="21"/>
                      <w14:textFill>
                        <w14:solidFill>
                          <w14:schemeClr w14:val="tx1"/>
                        </w14:solidFill>
                      </w14:textFill>
                    </w:rPr>
                  </w:pPr>
                </w:p>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153</w:t>
                  </w: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pP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51"/>
        <w:spacing w:after="0" w:line="500" w:lineRule="exact"/>
        <w:ind w:firstLine="0" w:firstLineChars="0"/>
        <w:outlineLvl w:val="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评价适用标准</w:t>
      </w:r>
    </w:p>
    <w:tbl>
      <w:tblPr>
        <w:tblStyle w:val="28"/>
        <w:tblpPr w:leftFromText="180" w:rightFromText="180" w:vertAnchor="text" w:horzAnchor="margin" w:tblpY="158"/>
        <w:tblW w:w="87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textDirection w:val="tbRlV"/>
            <w:vAlign w:val="center"/>
          </w:tcPr>
          <w:p>
            <w:pPr>
              <w:adjustRightInd w:val="0"/>
              <w:snapToGrid w:val="0"/>
              <w:ind w:left="113" w:right="113" w:firstLine="600"/>
              <w:jc w:val="center"/>
              <w:rPr>
                <w:color w:val="000000" w:themeColor="text1"/>
                <w:spacing w:val="30"/>
                <w14:textFill>
                  <w14:solidFill>
                    <w14:schemeClr w14:val="tx1"/>
                  </w14:solidFill>
                </w14:textFill>
              </w:rPr>
            </w:pPr>
            <w:r>
              <w:rPr>
                <w:rFonts w:hint="eastAsia"/>
                <w:color w:val="000000" w:themeColor="text1"/>
                <w:spacing w:val="30"/>
                <w14:textFill>
                  <w14:solidFill>
                    <w14:schemeClr w14:val="tx1"/>
                  </w14:solidFill>
                </w14:textFill>
              </w:rPr>
              <w:t>环境质量标准</w:t>
            </w:r>
          </w:p>
        </w:tc>
        <w:tc>
          <w:tcPr>
            <w:tcW w:w="8067" w:type="dxa"/>
            <w:vAlign w:val="center"/>
          </w:tcPr>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（1）环境空气</w:t>
            </w:r>
          </w:p>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项目所在区环境空气质量执行《环境空气质量标准》（GB3095-2012）中二级标准。特征因子非甲烷总烃，根据中国环境科学出版社出版的国家环境保护局科技标准司的《大气污染物综合排放标准详解》，确定项目区域“非甲烷总烃”的环境质量标准。</w:t>
            </w: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表 4-1</w:t>
            </w:r>
            <w:r>
              <w:rPr>
                <w:color w:val="000000" w:themeColor="text1"/>
                <w14:textFill>
                  <w14:solidFill>
                    <w14:schemeClr w14:val="tx1"/>
                  </w14:solidFill>
                </w14:textFill>
              </w:rPr>
              <w:tab/>
            </w:r>
            <w:r>
              <w:rPr>
                <w:color w:val="000000" w:themeColor="text1"/>
                <w14:textFill>
                  <w14:solidFill>
                    <w14:schemeClr w14:val="tx1"/>
                  </w14:solidFill>
                </w14:textFill>
              </w:rPr>
              <w:t>环境空气质量标准</w:t>
            </w:r>
          </w:p>
          <w:tbl>
            <w:tblPr>
              <w:tblStyle w:val="28"/>
              <w:tblpPr w:leftFromText="180" w:rightFromText="180" w:vertAnchor="text" w:horzAnchor="page" w:tblpX="29" w:tblpY="393"/>
              <w:tblOverlap w:val="never"/>
              <w:tblW w:w="787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92"/>
              <w:gridCol w:w="1415"/>
              <w:gridCol w:w="496"/>
              <w:gridCol w:w="772"/>
              <w:gridCol w:w="698"/>
              <w:gridCol w:w="1233"/>
              <w:gridCol w:w="1084"/>
              <w:gridCol w:w="1045"/>
              <w:gridCol w:w="6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7" w:hRule="atLeast"/>
              </w:trPr>
              <w:tc>
                <w:tcPr>
                  <w:tcW w:w="492" w:type="dxa"/>
                  <w:vMerge w:val="restart"/>
                  <w:tcBorders>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区域</w:t>
                  </w:r>
                </w:p>
              </w:tc>
              <w:tc>
                <w:tcPr>
                  <w:tcW w:w="1415" w:type="dxa"/>
                  <w:vMerge w:val="restart"/>
                  <w:tcBorders>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执行标准</w:t>
                  </w:r>
                </w:p>
              </w:tc>
              <w:tc>
                <w:tcPr>
                  <w:tcW w:w="496" w:type="dxa"/>
                  <w:vMerge w:val="restart"/>
                  <w:tcBorders>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级别</w:t>
                  </w:r>
                </w:p>
              </w:tc>
              <w:tc>
                <w:tcPr>
                  <w:tcW w:w="772" w:type="dxa"/>
                  <w:vMerge w:val="restart"/>
                  <w:tcBorders>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污染物指标</w:t>
                  </w:r>
                </w:p>
              </w:tc>
              <w:tc>
                <w:tcPr>
                  <w:tcW w:w="698" w:type="dxa"/>
                  <w:vMerge w:val="restart"/>
                  <w:tcBorders>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4005" w:type="dxa"/>
                  <w:gridSpan w:val="4"/>
                  <w:tcBorders>
                    <w:left w:val="single" w:color="000000" w:sz="6" w:space="0"/>
                    <w:bottom w:val="single" w:color="000000" w:sz="6"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标准限值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trPr>
              <w:tc>
                <w:tcPr>
                  <w:tcW w:w="492" w:type="dxa"/>
                  <w:vMerge w:val="continue"/>
                  <w:tcBorders>
                    <w:top w:val="nil"/>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tc>
              <w:tc>
                <w:tcPr>
                  <w:tcW w:w="1415" w:type="dxa"/>
                  <w:vMerge w:val="continue"/>
                  <w:tcBorders>
                    <w:top w:val="nil"/>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tc>
              <w:tc>
                <w:tcPr>
                  <w:tcW w:w="496" w:type="dxa"/>
                  <w:vMerge w:val="continue"/>
                  <w:tcBorders>
                    <w:top w:val="nil"/>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tc>
              <w:tc>
                <w:tcPr>
                  <w:tcW w:w="772" w:type="dxa"/>
                  <w:vMerge w:val="continue"/>
                  <w:tcBorders>
                    <w:top w:val="nil"/>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tc>
              <w:tc>
                <w:tcPr>
                  <w:tcW w:w="698" w:type="dxa"/>
                  <w:vMerge w:val="continue"/>
                  <w:tcBorders>
                    <w:top w:val="nil"/>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p>
              </w:tc>
              <w:tc>
                <w:tcPr>
                  <w:tcW w:w="1233" w:type="dxa"/>
                  <w:tcBorders>
                    <w:top w:val="single" w:color="000000" w:sz="6" w:space="0"/>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084" w:type="dxa"/>
                  <w:tcBorders>
                    <w:top w:val="single" w:color="000000" w:sz="6" w:space="0"/>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日最大8 小时平均</w:t>
                  </w:r>
                </w:p>
              </w:tc>
              <w:tc>
                <w:tcPr>
                  <w:tcW w:w="1045" w:type="dxa"/>
                  <w:tcBorders>
                    <w:top w:val="single" w:color="000000" w:sz="6" w:space="0"/>
                    <w:left w:val="single" w:color="000000" w:sz="6" w:space="0"/>
                    <w:bottom w:val="single" w:color="000000" w:sz="6" w:space="0"/>
                    <w:right w:val="single" w:color="000000" w:sz="6"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24小时</w:t>
                  </w: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平均</w:t>
                  </w:r>
                </w:p>
              </w:tc>
              <w:tc>
                <w:tcPr>
                  <w:tcW w:w="643" w:type="dxa"/>
                  <w:tcBorders>
                    <w:top w:val="single" w:color="000000" w:sz="6" w:space="0"/>
                    <w:left w:val="single" w:color="000000" w:sz="6" w:space="0"/>
                    <w:bottom w:val="single" w:color="000000" w:sz="6"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年平</w:t>
                  </w:r>
                </w:p>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492" w:type="dxa"/>
                  <w:vMerge w:val="restart"/>
                  <w:tcBorders>
                    <w:top w:val="single" w:color="000000" w:sz="6" w:space="0"/>
                    <w:left w:val="single" w:color="000000" w:sz="6" w:space="0"/>
                    <w:right w:val="single" w:color="000000" w:sz="6" w:space="0"/>
                  </w:tcBorders>
                </w:tcPr>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rPr>
                      <w:color w:val="000000" w:themeColor="text1"/>
                      <w14:textFill>
                        <w14:solidFill>
                          <w14:schemeClr w14:val="tx1"/>
                        </w14:solidFill>
                      </w14:textFill>
                    </w:rPr>
                  </w:pPr>
                </w:p>
                <w:p>
                  <w:pPr>
                    <w:pStyle w:val="88"/>
                    <w:spacing w:line="278" w:lineRule="auto"/>
                    <w:ind w:left="171" w:right="135"/>
                    <w:jc w:val="both"/>
                    <w:rPr>
                      <w:color w:val="000000" w:themeColor="text1"/>
                      <w14:textFill>
                        <w14:solidFill>
                          <w14:schemeClr w14:val="tx1"/>
                        </w14:solidFill>
                      </w14:textFill>
                    </w:rPr>
                  </w:pPr>
                  <w:r>
                    <w:rPr>
                      <w:color w:val="000000" w:themeColor="text1"/>
                      <w14:textFill>
                        <w14:solidFill>
                          <w14:schemeClr w14:val="tx1"/>
                        </w14:solidFill>
                      </w14:textFill>
                    </w:rPr>
                    <w:t>项目所在区域</w:t>
                  </w:r>
                </w:p>
              </w:tc>
              <w:tc>
                <w:tcPr>
                  <w:tcW w:w="1415" w:type="dxa"/>
                  <w:vMerge w:val="restart"/>
                  <w:tcBorders>
                    <w:top w:val="single" w:color="000000" w:sz="6" w:space="0"/>
                    <w:left w:val="single" w:color="000000" w:sz="6" w:space="0"/>
                    <w:bottom w:val="single" w:color="000000" w:sz="6" w:space="0"/>
                    <w:right w:val="single" w:color="000000" w:sz="6" w:space="0"/>
                  </w:tcBorders>
                </w:tcPr>
                <w:p>
                  <w:pPr>
                    <w:pStyle w:val="88"/>
                    <w:rPr>
                      <w:color w:val="000000" w:themeColor="text1"/>
                      <w:lang w:eastAsia="zh-CN"/>
                      <w14:textFill>
                        <w14:solidFill>
                          <w14:schemeClr w14:val="tx1"/>
                        </w14:solidFill>
                      </w14:textFill>
                    </w:rPr>
                  </w:pPr>
                </w:p>
                <w:p>
                  <w:pPr>
                    <w:pStyle w:val="88"/>
                    <w:rPr>
                      <w:color w:val="000000" w:themeColor="text1"/>
                      <w:lang w:eastAsia="zh-CN"/>
                      <w14:textFill>
                        <w14:solidFill>
                          <w14:schemeClr w14:val="tx1"/>
                        </w14:solidFill>
                      </w14:textFill>
                    </w:rPr>
                  </w:pPr>
                </w:p>
                <w:p>
                  <w:pPr>
                    <w:pStyle w:val="88"/>
                    <w:spacing w:before="3"/>
                    <w:rPr>
                      <w:color w:val="000000" w:themeColor="text1"/>
                      <w:lang w:eastAsia="zh-CN"/>
                      <w14:textFill>
                        <w14:solidFill>
                          <w14:schemeClr w14:val="tx1"/>
                        </w14:solidFill>
                      </w14:textFill>
                    </w:rPr>
                  </w:pPr>
                </w:p>
                <w:p>
                  <w:pPr>
                    <w:pStyle w:val="88"/>
                    <w:spacing w:before="1" w:line="285" w:lineRule="auto"/>
                    <w:ind w:left="156" w:right="109" w:hanging="7"/>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《环境空气质量标准》(GB3095-2012)</w:t>
                  </w:r>
                </w:p>
              </w:tc>
              <w:tc>
                <w:tcPr>
                  <w:tcW w:w="496" w:type="dxa"/>
                  <w:vMerge w:val="restart"/>
                  <w:tcBorders>
                    <w:top w:val="single" w:color="000000" w:sz="6" w:space="0"/>
                    <w:left w:val="single" w:color="000000" w:sz="6" w:space="0"/>
                    <w:bottom w:val="single" w:color="000000" w:sz="6" w:space="0"/>
                    <w:right w:val="single" w:color="000000" w:sz="6" w:space="0"/>
                  </w:tcBorders>
                </w:tcPr>
                <w:p>
                  <w:pPr>
                    <w:pStyle w:val="88"/>
                    <w:rPr>
                      <w:color w:val="000000" w:themeColor="text1"/>
                      <w:lang w:eastAsia="zh-CN"/>
                      <w14:textFill>
                        <w14:solidFill>
                          <w14:schemeClr w14:val="tx1"/>
                        </w14:solidFill>
                      </w14:textFill>
                    </w:rPr>
                  </w:pPr>
                </w:p>
                <w:p>
                  <w:pPr>
                    <w:pStyle w:val="88"/>
                    <w:rPr>
                      <w:color w:val="000000" w:themeColor="text1"/>
                      <w:lang w:eastAsia="zh-CN"/>
                      <w14:textFill>
                        <w14:solidFill>
                          <w14:schemeClr w14:val="tx1"/>
                        </w14:solidFill>
                      </w14:textFill>
                    </w:rPr>
                  </w:pPr>
                </w:p>
                <w:p>
                  <w:pPr>
                    <w:pStyle w:val="88"/>
                    <w:rPr>
                      <w:color w:val="000000" w:themeColor="text1"/>
                      <w:lang w:eastAsia="zh-CN"/>
                      <w14:textFill>
                        <w14:solidFill>
                          <w14:schemeClr w14:val="tx1"/>
                        </w14:solidFill>
                      </w14:textFill>
                    </w:rPr>
                  </w:pPr>
                </w:p>
                <w:p>
                  <w:pPr>
                    <w:pStyle w:val="88"/>
                    <w:spacing w:before="160" w:line="278" w:lineRule="auto"/>
                    <w:ind w:left="137" w:right="97"/>
                    <w:rPr>
                      <w:color w:val="000000" w:themeColor="text1"/>
                      <w14:textFill>
                        <w14:solidFill>
                          <w14:schemeClr w14:val="tx1"/>
                        </w14:solidFill>
                      </w14:textFill>
                    </w:rPr>
                  </w:pPr>
                  <w:r>
                    <w:rPr>
                      <w:color w:val="000000" w:themeColor="text1"/>
                      <w14:textFill>
                        <w14:solidFill>
                          <w14:schemeClr w14:val="tx1"/>
                        </w14:solidFill>
                      </w14:textFill>
                    </w:rPr>
                    <w:t>二级标准</w:t>
                  </w:r>
                </w:p>
              </w:tc>
              <w:tc>
                <w:tcPr>
                  <w:tcW w:w="772"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PM10</w:t>
                  </w:r>
                </w:p>
              </w:tc>
              <w:tc>
                <w:tcPr>
                  <w:tcW w:w="698"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µg/m3</w:t>
                  </w:r>
                </w:p>
              </w:tc>
              <w:tc>
                <w:tcPr>
                  <w:tcW w:w="1233"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84"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45"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43" w:type="dxa"/>
                  <w:tcBorders>
                    <w:top w:val="single" w:color="000000" w:sz="6" w:space="0"/>
                    <w:left w:val="single" w:color="000000" w:sz="6" w:space="0"/>
                    <w:bottom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8" w:hRule="atLeast"/>
              </w:trPr>
              <w:tc>
                <w:tcPr>
                  <w:tcW w:w="492" w:type="dxa"/>
                  <w:vMerge w:val="continue"/>
                  <w:tcBorders>
                    <w:top w:val="nil"/>
                    <w:left w:val="single" w:color="000000" w:sz="6" w:space="0"/>
                    <w:right w:val="single" w:color="000000" w:sz="6" w:space="0"/>
                  </w:tcBorders>
                </w:tcPr>
                <w:p>
                  <w:pPr>
                    <w:ind w:firstLine="480"/>
                    <w:rPr>
                      <w:color w:val="000000" w:themeColor="text1"/>
                      <w14:textFill>
                        <w14:solidFill>
                          <w14:schemeClr w14:val="tx1"/>
                        </w14:solidFill>
                      </w14:textFill>
                    </w:rPr>
                  </w:pPr>
                </w:p>
              </w:tc>
              <w:tc>
                <w:tcPr>
                  <w:tcW w:w="1415"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496"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772"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PM2.5</w:t>
                  </w:r>
                </w:p>
              </w:tc>
              <w:tc>
                <w:tcPr>
                  <w:tcW w:w="698"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µg/m3</w:t>
                  </w:r>
                </w:p>
              </w:tc>
              <w:tc>
                <w:tcPr>
                  <w:tcW w:w="1233"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84"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45"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643" w:type="dxa"/>
                  <w:tcBorders>
                    <w:top w:val="single" w:color="000000" w:sz="6" w:space="0"/>
                    <w:left w:val="single" w:color="000000" w:sz="6" w:space="0"/>
                    <w:bottom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492" w:type="dxa"/>
                  <w:vMerge w:val="continue"/>
                  <w:tcBorders>
                    <w:top w:val="nil"/>
                    <w:left w:val="single" w:color="000000" w:sz="6" w:space="0"/>
                    <w:right w:val="single" w:color="000000" w:sz="6" w:space="0"/>
                  </w:tcBorders>
                </w:tcPr>
                <w:p>
                  <w:pPr>
                    <w:ind w:firstLine="480"/>
                    <w:rPr>
                      <w:color w:val="000000" w:themeColor="text1"/>
                      <w14:textFill>
                        <w14:solidFill>
                          <w14:schemeClr w14:val="tx1"/>
                        </w14:solidFill>
                      </w14:textFill>
                    </w:rPr>
                  </w:pPr>
                </w:p>
              </w:tc>
              <w:tc>
                <w:tcPr>
                  <w:tcW w:w="1415"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496"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772"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SO2</w:t>
                  </w:r>
                </w:p>
              </w:tc>
              <w:tc>
                <w:tcPr>
                  <w:tcW w:w="698"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µg/m3</w:t>
                  </w:r>
                </w:p>
              </w:tc>
              <w:tc>
                <w:tcPr>
                  <w:tcW w:w="1233"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084"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45"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43" w:type="dxa"/>
                  <w:tcBorders>
                    <w:top w:val="single" w:color="000000" w:sz="6" w:space="0"/>
                    <w:left w:val="single" w:color="000000" w:sz="6" w:space="0"/>
                    <w:bottom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trPr>
              <w:tc>
                <w:tcPr>
                  <w:tcW w:w="492" w:type="dxa"/>
                  <w:vMerge w:val="continue"/>
                  <w:tcBorders>
                    <w:top w:val="nil"/>
                    <w:left w:val="single" w:color="000000" w:sz="6" w:space="0"/>
                    <w:right w:val="single" w:color="000000" w:sz="6" w:space="0"/>
                  </w:tcBorders>
                </w:tcPr>
                <w:p>
                  <w:pPr>
                    <w:ind w:firstLine="480"/>
                    <w:rPr>
                      <w:color w:val="000000" w:themeColor="text1"/>
                      <w14:textFill>
                        <w14:solidFill>
                          <w14:schemeClr w14:val="tx1"/>
                        </w14:solidFill>
                      </w14:textFill>
                    </w:rPr>
                  </w:pPr>
                </w:p>
              </w:tc>
              <w:tc>
                <w:tcPr>
                  <w:tcW w:w="1415"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496"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772"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NO2</w:t>
                  </w:r>
                </w:p>
              </w:tc>
              <w:tc>
                <w:tcPr>
                  <w:tcW w:w="698"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µg/m3</w:t>
                  </w:r>
                </w:p>
              </w:tc>
              <w:tc>
                <w:tcPr>
                  <w:tcW w:w="1233"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084"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45"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43" w:type="dxa"/>
                  <w:tcBorders>
                    <w:top w:val="single" w:color="000000" w:sz="6" w:space="0"/>
                    <w:left w:val="single" w:color="000000" w:sz="6" w:space="0"/>
                    <w:bottom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7" w:hRule="atLeast"/>
              </w:trPr>
              <w:tc>
                <w:tcPr>
                  <w:tcW w:w="492" w:type="dxa"/>
                  <w:vMerge w:val="continue"/>
                  <w:tcBorders>
                    <w:top w:val="nil"/>
                    <w:left w:val="single" w:color="000000" w:sz="6" w:space="0"/>
                    <w:right w:val="single" w:color="000000" w:sz="6" w:space="0"/>
                  </w:tcBorders>
                </w:tcPr>
                <w:p>
                  <w:pPr>
                    <w:ind w:firstLine="480"/>
                    <w:rPr>
                      <w:color w:val="000000" w:themeColor="text1"/>
                      <w14:textFill>
                        <w14:solidFill>
                          <w14:schemeClr w14:val="tx1"/>
                        </w14:solidFill>
                      </w14:textFill>
                    </w:rPr>
                  </w:pPr>
                </w:p>
              </w:tc>
              <w:tc>
                <w:tcPr>
                  <w:tcW w:w="1415"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496"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772"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CO</w:t>
                  </w:r>
                </w:p>
              </w:tc>
              <w:tc>
                <w:tcPr>
                  <w:tcW w:w="698"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mg/m3</w:t>
                  </w:r>
                </w:p>
              </w:tc>
              <w:tc>
                <w:tcPr>
                  <w:tcW w:w="1233"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084"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45"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643" w:type="dxa"/>
                  <w:tcBorders>
                    <w:top w:val="single" w:color="000000" w:sz="6" w:space="0"/>
                    <w:left w:val="single" w:color="000000" w:sz="6" w:space="0"/>
                    <w:bottom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4" w:hRule="atLeast"/>
              </w:trPr>
              <w:tc>
                <w:tcPr>
                  <w:tcW w:w="492" w:type="dxa"/>
                  <w:vMerge w:val="continue"/>
                  <w:tcBorders>
                    <w:top w:val="nil"/>
                    <w:left w:val="single" w:color="000000" w:sz="6" w:space="0"/>
                    <w:right w:val="single" w:color="000000" w:sz="6" w:space="0"/>
                  </w:tcBorders>
                </w:tcPr>
                <w:p>
                  <w:pPr>
                    <w:ind w:firstLine="480"/>
                    <w:rPr>
                      <w:color w:val="000000" w:themeColor="text1"/>
                      <w14:textFill>
                        <w14:solidFill>
                          <w14:schemeClr w14:val="tx1"/>
                        </w14:solidFill>
                      </w14:textFill>
                    </w:rPr>
                  </w:pPr>
                </w:p>
              </w:tc>
              <w:tc>
                <w:tcPr>
                  <w:tcW w:w="1415"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496" w:type="dxa"/>
                  <w:vMerge w:val="continue"/>
                  <w:tcBorders>
                    <w:top w:val="nil"/>
                    <w:left w:val="single" w:color="000000" w:sz="6" w:space="0"/>
                    <w:bottom w:val="single" w:color="000000" w:sz="6" w:space="0"/>
                    <w:right w:val="single" w:color="000000" w:sz="6" w:space="0"/>
                  </w:tcBorders>
                </w:tcPr>
                <w:p>
                  <w:pPr>
                    <w:ind w:firstLine="480"/>
                    <w:rPr>
                      <w:color w:val="000000" w:themeColor="text1"/>
                      <w14:textFill>
                        <w14:solidFill>
                          <w14:schemeClr w14:val="tx1"/>
                        </w14:solidFill>
                      </w14:textFill>
                    </w:rPr>
                  </w:pPr>
                </w:p>
              </w:tc>
              <w:tc>
                <w:tcPr>
                  <w:tcW w:w="772"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O3</w:t>
                  </w:r>
                </w:p>
              </w:tc>
              <w:tc>
                <w:tcPr>
                  <w:tcW w:w="698"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µg/m3</w:t>
                  </w:r>
                </w:p>
              </w:tc>
              <w:tc>
                <w:tcPr>
                  <w:tcW w:w="1233"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084"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045" w:type="dxa"/>
                  <w:tcBorders>
                    <w:top w:val="single" w:color="000000" w:sz="6" w:space="0"/>
                    <w:left w:val="single" w:color="000000" w:sz="6" w:space="0"/>
                    <w:bottom w:val="single" w:color="000000" w:sz="6" w:space="0"/>
                    <w:right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643" w:type="dxa"/>
                  <w:tcBorders>
                    <w:top w:val="single" w:color="000000" w:sz="6" w:space="0"/>
                    <w:left w:val="single" w:color="000000" w:sz="6" w:space="0"/>
                    <w:bottom w:val="single" w:color="000000" w:sz="6"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10" w:hRule="atLeast"/>
              </w:trPr>
              <w:tc>
                <w:tcPr>
                  <w:tcW w:w="492" w:type="dxa"/>
                  <w:vMerge w:val="continue"/>
                  <w:tcBorders>
                    <w:top w:val="nil"/>
                    <w:left w:val="single" w:color="000000" w:sz="6" w:space="0"/>
                    <w:right w:val="single" w:color="000000" w:sz="6" w:space="0"/>
                  </w:tcBorders>
                </w:tcPr>
                <w:p>
                  <w:pPr>
                    <w:ind w:firstLine="480"/>
                    <w:rPr>
                      <w:color w:val="000000" w:themeColor="text1"/>
                      <w14:textFill>
                        <w14:solidFill>
                          <w14:schemeClr w14:val="tx1"/>
                        </w14:solidFill>
                      </w14:textFill>
                    </w:rPr>
                  </w:pPr>
                </w:p>
              </w:tc>
              <w:tc>
                <w:tcPr>
                  <w:tcW w:w="1415" w:type="dxa"/>
                  <w:tcBorders>
                    <w:top w:val="single" w:color="000000" w:sz="6" w:space="0"/>
                    <w:left w:val="single" w:color="000000" w:sz="6" w:space="0"/>
                    <w:right w:val="single" w:color="000000" w:sz="6" w:space="0"/>
                  </w:tcBorders>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《大气污染物综合排放标准详解》</w:t>
                  </w:r>
                </w:p>
              </w:tc>
              <w:tc>
                <w:tcPr>
                  <w:tcW w:w="496" w:type="dxa"/>
                  <w:tcBorders>
                    <w:top w:val="single" w:color="000000" w:sz="6" w:space="0"/>
                    <w:left w:val="single" w:color="000000" w:sz="6" w:space="0"/>
                    <w:right w:val="single" w:color="000000" w:sz="6" w:space="0"/>
                  </w:tcBorders>
                </w:tcPr>
                <w:p>
                  <w:pPr>
                    <w:pStyle w:val="88"/>
                    <w:rPr>
                      <w:color w:val="000000" w:themeColor="text1"/>
                      <w:lang w:eastAsia="zh-CN"/>
                      <w14:textFill>
                        <w14:solidFill>
                          <w14:schemeClr w14:val="tx1"/>
                        </w14:solidFill>
                      </w14:textFill>
                    </w:rPr>
                  </w:pPr>
                </w:p>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p>
              </w:tc>
              <w:tc>
                <w:tcPr>
                  <w:tcW w:w="772" w:type="dxa"/>
                  <w:tcBorders>
                    <w:top w:val="single" w:color="000000" w:sz="6" w:space="0"/>
                    <w:left w:val="single" w:color="000000" w:sz="6" w:space="0"/>
                    <w:right w:val="single" w:color="000000" w:sz="6"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非甲烷总烃</w:t>
                  </w:r>
                </w:p>
              </w:tc>
              <w:tc>
                <w:tcPr>
                  <w:tcW w:w="698" w:type="dxa"/>
                  <w:tcBorders>
                    <w:top w:val="single" w:color="000000" w:sz="6" w:space="0"/>
                    <w:left w:val="single" w:color="000000" w:sz="6" w:space="0"/>
                    <w:right w:val="single" w:color="000000" w:sz="6"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mg/m3</w:t>
                  </w:r>
                </w:p>
              </w:tc>
              <w:tc>
                <w:tcPr>
                  <w:tcW w:w="1233" w:type="dxa"/>
                  <w:tcBorders>
                    <w:top w:val="single" w:color="000000" w:sz="6" w:space="0"/>
                    <w:left w:val="single" w:color="000000" w:sz="6" w:space="0"/>
                    <w:right w:val="single" w:color="000000" w:sz="6"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2.0</w:t>
                  </w:r>
                </w:p>
              </w:tc>
              <w:tc>
                <w:tcPr>
                  <w:tcW w:w="1084" w:type="dxa"/>
                  <w:tcBorders>
                    <w:top w:val="single" w:color="000000" w:sz="6" w:space="0"/>
                    <w:left w:val="single" w:color="000000" w:sz="6" w:space="0"/>
                    <w:right w:val="single" w:color="000000" w:sz="6"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p>
              </w:tc>
              <w:tc>
                <w:tcPr>
                  <w:tcW w:w="1045" w:type="dxa"/>
                  <w:tcBorders>
                    <w:top w:val="single" w:color="000000" w:sz="6" w:space="0"/>
                    <w:left w:val="single" w:color="000000" w:sz="6" w:space="0"/>
                    <w:right w:val="single" w:color="000000" w:sz="6"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p>
              </w:tc>
              <w:tc>
                <w:tcPr>
                  <w:tcW w:w="643" w:type="dxa"/>
                  <w:tcBorders>
                    <w:top w:val="single" w:color="000000" w:sz="6" w:space="0"/>
                    <w:left w:val="single" w:color="000000" w:sz="6"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w:t>
                  </w:r>
                </w:p>
              </w:tc>
            </w:tr>
          </w:tbl>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（2）声环境质量</w:t>
            </w:r>
          </w:p>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本项目声环境质量执行《声环境质量标准》（GB3096-2008）中 2 类和 4a 类标准。</w:t>
            </w:r>
          </w:p>
          <w:p>
            <w:pPr>
              <w:ind w:firstLine="1680" w:firstLineChars="7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表 4-2</w:t>
            </w:r>
            <w:r>
              <w:rPr>
                <w:rFonts w:hint="eastAsia" w:hAnsi="宋体"/>
                <w:color w:val="000000" w:themeColor="text1"/>
                <w14:textFill>
                  <w14:solidFill>
                    <w14:schemeClr w14:val="tx1"/>
                  </w14:solidFill>
                </w14:textFill>
              </w:rPr>
              <w:tab/>
            </w:r>
            <w:r>
              <w:rPr>
                <w:rFonts w:hint="eastAsia" w:hAnsi="宋体"/>
                <w:color w:val="000000" w:themeColor="text1"/>
                <w14:textFill>
                  <w14:solidFill>
                    <w14:schemeClr w14:val="tx1"/>
                  </w14:solidFill>
                </w14:textFill>
              </w:rPr>
              <w:t>本项目加油站声环境质量执行标准</w:t>
            </w:r>
          </w:p>
          <w:tbl>
            <w:tblPr>
              <w:tblStyle w:val="28"/>
              <w:tblpPr w:leftFromText="180" w:rightFromText="180" w:vertAnchor="text" w:horzAnchor="page" w:tblpXSpec="center" w:tblpY="144"/>
              <w:tblOverlap w:val="never"/>
              <w:tblW w:w="731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91"/>
              <w:gridCol w:w="2462"/>
              <w:gridCol w:w="286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1991" w:type="dxa"/>
                  <w:vMerge w:val="restart"/>
                  <w:tcBorders>
                    <w:left w:val="single" w:color="000000" w:sz="6" w:space="0"/>
                    <w:bottom w:val="single" w:color="000000" w:sz="4" w:space="0"/>
                    <w:right w:val="single" w:color="000000" w:sz="4" w:space="0"/>
                  </w:tcBorders>
                  <w:vAlign w:val="center"/>
                </w:tcPr>
                <w:p>
                  <w:pPr>
                    <w:pStyle w:val="88"/>
                    <w:ind w:left="584"/>
                    <w:jc w:val="both"/>
                    <w:rPr>
                      <w:color w:val="000000" w:themeColor="text1"/>
                      <w14:textFill>
                        <w14:solidFill>
                          <w14:schemeClr w14:val="tx1"/>
                        </w14:solidFill>
                      </w14:textFill>
                    </w:rPr>
                  </w:pPr>
                  <w:r>
                    <w:rPr>
                      <w:color w:val="000000" w:themeColor="text1"/>
                      <w14:textFill>
                        <w14:solidFill>
                          <w14:schemeClr w14:val="tx1"/>
                        </w14:solidFill>
                      </w14:textFill>
                    </w:rPr>
                    <w:t>加油站名称</w:t>
                  </w:r>
                </w:p>
              </w:tc>
              <w:tc>
                <w:tcPr>
                  <w:tcW w:w="2462" w:type="dxa"/>
                  <w:vMerge w:val="restart"/>
                  <w:tcBorders>
                    <w:left w:val="single" w:color="000000" w:sz="4" w:space="0"/>
                    <w:bottom w:val="single" w:color="000000" w:sz="4" w:space="0"/>
                    <w:right w:val="single" w:color="000000" w:sz="4" w:space="0"/>
                  </w:tcBorders>
                  <w:vAlign w:val="center"/>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边界</w:t>
                  </w:r>
                </w:p>
              </w:tc>
              <w:tc>
                <w:tcPr>
                  <w:tcW w:w="2865" w:type="dxa"/>
                  <w:tcBorders>
                    <w:left w:val="single" w:color="000000" w:sz="4" w:space="0"/>
                    <w:bottom w:val="single" w:color="000000" w:sz="4"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3" w:hRule="atLeast"/>
                <w:jc w:val="center"/>
              </w:trPr>
              <w:tc>
                <w:tcPr>
                  <w:tcW w:w="1991" w:type="dxa"/>
                  <w:vMerge w:val="continue"/>
                  <w:tcBorders>
                    <w:top w:val="nil"/>
                    <w:left w:val="single" w:color="000000" w:sz="6" w:space="0"/>
                    <w:bottom w:val="single" w:color="000000" w:sz="4" w:space="0"/>
                    <w:right w:val="single" w:color="000000" w:sz="4" w:space="0"/>
                  </w:tcBorders>
                </w:tcPr>
                <w:p>
                  <w:pPr>
                    <w:ind w:firstLine="480"/>
                    <w:rPr>
                      <w:color w:val="000000" w:themeColor="text1"/>
                      <w14:textFill>
                        <w14:solidFill>
                          <w14:schemeClr w14:val="tx1"/>
                        </w14:solidFill>
                      </w14:textFill>
                    </w:rPr>
                  </w:pPr>
                </w:p>
              </w:tc>
              <w:tc>
                <w:tcPr>
                  <w:tcW w:w="2462" w:type="dxa"/>
                  <w:vMerge w:val="continue"/>
                  <w:tcBorders>
                    <w:top w:val="nil"/>
                    <w:left w:val="single" w:color="000000" w:sz="4" w:space="0"/>
                    <w:bottom w:val="single" w:color="000000" w:sz="4" w:space="0"/>
                    <w:right w:val="single" w:color="000000" w:sz="4" w:space="0"/>
                  </w:tcBorders>
                </w:tcPr>
                <w:p>
                  <w:pPr>
                    <w:ind w:firstLine="480"/>
                    <w:rPr>
                      <w:color w:val="000000" w:themeColor="text1"/>
                      <w14:textFill>
                        <w14:solidFill>
                          <w14:schemeClr w14:val="tx1"/>
                        </w14:solidFill>
                      </w14:textFill>
                    </w:rPr>
                  </w:pPr>
                </w:p>
              </w:tc>
              <w:tc>
                <w:tcPr>
                  <w:tcW w:w="2865" w:type="dxa"/>
                  <w:tcBorders>
                    <w:top w:val="single" w:color="000000" w:sz="4" w:space="0"/>
                    <w:left w:val="single" w:color="000000" w:sz="4" w:space="0"/>
                    <w:bottom w:val="single" w:color="000000" w:sz="4" w:space="0"/>
                  </w:tcBorders>
                </w:tcPr>
                <w:p>
                  <w:pPr>
                    <w:pStyle w:val="88"/>
                    <w:jc w:val="center"/>
                    <w:rPr>
                      <w:color w:val="000000" w:themeColor="text1"/>
                      <w14:textFill>
                        <w14:solidFill>
                          <w14:schemeClr w14:val="tx1"/>
                        </w14:solidFill>
                      </w14:textFill>
                    </w:rPr>
                  </w:pPr>
                  <w:r>
                    <w:rPr>
                      <w:color w:val="000000" w:themeColor="text1"/>
                      <w14:textFill>
                        <w14:solidFill>
                          <w14:schemeClr w14:val="tx1"/>
                        </w14:solidFill>
                      </w14:textFill>
                    </w:rPr>
                    <w:t>昼/夜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9" w:hRule="atLeast"/>
                <w:jc w:val="center"/>
              </w:trPr>
              <w:tc>
                <w:tcPr>
                  <w:tcW w:w="1991" w:type="dxa"/>
                  <w:vMerge w:val="restart"/>
                  <w:tcBorders>
                    <w:top w:val="single" w:color="000000" w:sz="4" w:space="0"/>
                    <w:left w:val="single" w:color="000000" w:sz="6" w:space="0"/>
                    <w:right w:val="single" w:color="000000" w:sz="4" w:space="0"/>
                  </w:tcBorders>
                </w:tcPr>
                <w:p>
                  <w:pPr>
                    <w:pStyle w:val="88"/>
                    <w:rPr>
                      <w:color w:val="000000" w:themeColor="text1"/>
                      <w:lang w:eastAsia="zh-CN"/>
                      <w14:textFill>
                        <w14:solidFill>
                          <w14:schemeClr w14:val="tx1"/>
                        </w14:solidFill>
                      </w14:textFill>
                    </w:rPr>
                  </w:pPr>
                </w:p>
                <w:p>
                  <w:pPr>
                    <w:pStyle w:val="88"/>
                    <w:spacing w:before="4"/>
                    <w:rPr>
                      <w:color w:val="000000" w:themeColor="text1"/>
                      <w:lang w:eastAsia="zh-CN"/>
                      <w14:textFill>
                        <w14:solidFill>
                          <w14:schemeClr w14:val="tx1"/>
                        </w14:solidFill>
                      </w14:textFill>
                    </w:rPr>
                  </w:pPr>
                </w:p>
                <w:p>
                  <w:pPr>
                    <w:pStyle w:val="88"/>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世纪大道中段南</w:t>
                  </w:r>
                </w:p>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加油站</w:t>
                  </w:r>
                </w:p>
              </w:tc>
              <w:tc>
                <w:tcPr>
                  <w:tcW w:w="2462" w:type="dxa"/>
                  <w:tcBorders>
                    <w:top w:val="single" w:color="000000" w:sz="4" w:space="0"/>
                    <w:left w:val="single" w:color="000000" w:sz="4" w:space="0"/>
                    <w:bottom w:val="single" w:color="000000" w:sz="4" w:space="0"/>
                    <w:right w:val="single" w:color="000000" w:sz="4" w:space="0"/>
                  </w:tcBorders>
                </w:tcPr>
                <w:p>
                  <w:pPr>
                    <w:pStyle w:val="88"/>
                    <w:spacing w:before="8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1#厂界东侧</w:t>
                  </w:r>
                </w:p>
              </w:tc>
              <w:tc>
                <w:tcPr>
                  <w:tcW w:w="2865" w:type="dxa"/>
                  <w:tcBorders>
                    <w:top w:val="single" w:color="000000" w:sz="4" w:space="0"/>
                    <w:left w:val="single" w:color="000000" w:sz="4" w:space="0"/>
                    <w:bottom w:val="single" w:color="000000" w:sz="4" w:space="0"/>
                  </w:tcBorders>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60/50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jc w:val="center"/>
              </w:trPr>
              <w:tc>
                <w:tcPr>
                  <w:tcW w:w="1991" w:type="dxa"/>
                  <w:vMerge w:val="continue"/>
                  <w:tcBorders>
                    <w:left w:val="single" w:color="000000" w:sz="6" w:space="0"/>
                    <w:right w:val="single" w:color="000000" w:sz="4" w:space="0"/>
                  </w:tcBorders>
                </w:tcPr>
                <w:p>
                  <w:pPr>
                    <w:ind w:firstLine="480"/>
                    <w:rPr>
                      <w:color w:val="000000" w:themeColor="text1"/>
                      <w14:textFill>
                        <w14:solidFill>
                          <w14:schemeClr w14:val="tx1"/>
                        </w14:solidFill>
                      </w14:textFill>
                    </w:rPr>
                  </w:pPr>
                </w:p>
              </w:tc>
              <w:tc>
                <w:tcPr>
                  <w:tcW w:w="2462" w:type="dxa"/>
                  <w:tcBorders>
                    <w:top w:val="single" w:color="000000" w:sz="4" w:space="0"/>
                    <w:left w:val="single" w:color="000000" w:sz="4" w:space="0"/>
                    <w:bottom w:val="single" w:color="000000" w:sz="4" w:space="0"/>
                    <w:right w:val="single" w:color="000000" w:sz="4" w:space="0"/>
                  </w:tcBorders>
                </w:tcPr>
                <w:p>
                  <w:pPr>
                    <w:pStyle w:val="88"/>
                    <w:spacing w:before="81"/>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2#厂界南侧</w:t>
                  </w:r>
                </w:p>
              </w:tc>
              <w:tc>
                <w:tcPr>
                  <w:tcW w:w="2865" w:type="dxa"/>
                  <w:tcBorders>
                    <w:top w:val="single" w:color="000000" w:sz="4" w:space="0"/>
                    <w:left w:val="single" w:color="000000" w:sz="4" w:space="0"/>
                    <w:bottom w:val="single" w:color="000000" w:sz="4" w:space="0"/>
                  </w:tcBorders>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60/50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8" w:hRule="atLeast"/>
                <w:jc w:val="center"/>
              </w:trPr>
              <w:tc>
                <w:tcPr>
                  <w:tcW w:w="1991" w:type="dxa"/>
                  <w:vMerge w:val="continue"/>
                  <w:tcBorders>
                    <w:left w:val="single" w:color="000000" w:sz="6" w:space="0"/>
                    <w:right w:val="single" w:color="000000" w:sz="4" w:space="0"/>
                  </w:tcBorders>
                </w:tcPr>
                <w:p>
                  <w:pPr>
                    <w:ind w:firstLine="480"/>
                    <w:rPr>
                      <w:color w:val="000000" w:themeColor="text1"/>
                      <w14:textFill>
                        <w14:solidFill>
                          <w14:schemeClr w14:val="tx1"/>
                        </w14:solidFill>
                      </w14:textFill>
                    </w:rPr>
                  </w:pPr>
                </w:p>
              </w:tc>
              <w:tc>
                <w:tcPr>
                  <w:tcW w:w="2462" w:type="dxa"/>
                  <w:tcBorders>
                    <w:top w:val="single" w:color="000000" w:sz="4" w:space="0"/>
                    <w:left w:val="single" w:color="000000" w:sz="4" w:space="0"/>
                    <w:bottom w:val="single" w:color="000000" w:sz="4" w:space="0"/>
                    <w:right w:val="single" w:color="000000" w:sz="4" w:space="0"/>
                  </w:tcBorders>
                </w:tcPr>
                <w:p>
                  <w:pPr>
                    <w:pStyle w:val="88"/>
                    <w:spacing w:before="83"/>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3#厂界西侧</w:t>
                  </w:r>
                </w:p>
              </w:tc>
              <w:tc>
                <w:tcPr>
                  <w:tcW w:w="2865" w:type="dxa"/>
                  <w:tcBorders>
                    <w:top w:val="single" w:color="000000" w:sz="4" w:space="0"/>
                    <w:left w:val="single" w:color="000000" w:sz="4" w:space="0"/>
                    <w:bottom w:val="single" w:color="000000" w:sz="4"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60/50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7" w:hRule="atLeast"/>
                <w:jc w:val="center"/>
              </w:trPr>
              <w:tc>
                <w:tcPr>
                  <w:tcW w:w="1991" w:type="dxa"/>
                  <w:vMerge w:val="continue"/>
                  <w:tcBorders>
                    <w:left w:val="single" w:color="000000" w:sz="6" w:space="0"/>
                    <w:right w:val="single" w:color="000000" w:sz="4" w:space="0"/>
                  </w:tcBorders>
                </w:tcPr>
                <w:p>
                  <w:pPr>
                    <w:ind w:firstLine="480"/>
                    <w:rPr>
                      <w:color w:val="000000" w:themeColor="text1"/>
                      <w14:textFill>
                        <w14:solidFill>
                          <w14:schemeClr w14:val="tx1"/>
                        </w14:solidFill>
                      </w14:textFill>
                    </w:rPr>
                  </w:pPr>
                </w:p>
              </w:tc>
              <w:tc>
                <w:tcPr>
                  <w:tcW w:w="2462" w:type="dxa"/>
                  <w:tcBorders>
                    <w:top w:val="single" w:color="000000" w:sz="4" w:space="0"/>
                    <w:left w:val="single" w:color="000000" w:sz="4" w:space="0"/>
                    <w:bottom w:val="single" w:color="000000" w:sz="4" w:space="0"/>
                    <w:right w:val="single" w:color="000000" w:sz="4" w:space="0"/>
                  </w:tcBorders>
                </w:tcPr>
                <w:p>
                  <w:pPr>
                    <w:pStyle w:val="88"/>
                    <w:spacing w:before="82"/>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4#厂界北侧</w:t>
                  </w:r>
                </w:p>
              </w:tc>
              <w:tc>
                <w:tcPr>
                  <w:tcW w:w="2865" w:type="dxa"/>
                  <w:tcBorders>
                    <w:top w:val="single" w:color="000000" w:sz="4" w:space="0"/>
                    <w:left w:val="single" w:color="000000" w:sz="4" w:space="0"/>
                    <w:bottom w:val="single" w:color="000000" w:sz="4" w:space="0"/>
                  </w:tcBorders>
                  <w:vAlign w:val="center"/>
                </w:tcPr>
                <w:p>
                  <w:pPr>
                    <w:pStyle w:val="88"/>
                    <w:jc w:val="center"/>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70/55</w:t>
                  </w:r>
                </w:p>
              </w:tc>
            </w:tr>
          </w:tbl>
          <w:p>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地下水质量</w:t>
            </w:r>
          </w:p>
          <w:p>
            <w:pPr>
              <w:pStyle w:val="88"/>
              <w:spacing w:before="81"/>
              <w:ind w:left="34" w:right="1519"/>
              <w:jc w:val="center"/>
              <w:rPr>
                <w:color w:val="000000" w:themeColor="text1"/>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     </w:t>
            </w:r>
            <w:r>
              <w:rPr>
                <w:color w:val="000000" w:themeColor="text1"/>
                <w:sz w:val="24"/>
                <w:lang w:eastAsia="zh-CN"/>
                <w14:textFill>
                  <w14:solidFill>
                    <w14:schemeClr w14:val="tx1"/>
                  </w14:solidFill>
                </w14:textFill>
              </w:rPr>
              <w:t>执行《地下水质量标准》（</w:t>
            </w:r>
            <w:r>
              <w:rPr>
                <w:rFonts w:ascii="Times New Roman" w:hAnsi="Times New Roman" w:eastAsia="Times New Roman"/>
                <w:color w:val="000000" w:themeColor="text1"/>
                <w:sz w:val="24"/>
                <w:lang w:eastAsia="zh-CN"/>
                <w14:textFill>
                  <w14:solidFill>
                    <w14:schemeClr w14:val="tx1"/>
                  </w14:solidFill>
                </w14:textFill>
              </w:rPr>
              <w:t>GB/T14848-2017</w:t>
            </w:r>
            <w:r>
              <w:rPr>
                <w:color w:val="000000" w:themeColor="text1"/>
                <w:sz w:val="24"/>
                <w:lang w:eastAsia="zh-CN"/>
                <w14:textFill>
                  <w14:solidFill>
                    <w14:schemeClr w14:val="tx1"/>
                  </w14:solidFill>
                </w14:textFill>
              </w:rPr>
              <w:t>）</w:t>
            </w:r>
            <w:r>
              <w:rPr>
                <w:rFonts w:ascii="Times New Roman" w:hAnsi="Times New Roman" w:eastAsia="Times New Roman"/>
                <w:color w:val="000000" w:themeColor="text1"/>
                <w:sz w:val="24"/>
                <w:lang w:eastAsia="zh-CN"/>
                <w14:textFill>
                  <w14:solidFill>
                    <w14:schemeClr w14:val="tx1"/>
                  </w14:solidFill>
                </w14:textFill>
              </w:rPr>
              <w:t>Ⅲ</w:t>
            </w:r>
            <w:r>
              <w:rPr>
                <w:color w:val="000000" w:themeColor="text1"/>
                <w:sz w:val="24"/>
                <w:lang w:eastAsia="zh-CN"/>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3" w:hRule="atLeast"/>
        </w:trPr>
        <w:tc>
          <w:tcPr>
            <w:tcW w:w="706" w:type="dxa"/>
            <w:textDirection w:val="tbRlV"/>
            <w:vAlign w:val="center"/>
          </w:tcPr>
          <w:p>
            <w:pPr>
              <w:adjustRightInd w:val="0"/>
              <w:snapToGrid w:val="0"/>
              <w:ind w:left="113" w:right="113" w:firstLine="600"/>
              <w:jc w:val="center"/>
              <w:rPr>
                <w:color w:val="000000" w:themeColor="text1"/>
                <w:spacing w:val="30"/>
                <w14:textFill>
                  <w14:solidFill>
                    <w14:schemeClr w14:val="tx1"/>
                  </w14:solidFill>
                </w14:textFill>
              </w:rPr>
            </w:pPr>
            <w:r>
              <w:rPr>
                <w:rFonts w:hint="eastAsia"/>
                <w:color w:val="000000" w:themeColor="text1"/>
                <w:spacing w:val="30"/>
                <w14:textFill>
                  <w14:solidFill>
                    <w14:schemeClr w14:val="tx1"/>
                  </w14:solidFill>
                </w14:textFill>
              </w:rPr>
              <w:t>污染物排放标准</w:t>
            </w:r>
          </w:p>
        </w:tc>
        <w:tc>
          <w:tcPr>
            <w:tcW w:w="8067"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（1）废气</w:t>
            </w:r>
          </w:p>
          <w:p>
            <w:pPr>
              <w:ind w:firstLine="48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加油站油气排放执行《加油站大气污染物排放标准》</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GB20952-2007</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的相关规定；其他废气排放执行《大气污染物综合排放标准》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表</w:t>
            </w:r>
            <w:r>
              <w:rPr>
                <w:color w:val="000000" w:themeColor="text1"/>
                <w14:textFill>
                  <w14:solidFill>
                    <w14:schemeClr w14:val="tx1"/>
                  </w14:solidFill>
                </w14:textFill>
              </w:rPr>
              <w:t>2</w:t>
            </w:r>
            <w:r>
              <w:rPr>
                <w:rFonts w:hAnsi="宋体"/>
                <w:color w:val="000000" w:themeColor="text1"/>
                <w14:textFill>
                  <w14:solidFill>
                    <w14:schemeClr w14:val="tx1"/>
                  </w14:solidFill>
                </w14:textFill>
              </w:rPr>
              <w:t>中二级标准及其相应限值要求。</w:t>
            </w:r>
          </w:p>
          <w:tbl>
            <w:tblPr>
              <w:tblStyle w:val="28"/>
              <w:tblW w:w="7759"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00"/>
              <w:gridCol w:w="1326"/>
              <w:gridCol w:w="533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100" w:type="dxa"/>
                  <w:tcBorders>
                    <w:left w:val="single" w:color="000000" w:sz="6" w:space="0"/>
                    <w:bottom w:val="single" w:color="000000" w:sz="4" w:space="0"/>
                    <w:right w:val="single" w:color="000000" w:sz="4" w:space="0"/>
                  </w:tcBorders>
                  <w:vAlign w:val="center"/>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项目</w:t>
                  </w:r>
                </w:p>
              </w:tc>
              <w:tc>
                <w:tcPr>
                  <w:tcW w:w="1326" w:type="dxa"/>
                  <w:tcBorders>
                    <w:left w:val="single" w:color="000000" w:sz="4" w:space="0"/>
                    <w:bottom w:val="single" w:color="000000" w:sz="4" w:space="0"/>
                    <w:right w:val="single" w:color="000000" w:sz="4" w:space="0"/>
                  </w:tcBorders>
                  <w:vAlign w:val="center"/>
                </w:tcPr>
                <w:p>
                  <w:pPr>
                    <w:pStyle w:val="88"/>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浓度限值</w:t>
                  </w:r>
                </w:p>
              </w:tc>
              <w:tc>
                <w:tcPr>
                  <w:tcW w:w="5333" w:type="dxa"/>
                  <w:tcBorders>
                    <w:left w:val="single" w:color="000000" w:sz="4" w:space="0"/>
                    <w:bottom w:val="single" w:color="000000" w:sz="4" w:space="0"/>
                  </w:tcBorders>
                  <w:vAlign w:val="center"/>
                </w:tcPr>
                <w:p>
                  <w:pPr>
                    <w:pStyle w:val="88"/>
                    <w:spacing w:before="93"/>
                    <w:ind w:left="49" w:right="25"/>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执行标准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9" w:hRule="atLeast"/>
              </w:trPr>
              <w:tc>
                <w:tcPr>
                  <w:tcW w:w="1100" w:type="dxa"/>
                  <w:vMerge w:val="restart"/>
                  <w:tcBorders>
                    <w:top w:val="single" w:color="000000" w:sz="4" w:space="0"/>
                    <w:left w:val="single" w:color="000000" w:sz="6" w:space="0"/>
                    <w:right w:val="single" w:color="000000" w:sz="4" w:space="0"/>
                  </w:tcBorders>
                  <w:vAlign w:val="center"/>
                </w:tcPr>
                <w:p>
                  <w:pPr>
                    <w:pStyle w:val="88"/>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非甲烷总烃</w:t>
                  </w:r>
                </w:p>
              </w:tc>
              <w:tc>
                <w:tcPr>
                  <w:tcW w:w="1326" w:type="dxa"/>
                  <w:tcBorders>
                    <w:top w:val="single" w:color="000000" w:sz="4" w:space="0"/>
                    <w:left w:val="single" w:color="000000" w:sz="4" w:space="0"/>
                    <w:bottom w:val="single" w:color="000000" w:sz="4" w:space="0"/>
                    <w:right w:val="single" w:color="000000" w:sz="4" w:space="0"/>
                  </w:tcBorders>
                  <w:vAlign w:val="center"/>
                </w:tcPr>
                <w:p>
                  <w:pPr>
                    <w:pStyle w:val="88"/>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25g/m</w:t>
                  </w:r>
                  <w:r>
                    <w:rPr>
                      <w:rFonts w:hint="eastAsia"/>
                      <w:color w:val="000000" w:themeColor="text1"/>
                      <w:vertAlign w:val="superscript"/>
                      <w:lang w:eastAsia="zh-CN"/>
                      <w14:textFill>
                        <w14:solidFill>
                          <w14:schemeClr w14:val="tx1"/>
                        </w14:solidFill>
                      </w14:textFill>
                    </w:rPr>
                    <w:t>3</w:t>
                  </w:r>
                </w:p>
              </w:tc>
              <w:tc>
                <w:tcPr>
                  <w:tcW w:w="5333" w:type="dxa"/>
                  <w:tcBorders>
                    <w:top w:val="single" w:color="000000" w:sz="4" w:space="0"/>
                    <w:left w:val="single" w:color="000000" w:sz="4" w:space="0"/>
                    <w:bottom w:val="single" w:color="000000" w:sz="4" w:space="0"/>
                  </w:tcBorders>
                  <w:vAlign w:val="center"/>
                </w:tcPr>
                <w:p>
                  <w:pPr>
                    <w:pStyle w:val="88"/>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GB20952-2007《加油站大气污染物排放标准》</w:t>
                  </w:r>
                </w:p>
                <w:p>
                  <w:pPr>
                    <w:pStyle w:val="88"/>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中4.3.4 条的规定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4" w:hRule="atLeast"/>
              </w:trPr>
              <w:tc>
                <w:tcPr>
                  <w:tcW w:w="1100" w:type="dxa"/>
                  <w:vMerge w:val="continue"/>
                  <w:tcBorders>
                    <w:top w:val="nil"/>
                    <w:left w:val="single" w:color="000000" w:sz="6" w:space="0"/>
                    <w:right w:val="single" w:color="000000" w:sz="4" w:space="0"/>
                  </w:tcBorders>
                  <w:vAlign w:val="center"/>
                </w:tcPr>
                <w:p>
                  <w:pPr>
                    <w:ind w:firstLine="440"/>
                    <w:jc w:val="center"/>
                    <w:rPr>
                      <w:rFonts w:asciiTheme="minorHAnsi" w:hAnsiTheme="minorHAnsi" w:eastAsiaTheme="minorEastAsia" w:cstheme="minorBidi"/>
                      <w:color w:val="000000" w:themeColor="text1"/>
                      <w:kern w:val="0"/>
                      <w:sz w:val="22"/>
                      <w:szCs w:val="22"/>
                      <w14:textFill>
                        <w14:solidFill>
                          <w14:schemeClr w14:val="tx1"/>
                        </w14:solidFill>
                      </w14:textFill>
                    </w:rPr>
                  </w:pPr>
                </w:p>
              </w:tc>
              <w:tc>
                <w:tcPr>
                  <w:tcW w:w="1326" w:type="dxa"/>
                  <w:tcBorders>
                    <w:top w:val="single" w:color="000000" w:sz="4" w:space="0"/>
                    <w:left w:val="single" w:color="000000" w:sz="4" w:space="0"/>
                    <w:right w:val="single" w:color="000000" w:sz="4" w:space="0"/>
                  </w:tcBorders>
                  <w:vAlign w:val="center"/>
                </w:tcPr>
                <w:p>
                  <w:pPr>
                    <w:pStyle w:val="88"/>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4.0mg/m</w:t>
                  </w:r>
                  <w:r>
                    <w:rPr>
                      <w:rFonts w:hint="eastAsia"/>
                      <w:color w:val="000000" w:themeColor="text1"/>
                      <w:vertAlign w:val="superscript"/>
                      <w:lang w:eastAsia="zh-CN"/>
                      <w14:textFill>
                        <w14:solidFill>
                          <w14:schemeClr w14:val="tx1"/>
                        </w14:solidFill>
                      </w14:textFill>
                    </w:rPr>
                    <w:t>3</w:t>
                  </w:r>
                </w:p>
              </w:tc>
              <w:tc>
                <w:tcPr>
                  <w:tcW w:w="5333" w:type="dxa"/>
                  <w:tcBorders>
                    <w:top w:val="single" w:color="000000" w:sz="4" w:space="0"/>
                    <w:left w:val="single" w:color="000000" w:sz="4" w:space="0"/>
                  </w:tcBorders>
                  <w:vAlign w:val="center"/>
                </w:tcPr>
                <w:p>
                  <w:pPr>
                    <w:pStyle w:val="88"/>
                    <w:spacing w:before="18"/>
                    <w:ind w:left="49" w:right="26"/>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GB16297-1996</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"http://www.so.com/s?q=%E5%A4%A7%E6%B0%94%E6%B1%A1%E6%9F%93%E7%89%A9%E7%BB%BC%E5%90%88%E6%8E%92%E6%94%BE%E6%A0%87%E5%87%86%E8%AF%A6%E8%A7%A3&amp;amp;ie=utf-8&amp;amp;src=internal_wenda_recommend_text" \h </w:instrText>
                  </w:r>
                  <w:r>
                    <w:rPr>
                      <w:color w:val="000000" w:themeColor="text1"/>
                      <w14:textFill>
                        <w14:solidFill>
                          <w14:schemeClr w14:val="tx1"/>
                        </w14:solidFill>
                      </w14:textFill>
                    </w:rPr>
                    <w:fldChar w:fldCharType="separate"/>
                  </w:r>
                  <w:r>
                    <w:rPr>
                      <w:rFonts w:hint="eastAsia"/>
                      <w:color w:val="000000" w:themeColor="text1"/>
                      <w:lang w:eastAsia="zh-CN"/>
                      <w14:textFill>
                        <w14:solidFill>
                          <w14:schemeClr w14:val="tx1"/>
                        </w14:solidFill>
                      </w14:textFill>
                    </w:rPr>
                    <w:t>《大气污染物综合排放标准</w:t>
                  </w:r>
                  <w:r>
                    <w:rPr>
                      <w:rFonts w:hint="eastAsia"/>
                      <w:color w:val="000000" w:themeColor="text1"/>
                      <w:lang w:eastAsia="zh-CN"/>
                      <w14:textFill>
                        <w14:solidFill>
                          <w14:schemeClr w14:val="tx1"/>
                        </w14:solidFill>
                      </w14:textFill>
                    </w:rPr>
                    <w:fldChar w:fldCharType="end"/>
                  </w:r>
                  <w:r>
                    <w:rPr>
                      <w:rFonts w:hint="eastAsia"/>
                      <w:color w:val="000000" w:themeColor="text1"/>
                      <w:lang w:eastAsia="zh-CN"/>
                      <w14:textFill>
                        <w14:solidFill>
                          <w14:schemeClr w14:val="tx1"/>
                        </w14:solidFill>
                      </w14:textFill>
                    </w:rPr>
                    <w:t>》</w:t>
                  </w:r>
                </w:p>
                <w:p>
                  <w:pPr>
                    <w:pStyle w:val="88"/>
                    <w:spacing w:before="18"/>
                    <w:ind w:left="49" w:right="26"/>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 2中无组织排放监控浓度限值</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项目废水不外排，生活污水定期清掏。</w:t>
            </w:r>
          </w:p>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（3）噪声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运营期噪声排放厂界北侧执行《工业企业厂界环境噪声排放标准》（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类排放标准，其它区域执行《工业企业厂界环境噪声排放标准》（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）中2类排放标准</w:t>
            </w:r>
            <w:r>
              <w:rPr>
                <w:rFonts w:hAnsi="宋体"/>
                <w:color w:val="000000" w:themeColor="text1"/>
                <w14:textFill>
                  <w14:solidFill>
                    <w14:schemeClr w14:val="tx1"/>
                  </w14:solidFill>
                </w14:textFill>
              </w:rPr>
              <w:t>。</w:t>
            </w:r>
          </w:p>
          <w:p>
            <w:pPr>
              <w:tabs>
                <w:tab w:val="left" w:pos="2910"/>
              </w:tabs>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（4）固体废物</w:t>
            </w:r>
          </w:p>
          <w:p>
            <w:pPr>
              <w:tabs>
                <w:tab w:val="left" w:pos="2910"/>
              </w:tabs>
              <w:ind w:firstLine="480"/>
              <w:rPr>
                <w:color w:val="000000" w:themeColor="text1"/>
                <w:highlight w:val="yellow"/>
                <w14:textFill>
                  <w14:solidFill>
                    <w14:schemeClr w14:val="tx1"/>
                  </w14:solidFill>
                </w14:textFill>
              </w:rPr>
            </w:pPr>
            <w:r>
              <w:rPr>
                <w:rFonts w:hAnsi="宋体"/>
                <w:color w:val="000000" w:themeColor="text1"/>
                <w14:textFill>
                  <w14:solidFill>
                    <w14:schemeClr w14:val="tx1"/>
                  </w14:solidFill>
                </w14:textFill>
              </w:rPr>
              <w:t>一般工业固体废物排放执行《一般固体废弃物贮存、处置场污染控制标准》</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GB18599-2001</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中的有关要求；危险废物执行《危险废物贮存执行污染控制标准》</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GB18597</w:t>
            </w:r>
            <w:r>
              <w:rPr>
                <w:rFonts w:hAnsi="宋体"/>
                <w:color w:val="000000" w:themeColor="text1"/>
                <w14:textFill>
                  <w14:solidFill>
                    <w14:schemeClr w14:val="tx1"/>
                  </w14:solidFill>
                </w14:textFill>
              </w:rPr>
              <w:t>－</w:t>
            </w:r>
            <w:r>
              <w:rPr>
                <w:color w:val="000000" w:themeColor="text1"/>
                <w14:textFill>
                  <w14:solidFill>
                    <w14:schemeClr w14:val="tx1"/>
                  </w14:solidFill>
                </w14:textFill>
              </w:rPr>
              <w:t>2001</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及修改单的有关要求。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706" w:type="dxa"/>
            <w:textDirection w:val="tbRlV"/>
            <w:vAlign w:val="center"/>
          </w:tcPr>
          <w:p>
            <w:pPr>
              <w:adjustRightInd w:val="0"/>
              <w:snapToGrid w:val="0"/>
              <w:spacing w:line="240" w:lineRule="auto"/>
              <w:ind w:firstLine="0" w:firstLineChars="0"/>
              <w:jc w:val="left"/>
              <w:rPr>
                <w:color w:val="000000" w:themeColor="text1"/>
                <w:spacing w:val="30"/>
                <w14:textFill>
                  <w14:solidFill>
                    <w14:schemeClr w14:val="tx1"/>
                  </w14:solidFill>
                </w14:textFill>
              </w:rPr>
            </w:pPr>
            <w:r>
              <w:rPr>
                <w:rFonts w:hint="eastAsia"/>
                <w:color w:val="000000" w:themeColor="text1"/>
                <w:spacing w:val="30"/>
                <w14:textFill>
                  <w14:solidFill>
                    <w14:schemeClr w14:val="tx1"/>
                  </w14:solidFill>
                </w14:textFill>
              </w:rPr>
              <w:t>总量控制指标</w:t>
            </w:r>
          </w:p>
        </w:tc>
        <w:tc>
          <w:tcPr>
            <w:tcW w:w="8067" w:type="dxa"/>
            <w:vAlign w:val="center"/>
          </w:tcPr>
          <w:p>
            <w:pPr>
              <w:ind w:firstLine="480"/>
              <w:rPr>
                <w:rFonts w:hint="eastAsia" w:eastAsia="宋体"/>
                <w:color w:val="000000" w:themeColor="text1"/>
                <w:lang w:eastAsia="zh-CN"/>
                <w14:textFill>
                  <w14:solidFill>
                    <w14:schemeClr w14:val="tx1"/>
                  </w14:solidFill>
                </w14:textFill>
              </w:rPr>
            </w:pPr>
            <w:r>
              <w:rPr>
                <w:color w:val="000000" w:themeColor="text1"/>
                <w:lang w:val="en-GB"/>
                <w14:textFill>
                  <w14:solidFill>
                    <w14:schemeClr w14:val="tx1"/>
                  </w14:solidFill>
                </w14:textFill>
              </w:rPr>
              <w:t>项目产生的生活污水</w:t>
            </w:r>
            <w:r>
              <w:rPr>
                <w:rFonts w:hint="eastAsia"/>
                <w:color w:val="000000" w:themeColor="text1"/>
                <w:lang w:val="en-GB"/>
                <w14:textFill>
                  <w14:solidFill>
                    <w14:schemeClr w14:val="tx1"/>
                  </w14:solidFill>
                </w14:textFill>
              </w:rPr>
              <w:t>预处理后定期清掏，</w:t>
            </w:r>
            <w:r>
              <w:rPr>
                <w:color w:val="000000" w:themeColor="text1"/>
                <w:lang w:val="en-GB"/>
                <w14:textFill>
                  <w14:solidFill>
                    <w14:schemeClr w14:val="tx1"/>
                  </w14:solidFill>
                </w14:textFill>
              </w:rPr>
              <w:t>不外排</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t>根据“十三五”相关规定，</w:t>
            </w:r>
            <w:r>
              <w:rPr>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不涉及</w:t>
            </w:r>
            <w:r>
              <w:rPr>
                <w:color w:val="000000" w:themeColor="text1"/>
                <w14:textFill>
                  <w14:solidFill>
                    <w14:schemeClr w14:val="tx1"/>
                  </w14:solidFill>
                </w14:textFill>
              </w:rPr>
              <w:t>总量指标</w:t>
            </w:r>
            <w:r>
              <w:rPr>
                <w:rFonts w:hint="eastAsia"/>
                <w:color w:val="000000" w:themeColor="text1"/>
                <w:lang w:eastAsia="zh-CN"/>
                <w14:textFill>
                  <w14:solidFill>
                    <w14:schemeClr w14:val="tx1"/>
                  </w14:solidFill>
                </w14:textFill>
              </w:rPr>
              <w:t>。</w:t>
            </w:r>
          </w:p>
          <w:p>
            <w:pPr>
              <w:adjustRightInd w:val="0"/>
              <w:snapToGri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项目具体总量指标以当地环保部门核准的指标为准。</w:t>
            </w:r>
          </w:p>
        </w:tc>
      </w:tr>
    </w:tbl>
    <w:p>
      <w:pPr>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6"/>
        <w:rPr>
          <w:color w:val="000000" w:themeColor="text1"/>
          <w14:textFill>
            <w14:solidFill>
              <w14:schemeClr w14:val="tx1"/>
            </w14:solidFill>
          </w14:textFill>
        </w:rPr>
      </w:pPr>
      <w:r>
        <w:rPr>
          <w:color w:val="000000" w:themeColor="text1"/>
          <w14:textFill>
            <w14:solidFill>
              <w14:schemeClr w14:val="tx1"/>
            </w14:solidFill>
          </w14:textFill>
        </w:rPr>
        <w:t>建设项目工程分析</w:t>
      </w:r>
    </w:p>
    <w:tbl>
      <w:tblPr>
        <w:tblStyle w:val="28"/>
        <w:tblpPr w:leftFromText="180" w:rightFromText="180" w:vertAnchor="text" w:horzAnchor="margin" w:tblpXSpec="center" w:tblpY="5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720" w:type="dxa"/>
            <w:tcBorders>
              <w:top w:val="single" w:color="auto" w:sz="12" w:space="0"/>
              <w:left w:val="single" w:color="auto" w:sz="12" w:space="0"/>
              <w:bottom w:val="single" w:color="auto" w:sz="12" w:space="0"/>
              <w:right w:val="single" w:color="auto" w:sz="12" w:space="0"/>
            </w:tcBorders>
          </w:tcPr>
          <w:p>
            <w:pPr>
              <w:ind w:firstLine="0" w:firstLineChars="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一、</w:t>
            </w:r>
            <w:r>
              <w:rPr>
                <w:b/>
                <w:bCs/>
                <w:color w:val="000000" w:themeColor="text1"/>
                <w:sz w:val="28"/>
                <w:szCs w:val="28"/>
                <w14:textFill>
                  <w14:solidFill>
                    <w14:schemeClr w14:val="tx1"/>
                  </w14:solidFill>
                </w14:textFill>
              </w:rPr>
              <w:t>工艺流程简述</w:t>
            </w:r>
            <w:r>
              <w:rPr>
                <w:bCs/>
                <w:color w:val="000000" w:themeColor="text1"/>
                <w:sz w:val="28"/>
                <w:szCs w:val="28"/>
                <w14:textFill>
                  <w14:solidFill>
                    <w14:schemeClr w14:val="tx1"/>
                  </w14:solidFill>
                </w14:textFill>
              </w:rPr>
              <w:t>（图示）：</w:t>
            </w:r>
          </w:p>
          <w:p>
            <w:pPr>
              <w:ind w:firstLine="480"/>
              <w:contextualSpacing/>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本项目主要是对成品油的储存和销售。加油站运营过程中具体工艺流程如下所示：</w:t>
            </w:r>
          </w:p>
          <w:p>
            <w:pPr>
              <w:pStyle w:val="4"/>
              <w:spacing w:after="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油品由汽车槽车运送至加油站密闭卸油点处，将其与卸油口接头快速连接好，打开储罐的开启阀门，闭合其它储罐阀门，利用位差将车用油品输送至相应的储罐储存（常压）；然后通过带有计量、计价和税控装置的电脑加油机将储罐内的</w:t>
            </w:r>
            <w:r>
              <w:rPr>
                <w:rFonts w:hint="eastAsia"/>
                <w:color w:val="000000" w:themeColor="text1"/>
                <w14:textFill>
                  <w14:solidFill>
                    <w14:schemeClr w14:val="tx1"/>
                  </w14:solidFill>
                </w14:textFill>
              </w:rPr>
              <w:t>油品</w:t>
            </w:r>
            <w:r>
              <w:rPr>
                <w:color w:val="000000" w:themeColor="text1"/>
                <w14:textFill>
                  <w14:solidFill>
                    <w14:schemeClr w14:val="tx1"/>
                  </w14:solidFill>
                </w14:textFill>
              </w:rPr>
              <w:t>抽出，实现为汽车油箱充装的外售作业。</w:t>
            </w:r>
          </w:p>
          <w:p>
            <w:pPr>
              <w:pStyle w:val="4"/>
              <w:spacing w:after="0"/>
              <w:ind w:firstLine="48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color w:val="000000" w:themeColor="text1"/>
                <w14:textFill>
                  <w14:solidFill>
                    <w14:schemeClr w14:val="tx1"/>
                  </w14:solidFill>
                </w14:textFill>
              </w:rPr>
              <w:t>卸油</w:t>
            </w:r>
            <w:r>
              <w:rPr>
                <w:rFonts w:hint="eastAsia"/>
                <w:color w:val="000000" w:themeColor="text1"/>
                <w14:textFill>
                  <w14:solidFill>
                    <w14:schemeClr w14:val="tx1"/>
                  </w14:solidFill>
                </w14:textFill>
              </w:rPr>
              <w:t>（一次油气回收）</w:t>
            </w:r>
            <w:r>
              <w:rPr>
                <w:color w:val="000000" w:themeColor="text1"/>
                <w14:textFill>
                  <w14:solidFill>
                    <w14:schemeClr w14:val="tx1"/>
                  </w14:solidFill>
                </w14:textFill>
              </w:rPr>
              <w:t>：由成品油罐车将燃料油运至加油站处，采用浸没式密闭卸油方式，将燃料油分别卸到各埋地式储油罐中。在卸油过程中，由于机械力的作用，加剧了油品的挥发程度，产生了油气。而储油罐中的气体空间随着油品的液位升高而减少，气体压力增大。为保持压力的平衡，一部分气体通过呼吸阀排出汽车槽车</w:t>
            </w:r>
            <w:r>
              <w:rPr>
                <w:rFonts w:hint="eastAsia"/>
                <w:color w:val="000000" w:themeColor="text1"/>
                <w14:textFill>
                  <w14:solidFill>
                    <w14:schemeClr w14:val="tx1"/>
                  </w14:solidFill>
                </w14:textFill>
              </w:rPr>
              <w:t>（此过程为“大呼吸”）</w:t>
            </w:r>
            <w:r>
              <w:rPr>
                <w:color w:val="000000" w:themeColor="text1"/>
                <w14:textFill>
                  <w14:solidFill>
                    <w14:schemeClr w14:val="tx1"/>
                  </w14:solidFill>
                </w14:textFill>
              </w:rPr>
              <w:t>，卸油油气回收系统主要是针对这一部分逃逸的气体而设计的，其基本原理就是用导管将逃逸的油气重新输送回油罐车里，完成油气循环的卸油过程，回收油气效率约为95%。经过卸油油气回收后，该工序有少量油气排放。</w:t>
            </w:r>
          </w:p>
          <w:p>
            <w:pPr>
              <w:pStyle w:val="4"/>
              <w:spacing w:after="0"/>
              <w:ind w:firstLine="48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rFonts w:ascii="宋体" w:hAnsi="宋体"/>
                <w:color w:val="000000" w:themeColor="text1"/>
                <w14:textFill>
                  <w14:solidFill>
                    <w14:schemeClr w14:val="tx1"/>
                  </w14:solidFill>
                </w14:textFill>
              </w:rPr>
              <w:t>加油</w:t>
            </w:r>
            <w:r>
              <w:rPr>
                <w:rFonts w:hint="eastAsia" w:ascii="宋体" w:hAnsi="宋体"/>
                <w:color w:val="000000" w:themeColor="text1"/>
                <w14:textFill>
                  <w14:solidFill>
                    <w14:schemeClr w14:val="tx1"/>
                  </w14:solidFill>
                </w14:textFill>
              </w:rPr>
              <w:t>（二次油气回收）</w:t>
            </w:r>
            <w:r>
              <w:rPr>
                <w:rFonts w:ascii="宋体" w:hAnsi="宋体"/>
                <w:color w:val="000000" w:themeColor="text1"/>
                <w14:textFill>
                  <w14:solidFill>
                    <w14:schemeClr w14:val="tx1"/>
                  </w14:solidFill>
                </w14:textFill>
              </w:rPr>
              <w:t>：在向车用油箱加注汽油时，先通过加油机本身自带的压力泵将埋地罐中的汽油送至加油机计量系统进行计量，然后再通过与加油机连接的加油枪将油品送入车用油箱中，每个加油枪设单独管线吸油。该工序产生的油气在车用油箱的加油口处无组织排放，加油油气回收系统即是针对这部分油气而设计的，其原理是利用一根同轴胶管的连接形成一个回路，可以使机动车加油和油气回收同时进行，并且通过一个导入式的管口形成密闭系统，从而为蒸气平衡提供条件。此系统要求在加油枪和机动车的油罐口之间的接触面具有充分的密闭性。</w:t>
            </w:r>
            <w:r>
              <w:rPr>
                <w:rFonts w:hAnsi="宋体"/>
                <w:color w:val="000000" w:themeColor="text1"/>
                <w14:textFill>
                  <w14:solidFill>
                    <w14:schemeClr w14:val="tx1"/>
                  </w14:solidFill>
                </w14:textFill>
              </w:rPr>
              <w:t>加油油气回收系统回收油气效率约为</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Ansi="宋体"/>
                <w:color w:val="000000" w:themeColor="text1"/>
                <w14:textFill>
                  <w14:solidFill>
                    <w14:schemeClr w14:val="tx1"/>
                  </w14:solidFill>
                </w14:textFill>
              </w:rPr>
              <w:t>。经加油油气回收系统处理后，此工序有少量油气的排放。同时加油机工作及车辆进出场地会产生噪声。</w:t>
            </w:r>
          </w:p>
          <w:p>
            <w:pPr>
              <w:pStyle w:val="4"/>
              <w:spacing w:after="0"/>
              <w:ind w:firstLine="48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color w:val="000000" w:themeColor="text1"/>
                <w14:textFill>
                  <w14:solidFill>
                    <w14:schemeClr w14:val="tx1"/>
                  </w14:solidFill>
                </w14:textFill>
              </w:rPr>
              <w:t>储油</w:t>
            </w:r>
            <w:r>
              <w:rPr>
                <w:rFonts w:hint="eastAsia"/>
                <w:color w:val="000000" w:themeColor="text1"/>
                <w14:textFill>
                  <w14:solidFill>
                    <w14:schemeClr w14:val="tx1"/>
                  </w14:solidFill>
                </w14:textFill>
              </w:rPr>
              <w:t>（三次油气回收）</w:t>
            </w:r>
            <w:r>
              <w:rPr>
                <w:color w:val="000000" w:themeColor="text1"/>
                <w14:textFill>
                  <w14:solidFill>
                    <w14:schemeClr w14:val="tx1"/>
                  </w14:solidFill>
                </w14:textFill>
              </w:rPr>
              <w:t>：成品油在储油罐内静置储存过程中，储油罐内的温度昼夜有规律的变化。白天温度升高，热量使油气膨胀，压力增高，造成油气的挥发；晚间温度降低，罐内气体压力降低，吸入新鲜空气，为平衡蒸汽压，油气从液相中蒸发，</w:t>
            </w:r>
            <w:r>
              <w:rPr>
                <w:rFonts w:hint="eastAsia"/>
                <w:color w:val="000000" w:themeColor="text1"/>
                <w14:textFill>
                  <w14:solidFill>
                    <w14:schemeClr w14:val="tx1"/>
                  </w14:solidFill>
                </w14:textFill>
              </w:rPr>
              <w:t>直至</w:t>
            </w:r>
            <w:r>
              <w:rPr>
                <w:color w:val="000000" w:themeColor="text1"/>
                <w14:textFill>
                  <w14:solidFill>
                    <w14:schemeClr w14:val="tx1"/>
                  </w14:solidFill>
                </w14:textFill>
              </w:rPr>
              <w:t>油液面上的气体达到新的饱和蒸汽压，造成油气的挥发</w:t>
            </w:r>
            <w:r>
              <w:rPr>
                <w:rFonts w:hint="eastAsia"/>
                <w:color w:val="000000" w:themeColor="text1"/>
                <w14:textFill>
                  <w14:solidFill>
                    <w14:schemeClr w14:val="tx1"/>
                  </w14:solidFill>
                </w14:textFill>
              </w:rPr>
              <w:t>（此过程为“小呼吸”）</w:t>
            </w:r>
            <w:r>
              <w:rPr>
                <w:color w:val="000000" w:themeColor="text1"/>
                <w14:textFill>
                  <w14:solidFill>
                    <w14:schemeClr w14:val="tx1"/>
                  </w14:solidFill>
                </w14:textFill>
              </w:rPr>
              <w:t>。上述过程昼夜交替进行，产生油气</w:t>
            </w:r>
            <w:r>
              <w:rPr>
                <w:rFonts w:hint="eastAsia"/>
                <w:color w:val="000000" w:themeColor="text1"/>
                <w14:textFill>
                  <w14:solidFill>
                    <w14:schemeClr w14:val="tx1"/>
                  </w14:solidFill>
                </w14:textFill>
              </w:rPr>
              <w:t>挥发物</w:t>
            </w:r>
            <w:r>
              <w:rPr>
                <w:color w:val="000000" w:themeColor="text1"/>
                <w14:textFill>
                  <w14:solidFill>
                    <w14:schemeClr w14:val="tx1"/>
                  </w14:solidFill>
                </w14:textFill>
              </w:rPr>
              <w:t>排放。依据相关规范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汽油</w:t>
            </w:r>
            <w:r>
              <w:rPr>
                <w:rFonts w:hint="eastAsia"/>
                <w:color w:val="000000" w:themeColor="text1"/>
                <w14:textFill>
                  <w14:solidFill>
                    <w14:schemeClr w14:val="tx1"/>
                  </w14:solidFill>
                </w14:textFill>
              </w:rPr>
              <w:t>采用储油（三次）油气回收系统（</w:t>
            </w:r>
            <w:r>
              <w:rPr>
                <w:rFonts w:hint="eastAsia"/>
                <w:color w:val="000000" w:themeColor="text1"/>
                <w:lang w:val="en-US" w:eastAsia="zh-CN"/>
                <w14:textFill>
                  <w14:solidFill>
                    <w14:schemeClr w14:val="tx1"/>
                  </w14:solidFill>
                </w14:textFill>
              </w:rPr>
              <w:t>压缩凝结</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活性炭吸附技术）将埋地油罐随大气压和气温变化产生正压时排放的油气回收至储罐，回收效率约为95%。</w:t>
            </w:r>
          </w:p>
          <w:p>
            <w:pPr>
              <w:pStyle w:val="4"/>
              <w:spacing w:after="0"/>
              <w:ind w:firstLine="48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工艺流程及产污环节如下图所示：</w:t>
            </w:r>
          </w:p>
          <w:p>
            <w:pPr>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6850" cy="2305050"/>
                  <wp:effectExtent l="0" t="0" r="0" b="0"/>
                  <wp:docPr id="3" name="图片 3"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6850" cy="2305050"/>
                          </a:xfrm>
                          <a:prstGeom prst="rect">
                            <a:avLst/>
                          </a:prstGeom>
                          <a:noFill/>
                          <a:ln>
                            <a:noFill/>
                          </a:ln>
                        </pic:spPr>
                      </pic:pic>
                    </a:graphicData>
                  </a:graphic>
                </wp:inline>
              </w:drawing>
            </w:r>
          </w:p>
          <w:p>
            <w:pPr>
              <w:pStyle w:val="75"/>
              <w:spacing w:line="240" w:lineRule="auto"/>
              <w:ind w:firstLine="48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图5</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 xml:space="preserve">  生产工艺流程及产污环节图</w:t>
            </w:r>
          </w:p>
          <w:p>
            <w:pPr>
              <w:pStyle w:val="4"/>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210.35pt;width:407.6pt;" o:ole="t" filled="f" o:preferrelative="t" stroked="f" coordsize="21600,21600">
                  <v:path/>
                  <v:fill on="f" focussize="0,0"/>
                  <v:stroke on="f" joinstyle="miter"/>
                  <v:imagedata r:id="rId21" o:title=""/>
                  <o:lock v:ext="edit" aspectratio="t"/>
                  <w10:wrap type="none"/>
                  <w10:anchorlock/>
                </v:shape>
                <o:OLEObject Type="Embed" ProgID="PBrush" ShapeID="_x0000_i1025" DrawAspect="Content" ObjectID="_1468075725" r:id="rId20">
                  <o:LockedField>false</o:LockedField>
                </o:OLEObject>
              </w:object>
            </w:r>
          </w:p>
          <w:p>
            <w:pPr>
              <w:pStyle w:val="75"/>
              <w:spacing w:line="240" w:lineRule="auto"/>
              <w:ind w:firstLine="48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图5</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 xml:space="preserve">  汽油</w:t>
            </w:r>
            <w:r>
              <w:rPr>
                <w:rFonts w:hint="eastAsia"/>
                <w:color w:val="000000" w:themeColor="text1"/>
                <w:sz w:val="21"/>
                <w:szCs w:val="21"/>
                <w14:textFill>
                  <w14:solidFill>
                    <w14:schemeClr w14:val="tx1"/>
                  </w14:solidFill>
                </w14:textFill>
              </w:rPr>
              <w:t>油气回收装置</w:t>
            </w:r>
            <w:r>
              <w:rPr>
                <w:color w:val="000000" w:themeColor="text1"/>
                <w:sz w:val="21"/>
                <w:szCs w:val="21"/>
                <w14:textFill>
                  <w14:solidFill>
                    <w14:schemeClr w14:val="tx1"/>
                  </w14:solidFill>
                </w14:textFill>
              </w:rPr>
              <w:t>流程图</w:t>
            </w:r>
          </w:p>
          <w:p>
            <w:pPr>
              <w:ind w:firstLine="0" w:firstLineChars="0"/>
              <w:contextualSpacing/>
              <w:jc w:val="lef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二、主要污染工序</w:t>
            </w:r>
          </w:p>
          <w:p>
            <w:pPr>
              <w:ind w:firstLine="482"/>
              <w:contextualSpacing/>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1、施工期</w:t>
            </w:r>
          </w:p>
          <w:p>
            <w:pPr>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14:textFill>
                  <w14:solidFill>
                    <w14:schemeClr w14:val="tx1"/>
                  </w14:solidFill>
                </w14:textFill>
              </w:rPr>
              <w:t>陕西省西咸新区沣东新城世纪大道中段南侧</w:t>
            </w:r>
            <w:r>
              <w:rPr>
                <w:color w:val="000000" w:themeColor="text1"/>
                <w14:textFill>
                  <w14:solidFill>
                    <w14:schemeClr w14:val="tx1"/>
                  </w14:solidFill>
                </w14:textFill>
              </w:rPr>
              <w:t>，项目施工期污染物主要是施工噪声、施工扬尘、建筑垃圾、生活污水、生活垃圾等，</w:t>
            </w:r>
            <w:r>
              <w:rPr>
                <w:rFonts w:hint="eastAsia"/>
                <w:color w:val="000000" w:themeColor="text1"/>
                <w14:textFill>
                  <w14:solidFill>
                    <w14:schemeClr w14:val="tx1"/>
                  </w14:solidFill>
                </w14:textFill>
              </w:rPr>
              <w:t>延长壳牌石油有限公司咸阳世纪大道中段南加油站成立于2013年3月13日，该加油站前身为陕西东大石油化工有限公司新桥加油站，成立于2008年11月19日，因经营需要，2013年由延长壳牌石油有限公司接管运营，由于运行多年，设备设施老化，并依据《陕西省西咸新区改革创新发展局关于加快推进加油站地下油罐更新改造的通知》，延长壳牌石油有限公司咸阳世纪大道中段南加油站进行单层油罐更新为内钢外玻璃纤维增强双层油罐及三次油气回收改造工程，改造工程预2019年10月开始施工，于2019年12月完成，加油站改造后</w:t>
            </w:r>
            <w:r>
              <w:rPr>
                <w:rFonts w:hint="eastAsia"/>
                <w:color w:val="000000" w:themeColor="text1"/>
                <w:lang w:val="zh-CN"/>
                <w14:textFill>
                  <w14:solidFill>
                    <w14:schemeClr w14:val="tx1"/>
                  </w14:solidFill>
                </w14:textFill>
              </w:rPr>
              <w:t>原埋地油罐区的埋地油罐、通气管、卸油口及油罐区的工艺管道全部挖出</w:t>
            </w:r>
            <w:r>
              <w:rPr>
                <w:rFonts w:hint="eastAsia"/>
                <w:color w:val="000000" w:themeColor="text1"/>
                <w14:textFill>
                  <w14:solidFill>
                    <w14:schemeClr w14:val="tx1"/>
                  </w14:solidFill>
                </w14:textFill>
              </w:rPr>
              <w:t>并交由西安尧柏环保工程科技有限公司处置。根据现场勘查，目前项目已建成，</w:t>
            </w:r>
            <w:r>
              <w:rPr>
                <w:color w:val="000000" w:themeColor="text1"/>
                <w14:textFill>
                  <w14:solidFill>
                    <w14:schemeClr w14:val="tx1"/>
                  </w14:solidFill>
                </w14:textFill>
              </w:rPr>
              <w:t>本环评根据项目资料和走访踏勘情况，仅对施工期做简要回顾性评价。</w:t>
            </w:r>
          </w:p>
          <w:p>
            <w:pPr>
              <w:ind w:firstLine="482"/>
              <w:contextualSpacing/>
              <w:jc w:val="left"/>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2、运营期主要污染工序</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（1）废气</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项目运营期废气主要为加油站来往车辆产生的尾气；卸油、储油、加油过程中挥发的非甲烷总烃</w:t>
            </w:r>
            <w:r>
              <w:rPr>
                <w:rFonts w:hAnsi="宋体"/>
                <w:color w:val="000000" w:themeColor="text1"/>
                <w:kern w:val="0"/>
                <w14:textFill>
                  <w14:solidFill>
                    <w14:schemeClr w14:val="tx1"/>
                  </w14:solidFill>
                </w14:textFill>
              </w:rPr>
              <w:t>。</w:t>
            </w:r>
            <w:r>
              <w:rPr>
                <w:rFonts w:hint="eastAsia" w:cs="宋体"/>
                <w:color w:val="000000" w:themeColor="text1"/>
                <w14:textFill>
                  <w14:solidFill>
                    <w14:schemeClr w14:val="tx1"/>
                  </w14:solidFill>
                </w14:textFill>
              </w:rPr>
              <w:t>据项目业主提供数据，项目经营规模为每年可销售成品汽油4</w:t>
            </w:r>
            <w:r>
              <w:rPr>
                <w:rFonts w:hint="eastAsia" w:cs="宋体"/>
                <w:color w:val="000000" w:themeColor="text1"/>
                <w:lang w:val="en-US" w:eastAsia="zh-CN"/>
                <w14:textFill>
                  <w14:solidFill>
                    <w14:schemeClr w14:val="tx1"/>
                  </w14:solidFill>
                </w14:textFill>
              </w:rPr>
              <w:t>0</w:t>
            </w:r>
            <w:r>
              <w:rPr>
                <w:rFonts w:hint="eastAsia" w:cs="宋体"/>
                <w:color w:val="000000" w:themeColor="text1"/>
                <w14:textFill>
                  <w14:solidFill>
                    <w14:schemeClr w14:val="tx1"/>
                  </w14:solidFill>
                </w14:textFill>
              </w:rPr>
              <w:t>00t、柴油500t。</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本项目在汽油的卸油、储存和加油过程中会有油品损失，以油气的形式向环境空气中排放，其特征污染物是非甲烷总烃。本项目分别采用加油、卸油和储油（三次）油气回收系统对油气进行回收处理，控制油气的排放。</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油罐大呼吸损失是指油罐进油时所呼出的油蒸气而造成油品蒸发损失。油罐进油时，由于油面逐渐升高，气体空间减小，罐内压力增大，当压力超过呼吸阀控制压力时，一定浓度的油蒸气开始从呼吸阀呼出，直到油罐停止收油。</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油罐小呼吸损失是指油罐在没有收发作业的情况下，随着外界气温、压力在一天内的升降周期变化，罐内气体空间温度、油品的蒸发速度、油气浓度和蒸汽压力也随之变化，这种排出油蒸气和吸入空气的过程造成的油气损失。</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③加油作业损失主要指为车辆加油时，油品进入汽车油箱，油箱内的烃类气体被油品置换排入大气。本项目加油站加油枪具有自封功能。</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根据建设单位提供资料，本项目拟选用的油气回收系统有卸油油气回收系统（回收效率95%）、加油油气回收系统（回收效率95%）和油气排放处理装置（处理效率95%）。本项目年销售汽油品约4</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00t /a，柴油500t/a。根据</w:t>
            </w:r>
            <w:r>
              <w:rPr>
                <w:rFonts w:ascii="宋体" w:hAnsi="宋体"/>
                <w:color w:val="000000" w:themeColor="text1"/>
                <w14:textFill>
                  <w14:solidFill>
                    <w14:schemeClr w14:val="tx1"/>
                  </w14:solidFill>
                </w14:textFill>
              </w:rPr>
              <w:t>《中国加油站VOC 排放污染现状及控制》</w:t>
            </w:r>
            <w:r>
              <w:rPr>
                <w:rFonts w:hint="eastAsia"/>
                <w:color w:val="000000" w:themeColor="text1"/>
                <w14:textFill>
                  <w14:solidFill>
                    <w14:schemeClr w14:val="tx1"/>
                  </w14:solidFill>
                </w14:textFill>
              </w:rPr>
              <w:t>（GB11085-89）及参考有关资料，计算出该加油站非甲烷总烃排放量，具体计算结果见表5-1。</w:t>
            </w:r>
          </w:p>
          <w:p>
            <w:pPr>
              <w:autoSpaceDE w:val="0"/>
              <w:autoSpaceDN w:val="0"/>
              <w:adjustRightInd w:val="0"/>
              <w:ind w:firstLine="0" w:firstLineChars="0"/>
              <w:jc w:val="center"/>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表5-1   改造后油气挥发量一览表</w:t>
            </w:r>
          </w:p>
          <w:tbl>
            <w:tblPr>
              <w:tblStyle w:val="29"/>
              <w:tblpPr w:leftFromText="180" w:rightFromText="180" w:vertAnchor="text" w:horzAnchor="page" w:tblpX="821" w:tblpY="502"/>
              <w:tblOverlap w:val="never"/>
              <w:tblW w:w="9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813"/>
              <w:gridCol w:w="1052"/>
              <w:gridCol w:w="1465"/>
              <w:gridCol w:w="1288"/>
              <w:gridCol w:w="1305"/>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dxa"/>
                  <w:gridSpan w:val="3"/>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w:t>
                  </w:r>
                </w:p>
              </w:tc>
              <w:tc>
                <w:tcPr>
                  <w:tcW w:w="146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烃产生量（t/a）</w:t>
                  </w:r>
                </w:p>
              </w:tc>
              <w:tc>
                <w:tcPr>
                  <w:tcW w:w="128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处置措施</w:t>
                  </w:r>
                </w:p>
              </w:tc>
              <w:tc>
                <w:tcPr>
                  <w:tcW w:w="1305" w:type="dxa"/>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回收量</w:t>
                  </w:r>
                  <w:r>
                    <w:rPr>
                      <w:rFonts w:hint="eastAsia"/>
                      <w:color w:val="000000" w:themeColor="text1"/>
                      <w:sz w:val="21"/>
                      <w:szCs w:val="21"/>
                      <w14:textFill>
                        <w14:solidFill>
                          <w14:schemeClr w14:val="tx1"/>
                        </w14:solidFill>
                      </w14:textFill>
                    </w:rPr>
                    <w:t>（t/a）</w:t>
                  </w:r>
                </w:p>
              </w:tc>
              <w:tc>
                <w:tcPr>
                  <w:tcW w:w="2328" w:type="dxa"/>
                  <w:vAlign w:val="center"/>
                </w:tcPr>
                <w:p>
                  <w:pPr>
                    <w:spacing w:line="240" w:lineRule="auto"/>
                    <w:ind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烃排放量（t/a）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汽油</w:t>
                  </w:r>
                </w:p>
              </w:tc>
              <w:tc>
                <w:tcPr>
                  <w:tcW w:w="813"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储油罐</w:t>
                  </w:r>
                </w:p>
              </w:tc>
              <w:tc>
                <w:tcPr>
                  <w:tcW w:w="10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大呼吸损失</w:t>
                  </w:r>
                </w:p>
              </w:tc>
              <w:tc>
                <w:tcPr>
                  <w:tcW w:w="146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9.2</w:t>
                  </w:r>
                </w:p>
              </w:tc>
              <w:tc>
                <w:tcPr>
                  <w:tcW w:w="128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一次油气回收</w:t>
                  </w:r>
                </w:p>
              </w:tc>
              <w:tc>
                <w:tcPr>
                  <w:tcW w:w="130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8.74</w:t>
                  </w:r>
                </w:p>
              </w:tc>
              <w:tc>
                <w:tcPr>
                  <w:tcW w:w="232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13"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小呼吸损失</w:t>
                  </w:r>
                </w:p>
              </w:tc>
              <w:tc>
                <w:tcPr>
                  <w:tcW w:w="146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0.64</w:t>
                  </w:r>
                </w:p>
              </w:tc>
              <w:tc>
                <w:tcPr>
                  <w:tcW w:w="128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三次油气回收</w:t>
                  </w:r>
                </w:p>
              </w:tc>
              <w:tc>
                <w:tcPr>
                  <w:tcW w:w="130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0.608</w:t>
                  </w:r>
                </w:p>
              </w:tc>
              <w:tc>
                <w:tcPr>
                  <w:tcW w:w="232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13"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10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作业损失</w:t>
                  </w:r>
                </w:p>
              </w:tc>
              <w:tc>
                <w:tcPr>
                  <w:tcW w:w="146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9.96</w:t>
                  </w:r>
                </w:p>
              </w:tc>
              <w:tc>
                <w:tcPr>
                  <w:tcW w:w="128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二次油气回收</w:t>
                  </w:r>
                </w:p>
              </w:tc>
              <w:tc>
                <w:tcPr>
                  <w:tcW w:w="130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9.462</w:t>
                  </w:r>
                </w:p>
              </w:tc>
              <w:tc>
                <w:tcPr>
                  <w:tcW w:w="2328"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柴油</w:t>
                  </w:r>
                </w:p>
              </w:tc>
              <w:tc>
                <w:tcPr>
                  <w:tcW w:w="813"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储油罐</w:t>
                  </w:r>
                </w:p>
              </w:tc>
              <w:tc>
                <w:tcPr>
                  <w:tcW w:w="10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大呼吸损失</w:t>
                  </w:r>
                </w:p>
              </w:tc>
              <w:tc>
                <w:tcPr>
                  <w:tcW w:w="146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0.0135</w:t>
                  </w:r>
                </w:p>
              </w:tc>
              <w:tc>
                <w:tcPr>
                  <w:tcW w:w="1288" w:type="dxa"/>
                  <w:vMerge w:val="restart"/>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305" w:type="dxa"/>
                  <w:vAlign w:val="top"/>
                </w:tcPr>
                <w:p>
                  <w:pPr>
                    <w:spacing w:line="240" w:lineRule="auto"/>
                    <w:ind w:firstLine="0" w:firstLineChars="0"/>
                    <w:jc w:val="left"/>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328"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13"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0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小呼吸损失</w:t>
                  </w:r>
                </w:p>
              </w:tc>
              <w:tc>
                <w:tcPr>
                  <w:tcW w:w="1465"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288" w:type="dxa"/>
                  <w:vMerge w:val="continue"/>
                  <w:vAlign w:val="top"/>
                </w:tcPr>
                <w:p>
                  <w:pPr>
                    <w:spacing w:line="240" w:lineRule="auto"/>
                    <w:ind w:firstLine="0" w:firstLineChars="0"/>
                    <w:jc w:val="left"/>
                    <w:rPr>
                      <w:color w:val="000000" w:themeColor="text1"/>
                      <w:sz w:val="21"/>
                      <w:szCs w:val="21"/>
                      <w14:textFill>
                        <w14:solidFill>
                          <w14:schemeClr w14:val="tx1"/>
                        </w14:solidFill>
                      </w14:textFill>
                    </w:rPr>
                  </w:pPr>
                </w:p>
              </w:tc>
              <w:tc>
                <w:tcPr>
                  <w:tcW w:w="1305"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32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13"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10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作业损失</w:t>
                  </w:r>
                </w:p>
              </w:tc>
              <w:tc>
                <w:tcPr>
                  <w:tcW w:w="146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0.024</w:t>
                  </w:r>
                </w:p>
              </w:tc>
              <w:tc>
                <w:tcPr>
                  <w:tcW w:w="1288" w:type="dxa"/>
                  <w:vMerge w:val="continue"/>
                  <w:vAlign w:val="top"/>
                </w:tcPr>
                <w:p>
                  <w:pPr>
                    <w:spacing w:line="240" w:lineRule="auto"/>
                    <w:ind w:firstLine="0" w:firstLineChars="0"/>
                    <w:jc w:val="left"/>
                    <w:rPr>
                      <w:color w:val="000000" w:themeColor="text1"/>
                      <w:sz w:val="21"/>
                      <w:szCs w:val="21"/>
                      <w14:textFill>
                        <w14:solidFill>
                          <w14:schemeClr w14:val="tx1"/>
                        </w14:solidFill>
                      </w14:textFill>
                    </w:rPr>
                  </w:pPr>
                </w:p>
              </w:tc>
              <w:tc>
                <w:tcPr>
                  <w:tcW w:w="1305"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2328"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dxa"/>
                  <w:gridSpan w:val="3"/>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146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19.8375</w:t>
                  </w:r>
                </w:p>
              </w:tc>
              <w:tc>
                <w:tcPr>
                  <w:tcW w:w="1288" w:type="dxa"/>
                  <w:vAlign w:val="top"/>
                </w:tcPr>
                <w:p>
                  <w:pPr>
                    <w:spacing w:line="240" w:lineRule="auto"/>
                    <w:ind w:firstLine="0" w:firstLineChars="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305"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18.81</w:t>
                  </w:r>
                </w:p>
              </w:tc>
              <w:tc>
                <w:tcPr>
                  <w:tcW w:w="2328" w:type="dxa"/>
                  <w:vAlign w:val="top"/>
                </w:tcPr>
                <w:p>
                  <w:pPr>
                    <w:spacing w:line="240" w:lineRule="auto"/>
                    <w:ind w:firstLine="0" w:firstLineChars="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1.0275</w:t>
                  </w:r>
                </w:p>
              </w:tc>
            </w:tr>
          </w:tbl>
          <w:p>
            <w:pPr>
              <w:autoSpaceDE w:val="0"/>
              <w:autoSpaceDN w:val="0"/>
              <w:adjustRightInd w:val="0"/>
              <w:ind w:left="0" w:leftChars="0" w:firstLine="0" w:firstLineChars="0"/>
              <w:jc w:val="left"/>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由上表可知，加油站运营期间非甲烷总烃排放量为</w:t>
            </w:r>
            <w:r>
              <w:rPr>
                <w:rFonts w:hint="eastAsia"/>
                <w:color w:val="000000" w:themeColor="text1"/>
                <w:sz w:val="21"/>
                <w:szCs w:val="21"/>
                <w:lang w:val="en-US" w:eastAsia="zh-CN"/>
                <w14:textFill>
                  <w14:solidFill>
                    <w14:schemeClr w14:val="tx1"/>
                  </w14:solidFill>
                </w14:textFill>
              </w:rPr>
              <w:t>1.0275</w:t>
            </w:r>
            <w:r>
              <w:rPr>
                <w:rFonts w:hint="eastAsia"/>
                <w:color w:val="000000" w:themeColor="text1"/>
                <w14:textFill>
                  <w14:solidFill>
                    <w14:schemeClr w14:val="tx1"/>
                  </w14:solidFill>
                </w14:textFill>
              </w:rPr>
              <w:t>t/a，其排放量相对较少。</w:t>
            </w:r>
            <w:r>
              <w:rPr>
                <w:rFonts w:hAnsi="宋体"/>
                <w:color w:val="000000" w:themeColor="text1"/>
                <w:kern w:val="0"/>
                <w14:textFill>
                  <w14:solidFill>
                    <w14:schemeClr w14:val="tx1"/>
                  </w14:solidFill>
                </w14:textFill>
              </w:rPr>
              <w:t>车辆进出加油站时，怠速及慢速（≤5km/h）状态下汽车尾气排放量较大，主要包括排气管尾气、曲轴箱漏气、油箱和化油箱等燃料系统的泄漏等，排放主要污染物有CO、NOx和碳氢化合物。由于车辆在加油、加气时停留时间短，汽车尾气废气易于扩散且排放量相对较小，因此项目进出场汽车尾气排放对周围环境影响较小。</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（2）废水</w:t>
            </w:r>
          </w:p>
          <w:p>
            <w:pPr>
              <w:ind w:right="-10" w:firstLine="480"/>
              <w:rPr>
                <w:color w:val="000000" w:themeColor="text1"/>
                <w14:textFill>
                  <w14:solidFill>
                    <w14:schemeClr w14:val="tx1"/>
                  </w14:solidFill>
                </w14:textFill>
              </w:rPr>
            </w:pPr>
            <w:r>
              <w:rPr>
                <w:rFonts w:hAnsi="宋体"/>
                <w:color w:val="000000" w:themeColor="text1"/>
                <w:kern w:val="0"/>
                <w14:textFill>
                  <w14:solidFill>
                    <w14:schemeClr w14:val="tx1"/>
                  </w14:solidFill>
                </w14:textFill>
              </w:rPr>
              <w:t>加油站用水主要为职工、顾客生活用水和绿化用水</w:t>
            </w:r>
            <w:r>
              <w:rPr>
                <w:color w:val="000000" w:themeColor="text1"/>
                <w14:textFill>
                  <w14:solidFill>
                    <w14:schemeClr w14:val="tx1"/>
                  </w14:solidFill>
                </w14:textFill>
              </w:rPr>
              <w:t>。根据建设单位提供数据</w:t>
            </w:r>
            <w:r>
              <w:rPr>
                <w:rFonts w:hint="eastAsia"/>
                <w:color w:val="000000" w:themeColor="text1"/>
                <w14:textFill>
                  <w14:solidFill>
                    <w14:schemeClr w14:val="tx1"/>
                  </w14:solidFill>
                </w14:textFill>
              </w:rPr>
              <w:t>，原加油站站区雨水散排出站。加油站生活污水由化粪池预处理后，定期清掏。</w:t>
            </w:r>
          </w:p>
          <w:p>
            <w:pPr>
              <w:pStyle w:val="4"/>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（3）噪声</w:t>
            </w:r>
          </w:p>
          <w:p>
            <w:pPr>
              <w:pStyle w:val="4"/>
              <w:spacing w:after="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本项目噪声主要为加油机噪声及进、出站的车辆噪声，噪声源强一般为60~</w:t>
            </w:r>
            <w:r>
              <w:rPr>
                <w:rFonts w:hint="eastAsia"/>
                <w:color w:val="000000" w:themeColor="text1"/>
                <w14:textFill>
                  <w14:solidFill>
                    <w14:schemeClr w14:val="tx1"/>
                  </w14:solidFill>
                </w14:textFill>
              </w:rPr>
              <w:t>90</w:t>
            </w:r>
            <w:r>
              <w:rPr>
                <w:color w:val="000000" w:themeColor="text1"/>
                <w14:textFill>
                  <w14:solidFill>
                    <w14:schemeClr w14:val="tx1"/>
                  </w14:solidFill>
                </w14:textFill>
              </w:rPr>
              <w:t>dB(A)，噪声源强见下表：</w:t>
            </w:r>
          </w:p>
          <w:p>
            <w:pPr>
              <w:spacing w:line="240" w:lineRule="auto"/>
              <w:ind w:firstLine="422"/>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5-</w:t>
            </w:r>
            <w:r>
              <w:rPr>
                <w:b/>
                <w:color w:val="000000" w:themeColor="text1"/>
                <w:sz w:val="21"/>
                <w:szCs w:val="21"/>
                <w14:textFill>
                  <w14:solidFill>
                    <w14:schemeClr w14:val="tx1"/>
                  </w14:solidFill>
                </w14:textFill>
              </w:rPr>
              <w:t>2</w:t>
            </w:r>
            <w:r>
              <w:rPr>
                <w:rFonts w:hint="eastAsia"/>
                <w:b/>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噪声源强一览表</w:t>
            </w:r>
          </w:p>
          <w:tbl>
            <w:tblPr>
              <w:tblStyle w:val="28"/>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282"/>
              <w:gridCol w:w="937"/>
              <w:gridCol w:w="1913"/>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2"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282"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937"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913"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单机噪声dB（A）</w:t>
                  </w:r>
                </w:p>
              </w:tc>
              <w:tc>
                <w:tcPr>
                  <w:tcW w:w="2450" w:type="dxa"/>
                  <w:tcMar>
                    <w:left w:w="0" w:type="dxa"/>
                    <w:right w:w="0" w:type="dxa"/>
                  </w:tcMar>
                  <w:vAlign w:val="center"/>
                </w:tcPr>
                <w:p>
                  <w:pPr>
                    <w:pStyle w:val="79"/>
                    <w:rPr>
                      <w:color w:val="000000" w:themeColor="text1"/>
                      <w14:textFill>
                        <w14:solidFill>
                          <w14:schemeClr w14:val="tx1"/>
                        </w14:solidFill>
                      </w14:textFill>
                    </w:rPr>
                  </w:pPr>
                  <w:r>
                    <w:rPr>
                      <w:color w:val="000000" w:themeColor="text1"/>
                      <w14:textFill>
                        <w14:solidFill>
                          <w14:schemeClr w14:val="tx1"/>
                        </w14:solidFill>
                      </w14:textFill>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2"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1</w:t>
                  </w:r>
                </w:p>
              </w:tc>
              <w:tc>
                <w:tcPr>
                  <w:tcW w:w="2282"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加油机</w:t>
                  </w:r>
                </w:p>
              </w:tc>
              <w:tc>
                <w:tcPr>
                  <w:tcW w:w="937" w:type="dxa"/>
                  <w:tcMar>
                    <w:left w:w="0" w:type="dxa"/>
                    <w:right w:w="0" w:type="dxa"/>
                  </w:tcMar>
                </w:tcPr>
                <w:p>
                  <w:pPr>
                    <w:pStyle w:val="7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台</w:t>
                  </w:r>
                </w:p>
              </w:tc>
              <w:tc>
                <w:tcPr>
                  <w:tcW w:w="1913" w:type="dxa"/>
                  <w:tcMar>
                    <w:left w:w="0" w:type="dxa"/>
                    <w:right w:w="0" w:type="dxa"/>
                  </w:tcMar>
                </w:tcPr>
                <w:p>
                  <w:pPr>
                    <w:pStyle w:val="79"/>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2450" w:type="dxa"/>
                  <w:tcMar>
                    <w:left w:w="0" w:type="dxa"/>
                    <w:right w:w="0" w:type="dxa"/>
                  </w:tcMar>
                  <w:vAlign w:val="center"/>
                </w:tcPr>
                <w:p>
                  <w:pPr>
                    <w:pStyle w:val="79"/>
                    <w:rPr>
                      <w:color w:val="000000" w:themeColor="text1"/>
                      <w14:textFill>
                        <w14:solidFill>
                          <w14:schemeClr w14:val="tx1"/>
                        </w14:solidFill>
                      </w14:textFill>
                    </w:rPr>
                  </w:pPr>
                  <w:r>
                    <w:rPr>
                      <w:color w:val="000000" w:themeColor="text1"/>
                      <w14:textFill>
                        <w14:solidFill>
                          <w14:schemeClr w14:val="tx1"/>
                        </w14:solidFill>
                      </w14:textFill>
                    </w:rPr>
                    <w:t>加油站罩棚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2" w:type="dxa"/>
                  <w:tcMar>
                    <w:left w:w="0" w:type="dxa"/>
                    <w:right w:w="0" w:type="dxa"/>
                  </w:tcMar>
                </w:tcPr>
                <w:p>
                  <w:pPr>
                    <w:pStyle w:val="7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282"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车辆</w:t>
                  </w:r>
                </w:p>
              </w:tc>
              <w:tc>
                <w:tcPr>
                  <w:tcW w:w="937" w:type="dxa"/>
                  <w:tcMar>
                    <w:left w:w="0" w:type="dxa"/>
                    <w:right w:w="0" w:type="dxa"/>
                  </w:tcMar>
                </w:tcPr>
                <w:p>
                  <w:pPr>
                    <w:pStyle w:val="79"/>
                    <w:rPr>
                      <w:color w:val="000000" w:themeColor="text1"/>
                      <w14:textFill>
                        <w14:solidFill>
                          <w14:schemeClr w14:val="tx1"/>
                        </w14:solidFill>
                      </w14:textFill>
                    </w:rPr>
                  </w:pPr>
                  <w:r>
                    <w:rPr>
                      <w:color w:val="000000" w:themeColor="text1"/>
                      <w14:textFill>
                        <w14:solidFill>
                          <w14:schemeClr w14:val="tx1"/>
                        </w14:solidFill>
                      </w14:textFill>
                    </w:rPr>
                    <w:t>/</w:t>
                  </w:r>
                </w:p>
              </w:tc>
              <w:tc>
                <w:tcPr>
                  <w:tcW w:w="1913" w:type="dxa"/>
                  <w:tcMar>
                    <w:left w:w="0" w:type="dxa"/>
                    <w:right w:w="0" w:type="dxa"/>
                  </w:tcMar>
                </w:tcPr>
                <w:p>
                  <w:pPr>
                    <w:pStyle w:val="79"/>
                    <w:rPr>
                      <w:color w:val="000000" w:themeColor="text1"/>
                      <w14:textFill>
                        <w14:solidFill>
                          <w14:schemeClr w14:val="tx1"/>
                        </w14:solidFill>
                      </w14:textFill>
                    </w:rPr>
                  </w:pPr>
                  <w:r>
                    <w:rPr>
                      <w:rFonts w:hint="eastAsia"/>
                      <w:color w:val="000000" w:themeColor="text1"/>
                      <w14:textFill>
                        <w14:solidFill>
                          <w14:schemeClr w14:val="tx1"/>
                        </w14:solidFill>
                      </w14:textFill>
                    </w:rPr>
                    <w:t>60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90</w:t>
                  </w:r>
                </w:p>
              </w:tc>
              <w:tc>
                <w:tcPr>
                  <w:tcW w:w="2450" w:type="dxa"/>
                  <w:tcMar>
                    <w:left w:w="0" w:type="dxa"/>
                    <w:right w:w="0" w:type="dxa"/>
                  </w:tcMar>
                  <w:vAlign w:val="center"/>
                </w:tcPr>
                <w:p>
                  <w:pPr>
                    <w:pStyle w:val="79"/>
                    <w:rPr>
                      <w:color w:val="000000" w:themeColor="text1"/>
                      <w14:textFill>
                        <w14:solidFill>
                          <w14:schemeClr w14:val="tx1"/>
                        </w14:solidFill>
                      </w14:textFill>
                    </w:rPr>
                  </w:pPr>
                  <w:r>
                    <w:rPr>
                      <w:color w:val="000000" w:themeColor="text1"/>
                      <w14:textFill>
                        <w14:solidFill>
                          <w14:schemeClr w14:val="tx1"/>
                        </w14:solidFill>
                      </w14:textFill>
                    </w:rPr>
                    <w:t>场地内</w:t>
                  </w:r>
                </w:p>
              </w:tc>
            </w:tr>
          </w:tbl>
          <w:p>
            <w:pPr>
              <w:pStyle w:val="4"/>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固体废弃物</w:t>
            </w:r>
          </w:p>
          <w:p>
            <w:pPr>
              <w:spacing w:line="420" w:lineRule="exact"/>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1）生活垃圾</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站区员工日常产生的生活垃圾属于一般生活垃圾。</w:t>
            </w:r>
            <w:r>
              <w:rPr>
                <w:rFonts w:hint="eastAsia"/>
                <w:color w:val="000000" w:themeColor="text1"/>
                <w14:textFill>
                  <w14:solidFill>
                    <w14:schemeClr w14:val="tx1"/>
                  </w14:solidFill>
                </w14:textFill>
              </w:rPr>
              <w:t>结合项目实际情况，根据建设单位提供数据，生活垃圾产生量为</w:t>
            </w:r>
            <w:r>
              <w:rPr>
                <w:color w:val="000000" w:themeColor="text1"/>
                <w14:textFill>
                  <w14:solidFill>
                    <w14:schemeClr w14:val="tx1"/>
                  </w14:solidFill>
                </w14:textFill>
              </w:rPr>
              <w:t>共计</w:t>
            </w:r>
            <w:r>
              <w:rPr>
                <w:rFonts w:hint="eastAsia"/>
                <w:color w:val="000000" w:themeColor="text1"/>
                <w14:textFill>
                  <w14:solidFill>
                    <w14:schemeClr w14:val="tx1"/>
                  </w14:solidFill>
                </w14:textFill>
              </w:rPr>
              <w:t>11.24</w:t>
            </w:r>
            <w:r>
              <w:rPr>
                <w:color w:val="000000" w:themeColor="text1"/>
                <w14:textFill>
                  <w14:solidFill>
                    <w14:schemeClr w14:val="tx1"/>
                  </w14:solidFill>
                </w14:textFill>
              </w:rPr>
              <w:t>t/a。</w:t>
            </w:r>
          </w:p>
          <w:p>
            <w:pPr>
              <w:spacing w:line="420" w:lineRule="exact"/>
              <w:ind w:firstLine="48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包装废物</w:t>
            </w:r>
          </w:p>
          <w:p>
            <w:pPr>
              <w:spacing w:line="420" w:lineRule="exact"/>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项目设有便利店，营运期便利店将产生一定包装废物，结合项目情况，项目包装废物产生量为0.5t/a。</w:t>
            </w:r>
          </w:p>
          <w:p>
            <w:pPr>
              <w:ind w:firstLine="480"/>
              <w:rPr>
                <w:color w:val="000000" w:themeColor="text1"/>
                <w:szCs w:val="20"/>
                <w14:textFill>
                  <w14:solidFill>
                    <w14:schemeClr w14:val="tx1"/>
                  </w14:solidFill>
                </w14:textFill>
              </w:rPr>
            </w:pPr>
            <w:r>
              <w:rPr>
                <w:color w:val="000000" w:themeColor="text1"/>
                <w:szCs w:val="20"/>
                <w14:textFill>
                  <w14:solidFill>
                    <w14:schemeClr w14:val="tx1"/>
                  </w14:solidFill>
                </w14:textFill>
              </w:rPr>
              <w:t>3）危险废物</w:t>
            </w:r>
          </w:p>
          <w:p>
            <w:pPr>
              <w:ind w:firstLine="480"/>
              <w:jc w:val="left"/>
              <w:rPr>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①</w:t>
            </w:r>
            <w:r>
              <w:rPr>
                <w:color w:val="000000" w:themeColor="text1"/>
                <w:szCs w:val="20"/>
                <w14:textFill>
                  <w14:solidFill>
                    <w14:schemeClr w14:val="tx1"/>
                  </w14:solidFill>
                </w14:textFill>
              </w:rPr>
              <w:t>清洁油罐产生的</w:t>
            </w:r>
            <w:r>
              <w:rPr>
                <w:rFonts w:hint="eastAsia"/>
                <w:color w:val="000000" w:themeColor="text1"/>
                <w:szCs w:val="20"/>
                <w14:textFill>
                  <w14:solidFill>
                    <w14:schemeClr w14:val="tx1"/>
                  </w14:solidFill>
                </w14:textFill>
              </w:rPr>
              <w:t>废油、废渣、含油手套、抹布</w:t>
            </w:r>
            <w:r>
              <w:rPr>
                <w:color w:val="000000" w:themeColor="text1"/>
                <w:szCs w:val="20"/>
                <w14:textFill>
                  <w14:solidFill>
                    <w14:schemeClr w14:val="tx1"/>
                  </w14:solidFill>
                </w14:textFill>
              </w:rPr>
              <w:t>等</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储油罐经过一段时间（3～5年）的使用后，因冷热温差的变化及其它因素的影响，罐底油泥及部分残存的油品会逐渐增多，不仅使油品质量下降，罐壁受到腐蚀，还会给车辆造成不应有的损失。因此，储油罐必须定期做好清洗工作。</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储油罐清洗产生的含油</w:t>
            </w:r>
            <w:r>
              <w:rPr>
                <w:rFonts w:hint="eastAsia"/>
                <w:color w:val="000000" w:themeColor="text1"/>
                <w14:textFill>
                  <w14:solidFill>
                    <w14:schemeClr w14:val="tx1"/>
                  </w14:solidFill>
                </w14:textFill>
              </w:rPr>
              <w:t>手套、抹布以及处理加油卸油过程中跑冒滴漏产生的含油棉纱</w:t>
            </w:r>
            <w:r>
              <w:rPr>
                <w:color w:val="000000" w:themeColor="text1"/>
                <w14:textFill>
                  <w14:solidFill>
                    <w14:schemeClr w14:val="tx1"/>
                  </w14:solidFill>
                </w14:textFill>
              </w:rPr>
              <w:t>，产生量约为0.0</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5t/a。</w:t>
            </w:r>
            <w:r>
              <w:rPr>
                <w:rFonts w:hint="eastAsia"/>
                <w:color w:val="000000" w:themeColor="text1"/>
                <w14:textFill>
                  <w14:solidFill>
                    <w14:schemeClr w14:val="tx1"/>
                  </w14:solidFill>
                </w14:textFill>
              </w:rPr>
              <w:t>根据《国家危险废物名录》（2016 版），该名录于2016年8月1日起施行。附录中《危险废物豁免管理清单》要求：废弃的含油抹布、劳保用品（废物代码为900-041-49）豁免环节为全部环节，豁免条件为混入生活垃圾，收集过程不按危险废物管理。根据《国家危险废物名录》（2016版）解读文件的答复：《危险废物豁免管理清单》仅豁免了危险废物特定环节的部分管理要求，并没有豁免其危险废物的属性，因此废油棉纱手套（含废油抹布）属性仍为危险废物，废物代码为900-041-49。</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储油罐清洗产生的油罐残渣，废物类别为HW08废矿物油，废物代码900-210-08，危险特性为毒性及易燃性，产生量约为</w:t>
            </w:r>
            <w:r>
              <w:rPr>
                <w:rFonts w:hint="eastAsia"/>
                <w:color w:val="000000" w:themeColor="text1"/>
                <w14:textFill>
                  <w14:solidFill>
                    <w14:schemeClr w14:val="tx1"/>
                  </w14:solidFill>
                </w14:textFill>
              </w:rPr>
              <w:t>2kg</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 xml:space="preserve">。交由有资质单位处置。                   </w:t>
            </w:r>
          </w:p>
          <w:p>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三次油气回收装置中的废弃活性炭</w:t>
            </w:r>
          </w:p>
          <w:p>
            <w:pPr>
              <w:ind w:firstLine="480"/>
              <w:rPr>
                <w:color w:val="000000" w:themeColor="text1"/>
                <w14:textFill>
                  <w14:solidFill>
                    <w14:schemeClr w14:val="tx1"/>
                  </w14:solidFill>
                </w14:textFill>
              </w:rPr>
            </w:pPr>
            <w:r>
              <w:rPr>
                <w:rFonts w:hint="eastAsia"/>
                <w:bCs/>
                <w:color w:val="000000" w:themeColor="text1"/>
                <w:lang w:val="zh-CN"/>
                <w14:textFill>
                  <w14:solidFill>
                    <w14:schemeClr w14:val="tx1"/>
                  </w14:solidFill>
                </w14:textFill>
              </w:rPr>
              <w:t>项目三次油气回收装置中的活性炭（约30kg）起到吸附油气作用，将装卸汽油和车辆加油过程中挥发的汽油油气收集起来，饱和后定期将油气</w:t>
            </w:r>
            <w:r>
              <w:rPr>
                <w:rFonts w:hint="eastAsia"/>
                <w:bCs/>
                <w:color w:val="000000" w:themeColor="text1"/>
                <w:lang w:val="en-US" w:eastAsia="zh-CN"/>
                <w14:textFill>
                  <w14:solidFill>
                    <w14:schemeClr w14:val="tx1"/>
                  </w14:solidFill>
                </w14:textFill>
              </w:rPr>
              <w:t>凝结</w:t>
            </w:r>
            <w:r>
              <w:rPr>
                <w:rFonts w:hint="eastAsia"/>
                <w:bCs/>
                <w:color w:val="000000" w:themeColor="text1"/>
                <w:lang w:val="zh-CN"/>
                <w14:textFill>
                  <w14:solidFill>
                    <w14:schemeClr w14:val="tx1"/>
                  </w14:solidFill>
                </w14:textFill>
              </w:rPr>
              <w:t>成汽油回收到油罐，每2年更换一次。</w:t>
            </w:r>
            <w:r>
              <w:rPr>
                <w:color w:val="000000" w:themeColor="text1"/>
                <w14:textFill>
                  <w14:solidFill>
                    <w14:schemeClr w14:val="tx1"/>
                  </w14:solidFill>
                </w14:textFill>
              </w:rPr>
              <w:t>废物类别为HW0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暂存后，交由有资质单位处置。</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本次环评要求在</w:t>
            </w:r>
            <w:r>
              <w:rPr>
                <w:rFonts w:hint="eastAsia"/>
                <w:color w:val="000000" w:themeColor="text1"/>
                <w14:textFill>
                  <w14:solidFill>
                    <w14:schemeClr w14:val="tx1"/>
                  </w14:solidFill>
                </w14:textFill>
              </w:rPr>
              <w:t>油站</w:t>
            </w:r>
            <w:r>
              <w:rPr>
                <w:color w:val="000000" w:themeColor="text1"/>
                <w14:textFill>
                  <w14:solidFill>
                    <w14:schemeClr w14:val="tx1"/>
                  </w14:solidFill>
                </w14:textFill>
              </w:rPr>
              <w:t>设置危险废物暂存</w:t>
            </w:r>
            <w:r>
              <w:rPr>
                <w:rFonts w:hint="eastAsia"/>
                <w:color w:val="000000" w:themeColor="text1"/>
                <w14:textFill>
                  <w14:solidFill>
                    <w14:schemeClr w14:val="tx1"/>
                  </w14:solidFill>
                </w14:textFill>
              </w:rPr>
              <w:t>间，放置危险废物暂存</w:t>
            </w:r>
            <w:r>
              <w:rPr>
                <w:color w:val="000000" w:themeColor="text1"/>
                <w14:textFill>
                  <w14:solidFill>
                    <w14:schemeClr w14:val="tx1"/>
                  </w14:solidFill>
                </w14:textFill>
              </w:rPr>
              <w:t>桶，站内人员将其统一管理，待积攒到一定数量时</w:t>
            </w:r>
            <w:r>
              <w:rPr>
                <w:rFonts w:hint="eastAsia"/>
                <w:color w:val="000000" w:themeColor="text1"/>
                <w14:textFill>
                  <w14:solidFill>
                    <w14:schemeClr w14:val="tx1"/>
                  </w14:solidFill>
                </w14:textFill>
              </w:rPr>
              <w:t>交由</w:t>
            </w:r>
            <w:r>
              <w:rPr>
                <w:color w:val="000000" w:themeColor="text1"/>
                <w14:textFill>
                  <w14:solidFill>
                    <w14:schemeClr w14:val="tx1"/>
                  </w14:solidFill>
                </w14:textFill>
              </w:rPr>
              <w:t>有资质单位清运处置。</w:t>
            </w:r>
          </w:p>
          <w:p>
            <w:pPr>
              <w:spacing w:line="240" w:lineRule="auto"/>
              <w:ind w:firstLine="422"/>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表5-3   固体废物污染源源强核算结果一览表</w:t>
            </w:r>
          </w:p>
          <w:tbl>
            <w:tblPr>
              <w:tblStyle w:val="28"/>
              <w:tblW w:w="842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85"/>
              <w:gridCol w:w="2638"/>
              <w:gridCol w:w="1160"/>
              <w:gridCol w:w="1276"/>
              <w:gridCol w:w="1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0"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128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污染物类别</w:t>
                  </w:r>
                </w:p>
              </w:tc>
              <w:tc>
                <w:tcPr>
                  <w:tcW w:w="263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规模</w:t>
                  </w:r>
                </w:p>
              </w:tc>
              <w:tc>
                <w:tcPr>
                  <w:tcW w:w="1160"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属性</w:t>
                  </w:r>
                </w:p>
              </w:tc>
              <w:tc>
                <w:tcPr>
                  <w:tcW w:w="1276"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产生量（</w:t>
                  </w:r>
                  <w:r>
                    <w:rPr>
                      <w:color w:val="000000" w:themeColor="text1"/>
                      <w:sz w:val="21"/>
                      <w:szCs w:val="21"/>
                      <w14:textFill>
                        <w14:solidFill>
                          <w14:schemeClr w14:val="tx1"/>
                        </w14:solidFill>
                      </w14:textFill>
                    </w:rPr>
                    <w:t>t/a</w:t>
                  </w:r>
                  <w:r>
                    <w:rPr>
                      <w:bCs/>
                      <w:color w:val="000000" w:themeColor="text1"/>
                      <w:sz w:val="21"/>
                      <w:szCs w:val="21"/>
                      <w14:textFill>
                        <w14:solidFill>
                          <w14:schemeClr w14:val="tx1"/>
                        </w14:solidFill>
                      </w14:textFill>
                    </w:rPr>
                    <w:t>）</w:t>
                  </w:r>
                </w:p>
              </w:tc>
              <w:tc>
                <w:tcPr>
                  <w:tcW w:w="1326"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处置</w:t>
                  </w:r>
                  <w:r>
                    <w:rPr>
                      <w:bCs/>
                      <w:color w:val="000000" w:themeColor="text1"/>
                      <w:sz w:val="21"/>
                      <w:szCs w:val="21"/>
                      <w14:textFill>
                        <w14:solidFill>
                          <w14:schemeClr w14:val="tx1"/>
                        </w14:solidFill>
                      </w14:textFill>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28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263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工作人员</w:t>
                  </w:r>
                  <w:r>
                    <w:rPr>
                      <w:rFonts w:hint="eastAsia"/>
                      <w:color w:val="000000" w:themeColor="text1"/>
                      <w:sz w:val="21"/>
                      <w:szCs w:val="21"/>
                      <w14:textFill>
                        <w14:solidFill>
                          <w14:schemeClr w14:val="tx1"/>
                        </w14:solidFill>
                      </w14:textFill>
                    </w:rPr>
                    <w:t>18</w:t>
                  </w:r>
                  <w:r>
                    <w:rPr>
                      <w:color w:val="000000" w:themeColor="text1"/>
                      <w:sz w:val="21"/>
                      <w:szCs w:val="21"/>
                      <w14:textFill>
                        <w14:solidFill>
                          <w14:schemeClr w14:val="tx1"/>
                        </w14:solidFill>
                      </w14:textFill>
                    </w:rPr>
                    <w:t>人，流动人员80人，年按365天计</w:t>
                  </w:r>
                </w:p>
              </w:tc>
              <w:tc>
                <w:tcPr>
                  <w:tcW w:w="116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127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11.24</w:t>
                  </w:r>
                </w:p>
              </w:tc>
              <w:tc>
                <w:tcPr>
                  <w:tcW w:w="1326"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分类收集，环卫部门定期清运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28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包装废物</w:t>
                  </w:r>
                </w:p>
              </w:tc>
              <w:tc>
                <w:tcPr>
                  <w:tcW w:w="263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6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127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1326" w:type="dxa"/>
                  <w:vMerge w:val="continue"/>
                  <w:tcBorders>
                    <w:bottom w:val="single" w:color="auto" w:sz="6"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28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含油</w:t>
                  </w:r>
                  <w:r>
                    <w:rPr>
                      <w:rFonts w:hint="eastAsia"/>
                      <w:color w:val="000000" w:themeColor="text1"/>
                      <w:sz w:val="21"/>
                      <w:szCs w:val="21"/>
                      <w14:textFill>
                        <w14:solidFill>
                          <w14:schemeClr w14:val="tx1"/>
                        </w14:solidFill>
                      </w14:textFill>
                    </w:rPr>
                    <w:t>手套、抹布、棉纱</w:t>
                  </w:r>
                </w:p>
              </w:tc>
              <w:tc>
                <w:tcPr>
                  <w:tcW w:w="263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60"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27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1326" w:type="dxa"/>
                  <w:vMerge w:val="restart"/>
                  <w:tcBorders>
                    <w:top w:val="single" w:color="auto" w:sz="6"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妥善暂存，</w:t>
                  </w:r>
                  <w:r>
                    <w:rPr>
                      <w:color w:val="000000" w:themeColor="text1"/>
                      <w:sz w:val="21"/>
                      <w:szCs w:val="21"/>
                      <w14:textFill>
                        <w14:solidFill>
                          <w14:schemeClr w14:val="tx1"/>
                        </w14:solidFill>
                      </w14:textFill>
                    </w:rPr>
                    <w:t>交</w:t>
                  </w:r>
                  <w:r>
                    <w:rPr>
                      <w:rFonts w:hint="eastAsia"/>
                      <w:color w:val="000000" w:themeColor="text1"/>
                      <w14:textFill>
                        <w14:solidFill>
                          <w14:schemeClr w14:val="tx1"/>
                        </w14:solidFill>
                      </w14:textFill>
                    </w:rPr>
                    <w:t>由</w:t>
                  </w:r>
                  <w:r>
                    <w:rPr>
                      <w:color w:val="000000" w:themeColor="text1"/>
                      <w:sz w:val="21"/>
                      <w:szCs w:val="21"/>
                      <w14:textFill>
                        <w14:solidFill>
                          <w14:schemeClr w14:val="tx1"/>
                        </w14:solidFill>
                      </w14:textFill>
                    </w:rPr>
                    <w:t>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4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28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2638" w:type="dxa"/>
                  <w:vAlign w:val="center"/>
                </w:tcPr>
                <w:p>
                  <w:pPr>
                    <w:ind w:firstLine="0" w:firstLineChars="0"/>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w:t>
                  </w:r>
                </w:p>
              </w:tc>
              <w:tc>
                <w:tcPr>
                  <w:tcW w:w="1160" w:type="dxa"/>
                  <w:vMerge w:val="continue"/>
                  <w:vAlign w:val="center"/>
                </w:tcPr>
                <w:p>
                  <w:pPr>
                    <w:spacing w:line="240" w:lineRule="auto"/>
                    <w:ind w:firstLine="420"/>
                    <w:jc w:val="center"/>
                    <w:rPr>
                      <w:color w:val="000000" w:themeColor="text1"/>
                      <w:sz w:val="21"/>
                      <w:szCs w:val="21"/>
                      <w14:textFill>
                        <w14:solidFill>
                          <w14:schemeClr w14:val="tx1"/>
                        </w14:solidFill>
                      </w14:textFill>
                    </w:rPr>
                  </w:pPr>
                </w:p>
              </w:tc>
              <w:tc>
                <w:tcPr>
                  <w:tcW w:w="1276" w:type="dxa"/>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20</w:t>
                  </w:r>
                </w:p>
              </w:tc>
              <w:tc>
                <w:tcPr>
                  <w:tcW w:w="1326" w:type="dxa"/>
                  <w:vMerge w:val="continue"/>
                  <w:tcBorders>
                    <w:bottom w:val="single" w:color="auto" w:sz="6"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40"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28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清罐废油、废渣</w:t>
                  </w:r>
                </w:p>
              </w:tc>
              <w:tc>
                <w:tcPr>
                  <w:tcW w:w="263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60"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276"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2kg/3年</w:t>
                  </w:r>
                </w:p>
              </w:tc>
              <w:tc>
                <w:tcPr>
                  <w:tcW w:w="1326" w:type="dxa"/>
                  <w:tcBorders>
                    <w:top w:val="single" w:color="auto" w:sz="6"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交有资质</w:t>
                  </w:r>
                  <w:r>
                    <w:rPr>
                      <w:rFonts w:hint="eastAsia"/>
                      <w:color w:val="000000" w:themeColor="text1"/>
                      <w:sz w:val="21"/>
                      <w:szCs w:val="21"/>
                      <w14:textFill>
                        <w14:solidFill>
                          <w14:schemeClr w14:val="tx1"/>
                        </w14:solidFill>
                      </w14:textFill>
                    </w:rPr>
                    <w:cr/>
                  </w:r>
                  <w:r>
                    <w:rPr>
                      <w:rFonts w:hint="eastAsia"/>
                      <w:color w:val="000000" w:themeColor="text1"/>
                      <w:sz w:val="21"/>
                      <w:szCs w:val="21"/>
                      <w14:textFill>
                        <w14:solidFill>
                          <w14:schemeClr w14:val="tx1"/>
                        </w14:solidFill>
                      </w14:textFill>
                    </w:rPr>
                    <w:t>单位处理</w:t>
                  </w:r>
                </w:p>
              </w:tc>
            </w:tr>
          </w:tbl>
          <w:p>
            <w:pPr>
              <w:pStyle w:val="3"/>
              <w:adjustRightInd w:val="0"/>
              <w:snapToGrid w:val="0"/>
              <w:spacing w:line="360" w:lineRule="auto"/>
              <w:ind w:firstLine="0" w:firstLineChars="0"/>
              <w:rPr>
                <w:rFonts w:ascii="Times New Roman" w:hAnsi="Times New Roman"/>
                <w:color w:val="000000" w:themeColor="text1"/>
                <w:sz w:val="24"/>
                <w:szCs w:val="24"/>
                <w14:textFill>
                  <w14:solidFill>
                    <w14:schemeClr w14:val="tx1"/>
                  </w14:solidFill>
                </w14:textFill>
              </w:rPr>
            </w:pP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pPr>
    </w:p>
    <w:p>
      <w:pPr>
        <w:pStyle w:val="51"/>
        <w:spacing w:after="0" w:line="500" w:lineRule="exact"/>
        <w:ind w:firstLine="0" w:firstLineChars="0"/>
        <w:outlineLvl w:val="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项目主要污染物产生及预计排放情况</w:t>
      </w:r>
    </w:p>
    <w:tbl>
      <w:tblPr>
        <w:tblStyle w:val="28"/>
        <w:tblW w:w="86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9"/>
        <w:gridCol w:w="1014"/>
        <w:gridCol w:w="1276"/>
        <w:gridCol w:w="1642"/>
        <w:gridCol w:w="2044"/>
        <w:gridCol w:w="18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39" w:type="dxa"/>
            <w:tcBorders>
              <w:top w:val="single" w:color="auto" w:sz="12" w:space="0"/>
              <w:left w:val="single" w:color="auto" w:sz="12" w:space="0"/>
              <w:bottom w:val="single" w:color="auto" w:sz="4" w:space="0"/>
              <w:right w:val="single" w:color="auto" w:sz="4" w:space="0"/>
            </w:tcBorders>
            <w:vAlign w:val="center"/>
          </w:tcPr>
          <w:p>
            <w:pPr>
              <w:ind w:firstLine="0" w:firstLineChars="0"/>
              <w:rPr>
                <w:b/>
                <w:color w:val="000000" w:themeColor="text1"/>
                <w14:textFill>
                  <w14:solidFill>
                    <w14:schemeClr w14:val="tx1"/>
                  </w14:solidFill>
                </w14:textFill>
              </w:rPr>
            </w:pPr>
            <w:r>
              <w:rPr>
                <w:rFonts w:hAnsi="宋体"/>
                <w:b/>
                <w:color w:val="000000" w:themeColor="text1"/>
                <w14:textFill>
                  <w14:solidFill>
                    <w14:schemeClr w14:val="tx1"/>
                  </w14:solidFill>
                </w14:textFill>
              </w:rPr>
              <w:t>时段</w:t>
            </w:r>
          </w:p>
        </w:tc>
        <w:tc>
          <w:tcPr>
            <w:tcW w:w="1014" w:type="dxa"/>
            <w:tcBorders>
              <w:top w:val="single" w:color="auto" w:sz="12" w:space="0"/>
              <w:left w:val="single" w:color="auto" w:sz="4" w:space="0"/>
              <w:bottom w:val="single" w:color="auto" w:sz="4" w:space="0"/>
              <w:right w:val="single" w:color="auto" w:sz="4" w:space="0"/>
              <w:tl2br w:val="single" w:color="auto" w:sz="4" w:space="0"/>
            </w:tcBorders>
            <w:vAlign w:val="center"/>
          </w:tcPr>
          <w:p>
            <w:pPr>
              <w:ind w:firstLine="472" w:firstLineChars="196"/>
              <w:rPr>
                <w:b/>
                <w:color w:val="000000" w:themeColor="text1"/>
                <w14:textFill>
                  <w14:solidFill>
                    <w14:schemeClr w14:val="tx1"/>
                  </w14:solidFill>
                </w14:textFill>
              </w:rPr>
            </w:pPr>
            <w:r>
              <w:rPr>
                <w:rFonts w:hAnsi="宋体"/>
                <w:b/>
                <w:color w:val="000000" w:themeColor="text1"/>
                <w14:textFill>
                  <w14:solidFill>
                    <w14:schemeClr w14:val="tx1"/>
                  </w14:solidFill>
                </w14:textFill>
              </w:rPr>
              <w:t>内</w:t>
            </w:r>
            <w:r>
              <w:rPr>
                <w:rFonts w:hint="eastAsia" w:hAnsi="宋体"/>
                <w:b/>
                <w:color w:val="000000" w:themeColor="text1"/>
                <w14:textFill>
                  <w14:solidFill>
                    <w14:schemeClr w14:val="tx1"/>
                  </w14:solidFill>
                </w14:textFill>
              </w:rPr>
              <w:t>容</w:t>
            </w:r>
          </w:p>
          <w:p>
            <w:pPr>
              <w:ind w:firstLine="0" w:firstLineChars="0"/>
              <w:rPr>
                <w:b/>
                <w:color w:val="000000" w:themeColor="text1"/>
                <w14:textFill>
                  <w14:solidFill>
                    <w14:schemeClr w14:val="tx1"/>
                  </w14:solidFill>
                </w14:textFill>
              </w:rPr>
            </w:pPr>
            <w:r>
              <w:rPr>
                <w:rFonts w:hAnsi="宋体"/>
                <w:b/>
                <w:color w:val="000000" w:themeColor="text1"/>
                <w14:textFill>
                  <w14:solidFill>
                    <w14:schemeClr w14:val="tx1"/>
                  </w14:solidFill>
                </w14:textFill>
              </w:rPr>
              <w:t>类型</w:t>
            </w:r>
          </w:p>
        </w:tc>
        <w:tc>
          <w:tcPr>
            <w:tcW w:w="1276" w:type="dxa"/>
            <w:tcBorders>
              <w:top w:val="single" w:color="auto" w:sz="12" w:space="0"/>
              <w:left w:val="single" w:color="auto" w:sz="4" w:space="0"/>
              <w:bottom w:val="single" w:color="auto" w:sz="4" w:space="0"/>
              <w:right w:val="single" w:color="auto" w:sz="4" w:space="0"/>
            </w:tcBorders>
            <w:vAlign w:val="center"/>
          </w:tcPr>
          <w:p>
            <w:pPr>
              <w:ind w:firstLine="0" w:firstLineChars="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排放源</w:t>
            </w:r>
          </w:p>
          <w:p>
            <w:pPr>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w:t>
            </w:r>
            <w:r>
              <w:rPr>
                <w:rFonts w:hAnsi="宋体"/>
                <w:b/>
                <w:color w:val="000000" w:themeColor="text1"/>
                <w14:textFill>
                  <w14:solidFill>
                    <w14:schemeClr w14:val="tx1"/>
                  </w14:solidFill>
                </w14:textFill>
              </w:rPr>
              <w:t>编号</w:t>
            </w:r>
            <w:r>
              <w:rPr>
                <w:b/>
                <w:color w:val="000000" w:themeColor="text1"/>
                <w14:textFill>
                  <w14:solidFill>
                    <w14:schemeClr w14:val="tx1"/>
                  </w14:solidFill>
                </w14:textFill>
              </w:rPr>
              <w:t>)</w:t>
            </w:r>
          </w:p>
        </w:tc>
        <w:tc>
          <w:tcPr>
            <w:tcW w:w="1642" w:type="dxa"/>
            <w:tcBorders>
              <w:top w:val="single" w:color="auto" w:sz="12" w:space="0"/>
              <w:left w:val="single" w:color="auto" w:sz="4" w:space="0"/>
              <w:bottom w:val="single" w:color="auto" w:sz="4" w:space="0"/>
              <w:right w:val="single" w:color="auto" w:sz="4" w:space="0"/>
            </w:tcBorders>
            <w:vAlign w:val="center"/>
          </w:tcPr>
          <w:p>
            <w:pPr>
              <w:ind w:firstLine="0" w:firstLineChars="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污染物名称</w:t>
            </w:r>
          </w:p>
        </w:tc>
        <w:tc>
          <w:tcPr>
            <w:tcW w:w="2044" w:type="dxa"/>
            <w:tcBorders>
              <w:top w:val="single" w:color="auto" w:sz="12" w:space="0"/>
              <w:left w:val="single" w:color="auto" w:sz="4" w:space="0"/>
              <w:bottom w:val="single" w:color="auto" w:sz="4" w:space="0"/>
              <w:right w:val="single" w:color="auto" w:sz="4" w:space="0"/>
            </w:tcBorders>
            <w:vAlign w:val="center"/>
          </w:tcPr>
          <w:p>
            <w:pPr>
              <w:ind w:firstLine="0" w:firstLineChars="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处理前产生浓度及产生量</w:t>
            </w:r>
          </w:p>
        </w:tc>
        <w:tc>
          <w:tcPr>
            <w:tcW w:w="1892" w:type="dxa"/>
            <w:tcBorders>
              <w:top w:val="single" w:color="auto" w:sz="12" w:space="0"/>
              <w:left w:val="single" w:color="auto" w:sz="4" w:space="0"/>
              <w:bottom w:val="single" w:color="auto" w:sz="4" w:space="0"/>
              <w:right w:val="single" w:color="auto" w:sz="12" w:space="0"/>
            </w:tcBorders>
            <w:vAlign w:val="center"/>
          </w:tcPr>
          <w:p>
            <w:pPr>
              <w:ind w:firstLine="0" w:firstLineChars="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51" w:hRule="atLeast"/>
          <w:jc w:val="center"/>
        </w:trPr>
        <w:tc>
          <w:tcPr>
            <w:tcW w:w="739" w:type="dxa"/>
            <w:vMerge w:val="restart"/>
            <w:tcBorders>
              <w:left w:val="single" w:color="auto" w:sz="12"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tc>
        <w:tc>
          <w:tcPr>
            <w:tcW w:w="1014" w:type="dxa"/>
            <w:tcBorders>
              <w:top w:val="single" w:color="auto" w:sz="4" w:space="0"/>
              <w:left w:val="single" w:color="auto" w:sz="4" w:space="0"/>
              <w:right w:val="single" w:color="auto" w:sz="4" w:space="0"/>
            </w:tcBorders>
            <w:vAlign w:val="center"/>
          </w:tcPr>
          <w:p>
            <w:pPr>
              <w:ind w:firstLine="0" w:firstLineChars="0"/>
              <w:jc w:val="cente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大气</w:t>
            </w:r>
          </w:p>
          <w:p>
            <w:pPr>
              <w:ind w:firstLine="0" w:firstLineChars="0"/>
              <w:jc w:val="cente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污染</w:t>
            </w:r>
          </w:p>
        </w:tc>
        <w:tc>
          <w:tcPr>
            <w:tcW w:w="1276"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卸油、储油、加油</w:t>
            </w:r>
          </w:p>
        </w:tc>
        <w:tc>
          <w:tcPr>
            <w:tcW w:w="1642"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2044" w:type="dxa"/>
            <w:tcBorders>
              <w:top w:val="single" w:color="auto" w:sz="4" w:space="0"/>
              <w:left w:val="single" w:color="auto" w:sz="4" w:space="0"/>
              <w:right w:val="single" w:color="auto" w:sz="12" w:space="0"/>
            </w:tcBorders>
            <w:vAlign w:val="center"/>
          </w:tcPr>
          <w:p>
            <w:pPr>
              <w:widowControl/>
              <w:spacing w:line="240" w:lineRule="auto"/>
              <w:ind w:firstLine="0" w:firstLineChars="0"/>
              <w:jc w:val="center"/>
              <w:textAlignment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19.8375</w:t>
            </w:r>
          </w:p>
        </w:tc>
        <w:tc>
          <w:tcPr>
            <w:tcW w:w="1892" w:type="dxa"/>
            <w:tcBorders>
              <w:top w:val="single" w:color="auto" w:sz="4" w:space="0"/>
              <w:left w:val="single" w:color="auto" w:sz="4" w:space="0"/>
              <w:right w:val="single" w:color="auto" w:sz="12" w:space="0"/>
            </w:tcBorders>
            <w:vAlign w:val="center"/>
          </w:tcPr>
          <w:p>
            <w:pPr>
              <w:pStyle w:val="79"/>
              <w:widowControl/>
              <w:textAlignment w:val="center"/>
              <w:rPr>
                <w:snapToGrid/>
                <w:color w:val="000000" w:themeColor="text1"/>
                <w:kern w:val="2"/>
                <w:sz w:val="24"/>
                <w:szCs w:val="24"/>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739" w:type="dxa"/>
            <w:vMerge w:val="continue"/>
            <w:tcBorders>
              <w:left w:val="single" w:color="auto" w:sz="12"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014" w:type="dxa"/>
            <w:vMerge w:val="restart"/>
            <w:tcBorders>
              <w:top w:val="single" w:color="auto" w:sz="4" w:space="0"/>
              <w:left w:val="single" w:color="auto" w:sz="4" w:space="0"/>
              <w:right w:val="single" w:color="auto" w:sz="4" w:space="0"/>
            </w:tcBorders>
            <w:vAlign w:val="center"/>
          </w:tcPr>
          <w:p>
            <w:pPr>
              <w:ind w:firstLine="0" w:firstLineChars="0"/>
              <w:jc w:val="cente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固体废弃物</w:t>
            </w:r>
          </w:p>
        </w:tc>
        <w:tc>
          <w:tcPr>
            <w:tcW w:w="1276"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职工、顾客</w:t>
            </w:r>
          </w:p>
        </w:tc>
        <w:tc>
          <w:tcPr>
            <w:tcW w:w="1642"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2044"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11.74</w:t>
            </w:r>
            <w:r>
              <w:rPr>
                <w:rFonts w:hint="eastAsia"/>
                <w:bCs/>
                <w:color w:val="000000" w:themeColor="text1"/>
                <w14:textFill>
                  <w14:solidFill>
                    <w14:schemeClr w14:val="tx1"/>
                  </w14:solidFill>
                </w14:textFill>
              </w:rPr>
              <w:t>t/a</w:t>
            </w:r>
          </w:p>
        </w:tc>
        <w:tc>
          <w:tcPr>
            <w:tcW w:w="1892" w:type="dxa"/>
            <w:tcBorders>
              <w:top w:val="single" w:color="auto" w:sz="4" w:space="0"/>
              <w:left w:val="single" w:color="auto" w:sz="4" w:space="0"/>
              <w:right w:val="single" w:color="auto" w:sz="12"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交环卫部门处理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9" w:hRule="atLeast"/>
          <w:jc w:val="center"/>
        </w:trPr>
        <w:tc>
          <w:tcPr>
            <w:tcW w:w="739" w:type="dxa"/>
            <w:vMerge w:val="continue"/>
            <w:tcBorders>
              <w:left w:val="single" w:color="auto" w:sz="12"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014" w:type="dxa"/>
            <w:vMerge w:val="continue"/>
            <w:tcBorders>
              <w:left w:val="single" w:color="auto" w:sz="4" w:space="0"/>
              <w:right w:val="single" w:color="auto" w:sz="4" w:space="0"/>
            </w:tcBorders>
            <w:vAlign w:val="center"/>
          </w:tcPr>
          <w:p>
            <w:pPr>
              <w:ind w:firstLine="0" w:firstLineChars="0"/>
              <w:jc w:val="center"/>
              <w:rPr>
                <w:rFonts w:hAnsi="宋体"/>
                <w:color w:val="000000" w:themeColor="text1"/>
                <w14:textFill>
                  <w14:solidFill>
                    <w14:schemeClr w14:val="tx1"/>
                  </w14:solidFill>
                </w14:textFill>
              </w:rPr>
            </w:pP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w:t>
            </w:r>
          </w:p>
        </w:tc>
        <w:tc>
          <w:tcPr>
            <w:tcW w:w="16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含油</w:t>
            </w:r>
            <w:r>
              <w:rPr>
                <w:rFonts w:hint="eastAsia"/>
                <w:color w:val="000000" w:themeColor="text1"/>
                <w14:textFill>
                  <w14:solidFill>
                    <w14:schemeClr w14:val="tx1"/>
                  </w14:solidFill>
                </w14:textFill>
              </w:rPr>
              <w:t>手套、抹布、棉纱</w:t>
            </w:r>
          </w:p>
        </w:tc>
        <w:tc>
          <w:tcPr>
            <w:tcW w:w="20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0.005t/a</w:t>
            </w:r>
          </w:p>
        </w:tc>
        <w:tc>
          <w:tcPr>
            <w:tcW w:w="1892" w:type="dxa"/>
            <w:vMerge w:val="restart"/>
            <w:tcBorders>
              <w:top w:val="single" w:color="auto" w:sz="4" w:space="0"/>
              <w:left w:val="single" w:color="auto" w:sz="4" w:space="0"/>
              <w:right w:val="single" w:color="auto" w:sz="12"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交由有资质单位处置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5" w:hRule="atLeast"/>
          <w:jc w:val="center"/>
        </w:trPr>
        <w:tc>
          <w:tcPr>
            <w:tcW w:w="739" w:type="dxa"/>
            <w:vMerge w:val="continue"/>
            <w:tcBorders>
              <w:left w:val="single" w:color="auto" w:sz="12"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014" w:type="dxa"/>
            <w:vMerge w:val="continue"/>
            <w:tcBorders>
              <w:left w:val="single" w:color="auto" w:sz="4" w:space="0"/>
              <w:right w:val="single" w:color="auto" w:sz="4" w:space="0"/>
            </w:tcBorders>
            <w:vAlign w:val="center"/>
          </w:tcPr>
          <w:p>
            <w:pPr>
              <w:ind w:firstLine="0" w:firstLineChars="0"/>
              <w:jc w:val="center"/>
              <w:rPr>
                <w:rFonts w:hAnsi="宋体"/>
                <w:color w:val="000000" w:themeColor="text1"/>
                <w14:textFill>
                  <w14:solidFill>
                    <w14:schemeClr w14:val="tx1"/>
                  </w14:solidFill>
                </w14:textFill>
              </w:rPr>
            </w:pPr>
          </w:p>
        </w:tc>
        <w:tc>
          <w:tcPr>
            <w:tcW w:w="1276" w:type="dxa"/>
            <w:vMerge w:val="continue"/>
            <w:tcBorders>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64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204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 xml:space="preserve"> t/a</w:t>
            </w:r>
          </w:p>
        </w:tc>
        <w:tc>
          <w:tcPr>
            <w:tcW w:w="1892" w:type="dxa"/>
            <w:vMerge w:val="continue"/>
            <w:tcBorders>
              <w:left w:val="single" w:color="auto" w:sz="4" w:space="0"/>
              <w:bottom w:val="single" w:color="auto" w:sz="4" w:space="0"/>
              <w:right w:val="single" w:color="auto" w:sz="12" w:space="0"/>
            </w:tcBorders>
            <w:vAlign w:val="center"/>
          </w:tcPr>
          <w:p>
            <w:pPr>
              <w:ind w:firstLine="0" w:firstLineChars="0"/>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jc w:val="center"/>
        </w:trPr>
        <w:tc>
          <w:tcPr>
            <w:tcW w:w="739" w:type="dxa"/>
            <w:vMerge w:val="continue"/>
            <w:tcBorders>
              <w:left w:val="single" w:color="auto" w:sz="12"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014" w:type="dxa"/>
            <w:vMerge w:val="continue"/>
            <w:tcBorders>
              <w:left w:val="single" w:color="auto" w:sz="4" w:space="0"/>
              <w:right w:val="single" w:color="auto" w:sz="4" w:space="0"/>
            </w:tcBorders>
            <w:vAlign w:val="center"/>
          </w:tcPr>
          <w:p>
            <w:pPr>
              <w:ind w:firstLine="0" w:firstLineChars="0"/>
              <w:jc w:val="center"/>
              <w:rPr>
                <w:rFonts w:hAnsi="宋体"/>
                <w:color w:val="000000" w:themeColor="text1"/>
                <w14:textFill>
                  <w14:solidFill>
                    <w14:schemeClr w14:val="tx1"/>
                  </w14:solidFill>
                </w14:textFill>
              </w:rPr>
            </w:pPr>
          </w:p>
        </w:tc>
        <w:tc>
          <w:tcPr>
            <w:tcW w:w="1276" w:type="dxa"/>
            <w:vMerge w:val="continue"/>
            <w:tcBorders>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642"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清罐废油、废渣</w:t>
            </w:r>
          </w:p>
        </w:tc>
        <w:tc>
          <w:tcPr>
            <w:tcW w:w="2044" w:type="dxa"/>
            <w:tcBorders>
              <w:top w:val="single" w:color="auto" w:sz="4" w:space="0"/>
              <w:left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2kg/3年</w:t>
            </w:r>
          </w:p>
        </w:tc>
        <w:tc>
          <w:tcPr>
            <w:tcW w:w="1892" w:type="dxa"/>
            <w:tcBorders>
              <w:top w:val="single" w:color="auto" w:sz="4" w:space="0"/>
              <w:left w:val="single" w:color="auto" w:sz="4" w:space="0"/>
              <w:right w:val="single" w:color="auto" w:sz="12"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39" w:type="dxa"/>
            <w:vMerge w:val="continue"/>
            <w:tcBorders>
              <w:left w:val="single" w:color="auto" w:sz="12"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1014" w:type="dxa"/>
            <w:tcBorders>
              <w:top w:val="single" w:color="auto" w:sz="4" w:space="0"/>
              <w:left w:val="single" w:color="auto" w:sz="4" w:space="0"/>
              <w:right w:val="single" w:color="auto" w:sz="4" w:space="0"/>
            </w:tcBorders>
            <w:vAlign w:val="center"/>
          </w:tcPr>
          <w:p>
            <w:pPr>
              <w:ind w:firstLine="0" w:firstLineChars="0"/>
              <w:jc w:val="cente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噪声</w:t>
            </w:r>
          </w:p>
        </w:tc>
        <w:tc>
          <w:tcPr>
            <w:tcW w:w="6854" w:type="dxa"/>
            <w:gridSpan w:val="4"/>
            <w:tcBorders>
              <w:top w:val="single" w:color="auto" w:sz="4" w:space="0"/>
              <w:left w:val="single" w:color="auto" w:sz="4" w:space="0"/>
              <w:right w:val="single" w:color="auto" w:sz="12"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本项目噪声主要为加油机等设备噪声及进、出站的车辆噪声，噪声源强一般为60~</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8607" w:type="dxa"/>
            <w:gridSpan w:val="6"/>
            <w:tcBorders>
              <w:top w:val="single" w:color="auto" w:sz="12" w:space="0"/>
              <w:left w:val="single" w:color="auto" w:sz="12" w:space="0"/>
              <w:bottom w:val="single" w:color="auto" w:sz="12" w:space="0"/>
              <w:right w:val="single" w:color="auto" w:sz="12" w:space="0"/>
            </w:tcBorders>
            <w:vAlign w:val="center"/>
          </w:tcPr>
          <w:p>
            <w:pPr>
              <w:adjustRightInd w:val="0"/>
              <w:ind w:firstLine="0" w:firstLineChars="0"/>
              <w:rPr>
                <w:b/>
                <w:color w:val="000000" w:themeColor="text1"/>
                <w14:textFill>
                  <w14:solidFill>
                    <w14:schemeClr w14:val="tx1"/>
                  </w14:solidFill>
                </w14:textFill>
              </w:rPr>
            </w:pPr>
            <w:r>
              <w:rPr>
                <w:rFonts w:hAnsi="宋体"/>
                <w:b/>
                <w:color w:val="000000" w:themeColor="text1"/>
                <w14:textFill>
                  <w14:solidFill>
                    <w14:schemeClr w14:val="tx1"/>
                  </w14:solidFill>
                </w14:textFill>
              </w:rPr>
              <w:t>主要生态影响</w:t>
            </w:r>
            <w:r>
              <w:rPr>
                <w:b/>
                <w:color w:val="000000" w:themeColor="text1"/>
                <w14:textFill>
                  <w14:solidFill>
                    <w14:schemeClr w14:val="tx1"/>
                  </w14:solidFill>
                </w14:textFill>
              </w:rPr>
              <w:t>(</w:t>
            </w:r>
            <w:r>
              <w:rPr>
                <w:rFonts w:hAnsi="宋体"/>
                <w:b/>
                <w:color w:val="000000" w:themeColor="text1"/>
                <w14:textFill>
                  <w14:solidFill>
                    <w14:schemeClr w14:val="tx1"/>
                  </w14:solidFill>
                </w14:textFill>
              </w:rPr>
              <w:t>不够时可附另页</w:t>
            </w:r>
            <w:r>
              <w:rPr>
                <w:b/>
                <w:color w:val="000000" w:themeColor="text1"/>
                <w14:textFill>
                  <w14:solidFill>
                    <w14:schemeClr w14:val="tx1"/>
                  </w14:solidFill>
                </w14:textFill>
              </w:rPr>
              <w:t>)</w:t>
            </w:r>
          </w:p>
          <w:p>
            <w:pPr>
              <w:adjustRightInd w:val="0"/>
              <w:snapToGrid w:val="0"/>
              <w:ind w:firstLine="48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本项目</w:t>
            </w:r>
            <w:r>
              <w:rPr>
                <w:rFonts w:hAnsi="宋体"/>
                <w:color w:val="000000" w:themeColor="text1"/>
                <w14:textFill>
                  <w14:solidFill>
                    <w14:schemeClr w14:val="tx1"/>
                  </w14:solidFill>
                </w14:textFill>
              </w:rPr>
              <w:t>区域</w:t>
            </w:r>
            <w:r>
              <w:rPr>
                <w:rFonts w:hint="eastAsia" w:hAnsi="宋体"/>
                <w:color w:val="000000" w:themeColor="text1"/>
                <w14:textFill>
                  <w14:solidFill>
                    <w14:schemeClr w14:val="tx1"/>
                  </w14:solidFill>
                </w14:textFill>
              </w:rPr>
              <w:t>为城市生态环境，</w:t>
            </w:r>
            <w:r>
              <w:rPr>
                <w:rFonts w:hAnsi="宋体"/>
                <w:color w:val="000000" w:themeColor="text1"/>
                <w14:textFill>
                  <w14:solidFill>
                    <w14:schemeClr w14:val="tx1"/>
                  </w14:solidFill>
                </w14:textFill>
              </w:rPr>
              <w:t>无特殊保护的植被和动物，生物多样性强度低，无现状敏感性生态因素，对生态环境的影响主要发生在工程施工期。</w:t>
            </w:r>
          </w:p>
          <w:p>
            <w:pPr>
              <w:adjustRightInd w:val="0"/>
              <w:snapToGrid w:val="0"/>
              <w:ind w:firstLine="48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本项目开挖施工会对现有地表有轻微的扰动，裸露地表会造成轻微的水土流失，改变土壤生物和微生物的生存环境。项目建成后，项目设置绿地面积为</w:t>
            </w:r>
            <w:r>
              <w:rPr>
                <w:rFonts w:hint="eastAsia" w:hAnsi="宋体"/>
                <w:color w:val="000000" w:themeColor="text1"/>
                <w14:textFill>
                  <w14:solidFill>
                    <w14:schemeClr w14:val="tx1"/>
                  </w14:solidFill>
                </w14:textFill>
              </w:rPr>
              <w:t>1</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Ansi="宋体"/>
                <w:color w:val="000000" w:themeColor="text1"/>
                <w14:textFill>
                  <w14:solidFill>
                    <w14:schemeClr w14:val="tx1"/>
                  </w14:solidFill>
                </w14:textFill>
              </w:rPr>
              <w:t>，对植被、土地有弥补作用，而在弥补对生态影响的同时，可以起到净化空气，美化环境的作用。</w:t>
            </w:r>
          </w:p>
          <w:p>
            <w:pPr>
              <w:pStyle w:val="7"/>
              <w:ind w:firstLine="643"/>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br w:type="page"/>
      </w:r>
      <w:r>
        <w:rPr>
          <w:b/>
          <w:color w:val="000000" w:themeColor="text1"/>
          <w:sz w:val="28"/>
          <w:szCs w:val="28"/>
          <w14:textFill>
            <w14:solidFill>
              <w14:schemeClr w14:val="tx1"/>
            </w14:solidFill>
          </w14:textFill>
        </w:rPr>
        <w:t>环境影响分析</w:t>
      </w:r>
    </w:p>
    <w:tbl>
      <w:tblPr>
        <w:tblStyle w:val="28"/>
        <w:tblW w:w="8720" w:type="dxa"/>
        <w:tblInd w:w="0" w:type="dxa"/>
        <w:tblBorders>
          <w:top w:val="single" w:color="auto" w:sz="12" w:space="0"/>
          <w:left w:val="single" w:color="auto" w:sz="12" w:space="0"/>
          <w:bottom w:val="single" w:color="auto" w:sz="4"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720"/>
      </w:tblGrid>
      <w:tr>
        <w:tblPrEx>
          <w:tblBorders>
            <w:top w:val="single" w:color="auto" w:sz="12" w:space="0"/>
            <w:left w:val="single" w:color="auto" w:sz="12" w:space="0"/>
            <w:bottom w:val="single" w:color="auto" w:sz="4"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500" w:hRule="atLeast"/>
        </w:trPr>
        <w:tc>
          <w:tcPr>
            <w:tcW w:w="8720" w:type="dxa"/>
          </w:tcPr>
          <w:p>
            <w:pPr>
              <w:ind w:firstLine="0" w:firstLineChars="0"/>
              <w:contextualSpacing/>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施工期</w:t>
            </w:r>
            <w:r>
              <w:rPr>
                <w:rFonts w:hAnsi="宋体"/>
                <w:b/>
                <w:color w:val="000000" w:themeColor="text1"/>
                <w:kern w:val="0"/>
                <w14:textFill>
                  <w14:solidFill>
                    <w14:schemeClr w14:val="tx1"/>
                  </w14:solidFill>
                </w14:textFill>
              </w:rPr>
              <w:t>环境影响分析</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因本项目已建成，故本次评价不对施工期环境影响进行分析。</w:t>
            </w:r>
          </w:p>
          <w:p>
            <w:pPr>
              <w:ind w:firstLine="0" w:firstLineChars="0"/>
              <w:contextualSpacing/>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运营期</w:t>
            </w:r>
            <w:r>
              <w:rPr>
                <w:rFonts w:hAnsi="宋体"/>
                <w:b/>
                <w:color w:val="000000" w:themeColor="text1"/>
                <w:kern w:val="0"/>
                <w14:textFill>
                  <w14:solidFill>
                    <w14:schemeClr w14:val="tx1"/>
                  </w14:solidFill>
                </w14:textFill>
              </w:rPr>
              <w:t>环境影响分析</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项目建成运行后主要污染物包括废气，生活垃圾、危废及站区设备运行时产生的噪声等。</w:t>
            </w:r>
          </w:p>
          <w:p>
            <w:p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1、环境空气影响分析</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（1）非甲烷总烃无组织排放量及其环境影响分析</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本项目卸油、储油、加油过程中将有一定量油气挥发排出，本项目加油站卸油、加油工艺均在密闭的管道中进行，并加装一次、二次及三次油气回收系统，对散发的油气吸附效率达到95%以上，类比同样排放规模的加油站项目，加油站非甲烷总烃无组织排放浓度≤4.0mg/m</w:t>
            </w:r>
            <w:r>
              <w:rPr>
                <w:rFonts w:hint="eastAsia" w:hAnsi="宋体"/>
                <w:color w:val="000000" w:themeColor="text1"/>
                <w:kern w:val="0"/>
                <w:vertAlign w:val="superscript"/>
                <w14:textFill>
                  <w14:solidFill>
                    <w14:schemeClr w14:val="tx1"/>
                  </w14:solidFill>
                </w14:textFill>
              </w:rPr>
              <w:t>3</w:t>
            </w:r>
            <w:r>
              <w:rPr>
                <w:rFonts w:hint="eastAsia" w:hAnsi="宋体"/>
                <w:color w:val="000000" w:themeColor="text1"/>
                <w:kern w:val="0"/>
                <w14:textFill>
                  <w14:solidFill>
                    <w14:schemeClr w14:val="tx1"/>
                  </w14:solidFill>
                </w14:textFill>
              </w:rPr>
              <w:t>，符合《加油站大气污染物排放标准》（GB20952—2007）25g/m</w:t>
            </w:r>
            <w:r>
              <w:rPr>
                <w:rFonts w:hint="eastAsia" w:hAnsi="宋体"/>
                <w:color w:val="000000" w:themeColor="text1"/>
                <w:kern w:val="0"/>
                <w:vertAlign w:val="superscript"/>
                <w14:textFill>
                  <w14:solidFill>
                    <w14:schemeClr w14:val="tx1"/>
                  </w14:solidFill>
                </w14:textFill>
              </w:rPr>
              <w:t>3</w:t>
            </w:r>
            <w:r>
              <w:rPr>
                <w:rFonts w:hint="eastAsia" w:hAnsi="宋体"/>
                <w:color w:val="000000" w:themeColor="text1"/>
                <w:kern w:val="0"/>
                <w14:textFill>
                  <w14:solidFill>
                    <w14:schemeClr w14:val="tx1"/>
                  </w14:solidFill>
                </w14:textFill>
              </w:rPr>
              <w:t>限值要求。对周围环境空气质量影响是可以接受的。</w:t>
            </w:r>
          </w:p>
          <w:p>
            <w:pPr>
              <w:adjustRightInd w:val="0"/>
              <w:snapToGrid w:val="0"/>
              <w:ind w:firstLine="482"/>
              <w:rPr>
                <w:rFonts w:hAnsi="宋体"/>
                <w:b/>
                <w:color w:val="000000" w:themeColor="text1"/>
                <w:szCs w:val="20"/>
                <w14:textFill>
                  <w14:solidFill>
                    <w14:schemeClr w14:val="tx1"/>
                  </w14:solidFill>
                </w14:textFill>
              </w:rPr>
            </w:pPr>
            <w:r>
              <w:rPr>
                <w:rFonts w:hint="eastAsia" w:hAnsi="宋体"/>
                <w:b/>
                <w:color w:val="000000" w:themeColor="text1"/>
                <w:szCs w:val="20"/>
                <w14:textFill>
                  <w14:solidFill>
                    <w14:schemeClr w14:val="tx1"/>
                  </w14:solidFill>
                </w14:textFill>
              </w:rPr>
              <w:t>评价等级确定</w:t>
            </w:r>
          </w:p>
          <w:p>
            <w:pPr>
              <w:pStyle w:val="65"/>
              <w:numPr>
                <w:ilvl w:val="0"/>
                <w:numId w:val="2"/>
              </w:numPr>
              <w:adjustRightInd w:val="0"/>
              <w:snapToGrid w:val="0"/>
              <w:ind w:firstLineChars="0"/>
              <w:rPr>
                <w:rFonts w:hAnsi="宋体"/>
                <w:b/>
                <w:color w:val="000000" w:themeColor="text1"/>
                <w:szCs w:val="20"/>
                <w14:textFill>
                  <w14:solidFill>
                    <w14:schemeClr w14:val="tx1"/>
                  </w14:solidFill>
                </w14:textFill>
              </w:rPr>
            </w:pPr>
            <w:r>
              <w:rPr>
                <w:rFonts w:hint="eastAsia" w:hAnsi="宋体"/>
                <w:b/>
                <w:color w:val="000000" w:themeColor="text1"/>
                <w:szCs w:val="20"/>
                <w14:textFill>
                  <w14:solidFill>
                    <w14:schemeClr w14:val="tx1"/>
                  </w14:solidFill>
                </w14:textFill>
              </w:rPr>
              <w:t>项目污染源排放参数</w:t>
            </w:r>
          </w:p>
          <w:p>
            <w:pPr>
              <w:adjustRightInd w:val="0"/>
              <w:snapToGrid w:val="0"/>
              <w:ind w:firstLine="0" w:firstLineChars="0"/>
              <w:jc w:val="center"/>
              <w:rPr>
                <w:rFonts w:hAnsi="宋体"/>
                <w:b/>
                <w:color w:val="000000" w:themeColor="text1"/>
                <w:sz w:val="22"/>
                <w:szCs w:val="20"/>
                <w14:textFill>
                  <w14:solidFill>
                    <w14:schemeClr w14:val="tx1"/>
                  </w14:solidFill>
                </w14:textFill>
              </w:rPr>
            </w:pPr>
            <w:r>
              <w:rPr>
                <w:rFonts w:hint="eastAsia" w:hAnsi="宋体"/>
                <w:b/>
                <w:color w:val="000000" w:themeColor="text1"/>
                <w:sz w:val="22"/>
                <w:szCs w:val="20"/>
                <w14:textFill>
                  <w14:solidFill>
                    <w14:schemeClr w14:val="tx1"/>
                  </w14:solidFill>
                </w14:textFill>
              </w:rPr>
              <w:t>表7-1  废气面源排放参数汇总</w:t>
            </w:r>
          </w:p>
          <w:tbl>
            <w:tblPr>
              <w:tblStyle w:val="29"/>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625"/>
              <w:gridCol w:w="502"/>
              <w:gridCol w:w="851"/>
              <w:gridCol w:w="708"/>
              <w:gridCol w:w="709"/>
              <w:gridCol w:w="709"/>
              <w:gridCol w:w="992"/>
              <w:gridCol w:w="851"/>
              <w:gridCol w:w="708"/>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名称</w:t>
                  </w:r>
                </w:p>
              </w:tc>
              <w:tc>
                <w:tcPr>
                  <w:tcW w:w="1127" w:type="dxa"/>
                  <w:gridSpan w:val="2"/>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面源起点</w:t>
                  </w:r>
                </w:p>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坐标（m）</w:t>
                  </w:r>
                </w:p>
              </w:tc>
              <w:tc>
                <w:tcPr>
                  <w:tcW w:w="851"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面源海拔高度/m</w:t>
                  </w:r>
                </w:p>
              </w:tc>
              <w:tc>
                <w:tcPr>
                  <w:tcW w:w="708"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面源长度/m</w:t>
                  </w:r>
                </w:p>
              </w:tc>
              <w:tc>
                <w:tcPr>
                  <w:tcW w:w="709"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面源宽度</w:t>
                  </w:r>
                  <w:r>
                    <w:rPr>
                      <w:color w:val="000000" w:themeColor="text1"/>
                      <w:kern w:val="0"/>
                      <w:position w:val="-10"/>
                      <w:sz w:val="21"/>
                      <w:szCs w:val="20"/>
                      <w14:textFill>
                        <w14:solidFill>
                          <w14:schemeClr w14:val="tx1"/>
                        </w14:solidFill>
                      </w14:textFill>
                    </w:rPr>
                    <w:t>/m</w:t>
                  </w:r>
                </w:p>
              </w:tc>
              <w:tc>
                <w:tcPr>
                  <w:tcW w:w="709"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与正北向夹角</w:t>
                  </w:r>
                  <w:r>
                    <w:rPr>
                      <w:color w:val="000000" w:themeColor="text1"/>
                      <w:kern w:val="0"/>
                      <w:position w:val="-10"/>
                      <w:sz w:val="21"/>
                      <w:szCs w:val="20"/>
                      <w14:textFill>
                        <w14:solidFill>
                          <w14:schemeClr w14:val="tx1"/>
                        </w14:solidFill>
                      </w14:textFill>
                    </w:rPr>
                    <w:t>/°</w:t>
                  </w:r>
                </w:p>
              </w:tc>
              <w:tc>
                <w:tcPr>
                  <w:tcW w:w="992"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面源有效排放高度/m</w:t>
                  </w:r>
                </w:p>
              </w:tc>
              <w:tc>
                <w:tcPr>
                  <w:tcW w:w="851"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年排放小时数</w:t>
                  </w:r>
                  <w:r>
                    <w:rPr>
                      <w:rFonts w:hint="eastAsia"/>
                      <w:color w:val="000000" w:themeColor="text1"/>
                      <w:kern w:val="0"/>
                      <w:position w:val="-10"/>
                      <w:sz w:val="21"/>
                      <w:szCs w:val="21"/>
                      <w14:textFill>
                        <w14:solidFill>
                          <w14:schemeClr w14:val="tx1"/>
                        </w14:solidFill>
                      </w14:textFill>
                    </w:rPr>
                    <w:t>/h</w:t>
                  </w:r>
                </w:p>
              </w:tc>
              <w:tc>
                <w:tcPr>
                  <w:tcW w:w="708"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排放工况</w:t>
                  </w:r>
                </w:p>
              </w:tc>
              <w:tc>
                <w:tcPr>
                  <w:tcW w:w="1057"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污染物</w:t>
                  </w:r>
                </w:p>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排放速率（g/s）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625"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X</w:t>
                  </w:r>
                </w:p>
              </w:tc>
              <w:tc>
                <w:tcPr>
                  <w:tcW w:w="502"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Y</w:t>
                  </w:r>
                </w:p>
              </w:tc>
              <w:tc>
                <w:tcPr>
                  <w:tcW w:w="851"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708"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709"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709"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992"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851" w:type="dxa"/>
                  <w:vMerge w:val="continue"/>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708"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1057"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16"/>
                      <w:szCs w:val="20"/>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9"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加油站</w:t>
                  </w:r>
                </w:p>
              </w:tc>
              <w:tc>
                <w:tcPr>
                  <w:tcW w:w="625"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0</w:t>
                  </w:r>
                </w:p>
              </w:tc>
              <w:tc>
                <w:tcPr>
                  <w:tcW w:w="502"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0</w:t>
                  </w:r>
                </w:p>
              </w:tc>
              <w:tc>
                <w:tcPr>
                  <w:tcW w:w="851"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370.3</w:t>
                  </w:r>
                </w:p>
              </w:tc>
              <w:tc>
                <w:tcPr>
                  <w:tcW w:w="70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57</w:t>
                  </w:r>
                </w:p>
              </w:tc>
              <w:tc>
                <w:tcPr>
                  <w:tcW w:w="709"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43</w:t>
                  </w:r>
                </w:p>
              </w:tc>
              <w:tc>
                <w:tcPr>
                  <w:tcW w:w="709"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0</w:t>
                  </w:r>
                </w:p>
              </w:tc>
              <w:tc>
                <w:tcPr>
                  <w:tcW w:w="992"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4.5</w:t>
                  </w:r>
                </w:p>
              </w:tc>
              <w:tc>
                <w:tcPr>
                  <w:tcW w:w="851" w:type="dxa"/>
                  <w:vAlign w:val="center"/>
                </w:tcPr>
                <w:p>
                  <w:pPr>
                    <w:tabs>
                      <w:tab w:val="left" w:pos="-2848"/>
                    </w:tabs>
                    <w:spacing w:line="240" w:lineRule="auto"/>
                    <w:ind w:firstLine="0" w:firstLineChars="0"/>
                    <w:jc w:val="center"/>
                    <w:rPr>
                      <w:color w:val="000000" w:themeColor="text1"/>
                      <w:kern w:val="0"/>
                      <w:position w:val="-10"/>
                      <w:sz w:val="20"/>
                      <w:szCs w:val="20"/>
                      <w14:textFill>
                        <w14:solidFill>
                          <w14:schemeClr w14:val="tx1"/>
                        </w14:solidFill>
                      </w14:textFill>
                    </w:rPr>
                  </w:pPr>
                  <w:r>
                    <w:rPr>
                      <w:rFonts w:hint="eastAsia"/>
                      <w:color w:val="000000" w:themeColor="text1"/>
                      <w:kern w:val="0"/>
                      <w:position w:val="-10"/>
                      <w:sz w:val="20"/>
                      <w:szCs w:val="20"/>
                      <w14:textFill>
                        <w14:solidFill>
                          <w14:schemeClr w14:val="tx1"/>
                        </w14:solidFill>
                      </w14:textFill>
                    </w:rPr>
                    <w:t>8760</w:t>
                  </w:r>
                </w:p>
              </w:tc>
              <w:tc>
                <w:tcPr>
                  <w:tcW w:w="70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正常</w:t>
                  </w:r>
                </w:p>
              </w:tc>
              <w:tc>
                <w:tcPr>
                  <w:tcW w:w="1057"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0.03258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1" w:type="dxa"/>
                  <w:gridSpan w:val="11"/>
                  <w:vAlign w:val="center"/>
                </w:tcPr>
                <w:p>
                  <w:pPr>
                    <w:tabs>
                      <w:tab w:val="left" w:pos="-2848"/>
                    </w:tabs>
                    <w:spacing w:line="240" w:lineRule="auto"/>
                    <w:ind w:firstLine="0" w:firstLineChars="0"/>
                    <w:jc w:val="left"/>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备注：本项目以站址西南角为中心点。</w:t>
                  </w:r>
                </w:p>
              </w:tc>
            </w:tr>
          </w:tbl>
          <w:p>
            <w:pPr>
              <w:pStyle w:val="65"/>
              <w:numPr>
                <w:ilvl w:val="0"/>
                <w:numId w:val="2"/>
              </w:numPr>
              <w:adjustRightInd w:val="0"/>
              <w:snapToGrid w:val="0"/>
              <w:ind w:firstLineChars="0"/>
              <w:rPr>
                <w:rFonts w:hAnsi="宋体"/>
                <w:b/>
                <w:color w:val="000000" w:themeColor="text1"/>
                <w:szCs w:val="20"/>
                <w14:textFill>
                  <w14:solidFill>
                    <w14:schemeClr w14:val="tx1"/>
                  </w14:solidFill>
                </w14:textFill>
              </w:rPr>
            </w:pPr>
            <w:r>
              <w:rPr>
                <w:rFonts w:hint="eastAsia" w:hAnsi="宋体"/>
                <w:b/>
                <w:color w:val="000000" w:themeColor="text1"/>
                <w:szCs w:val="20"/>
                <w14:textFill>
                  <w14:solidFill>
                    <w14:schemeClr w14:val="tx1"/>
                  </w14:solidFill>
                </w14:textFill>
              </w:rPr>
              <w:t>估算模型参数表</w:t>
            </w:r>
          </w:p>
          <w:p>
            <w:pPr>
              <w:adjustRightInd w:val="0"/>
              <w:snapToGrid w:val="0"/>
              <w:ind w:firstLine="0" w:firstLineChars="0"/>
              <w:jc w:val="center"/>
              <w:rPr>
                <w:rFonts w:hAnsi="宋体"/>
                <w:b/>
                <w:color w:val="000000" w:themeColor="text1"/>
                <w:sz w:val="22"/>
                <w:szCs w:val="20"/>
                <w14:textFill>
                  <w14:solidFill>
                    <w14:schemeClr w14:val="tx1"/>
                  </w14:solidFill>
                </w14:textFill>
              </w:rPr>
            </w:pPr>
            <w:r>
              <w:rPr>
                <w:rFonts w:hint="eastAsia" w:hAnsi="宋体"/>
                <w:b/>
                <w:color w:val="000000" w:themeColor="text1"/>
                <w:sz w:val="22"/>
                <w:szCs w:val="20"/>
                <w14:textFill>
                  <w14:solidFill>
                    <w14:schemeClr w14:val="tx1"/>
                  </w14:solidFill>
                </w14:textFill>
              </w:rPr>
              <w:t>表7-2   估算模型参数表</w:t>
            </w:r>
          </w:p>
          <w:tbl>
            <w:tblPr>
              <w:tblStyle w:val="29"/>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42"/>
              <w:gridCol w:w="3564"/>
              <w:gridCol w:w="2798"/>
            </w:tblGrid>
            <w:tr>
              <w:tblPrEx>
                <w:tblCellMar>
                  <w:top w:w="0" w:type="dxa"/>
                  <w:left w:w="108" w:type="dxa"/>
                  <w:bottom w:w="0" w:type="dxa"/>
                  <w:right w:w="108" w:type="dxa"/>
                </w:tblCellMar>
              </w:tblPrEx>
              <w:tc>
                <w:tcPr>
                  <w:tcW w:w="5595" w:type="dxa"/>
                  <w:gridSpan w:val="3"/>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参数</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Merge w:val="restart"/>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城市/农村选项</w:t>
                  </w:r>
                </w:p>
              </w:tc>
              <w:tc>
                <w:tcPr>
                  <w:tcW w:w="3706" w:type="dxa"/>
                  <w:gridSpan w:val="2"/>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城市/农村</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Merge w:val="continue"/>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p>
              </w:tc>
              <w:tc>
                <w:tcPr>
                  <w:tcW w:w="3706" w:type="dxa"/>
                  <w:gridSpan w:val="2"/>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人口数（城市选项时）</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53万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5" w:type="dxa"/>
                  <w:gridSpan w:val="3"/>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color w:val="000000" w:themeColor="text1"/>
                      <w:kern w:val="0"/>
                      <w:position w:val="-10"/>
                      <w:sz w:val="21"/>
                      <w:szCs w:val="20"/>
                      <w14:textFill>
                        <w14:solidFill>
                          <w14:schemeClr w14:val="tx1"/>
                        </w14:solidFill>
                      </w14:textFill>
                    </w:rPr>
                    <w:t>最高环境温度/℃</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95" w:type="dxa"/>
                  <w:gridSpan w:val="3"/>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最低环境温度/℃</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5" w:type="dxa"/>
                  <w:gridSpan w:val="3"/>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color w:val="000000" w:themeColor="text1"/>
                      <w:kern w:val="0"/>
                      <w:position w:val="-10"/>
                      <w:sz w:val="21"/>
                      <w:szCs w:val="20"/>
                      <w14:textFill>
                        <w14:solidFill>
                          <w14:schemeClr w14:val="tx1"/>
                        </w14:solidFill>
                      </w14:textFill>
                    </w:rPr>
                    <w:t>土地利用类型</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5" w:type="dxa"/>
                  <w:gridSpan w:val="3"/>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区域湿度条件</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半湿润区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gridSpan w:val="2"/>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是否考虑地形</w:t>
                  </w:r>
                </w:p>
              </w:tc>
              <w:tc>
                <w:tcPr>
                  <w:tcW w:w="3564"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考虑地形</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gridSpan w:val="2"/>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3564"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地形数据分辨率</w:t>
                  </w:r>
                  <w:r>
                    <w:rPr>
                      <w:rFonts w:hint="eastAsia"/>
                      <w:color w:val="000000" w:themeColor="text1"/>
                      <w:kern w:val="0"/>
                      <w:position w:val="-10"/>
                      <w:sz w:val="21"/>
                      <w:szCs w:val="21"/>
                      <w14:textFill>
                        <w14:solidFill>
                          <w14:schemeClr w14:val="tx1"/>
                        </w14:solidFill>
                      </w14:textFill>
                    </w:rPr>
                    <w:t>/m</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gridSpan w:val="2"/>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是否考虑岸线熏烟</w:t>
                  </w:r>
                </w:p>
              </w:tc>
              <w:tc>
                <w:tcPr>
                  <w:tcW w:w="3564"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考虑岸线熏烟</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gridSpan w:val="2"/>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3564"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岸线距离</w:t>
                  </w:r>
                  <w:r>
                    <w:rPr>
                      <w:rFonts w:hint="eastAsia"/>
                      <w:color w:val="000000" w:themeColor="text1"/>
                      <w:kern w:val="0"/>
                      <w:position w:val="-10"/>
                      <w:sz w:val="21"/>
                      <w:szCs w:val="21"/>
                      <w14:textFill>
                        <w14:solidFill>
                          <w14:schemeClr w14:val="tx1"/>
                        </w14:solidFill>
                      </w14:textFill>
                    </w:rPr>
                    <w:t>/km</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gridSpan w:val="2"/>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3564"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color w:val="000000" w:themeColor="text1"/>
                      <w:kern w:val="0"/>
                      <w:position w:val="-10"/>
                      <w:sz w:val="21"/>
                      <w:szCs w:val="21"/>
                      <w14:textFill>
                        <w14:solidFill>
                          <w14:schemeClr w14:val="tx1"/>
                        </w14:solidFill>
                      </w14:textFill>
                    </w:rPr>
                    <w:t>岸线方向</w:t>
                  </w:r>
                  <w:r>
                    <w:rPr>
                      <w:rFonts w:hint="eastAsia"/>
                      <w:color w:val="000000" w:themeColor="text1"/>
                      <w:kern w:val="0"/>
                      <w:position w:val="-10"/>
                      <w:sz w:val="21"/>
                      <w:szCs w:val="21"/>
                      <w14:textFill>
                        <w14:solidFill>
                          <w14:schemeClr w14:val="tx1"/>
                        </w14:solidFill>
                      </w14:textFill>
                    </w:rPr>
                    <w:t>/°</w:t>
                  </w:r>
                </w:p>
              </w:tc>
              <w:tc>
                <w:tcPr>
                  <w:tcW w:w="2798"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w:t>
                  </w:r>
                </w:p>
              </w:tc>
            </w:tr>
          </w:tbl>
          <w:p>
            <w:pPr>
              <w:adjustRightInd w:val="0"/>
              <w:snapToGrid w:val="0"/>
              <w:ind w:firstLine="482"/>
              <w:rPr>
                <w:b/>
                <w:color w:val="000000" w:themeColor="text1"/>
                <w:szCs w:val="20"/>
                <w14:textFill>
                  <w14:solidFill>
                    <w14:schemeClr w14:val="tx1"/>
                  </w14:solidFill>
                </w14:textFill>
              </w:rPr>
            </w:pPr>
            <w:r>
              <w:rPr>
                <w:rFonts w:hint="eastAsia" w:ascii="宋体" w:hAnsi="宋体" w:cs="宋体"/>
                <w:b/>
                <w:color w:val="000000" w:themeColor="text1"/>
                <w:szCs w:val="20"/>
                <w14:textFill>
                  <w14:solidFill>
                    <w14:schemeClr w14:val="tx1"/>
                  </w14:solidFill>
                </w14:textFill>
              </w:rPr>
              <w:t>③</w:t>
            </w:r>
            <w:r>
              <w:rPr>
                <w:b/>
                <w:color w:val="000000" w:themeColor="text1"/>
                <w:szCs w:val="20"/>
                <w14:textFill>
                  <w14:solidFill>
                    <w14:schemeClr w14:val="tx1"/>
                  </w14:solidFill>
                </w14:textFill>
              </w:rPr>
              <w:t>估算模式计算结果分析</w:t>
            </w:r>
          </w:p>
          <w:p>
            <w:pPr>
              <w:adjustRightInd w:val="0"/>
              <w:snapToGrid w:val="0"/>
              <w:ind w:firstLine="480"/>
              <w:rPr>
                <w:rFonts w:hAnsi="宋体"/>
                <w:color w:val="000000" w:themeColor="text1"/>
                <w:szCs w:val="20"/>
                <w14:textFill>
                  <w14:solidFill>
                    <w14:schemeClr w14:val="tx1"/>
                  </w14:solidFill>
                </w14:textFill>
              </w:rPr>
            </w:pPr>
            <w:r>
              <w:rPr>
                <w:rFonts w:hint="eastAsia" w:hAnsi="宋体"/>
                <w:color w:val="000000" w:themeColor="text1"/>
                <w:szCs w:val="20"/>
                <w14:textFill>
                  <w14:solidFill>
                    <w14:schemeClr w14:val="tx1"/>
                  </w14:solidFill>
                </w14:textFill>
              </w:rPr>
              <w:t>根据《环境环境影响评价技术导则大气环境》（HJ2.2-2018）中推荐的估算模式，分别计算项目排放主要污染物的最大地面空气质量浓度占标率Pi(第i个污染物)，及第i个污染物的地面空气质量浓度达到标准值的10%所对应的最远距离D</w:t>
            </w:r>
            <w:r>
              <w:rPr>
                <w:rFonts w:hint="eastAsia" w:hAnsi="宋体"/>
                <w:color w:val="000000" w:themeColor="text1"/>
                <w:szCs w:val="20"/>
                <w:vertAlign w:val="subscript"/>
                <w14:textFill>
                  <w14:solidFill>
                    <w14:schemeClr w14:val="tx1"/>
                  </w14:solidFill>
                </w14:textFill>
              </w:rPr>
              <w:t>10%</w:t>
            </w:r>
            <w:r>
              <w:rPr>
                <w:rFonts w:hint="eastAsia" w:hAnsi="宋体"/>
                <w:color w:val="000000" w:themeColor="text1"/>
                <w:szCs w:val="20"/>
                <w14:textFill>
                  <w14:solidFill>
                    <w14:schemeClr w14:val="tx1"/>
                  </w14:solidFill>
                </w14:textFill>
              </w:rPr>
              <w:t xml:space="preserve">。 </w:t>
            </w:r>
          </w:p>
          <w:p>
            <w:pPr>
              <w:adjustRightInd w:val="0"/>
              <w:snapToGrid w:val="0"/>
              <w:ind w:firstLine="0" w:firstLineChars="0"/>
              <w:jc w:val="center"/>
              <w:rPr>
                <w:rFonts w:hAnsi="宋体"/>
                <w:b/>
                <w:color w:val="000000" w:themeColor="text1"/>
                <w:sz w:val="22"/>
                <w:szCs w:val="20"/>
                <w14:textFill>
                  <w14:solidFill>
                    <w14:schemeClr w14:val="tx1"/>
                  </w14:solidFill>
                </w14:textFill>
              </w:rPr>
            </w:pPr>
            <w:r>
              <w:rPr>
                <w:rFonts w:hint="eastAsia" w:hAnsi="宋体"/>
                <w:b/>
                <w:color w:val="000000" w:themeColor="text1"/>
                <w:sz w:val="22"/>
                <w:szCs w:val="20"/>
                <w14:textFill>
                  <w14:solidFill>
                    <w14:schemeClr w14:val="tx1"/>
                  </w14:solidFill>
                </w14:textFill>
              </w:rPr>
              <w:t>表7-3  无组织估算模型计算结果</w:t>
            </w:r>
          </w:p>
          <w:tbl>
            <w:tblPr>
              <w:tblStyle w:val="2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367"/>
              <w:gridCol w:w="1418"/>
              <w:gridCol w:w="1701"/>
              <w:gridCol w:w="1552"/>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63"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下风向距离/m</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预测质量浓度/mg/m</w:t>
                  </w:r>
                  <w:r>
                    <w:rPr>
                      <w:rFonts w:hint="eastAsia"/>
                      <w:color w:val="000000" w:themeColor="text1"/>
                      <w:kern w:val="0"/>
                      <w:position w:val="-10"/>
                      <w:sz w:val="21"/>
                      <w:szCs w:val="20"/>
                      <w:vertAlign w:val="superscript"/>
                      <w14:textFill>
                        <w14:solidFill>
                          <w14:schemeClr w14:val="tx1"/>
                        </w14:solidFill>
                      </w14:textFill>
                    </w:rPr>
                    <w:t>3</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占标率/%</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下风向距离/m</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预测质量浓度/mg/m</w:t>
                  </w:r>
                  <w:r>
                    <w:rPr>
                      <w:rFonts w:hint="eastAsia"/>
                      <w:color w:val="000000" w:themeColor="text1"/>
                      <w:kern w:val="0"/>
                      <w:position w:val="-10"/>
                      <w:sz w:val="21"/>
                      <w:szCs w:val="20"/>
                      <w:vertAlign w:val="superscript"/>
                      <w14:textFill>
                        <w14:solidFill>
                          <w14:schemeClr w14:val="tx1"/>
                        </w14:solidFill>
                      </w14:textFill>
                    </w:rPr>
                    <w:t>3</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0"/>
                      <w14:textFill>
                        <w14:solidFill>
                          <w14:schemeClr w14:val="tx1"/>
                        </w14:solidFill>
                      </w14:textFill>
                    </w:rPr>
                  </w:pPr>
                  <w:r>
                    <w:rPr>
                      <w:rFonts w:hint="eastAsia"/>
                      <w:color w:val="000000" w:themeColor="text1"/>
                      <w:kern w:val="0"/>
                      <w:position w:val="-10"/>
                      <w:sz w:val="21"/>
                      <w:szCs w:val="20"/>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w:t>
                  </w:r>
                  <w:r>
                    <w:rPr>
                      <w:rFonts w:hint="eastAsia"/>
                      <w:color w:val="000000" w:themeColor="text1"/>
                      <w:kern w:val="0"/>
                      <w:position w:val="-10"/>
                      <w:sz w:val="21"/>
                      <w:szCs w:val="21"/>
                      <w:lang w:val="en-US" w:eastAsia="zh-CN"/>
                      <w14:textFill>
                        <w14:solidFill>
                          <w14:schemeClr w14:val="tx1"/>
                        </w14:solidFill>
                      </w14:textFill>
                    </w:rPr>
                    <w:t>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0.106</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5.32</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1100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0.0527</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25</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0.139</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6.95</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1200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0.0499</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b/>
                      <w:color w:val="000000" w:themeColor="text1"/>
                      <w:kern w:val="0"/>
                      <w:position w:val="-10"/>
                      <w:sz w:val="21"/>
                      <w:szCs w:val="21"/>
                      <w14:textFill>
                        <w14:solidFill>
                          <w14:schemeClr w14:val="tx1"/>
                        </w14:solidFill>
                      </w14:textFill>
                    </w:rPr>
                  </w:pPr>
                  <w:r>
                    <w:rPr>
                      <w:rFonts w:hint="eastAsia"/>
                      <w:b/>
                      <w:color w:val="000000" w:themeColor="text1"/>
                      <w:kern w:val="0"/>
                      <w:position w:val="-10"/>
                      <w:sz w:val="21"/>
                      <w:szCs w:val="21"/>
                      <w:lang w:val="en-US" w:eastAsia="zh-CN"/>
                      <w14:textFill>
                        <w14:solidFill>
                          <w14:schemeClr w14:val="tx1"/>
                        </w14:solidFill>
                      </w14:textFill>
                    </w:rPr>
                    <w:t>46</w:t>
                  </w:r>
                </w:p>
              </w:tc>
              <w:tc>
                <w:tcPr>
                  <w:tcW w:w="1367" w:type="dxa"/>
                  <w:vAlign w:val="center"/>
                </w:tcPr>
                <w:p>
                  <w:pPr>
                    <w:tabs>
                      <w:tab w:val="left" w:pos="-2848"/>
                    </w:tabs>
                    <w:spacing w:line="240" w:lineRule="auto"/>
                    <w:ind w:firstLine="0" w:firstLineChars="0"/>
                    <w:jc w:val="center"/>
                    <w:rPr>
                      <w:b/>
                      <w:color w:val="000000" w:themeColor="text1"/>
                      <w:kern w:val="0"/>
                      <w:position w:val="-10"/>
                      <w:sz w:val="21"/>
                      <w:szCs w:val="21"/>
                      <w14:textFill>
                        <w14:solidFill>
                          <w14:schemeClr w14:val="tx1"/>
                        </w14:solidFill>
                      </w14:textFill>
                    </w:rPr>
                  </w:pPr>
                  <w:r>
                    <w:rPr>
                      <w:rFonts w:hint="eastAsia"/>
                      <w:b/>
                      <w:color w:val="000000" w:themeColor="text1"/>
                      <w:kern w:val="0"/>
                      <w:position w:val="-10"/>
                      <w:sz w:val="21"/>
                      <w:szCs w:val="21"/>
                      <w:lang w:val="en-US" w:eastAsia="zh-CN"/>
                      <w14:textFill>
                        <w14:solidFill>
                          <w14:schemeClr w14:val="tx1"/>
                        </w14:solidFill>
                      </w14:textFill>
                    </w:rPr>
                    <w:t>0.159</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7.97</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1300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0.0469</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50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0.158</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7.88</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1400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0.0442</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75</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0.147</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7.37</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1500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0.0417</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0.148</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7.40</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1600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0.0395</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0.129</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6.45</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1700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0.0375</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300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0.115</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5.74</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1800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0.0359</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400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0.102</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5.09</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1900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0.0346</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500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0.0906</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4.53</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2000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0.0334</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600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0.0813</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4.07</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2100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0.0323</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700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0.0734</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3.67</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2200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0.0312</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800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0.0667</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3.34</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2300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0.0302</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900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0.0611</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3.06</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2400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0.0293</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1000</w:t>
                  </w:r>
                </w:p>
              </w:tc>
              <w:tc>
                <w:tcPr>
                  <w:tcW w:w="13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0.0566</w:t>
                  </w:r>
                </w:p>
              </w:tc>
              <w:tc>
                <w:tcPr>
                  <w:tcW w:w="1418" w:type="dxa"/>
                  <w:tcBorders>
                    <w:righ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2.83</w:t>
                  </w:r>
                </w:p>
              </w:tc>
              <w:tc>
                <w:tcPr>
                  <w:tcW w:w="1701" w:type="dxa"/>
                  <w:tcBorders>
                    <w:left w:val="double" w:color="auto" w:sz="4" w:space="0"/>
                  </w:tcBorders>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2500</w:t>
                  </w:r>
                </w:p>
              </w:tc>
              <w:tc>
                <w:tcPr>
                  <w:tcW w:w="1552"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0.0284</w:t>
                  </w:r>
                </w:p>
              </w:tc>
              <w:tc>
                <w:tcPr>
                  <w:tcW w:w="99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lang w:val="en-US" w:eastAsia="zh-CN"/>
                      <w14:textFill>
                        <w14:solidFill>
                          <w14:schemeClr w14:val="tx1"/>
                        </w14:solidFill>
                      </w14:textFill>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500" w:type="dxa"/>
                  <w:gridSpan w:val="6"/>
                  <w:vAlign w:val="center"/>
                </w:tcPr>
                <w:p>
                  <w:pPr>
                    <w:tabs>
                      <w:tab w:val="left" w:pos="-2848"/>
                    </w:tabs>
                    <w:spacing w:line="240" w:lineRule="auto"/>
                    <w:ind w:firstLine="0" w:firstLineChars="0"/>
                    <w:rPr>
                      <w:b/>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下风向最大质量浓度：</w:t>
                  </w:r>
                  <w:r>
                    <w:rPr>
                      <w:color w:val="000000" w:themeColor="text1"/>
                      <w:kern w:val="0"/>
                      <w:position w:val="-10"/>
                      <w:sz w:val="21"/>
                      <w:szCs w:val="21"/>
                      <w14:textFill>
                        <w14:solidFill>
                          <w14:schemeClr w14:val="tx1"/>
                        </w14:solidFill>
                      </w14:textFill>
                    </w:rPr>
                    <w:t>0.</w:t>
                  </w:r>
                  <w:r>
                    <w:rPr>
                      <w:rFonts w:hint="eastAsia"/>
                      <w:color w:val="000000" w:themeColor="text1"/>
                      <w:kern w:val="0"/>
                      <w:position w:val="-10"/>
                      <w:sz w:val="21"/>
                      <w:szCs w:val="21"/>
                      <w:lang w:val="en-US" w:eastAsia="zh-CN"/>
                      <w14:textFill>
                        <w14:solidFill>
                          <w14:schemeClr w14:val="tx1"/>
                        </w14:solidFill>
                      </w14:textFill>
                    </w:rPr>
                    <w:t>159</w:t>
                  </w:r>
                  <w:r>
                    <w:rPr>
                      <w:rFonts w:hint="eastAsia"/>
                      <w:color w:val="000000" w:themeColor="text1"/>
                      <w:kern w:val="0"/>
                      <w:position w:val="-10"/>
                      <w:sz w:val="21"/>
                      <w:szCs w:val="20"/>
                      <w14:textFill>
                        <w14:solidFill>
                          <w14:schemeClr w14:val="tx1"/>
                        </w14:solidFill>
                      </w14:textFill>
                    </w:rPr>
                    <w:t>mg/m</w:t>
                  </w:r>
                  <w:r>
                    <w:rPr>
                      <w:rFonts w:hint="eastAsia"/>
                      <w:color w:val="000000" w:themeColor="text1"/>
                      <w:kern w:val="0"/>
                      <w:position w:val="-10"/>
                      <w:sz w:val="21"/>
                      <w:szCs w:val="20"/>
                      <w:vertAlign w:val="superscript"/>
                      <w14:textFill>
                        <w14:solidFill>
                          <w14:schemeClr w14:val="tx1"/>
                        </w14:solidFill>
                      </w14:textFill>
                    </w:rPr>
                    <w:t>3</w:t>
                  </w:r>
                  <w:r>
                    <w:rPr>
                      <w:rFonts w:hint="eastAsia"/>
                      <w:color w:val="000000" w:themeColor="text1"/>
                      <w:kern w:val="0"/>
                      <w:position w:val="-10"/>
                      <w:sz w:val="21"/>
                      <w:szCs w:val="20"/>
                      <w14:textFill>
                        <w14:solidFill>
                          <w14:schemeClr w14:val="tx1"/>
                        </w14:solidFill>
                      </w14:textFill>
                    </w:rPr>
                    <w:t>，</w:t>
                  </w:r>
                  <w:r>
                    <w:rPr>
                      <w:rFonts w:hint="eastAsia"/>
                      <w:color w:val="000000" w:themeColor="text1"/>
                      <w:kern w:val="0"/>
                      <w:position w:val="-10"/>
                      <w:sz w:val="21"/>
                      <w:szCs w:val="21"/>
                      <w14:textFill>
                        <w14:solidFill>
                          <w14:schemeClr w14:val="tx1"/>
                        </w14:solidFill>
                      </w14:textFill>
                    </w:rPr>
                    <w:t>占标率：</w:t>
                  </w:r>
                  <w:r>
                    <w:rPr>
                      <w:rFonts w:hint="eastAsia"/>
                      <w:color w:val="000000" w:themeColor="text1"/>
                      <w:kern w:val="0"/>
                      <w:position w:val="-10"/>
                      <w:sz w:val="21"/>
                      <w:szCs w:val="21"/>
                      <w:lang w:val="en-US" w:eastAsia="zh-CN"/>
                      <w14:textFill>
                        <w14:solidFill>
                          <w14:schemeClr w14:val="tx1"/>
                        </w14:solidFill>
                      </w14:textFill>
                    </w:rPr>
                    <w:t>7.97</w:t>
                  </w:r>
                  <w:r>
                    <w:rPr>
                      <w:rFonts w:hint="eastAsia"/>
                      <w:color w:val="000000" w:themeColor="text1"/>
                      <w:kern w:val="0"/>
                      <w:position w:val="-1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D10%最远距离</w:t>
                  </w:r>
                </w:p>
              </w:tc>
              <w:tc>
                <w:tcPr>
                  <w:tcW w:w="7037" w:type="dxa"/>
                  <w:gridSpan w:val="5"/>
                  <w:vAlign w:val="center"/>
                </w:tcPr>
                <w:p>
                  <w:pPr>
                    <w:tabs>
                      <w:tab w:val="left" w:pos="-2848"/>
                    </w:tabs>
                    <w:spacing w:line="240" w:lineRule="auto"/>
                    <w:ind w:firstLine="0" w:firstLineChars="0"/>
                    <w:jc w:val="center"/>
                    <w:rPr>
                      <w:rFonts w:hint="default"/>
                      <w:b/>
                      <w:color w:val="000000" w:themeColor="text1"/>
                      <w:kern w:val="0"/>
                      <w:position w:val="-10"/>
                      <w:sz w:val="21"/>
                      <w:szCs w:val="21"/>
                      <w:lang w:val="en-US"/>
                      <w14:textFill>
                        <w14:solidFill>
                          <w14:schemeClr w14:val="tx1"/>
                        </w14:solidFill>
                      </w14:textFill>
                    </w:rPr>
                  </w:pPr>
                  <w:r>
                    <w:rPr>
                      <w:rFonts w:hint="eastAsia"/>
                      <w:b/>
                      <w:color w:val="000000" w:themeColor="text1"/>
                      <w:kern w:val="0"/>
                      <w:position w:val="-10"/>
                      <w:sz w:val="21"/>
                      <w:szCs w:val="21"/>
                      <w:lang w:val="en-US" w:eastAsia="zh-CN"/>
                      <w14:textFill>
                        <w14:solidFill>
                          <w14:schemeClr w14:val="tx1"/>
                        </w14:solidFill>
                      </w14:textFill>
                    </w:rPr>
                    <w:t>46</w:t>
                  </w:r>
                </w:p>
              </w:tc>
            </w:tr>
          </w:tbl>
          <w:p>
            <w:pPr>
              <w:adjustRightInd w:val="0"/>
              <w:snapToGrid w:val="0"/>
              <w:ind w:firstLine="480"/>
              <w:rPr>
                <w:rFonts w:hAnsi="宋体"/>
                <w:color w:val="000000" w:themeColor="text1"/>
                <w:szCs w:val="20"/>
                <w14:textFill>
                  <w14:solidFill>
                    <w14:schemeClr w14:val="tx1"/>
                  </w14:solidFill>
                </w14:textFill>
              </w:rPr>
            </w:pPr>
            <w:r>
              <w:rPr>
                <w:rFonts w:hint="eastAsia" w:hAnsi="宋体"/>
                <w:color w:val="000000" w:themeColor="text1"/>
                <w:szCs w:val="20"/>
                <w14:textFill>
                  <w14:solidFill>
                    <w14:schemeClr w14:val="tx1"/>
                  </w14:solidFill>
                </w14:textFill>
              </w:rPr>
              <w:t>由上表可知，项目无组织排放污染物的下风向最大落地点距离为</w:t>
            </w:r>
            <w:r>
              <w:rPr>
                <w:rFonts w:hint="eastAsia" w:hAnsi="宋体"/>
                <w:color w:val="000000" w:themeColor="text1"/>
                <w:szCs w:val="20"/>
                <w:lang w:val="en-US" w:eastAsia="zh-CN"/>
                <w14:textFill>
                  <w14:solidFill>
                    <w14:schemeClr w14:val="tx1"/>
                  </w14:solidFill>
                </w14:textFill>
              </w:rPr>
              <w:t>46</w:t>
            </w:r>
            <w:r>
              <w:rPr>
                <w:rFonts w:hint="eastAsia" w:hAnsi="宋体"/>
                <w:color w:val="000000" w:themeColor="text1"/>
                <w:szCs w:val="20"/>
                <w14:textFill>
                  <w14:solidFill>
                    <w14:schemeClr w14:val="tx1"/>
                  </w14:solidFill>
                </w14:textFill>
              </w:rPr>
              <w:t>m</w:t>
            </w:r>
            <w:r>
              <w:rPr>
                <w:rFonts w:hint="eastAsia" w:hAnsi="宋体"/>
                <w:color w:val="000000" w:themeColor="text1"/>
                <w:szCs w:val="20"/>
                <w14:textFill>
                  <w14:solidFill>
                    <w14:schemeClr w14:val="tx1"/>
                  </w14:solidFill>
                </w14:textFill>
              </w:rPr>
              <w:t>。废气最大落地点浓度和敏感点浓度均低于相应的质量标准及居住区浓度限值要求，因此项目无组织排放的污染物对评价区域内的环境影响较小。</w:t>
            </w:r>
          </w:p>
          <w:p>
            <w:pPr>
              <w:adjustRightInd w:val="0"/>
              <w:snapToGrid w:val="0"/>
              <w:ind w:firstLine="480"/>
              <w:rPr>
                <w:rFonts w:hAnsi="宋体"/>
                <w:color w:val="000000" w:themeColor="text1"/>
                <w:szCs w:val="20"/>
                <w14:textFill>
                  <w14:solidFill>
                    <w14:schemeClr w14:val="tx1"/>
                  </w14:solidFill>
                </w14:textFill>
              </w:rPr>
            </w:pPr>
            <w:r>
              <w:rPr>
                <w:rFonts w:hint="eastAsia" w:hAnsi="宋体"/>
                <w:color w:val="000000" w:themeColor="text1"/>
                <w:szCs w:val="20"/>
                <w14:textFill>
                  <w14:solidFill>
                    <w14:schemeClr w14:val="tx1"/>
                  </w14:solidFill>
                </w14:textFill>
              </w:rPr>
              <w:t>经估算模型计算，本项目各污染源排放的大气污染物中，最大落地浓度占标率P</w:t>
            </w:r>
            <w:r>
              <w:rPr>
                <w:rFonts w:hint="eastAsia" w:hAnsi="宋体"/>
                <w:color w:val="000000" w:themeColor="text1"/>
                <w:szCs w:val="20"/>
                <w:vertAlign w:val="subscript"/>
                <w14:textFill>
                  <w14:solidFill>
                    <w14:schemeClr w14:val="tx1"/>
                  </w14:solidFill>
                </w14:textFill>
              </w:rPr>
              <w:t>Max</w:t>
            </w:r>
            <w:r>
              <w:rPr>
                <w:rFonts w:hint="eastAsia" w:hAnsi="宋体"/>
                <w:color w:val="000000" w:themeColor="text1"/>
                <w:szCs w:val="20"/>
                <w14:textFill>
                  <w14:solidFill>
                    <w14:schemeClr w14:val="tx1"/>
                  </w14:solidFill>
                </w14:textFill>
              </w:rPr>
              <w:t>＞1%，根据《环境影响评价技术导则大气环境》（HJ2.2-2018），确定大气环境影响评价等级为二级，二级评价项目不进行进一步预测与评价，只对污染物排放量进行核算。</w:t>
            </w:r>
          </w:p>
          <w:p>
            <w:pPr>
              <w:adjustRightInd w:val="0"/>
              <w:snapToGrid w:val="0"/>
              <w:ind w:firstLine="480"/>
              <w:rPr>
                <w:rFonts w:hAnsi="宋体"/>
                <w:color w:val="000000" w:themeColor="text1"/>
                <w:szCs w:val="20"/>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-24130</wp:posOffset>
                  </wp:positionH>
                  <wp:positionV relativeFrom="paragraph">
                    <wp:posOffset>38735</wp:posOffset>
                  </wp:positionV>
                  <wp:extent cx="1764030" cy="2048510"/>
                  <wp:effectExtent l="0" t="0" r="7620" b="889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1764030" cy="2048510"/>
                          </a:xfrm>
                          <a:prstGeom prst="rect">
                            <a:avLst/>
                          </a:prstGeom>
                          <a:noFill/>
                          <a:ln>
                            <a:noFill/>
                          </a:ln>
                        </pic:spPr>
                      </pic:pic>
                    </a:graphicData>
                  </a:graphic>
                </wp:anchor>
              </w:drawing>
            </w:r>
            <w:r>
              <w:rPr>
                <w:color w:val="000000" w:themeColor="text1"/>
                <w:sz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162560</wp:posOffset>
                  </wp:positionH>
                  <wp:positionV relativeFrom="paragraph">
                    <wp:posOffset>130175</wp:posOffset>
                  </wp:positionV>
                  <wp:extent cx="5064760" cy="3891915"/>
                  <wp:effectExtent l="0" t="0" r="2540" b="13335"/>
                  <wp:wrapNone/>
                  <wp:docPr id="2" name="图片 2" descr="1611106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1106819(1)"/>
                          <pic:cNvPicPr>
                            <a:picLocks noChangeAspect="1"/>
                          </pic:cNvPicPr>
                        </pic:nvPicPr>
                        <pic:blipFill>
                          <a:blip r:embed="rId23"/>
                          <a:stretch>
                            <a:fillRect/>
                          </a:stretch>
                        </pic:blipFill>
                        <pic:spPr>
                          <a:xfrm>
                            <a:off x="0" y="0"/>
                            <a:ext cx="5064760" cy="3891915"/>
                          </a:xfrm>
                          <a:prstGeom prst="rect">
                            <a:avLst/>
                          </a:prstGeom>
                        </pic:spPr>
                      </pic:pic>
                    </a:graphicData>
                  </a:graphic>
                </wp:anchor>
              </w:drawing>
            </w: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both"/>
              <w:textAlignment w:val="baseline"/>
              <w:rPr>
                <w:rFonts w:hint="eastAsia"/>
                <w:b/>
                <w:bCs/>
                <w:color w:val="000000" w:themeColor="text1"/>
                <w:sz w:val="21"/>
                <w:szCs w:val="21"/>
                <w14:textFill>
                  <w14:solidFill>
                    <w14:schemeClr w14:val="tx1"/>
                  </w14:solidFill>
                </w14:textFill>
              </w:rPr>
            </w:pPr>
          </w:p>
          <w:p>
            <w:pPr>
              <w:adjustRightInd w:val="0"/>
              <w:snapToGrid w:val="0"/>
              <w:spacing w:line="240" w:lineRule="auto"/>
              <w:ind w:firstLine="0" w:firstLineChars="0"/>
              <w:jc w:val="center"/>
              <w:textAlignment w:val="baseline"/>
              <w:rPr>
                <w:b/>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图7-1 大气环境影响评价范围图</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污染物排放量核算</w:t>
            </w:r>
          </w:p>
          <w:p>
            <w:pPr>
              <w:ind w:firstLine="480" w:firstLineChars="0"/>
              <w:rPr>
                <w:rFonts w:hint="eastAsia" w:hAnsi="宋体"/>
                <w:b/>
                <w:color w:val="000000" w:themeColor="text1"/>
                <w:sz w:val="22"/>
                <w:szCs w:val="20"/>
                <w14:textFill>
                  <w14:solidFill>
                    <w14:schemeClr w14:val="tx1"/>
                  </w14:solidFill>
                </w14:textFill>
              </w:rPr>
            </w:pPr>
            <w:r>
              <w:rPr>
                <w:rFonts w:hint="eastAsia"/>
                <w:b/>
                <w:color w:val="000000" w:themeColor="text1"/>
                <w14:textFill>
                  <w14:solidFill>
                    <w14:schemeClr w14:val="tx1"/>
                  </w14:solidFill>
                </w14:textFill>
              </w:rPr>
              <w:t>①无组织排放量核算</w:t>
            </w:r>
          </w:p>
          <w:p>
            <w:pPr>
              <w:adjustRightInd w:val="0"/>
              <w:snapToGrid w:val="0"/>
              <w:ind w:firstLine="0" w:firstLineChars="0"/>
              <w:jc w:val="center"/>
              <w:rPr>
                <w:rFonts w:hAnsi="宋体"/>
                <w:b/>
                <w:color w:val="000000" w:themeColor="text1"/>
                <w:sz w:val="22"/>
                <w:szCs w:val="20"/>
                <w14:textFill>
                  <w14:solidFill>
                    <w14:schemeClr w14:val="tx1"/>
                  </w14:solidFill>
                </w14:textFill>
              </w:rPr>
            </w:pPr>
            <w:r>
              <w:rPr>
                <w:rFonts w:hint="eastAsia" w:hAnsi="宋体"/>
                <w:b/>
                <w:color w:val="000000" w:themeColor="text1"/>
                <w:sz w:val="22"/>
                <w:szCs w:val="20"/>
                <w14:textFill>
                  <w14:solidFill>
                    <w14:schemeClr w14:val="tx1"/>
                  </w14:solidFill>
                </w14:textFill>
              </w:rPr>
              <w:t>表7-4大气污染物无组织排放量核算表</w:t>
            </w:r>
          </w:p>
          <w:tbl>
            <w:tblPr>
              <w:tblStyle w:val="2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40"/>
              <w:gridCol w:w="983"/>
              <w:gridCol w:w="977"/>
              <w:gridCol w:w="983"/>
              <w:gridCol w:w="1628"/>
              <w:gridCol w:w="1267"/>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6" w:type="dxa"/>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序号</w:t>
                  </w:r>
                </w:p>
              </w:tc>
              <w:tc>
                <w:tcPr>
                  <w:tcW w:w="840" w:type="dxa"/>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排放口编号</w:t>
                  </w:r>
                </w:p>
              </w:tc>
              <w:tc>
                <w:tcPr>
                  <w:tcW w:w="983" w:type="dxa"/>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产污环节</w:t>
                  </w:r>
                </w:p>
              </w:tc>
              <w:tc>
                <w:tcPr>
                  <w:tcW w:w="977" w:type="dxa"/>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污染物</w:t>
                  </w:r>
                </w:p>
              </w:tc>
              <w:tc>
                <w:tcPr>
                  <w:tcW w:w="983" w:type="dxa"/>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主要污染物防治措施</w:t>
                  </w:r>
                </w:p>
              </w:tc>
              <w:tc>
                <w:tcPr>
                  <w:tcW w:w="2895" w:type="dxa"/>
                  <w:gridSpan w:val="2"/>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国家或地方污染物排放标准</w:t>
                  </w:r>
                </w:p>
              </w:tc>
              <w:tc>
                <w:tcPr>
                  <w:tcW w:w="1126" w:type="dxa"/>
                  <w:vMerge w:val="restart"/>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840"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983"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977"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983"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c>
                <w:tcPr>
                  <w:tcW w:w="1628"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标准名称</w:t>
                  </w:r>
                </w:p>
              </w:tc>
              <w:tc>
                <w:tcPr>
                  <w:tcW w:w="12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浓度限值/(mg/m</w:t>
                  </w:r>
                  <w:r>
                    <w:rPr>
                      <w:rFonts w:hint="eastAsia"/>
                      <w:color w:val="000000" w:themeColor="text1"/>
                      <w:kern w:val="0"/>
                      <w:position w:val="-10"/>
                      <w:sz w:val="21"/>
                      <w:szCs w:val="21"/>
                      <w:vertAlign w:val="superscript"/>
                      <w14:textFill>
                        <w14:solidFill>
                          <w14:schemeClr w14:val="tx1"/>
                        </w14:solidFill>
                      </w14:textFill>
                    </w:rPr>
                    <w:t>3</w:t>
                  </w:r>
                  <w:r>
                    <w:rPr>
                      <w:rFonts w:hint="eastAsia"/>
                      <w:color w:val="000000" w:themeColor="text1"/>
                      <w:kern w:val="0"/>
                      <w:position w:val="-10"/>
                      <w:sz w:val="21"/>
                      <w:szCs w:val="21"/>
                      <w14:textFill>
                        <w14:solidFill>
                          <w14:schemeClr w14:val="tx1"/>
                        </w14:solidFill>
                      </w14:textFill>
                    </w:rPr>
                    <w:t>)</w:t>
                  </w:r>
                </w:p>
              </w:tc>
              <w:tc>
                <w:tcPr>
                  <w:tcW w:w="1126" w:type="dxa"/>
                  <w:vMerge w:val="continue"/>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w:t>
                  </w:r>
                </w:p>
              </w:tc>
              <w:tc>
                <w:tcPr>
                  <w:tcW w:w="840"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加油站</w:t>
                  </w:r>
                </w:p>
              </w:tc>
              <w:tc>
                <w:tcPr>
                  <w:tcW w:w="98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加油、卸油、储油</w:t>
                  </w:r>
                </w:p>
              </w:tc>
              <w:tc>
                <w:tcPr>
                  <w:tcW w:w="97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非甲烷总烃</w:t>
                  </w:r>
                </w:p>
              </w:tc>
              <w:tc>
                <w:tcPr>
                  <w:tcW w:w="983"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一次、二次、三次油气回收系统</w:t>
                  </w:r>
                </w:p>
              </w:tc>
              <w:tc>
                <w:tcPr>
                  <w:tcW w:w="1628"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《环境空气质量非甲烷总烃》（DB13/1577-2012）</w:t>
                  </w:r>
                </w:p>
              </w:tc>
              <w:tc>
                <w:tcPr>
                  <w:tcW w:w="1267"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2.0</w:t>
                  </w:r>
                </w:p>
              </w:tc>
              <w:tc>
                <w:tcPr>
                  <w:tcW w:w="1126"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0" w:type="dxa"/>
                  <w:gridSpan w:val="8"/>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6" w:type="dxa"/>
                  <w:gridSpan w:val="4"/>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无组织排放总计</w:t>
                  </w:r>
                </w:p>
              </w:tc>
              <w:tc>
                <w:tcPr>
                  <w:tcW w:w="2611" w:type="dxa"/>
                  <w:gridSpan w:val="2"/>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非甲烷总烃</w:t>
                  </w:r>
                </w:p>
              </w:tc>
              <w:tc>
                <w:tcPr>
                  <w:tcW w:w="2393" w:type="dxa"/>
                  <w:gridSpan w:val="2"/>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1.0275</w:t>
                  </w:r>
                </w:p>
              </w:tc>
            </w:tr>
          </w:tbl>
          <w:p>
            <w:pPr>
              <w:ind w:firstLine="48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②项目大气污染物年排放量核算</w:t>
            </w:r>
          </w:p>
          <w:p>
            <w:pPr>
              <w:ind w:firstLine="0" w:firstLineChars="0"/>
              <w:jc w:val="center"/>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表7-5 大气污染物年排放量核算表</w:t>
            </w:r>
          </w:p>
          <w:tbl>
            <w:tblPr>
              <w:tblStyle w:val="29"/>
              <w:tblpPr w:leftFromText="180" w:rightFromText="180" w:vertAnchor="text" w:horzAnchor="margin" w:tblpYSpec="center"/>
              <w:tblOverlap w:val="never"/>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86"/>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2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序号</w:t>
                  </w:r>
                </w:p>
              </w:tc>
              <w:tc>
                <w:tcPr>
                  <w:tcW w:w="3686"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污染物</w:t>
                  </w:r>
                </w:p>
              </w:tc>
              <w:tc>
                <w:tcPr>
                  <w:tcW w:w="3685"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29"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1</w:t>
                  </w:r>
                </w:p>
              </w:tc>
              <w:tc>
                <w:tcPr>
                  <w:tcW w:w="3686"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kern w:val="0"/>
                      <w:position w:val="-10"/>
                      <w:sz w:val="21"/>
                      <w:szCs w:val="21"/>
                      <w14:textFill>
                        <w14:solidFill>
                          <w14:schemeClr w14:val="tx1"/>
                        </w14:solidFill>
                      </w14:textFill>
                    </w:rPr>
                    <w:t>非甲烷总烃</w:t>
                  </w:r>
                </w:p>
              </w:tc>
              <w:tc>
                <w:tcPr>
                  <w:tcW w:w="3685" w:type="dxa"/>
                  <w:vAlign w:val="center"/>
                </w:tcPr>
                <w:p>
                  <w:pPr>
                    <w:tabs>
                      <w:tab w:val="left" w:pos="-2848"/>
                    </w:tabs>
                    <w:spacing w:line="240" w:lineRule="auto"/>
                    <w:ind w:firstLine="0" w:firstLineChars="0"/>
                    <w:jc w:val="center"/>
                    <w:rPr>
                      <w:color w:val="000000" w:themeColor="text1"/>
                      <w:kern w:val="0"/>
                      <w:position w:val="-1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1.0275</w:t>
                  </w:r>
                </w:p>
              </w:tc>
            </w:tr>
          </w:tbl>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③非正常排放量核算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对工程的分析，以及对同类加油站的调查，本项目最可能出现的非正常工况为一次、二次、三次油气回收系统出现故障，导致污染物排放治理措施达不到应有的效率，造成废气污染等事故。因此本次环评以废气治理设施效率为50%时进行核算。</w:t>
            </w:r>
          </w:p>
          <w:p>
            <w:pPr>
              <w:pStyle w:val="9"/>
              <w:spacing w:before="0" w:after="0" w:line="240" w:lineRule="auto"/>
              <w:ind w:firstLine="0" w:firstLineChars="0"/>
              <w:jc w:val="center"/>
              <w:rPr>
                <w:rFonts w:ascii="Times New Roman" w:hAnsi="Times New Roman" w:eastAsia="宋体" w:cs="Times New Roman"/>
                <w:bCs w:val="0"/>
                <w:color w:val="000000" w:themeColor="text1"/>
                <w:sz w:val="21"/>
                <w:szCs w:val="21"/>
                <w14:textFill>
                  <w14:solidFill>
                    <w14:schemeClr w14:val="tx1"/>
                  </w14:solidFill>
                </w14:textFill>
              </w:rPr>
            </w:pPr>
            <w:r>
              <w:rPr>
                <w:rFonts w:ascii="Times New Roman" w:hAnsi="宋体" w:eastAsia="宋体" w:cs="Times New Roman"/>
                <w:bCs w:val="0"/>
                <w:color w:val="000000" w:themeColor="text1"/>
                <w:sz w:val="21"/>
                <w:szCs w:val="21"/>
                <w14:textFill>
                  <w14:solidFill>
                    <w14:schemeClr w14:val="tx1"/>
                  </w14:solidFill>
                </w14:textFill>
              </w:rPr>
              <w:t>表</w:t>
            </w:r>
            <w:r>
              <w:rPr>
                <w:rFonts w:ascii="Times New Roman" w:hAnsi="Times New Roman" w:eastAsia="宋体" w:cs="Times New Roman"/>
                <w:bCs w:val="0"/>
                <w:color w:val="000000" w:themeColor="text1"/>
                <w:sz w:val="21"/>
                <w:szCs w:val="21"/>
                <w14:textFill>
                  <w14:solidFill>
                    <w14:schemeClr w14:val="tx1"/>
                  </w14:solidFill>
                </w14:textFill>
              </w:rPr>
              <w:t>7-</w:t>
            </w:r>
            <w:r>
              <w:rPr>
                <w:rFonts w:hint="eastAsia" w:ascii="Times New Roman" w:hAnsi="Times New Roman" w:eastAsia="宋体" w:cs="Times New Roman"/>
                <w:bCs w:val="0"/>
                <w:color w:val="000000" w:themeColor="text1"/>
                <w:sz w:val="21"/>
                <w:szCs w:val="21"/>
                <w14:textFill>
                  <w14:solidFill>
                    <w14:schemeClr w14:val="tx1"/>
                  </w14:solidFill>
                </w14:textFill>
              </w:rPr>
              <w:t>6</w:t>
            </w:r>
            <w:r>
              <w:rPr>
                <w:rFonts w:ascii="Times New Roman" w:hAnsi="Times New Roman" w:eastAsia="宋体" w:cs="Times New Roman"/>
                <w:bCs w:val="0"/>
                <w:color w:val="000000" w:themeColor="text1"/>
                <w:sz w:val="21"/>
                <w:szCs w:val="21"/>
                <w14:textFill>
                  <w14:solidFill>
                    <w14:schemeClr w14:val="tx1"/>
                  </w14:solidFill>
                </w14:textFill>
              </w:rPr>
              <w:t xml:space="preserve">  </w:t>
            </w:r>
            <w:r>
              <w:rPr>
                <w:rFonts w:ascii="Times New Roman" w:hAnsi="宋体" w:eastAsia="宋体" w:cs="Times New Roman"/>
                <w:bCs w:val="0"/>
                <w:color w:val="000000" w:themeColor="text1"/>
                <w:sz w:val="21"/>
                <w:szCs w:val="21"/>
                <w14:textFill>
                  <w14:solidFill>
                    <w14:schemeClr w14:val="tx1"/>
                  </w14:solidFill>
                </w14:textFill>
              </w:rPr>
              <w:t>项目非甲烷总烃的排放参数</w:t>
            </w:r>
          </w:p>
          <w:tbl>
            <w:tblPr>
              <w:tblStyle w:val="28"/>
              <w:tblW w:w="85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1"/>
              <w:gridCol w:w="995"/>
              <w:gridCol w:w="996"/>
              <w:gridCol w:w="976"/>
              <w:gridCol w:w="1272"/>
              <w:gridCol w:w="1293"/>
              <w:gridCol w:w="1124"/>
              <w:gridCol w:w="1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721" w:type="dxa"/>
                  <w:tcBorders>
                    <w:top w:val="single" w:color="auto" w:sz="12" w:space="0"/>
                    <w:left w:val="single" w:color="auto" w:sz="12" w:space="0"/>
                    <w:bottom w:val="single" w:color="auto" w:sz="6" w:space="0"/>
                    <w:right w:val="single" w:color="auto" w:sz="4"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序号</w:t>
                  </w:r>
                </w:p>
              </w:tc>
              <w:tc>
                <w:tcPr>
                  <w:tcW w:w="995" w:type="dxa"/>
                  <w:tcBorders>
                    <w:top w:val="single" w:color="auto" w:sz="12" w:space="0"/>
                    <w:left w:val="single" w:color="auto" w:sz="4" w:space="0"/>
                    <w:bottom w:val="single" w:color="auto" w:sz="6" w:space="0"/>
                    <w:right w:val="single" w:color="auto" w:sz="4"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污染源</w:t>
                  </w:r>
                </w:p>
              </w:tc>
              <w:tc>
                <w:tcPr>
                  <w:tcW w:w="996" w:type="dxa"/>
                  <w:tcBorders>
                    <w:top w:val="single" w:color="auto" w:sz="12" w:space="0"/>
                    <w:left w:val="single" w:color="auto" w:sz="4" w:space="0"/>
                    <w:bottom w:val="single" w:color="auto" w:sz="6" w:space="0"/>
                    <w:right w:val="single" w:color="auto" w:sz="6"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非正常排放</w:t>
                  </w:r>
                </w:p>
              </w:tc>
              <w:tc>
                <w:tcPr>
                  <w:tcW w:w="976" w:type="dxa"/>
                  <w:tcBorders>
                    <w:top w:val="single" w:color="auto" w:sz="12" w:space="0"/>
                    <w:left w:val="single" w:color="auto" w:sz="6" w:space="0"/>
                    <w:bottom w:val="single" w:color="auto" w:sz="6" w:space="0"/>
                    <w:right w:val="single" w:color="auto" w:sz="6"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污染物</w:t>
                  </w:r>
                </w:p>
              </w:tc>
              <w:tc>
                <w:tcPr>
                  <w:tcW w:w="1272" w:type="dxa"/>
                  <w:tcBorders>
                    <w:top w:val="single" w:color="auto" w:sz="12" w:space="0"/>
                    <w:left w:val="single" w:color="auto" w:sz="6" w:space="0"/>
                    <w:bottom w:val="single" w:color="auto" w:sz="6" w:space="0"/>
                    <w:right w:val="single" w:color="auto" w:sz="6"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非正常排放速率</w:t>
                  </w:r>
                  <w:r>
                    <w:rPr>
                      <w:rFonts w:hint="eastAsia"/>
                      <w:bCs/>
                      <w:color w:val="000000" w:themeColor="text1"/>
                      <w:spacing w:val="10"/>
                      <w:kern w:val="0"/>
                      <w:sz w:val="21"/>
                      <w:szCs w:val="21"/>
                      <w:shd w:val="clear" w:color="auto" w:fill="FFFFFF"/>
                      <w14:textFill>
                        <w14:solidFill>
                          <w14:schemeClr w14:val="tx1"/>
                        </w14:solidFill>
                      </w14:textFill>
                    </w:rPr>
                    <w:t>/(kg/h)</w:t>
                  </w:r>
                </w:p>
              </w:tc>
              <w:tc>
                <w:tcPr>
                  <w:tcW w:w="1293" w:type="dxa"/>
                  <w:tcBorders>
                    <w:top w:val="single" w:color="auto" w:sz="12" w:space="0"/>
                    <w:left w:val="single" w:color="auto" w:sz="6" w:space="0"/>
                    <w:bottom w:val="single" w:color="auto" w:sz="6" w:space="0"/>
                    <w:right w:val="single" w:color="auto" w:sz="6"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单次持续时间</w:t>
                  </w:r>
                  <w:r>
                    <w:rPr>
                      <w:rFonts w:hint="eastAsia"/>
                      <w:bCs/>
                      <w:color w:val="000000" w:themeColor="text1"/>
                      <w:spacing w:val="10"/>
                      <w:kern w:val="0"/>
                      <w:sz w:val="21"/>
                      <w:szCs w:val="21"/>
                      <w:shd w:val="clear" w:color="auto" w:fill="FFFFFF"/>
                      <w14:textFill>
                        <w14:solidFill>
                          <w14:schemeClr w14:val="tx1"/>
                        </w14:solidFill>
                      </w14:textFill>
                    </w:rPr>
                    <w:t>/h</w:t>
                  </w:r>
                </w:p>
              </w:tc>
              <w:tc>
                <w:tcPr>
                  <w:tcW w:w="1124" w:type="dxa"/>
                  <w:tcBorders>
                    <w:top w:val="single" w:color="auto" w:sz="12" w:space="0"/>
                    <w:left w:val="single" w:color="auto" w:sz="6" w:space="0"/>
                    <w:bottom w:val="single" w:color="auto" w:sz="6" w:space="0"/>
                    <w:right w:val="single" w:color="auto" w:sz="6"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年发生频次</w:t>
                  </w:r>
                  <w:r>
                    <w:rPr>
                      <w:rFonts w:hint="eastAsia"/>
                      <w:bCs/>
                      <w:color w:val="000000" w:themeColor="text1"/>
                      <w:spacing w:val="10"/>
                      <w:kern w:val="0"/>
                      <w:sz w:val="21"/>
                      <w:szCs w:val="21"/>
                      <w:shd w:val="clear" w:color="auto" w:fill="FFFFFF"/>
                      <w14:textFill>
                        <w14:solidFill>
                          <w14:schemeClr w14:val="tx1"/>
                        </w14:solidFill>
                      </w14:textFill>
                    </w:rPr>
                    <w:t>/年</w:t>
                  </w:r>
                </w:p>
              </w:tc>
              <w:tc>
                <w:tcPr>
                  <w:tcW w:w="1162" w:type="dxa"/>
                  <w:tcBorders>
                    <w:top w:val="single" w:color="auto" w:sz="12" w:space="0"/>
                    <w:left w:val="single" w:color="auto" w:sz="6" w:space="0"/>
                    <w:bottom w:val="single" w:color="auto" w:sz="6" w:space="0"/>
                    <w:right w:val="single" w:color="auto" w:sz="12" w:space="0"/>
                  </w:tcBorders>
                  <w:vAlign w:val="center"/>
                </w:tcPr>
                <w:p>
                  <w:pPr>
                    <w:shd w:val="clear" w:color="auto" w:fill="FFFFFF"/>
                    <w:spacing w:after="100" w:afterAutospacing="1" w:line="240" w:lineRule="auto"/>
                    <w:ind w:firstLine="0" w:firstLineChars="0"/>
                    <w:jc w:val="center"/>
                    <w:rPr>
                      <w:bCs/>
                      <w:color w:val="000000" w:themeColor="text1"/>
                      <w:spacing w:val="10"/>
                      <w:kern w:val="0"/>
                      <w:sz w:val="21"/>
                      <w:szCs w:val="21"/>
                      <w:shd w:val="clear" w:color="auto" w:fill="FFFFFF"/>
                      <w14:textFill>
                        <w14:solidFill>
                          <w14:schemeClr w14:val="tx1"/>
                        </w14:solidFill>
                      </w14:textFill>
                    </w:rPr>
                  </w:pPr>
                  <w:r>
                    <w:rPr>
                      <w:bCs/>
                      <w:color w:val="000000" w:themeColor="text1"/>
                      <w:spacing w:val="10"/>
                      <w:kern w:val="0"/>
                      <w:sz w:val="21"/>
                      <w:szCs w:val="21"/>
                      <w:shd w:val="clear" w:color="auto" w:fill="FFFFFF"/>
                      <w14:textFill>
                        <w14:solidFill>
                          <w14:schemeClr w14:val="tx1"/>
                        </w14:solidFill>
                      </w14:textFill>
                    </w:rPr>
                    <w:t>应对措施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721" w:type="dxa"/>
                  <w:tcBorders>
                    <w:top w:val="single" w:color="auto" w:sz="6" w:space="0"/>
                    <w:left w:val="single" w:color="auto" w:sz="12" w:space="0"/>
                    <w:bottom w:val="single" w:color="auto" w:sz="12" w:space="0"/>
                    <w:right w:val="single" w:color="auto" w:sz="4"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rFonts w:hint="eastAsia"/>
                      <w:color w:val="000000" w:themeColor="text1"/>
                      <w:spacing w:val="10"/>
                      <w:kern w:val="0"/>
                      <w:sz w:val="21"/>
                      <w:szCs w:val="21"/>
                      <w:shd w:val="clear" w:color="auto" w:fill="FFFFFF"/>
                      <w14:textFill>
                        <w14:solidFill>
                          <w14:schemeClr w14:val="tx1"/>
                        </w14:solidFill>
                      </w14:textFill>
                    </w:rPr>
                    <w:t>1</w:t>
                  </w:r>
                </w:p>
              </w:tc>
              <w:tc>
                <w:tcPr>
                  <w:tcW w:w="995" w:type="dxa"/>
                  <w:tcBorders>
                    <w:top w:val="single" w:color="auto" w:sz="6" w:space="0"/>
                    <w:left w:val="single" w:color="auto" w:sz="4" w:space="0"/>
                    <w:bottom w:val="single" w:color="auto" w:sz="12" w:space="0"/>
                    <w:right w:val="single" w:color="auto" w:sz="4"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color w:val="000000" w:themeColor="text1"/>
                      <w:spacing w:val="10"/>
                      <w:kern w:val="0"/>
                      <w:sz w:val="21"/>
                      <w:szCs w:val="21"/>
                      <w:shd w:val="clear" w:color="auto" w:fill="FFFFFF"/>
                      <w14:textFill>
                        <w14:solidFill>
                          <w14:schemeClr w14:val="tx1"/>
                        </w14:solidFill>
                      </w14:textFill>
                    </w:rPr>
                    <w:t>加油</w:t>
                  </w:r>
                  <w:r>
                    <w:rPr>
                      <w:rFonts w:hint="eastAsia"/>
                      <w:color w:val="000000" w:themeColor="text1"/>
                      <w:spacing w:val="10"/>
                      <w:kern w:val="0"/>
                      <w:sz w:val="21"/>
                      <w:szCs w:val="21"/>
                      <w:shd w:val="clear" w:color="auto" w:fill="FFFFFF"/>
                      <w14:textFill>
                        <w14:solidFill>
                          <w14:schemeClr w14:val="tx1"/>
                        </w14:solidFill>
                      </w14:textFill>
                    </w:rPr>
                    <w:t>、</w:t>
                  </w:r>
                  <w:r>
                    <w:rPr>
                      <w:color w:val="000000" w:themeColor="text1"/>
                      <w:spacing w:val="10"/>
                      <w:kern w:val="0"/>
                      <w:sz w:val="21"/>
                      <w:szCs w:val="21"/>
                      <w:shd w:val="clear" w:color="auto" w:fill="FFFFFF"/>
                      <w14:textFill>
                        <w14:solidFill>
                          <w14:schemeClr w14:val="tx1"/>
                        </w14:solidFill>
                      </w14:textFill>
                    </w:rPr>
                    <w:t>卸油</w:t>
                  </w:r>
                  <w:r>
                    <w:rPr>
                      <w:rFonts w:hint="eastAsia"/>
                      <w:color w:val="000000" w:themeColor="text1"/>
                      <w:spacing w:val="10"/>
                      <w:kern w:val="0"/>
                      <w:sz w:val="21"/>
                      <w:szCs w:val="21"/>
                      <w:shd w:val="clear" w:color="auto" w:fill="FFFFFF"/>
                      <w14:textFill>
                        <w14:solidFill>
                          <w14:schemeClr w14:val="tx1"/>
                        </w14:solidFill>
                      </w14:textFill>
                    </w:rPr>
                    <w:t>、</w:t>
                  </w:r>
                  <w:r>
                    <w:rPr>
                      <w:color w:val="000000" w:themeColor="text1"/>
                      <w:spacing w:val="10"/>
                      <w:kern w:val="0"/>
                      <w:sz w:val="21"/>
                      <w:szCs w:val="21"/>
                      <w:shd w:val="clear" w:color="auto" w:fill="FFFFFF"/>
                      <w14:textFill>
                        <w14:solidFill>
                          <w14:schemeClr w14:val="tx1"/>
                        </w14:solidFill>
                      </w14:textFill>
                    </w:rPr>
                    <w:t>储油</w:t>
                  </w:r>
                </w:p>
              </w:tc>
              <w:tc>
                <w:tcPr>
                  <w:tcW w:w="996" w:type="dxa"/>
                  <w:tcBorders>
                    <w:top w:val="single" w:color="auto" w:sz="6" w:space="0"/>
                    <w:left w:val="single" w:color="auto" w:sz="4" w:space="0"/>
                    <w:bottom w:val="single" w:color="auto" w:sz="12" w:space="0"/>
                    <w:right w:val="single" w:color="auto" w:sz="6"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rFonts w:hint="eastAsia"/>
                      <w:color w:val="000000" w:themeColor="text1"/>
                      <w:spacing w:val="10"/>
                      <w:kern w:val="0"/>
                      <w:sz w:val="21"/>
                      <w:szCs w:val="21"/>
                      <w:shd w:val="clear" w:color="auto" w:fill="FFFFFF"/>
                      <w14:textFill>
                        <w14:solidFill>
                          <w14:schemeClr w14:val="tx1"/>
                        </w14:solidFill>
                      </w14:textFill>
                    </w:rPr>
                    <w:t>废气处理设施出现故障</w:t>
                  </w:r>
                </w:p>
              </w:tc>
              <w:tc>
                <w:tcPr>
                  <w:tcW w:w="976" w:type="dxa"/>
                  <w:tcBorders>
                    <w:top w:val="single" w:color="auto" w:sz="6" w:space="0"/>
                    <w:left w:val="single" w:color="auto" w:sz="6" w:space="0"/>
                    <w:bottom w:val="single" w:color="auto" w:sz="12" w:space="0"/>
                    <w:right w:val="single" w:color="auto" w:sz="6"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rFonts w:hint="eastAsia"/>
                      <w:color w:val="000000" w:themeColor="text1"/>
                      <w:spacing w:val="10"/>
                      <w:kern w:val="0"/>
                      <w:sz w:val="21"/>
                      <w:szCs w:val="21"/>
                      <w:shd w:val="clear" w:color="auto" w:fill="FFFFFF"/>
                      <w14:textFill>
                        <w14:solidFill>
                          <w14:schemeClr w14:val="tx1"/>
                        </w14:solidFill>
                      </w14:textFill>
                    </w:rPr>
                    <w:t>非甲烷总烃</w:t>
                  </w:r>
                </w:p>
              </w:tc>
              <w:tc>
                <w:tcPr>
                  <w:tcW w:w="1272" w:type="dxa"/>
                  <w:tcBorders>
                    <w:top w:val="single" w:color="auto" w:sz="6" w:space="0"/>
                    <w:left w:val="single" w:color="auto" w:sz="6" w:space="0"/>
                    <w:bottom w:val="single" w:color="auto" w:sz="12" w:space="0"/>
                    <w:right w:val="single" w:color="auto" w:sz="6"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rFonts w:hint="eastAsia"/>
                      <w:color w:val="000000" w:themeColor="text1"/>
                      <w:spacing w:val="10"/>
                      <w:kern w:val="0"/>
                      <w:sz w:val="21"/>
                      <w:szCs w:val="21"/>
                      <w:shd w:val="clear" w:color="auto" w:fill="FFFFFF"/>
                      <w14:textFill>
                        <w14:solidFill>
                          <w14:schemeClr w14:val="tx1"/>
                        </w14:solidFill>
                      </w14:textFill>
                    </w:rPr>
                    <w:t>0.073</w:t>
                  </w:r>
                </w:p>
              </w:tc>
              <w:tc>
                <w:tcPr>
                  <w:tcW w:w="1293" w:type="dxa"/>
                  <w:tcBorders>
                    <w:top w:val="single" w:color="auto" w:sz="6" w:space="0"/>
                    <w:left w:val="single" w:color="auto" w:sz="6" w:space="0"/>
                    <w:bottom w:val="single" w:color="auto" w:sz="12" w:space="0"/>
                    <w:right w:val="single" w:color="auto" w:sz="6"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rFonts w:hint="eastAsia"/>
                      <w:color w:val="000000" w:themeColor="text1"/>
                      <w:spacing w:val="10"/>
                      <w:kern w:val="0"/>
                      <w:sz w:val="21"/>
                      <w:szCs w:val="21"/>
                      <w:shd w:val="clear" w:color="auto" w:fill="FFFFFF"/>
                      <w14:textFill>
                        <w14:solidFill>
                          <w14:schemeClr w14:val="tx1"/>
                        </w14:solidFill>
                      </w14:textFill>
                    </w:rPr>
                    <w:t>1</w:t>
                  </w:r>
                </w:p>
              </w:tc>
              <w:tc>
                <w:tcPr>
                  <w:tcW w:w="1124" w:type="dxa"/>
                  <w:tcBorders>
                    <w:top w:val="single" w:color="auto" w:sz="6" w:space="0"/>
                    <w:left w:val="single" w:color="auto" w:sz="6" w:space="0"/>
                    <w:bottom w:val="single" w:color="auto" w:sz="12" w:space="0"/>
                    <w:right w:val="single" w:color="auto" w:sz="6"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rFonts w:hint="eastAsia"/>
                      <w:color w:val="000000" w:themeColor="text1"/>
                      <w:spacing w:val="10"/>
                      <w:kern w:val="0"/>
                      <w:sz w:val="21"/>
                      <w:szCs w:val="21"/>
                      <w:shd w:val="clear" w:color="auto" w:fill="FFFFFF"/>
                      <w14:textFill>
                        <w14:solidFill>
                          <w14:schemeClr w14:val="tx1"/>
                        </w14:solidFill>
                      </w14:textFill>
                    </w:rPr>
                    <w:t>1</w:t>
                  </w:r>
                </w:p>
              </w:tc>
              <w:tc>
                <w:tcPr>
                  <w:tcW w:w="1162" w:type="dxa"/>
                  <w:tcBorders>
                    <w:top w:val="single" w:color="auto" w:sz="6" w:space="0"/>
                    <w:left w:val="single" w:color="auto" w:sz="6" w:space="0"/>
                    <w:bottom w:val="single" w:color="auto" w:sz="12" w:space="0"/>
                    <w:right w:val="single" w:color="auto" w:sz="12" w:space="0"/>
                  </w:tcBorders>
                  <w:vAlign w:val="center"/>
                </w:tcPr>
                <w:p>
                  <w:pPr>
                    <w:shd w:val="clear" w:color="auto" w:fill="FFFFFF"/>
                    <w:spacing w:after="100" w:afterAutospacing="1" w:line="240" w:lineRule="auto"/>
                    <w:ind w:firstLine="0" w:firstLineChars="0"/>
                    <w:jc w:val="center"/>
                    <w:rPr>
                      <w:color w:val="000000" w:themeColor="text1"/>
                      <w:spacing w:val="10"/>
                      <w:kern w:val="0"/>
                      <w:sz w:val="21"/>
                      <w:szCs w:val="21"/>
                      <w:shd w:val="clear" w:color="auto" w:fill="FFFFFF"/>
                      <w14:textFill>
                        <w14:solidFill>
                          <w14:schemeClr w14:val="tx1"/>
                        </w14:solidFill>
                      </w14:textFill>
                    </w:rPr>
                  </w:pPr>
                  <w:r>
                    <w:rPr>
                      <w:color w:val="000000" w:themeColor="text1"/>
                      <w:spacing w:val="10"/>
                      <w:kern w:val="0"/>
                      <w:sz w:val="21"/>
                      <w:szCs w:val="21"/>
                      <w:shd w:val="clear" w:color="auto" w:fill="FFFFFF"/>
                      <w14:textFill>
                        <w14:solidFill>
                          <w14:schemeClr w14:val="tx1"/>
                        </w14:solidFill>
                      </w14:textFill>
                    </w:rPr>
                    <w:t>维修</w:t>
                  </w:r>
                  <w:r>
                    <w:rPr>
                      <w:rFonts w:hint="eastAsia"/>
                      <w:color w:val="000000" w:themeColor="text1"/>
                      <w:spacing w:val="10"/>
                      <w:kern w:val="0"/>
                      <w:sz w:val="21"/>
                      <w:szCs w:val="21"/>
                      <w:shd w:val="clear" w:color="auto" w:fill="FFFFFF"/>
                      <w14:textFill>
                        <w14:solidFill>
                          <w14:schemeClr w14:val="tx1"/>
                        </w14:solidFill>
                      </w14:textFill>
                    </w:rPr>
                    <w:t>一次、二次、三次油气回收系统</w:t>
                  </w:r>
                </w:p>
              </w:tc>
            </w:tr>
          </w:tbl>
          <w:p>
            <w:pPr>
              <w:adjustRightInd w:val="0"/>
              <w:snapToGrid w:val="0"/>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（2）加油车辆汽车尾气</w:t>
            </w:r>
          </w:p>
          <w:p>
            <w:pPr>
              <w:adjustRightInd w:val="0"/>
              <w:snapToGrid w:val="0"/>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车辆进出加油站时，怠速及慢速（≤5km/h）状态下汽车尾气排放量较大，主要包括排气管尾气、曲轴箱漏气、油箱和化油箱等燃料系统的泄漏等，排放主要污染物有CO、NOx和碳氢化合物。由于车辆在加油、加气时停留时间短，汽车尾气废气易于扩散且排放量相对较小，因此项目进出场汽车尾气排放对周围环境影响较小。</w:t>
            </w:r>
          </w:p>
          <w:p>
            <w:pPr>
              <w:adjustRightInd w:val="0"/>
              <w:snapToGrid w:val="0"/>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综上所述，项目产生的废气对周围环境空气的影响较小。</w:t>
            </w:r>
          </w:p>
          <w:p>
            <w:pPr>
              <w:snapToGrid w:val="0"/>
              <w:ind w:firstLine="480"/>
              <w:rPr>
                <w:bCs/>
                <w:color w:val="000000" w:themeColor="text1"/>
                <w14:textFill>
                  <w14:solidFill>
                    <w14:schemeClr w14:val="tx1"/>
                  </w14:solidFill>
                </w14:textFill>
              </w:rPr>
            </w:pPr>
            <w:r>
              <w:rPr>
                <w:bCs/>
                <w:color w:val="000000" w:themeColor="text1"/>
                <w14:textFill>
                  <w14:solidFill>
                    <w14:schemeClr w14:val="tx1"/>
                  </w14:solidFill>
                </w14:textFill>
              </w:rPr>
              <w:t>建设项目大气环境影响评价自查表见表</w:t>
            </w:r>
            <w:r>
              <w:rPr>
                <w:rFonts w:hint="eastAsia"/>
                <w:bCs/>
                <w:color w:val="000000" w:themeColor="text1"/>
                <w14:textFill>
                  <w14:solidFill>
                    <w14:schemeClr w14:val="tx1"/>
                  </w14:solidFill>
                </w14:textFill>
              </w:rPr>
              <w:t>7-7</w:t>
            </w:r>
            <w:r>
              <w:rPr>
                <w:bCs/>
                <w:color w:val="000000" w:themeColor="text1"/>
                <w14:textFill>
                  <w14:solidFill>
                    <w14:schemeClr w14:val="tx1"/>
                  </w14:solidFill>
                </w14:textFill>
              </w:rPr>
              <w:t>。</w:t>
            </w:r>
          </w:p>
          <w:p>
            <w:pPr>
              <w:adjustRightInd w:val="0"/>
              <w:snapToGrid w:val="0"/>
              <w:spacing w:line="240" w:lineRule="auto"/>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 xml:space="preserve">7-7 </w:t>
            </w:r>
            <w:r>
              <w:rPr>
                <w:b/>
                <w:bCs/>
                <w:color w:val="000000" w:themeColor="text1"/>
                <w:sz w:val="21"/>
                <w:szCs w:val="21"/>
                <w14:textFill>
                  <w14:solidFill>
                    <w14:schemeClr w14:val="tx1"/>
                  </w14:solidFill>
                </w14:textFill>
              </w:rPr>
              <w:t xml:space="preserve"> 大气环境影响评价自查表</w:t>
            </w:r>
          </w:p>
          <w:tbl>
            <w:tblPr>
              <w:tblStyle w:val="28"/>
              <w:tblW w:w="8478" w:type="dxa"/>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9"/>
              <w:gridCol w:w="1443"/>
              <w:gridCol w:w="1264"/>
              <w:gridCol w:w="862"/>
              <w:gridCol w:w="698"/>
              <w:gridCol w:w="1134"/>
              <w:gridCol w:w="992"/>
              <w:gridCol w:w="1134"/>
              <w:gridCol w:w="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211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工作内容</w:t>
                  </w:r>
                </w:p>
              </w:tc>
              <w:tc>
                <w:tcPr>
                  <w:tcW w:w="6366" w:type="dxa"/>
                  <w:gridSpan w:val="7"/>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评价等级与范围</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评价等级</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一级□</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二级</w:t>
                  </w:r>
                  <w:r>
                    <w:rPr>
                      <w:rFonts w:hint="eastAsia"/>
                      <w:color w:val="000000" w:themeColor="text1"/>
                      <w:kern w:val="0"/>
                      <w:sz w:val="18"/>
                      <w:szCs w:val="18"/>
                      <w:lang w:eastAsia="zh-CN"/>
                      <w14:textFill>
                        <w14:solidFill>
                          <w14:schemeClr w14:val="tx1"/>
                        </w14:solidFill>
                      </w14:textFill>
                    </w:rPr>
                    <w:t>☑</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三级</w:t>
                  </w:r>
                  <w:r>
                    <w:rPr>
                      <w:rFonts w:hint="eastAsia"/>
                      <w:color w:val="000000" w:themeColor="text1"/>
                      <w:kern w:val="0"/>
                      <w:sz w:val="18"/>
                      <w:szCs w:val="18"/>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评价范围</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边长=50km□</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边长=5~50km</w:t>
                  </w:r>
                  <w:r>
                    <w:rPr>
                      <w:rFonts w:hint="eastAsia"/>
                      <w:snapToGrid w:val="0"/>
                      <w:color w:val="000000" w:themeColor="text1"/>
                      <w:sz w:val="18"/>
                      <w:szCs w:val="18"/>
                      <w:lang w:eastAsia="zh-CN"/>
                      <w14:textFill>
                        <w14:solidFill>
                          <w14:schemeClr w14:val="tx1"/>
                        </w14:solidFill>
                      </w14:textFill>
                    </w:rPr>
                    <w:t>☑</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边长=5km</w:t>
                  </w:r>
                  <w:r>
                    <w:rPr>
                      <w:rFonts w:hint="eastAsia"/>
                      <w:color w:val="000000" w:themeColor="text1"/>
                      <w:kern w:val="0"/>
                      <w:sz w:val="18"/>
                      <w:szCs w:val="18"/>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评价因子</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SO</w:t>
                  </w:r>
                  <w:r>
                    <w:rPr>
                      <w:color w:val="000000" w:themeColor="text1"/>
                      <w:kern w:val="0"/>
                      <w:sz w:val="18"/>
                      <w:szCs w:val="18"/>
                      <w:vertAlign w:val="subscript"/>
                      <w14:textFill>
                        <w14:solidFill>
                          <w14:schemeClr w14:val="tx1"/>
                        </w14:solidFill>
                      </w14:textFill>
                    </w:rPr>
                    <w:t>2</w:t>
                  </w:r>
                  <w:r>
                    <w:rPr>
                      <w:color w:val="000000" w:themeColor="text1"/>
                      <w:kern w:val="0"/>
                      <w:sz w:val="18"/>
                      <w:szCs w:val="18"/>
                      <w14:textFill>
                        <w14:solidFill>
                          <w14:schemeClr w14:val="tx1"/>
                        </w14:solidFill>
                      </w14:textFill>
                    </w:rPr>
                    <w:t>+NOx排放量</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≥2000t/a□</w:t>
                  </w:r>
                </w:p>
              </w:tc>
              <w:tc>
                <w:tcPr>
                  <w:tcW w:w="183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500~2000t/a□</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&lt;500t/a</w:t>
                  </w:r>
                  <w:r>
                    <w:rPr>
                      <w:rFonts w:hint="eastAsia"/>
                      <w:color w:val="000000" w:themeColor="text1"/>
                      <w:kern w:val="0"/>
                      <w:sz w:val="18"/>
                      <w:szCs w:val="18"/>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评价因子</w:t>
                  </w:r>
                </w:p>
              </w:tc>
              <w:tc>
                <w:tcPr>
                  <w:tcW w:w="3958" w:type="dxa"/>
                  <w:gridSpan w:val="4"/>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基本污染物（</w:t>
                  </w:r>
                  <w:r>
                    <w:rPr>
                      <w:bCs/>
                      <w:color w:val="000000" w:themeColor="text1"/>
                      <w:sz w:val="18"/>
                      <w:szCs w:val="18"/>
                      <w14:textFill>
                        <w14:solidFill>
                          <w14:schemeClr w14:val="tx1"/>
                        </w14:solidFill>
                      </w14:textFill>
                    </w:rPr>
                    <w:t>SO</w:t>
                  </w:r>
                  <w:r>
                    <w:rPr>
                      <w:bCs/>
                      <w:color w:val="000000" w:themeColor="text1"/>
                      <w:sz w:val="18"/>
                      <w:szCs w:val="18"/>
                      <w:vertAlign w:val="subscript"/>
                      <w14:textFill>
                        <w14:solidFill>
                          <w14:schemeClr w14:val="tx1"/>
                        </w14:solidFill>
                      </w14:textFill>
                    </w:rPr>
                    <w:t>2</w:t>
                  </w:r>
                  <w:r>
                    <w:rPr>
                      <w:bCs/>
                      <w:color w:val="000000" w:themeColor="text1"/>
                      <w:sz w:val="18"/>
                      <w:szCs w:val="18"/>
                      <w14:textFill>
                        <w14:solidFill>
                          <w14:schemeClr w14:val="tx1"/>
                        </w14:solidFill>
                      </w14:textFill>
                    </w:rPr>
                    <w:t>、NO</w:t>
                  </w:r>
                  <w:r>
                    <w:rPr>
                      <w:bCs/>
                      <w:color w:val="000000" w:themeColor="text1"/>
                      <w:sz w:val="18"/>
                      <w:szCs w:val="18"/>
                      <w:vertAlign w:val="subscript"/>
                      <w14:textFill>
                        <w14:solidFill>
                          <w14:schemeClr w14:val="tx1"/>
                        </w14:solidFill>
                      </w14:textFill>
                    </w:rPr>
                    <w:t>2</w:t>
                  </w:r>
                  <w:r>
                    <w:rPr>
                      <w:bCs/>
                      <w:color w:val="000000" w:themeColor="text1"/>
                      <w:sz w:val="18"/>
                      <w:szCs w:val="18"/>
                      <w14:textFill>
                        <w14:solidFill>
                          <w14:schemeClr w14:val="tx1"/>
                        </w14:solidFill>
                      </w14:textFill>
                    </w:rPr>
                    <w:t>、PM</w:t>
                  </w:r>
                  <w:r>
                    <w:rPr>
                      <w:bCs/>
                      <w:color w:val="000000" w:themeColor="text1"/>
                      <w:sz w:val="18"/>
                      <w:szCs w:val="18"/>
                      <w:vertAlign w:val="subscript"/>
                      <w14:textFill>
                        <w14:solidFill>
                          <w14:schemeClr w14:val="tx1"/>
                        </w14:solidFill>
                      </w14:textFill>
                    </w:rPr>
                    <w:t>10</w:t>
                  </w:r>
                  <w:r>
                    <w:rPr>
                      <w:bCs/>
                      <w:color w:val="000000" w:themeColor="text1"/>
                      <w:sz w:val="18"/>
                      <w:szCs w:val="18"/>
                      <w14:textFill>
                        <w14:solidFill>
                          <w14:schemeClr w14:val="tx1"/>
                        </w14:solidFill>
                      </w14:textFill>
                    </w:rPr>
                    <w:t>、PM</w:t>
                  </w:r>
                  <w:r>
                    <w:rPr>
                      <w:bCs/>
                      <w:color w:val="000000" w:themeColor="text1"/>
                      <w:sz w:val="18"/>
                      <w:szCs w:val="18"/>
                      <w:vertAlign w:val="subscript"/>
                      <w14:textFill>
                        <w14:solidFill>
                          <w14:schemeClr w14:val="tx1"/>
                        </w14:solidFill>
                      </w14:textFill>
                    </w:rPr>
                    <w:t>2.5</w:t>
                  </w:r>
                  <w:r>
                    <w:rPr>
                      <w:bCs/>
                      <w:color w:val="000000" w:themeColor="text1"/>
                      <w:sz w:val="18"/>
                      <w:szCs w:val="18"/>
                      <w14:textFill>
                        <w14:solidFill>
                          <w14:schemeClr w14:val="tx1"/>
                        </w14:solidFill>
                      </w14:textFill>
                    </w:rPr>
                    <w:t>、CO、O</w:t>
                  </w:r>
                  <w:r>
                    <w:rPr>
                      <w:bCs/>
                      <w:color w:val="000000" w:themeColor="text1"/>
                      <w:sz w:val="18"/>
                      <w:szCs w:val="18"/>
                      <w:vertAlign w:val="subscript"/>
                      <w14:textFill>
                        <w14:solidFill>
                          <w14:schemeClr w14:val="tx1"/>
                        </w14:solidFill>
                      </w14:textFill>
                    </w:rPr>
                    <w:t>3</w:t>
                  </w:r>
                  <w:r>
                    <w:rPr>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其他污染物（</w:t>
                  </w:r>
                  <w:r>
                    <w:rPr>
                      <w:bCs/>
                      <w:color w:val="000000" w:themeColor="text1"/>
                      <w:sz w:val="18"/>
                      <w:szCs w:val="18"/>
                      <w14:textFill>
                        <w14:solidFill>
                          <w14:schemeClr w14:val="tx1"/>
                        </w14:solidFill>
                      </w14:textFill>
                    </w:rPr>
                    <w:t>非甲烷总烃</w:t>
                  </w:r>
                  <w:r>
                    <w:rPr>
                      <w:color w:val="000000" w:themeColor="text1"/>
                      <w:kern w:val="0"/>
                      <w:sz w:val="18"/>
                      <w:szCs w:val="18"/>
                      <w14:textFill>
                        <w14:solidFill>
                          <w14:schemeClr w14:val="tx1"/>
                        </w14:solidFill>
                      </w14:textFill>
                    </w:rPr>
                    <w:t>）</w:t>
                  </w:r>
                </w:p>
              </w:tc>
              <w:tc>
                <w:tcPr>
                  <w:tcW w:w="2408" w:type="dxa"/>
                  <w:gridSpan w:val="3"/>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评价标准</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评价标准</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国家标准</w:t>
                  </w:r>
                  <w:r>
                    <w:rPr>
                      <w:snapToGrid w:val="0"/>
                      <w:color w:val="000000" w:themeColor="text1"/>
                      <w:sz w:val="18"/>
                      <w:szCs w:val="18"/>
                      <w14:textFill>
                        <w14:solidFill>
                          <w14:schemeClr w14:val="tx1"/>
                        </w14:solidFill>
                      </w14:textFill>
                    </w:rPr>
                    <w:sym w:font="Wingdings 2" w:char="0052"/>
                  </w:r>
                </w:p>
              </w:tc>
              <w:tc>
                <w:tcPr>
                  <w:tcW w:w="183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地方标准□</w:t>
                  </w:r>
                </w:p>
              </w:tc>
              <w:tc>
                <w:tcPr>
                  <w:tcW w:w="992"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附录D□</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现状评价</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评价功能区</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一类区□</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二类区</w:t>
                  </w:r>
                  <w:r>
                    <w:rPr>
                      <w:rFonts w:hint="eastAsia"/>
                      <w:color w:val="000000" w:themeColor="text1"/>
                      <w:kern w:val="0"/>
                      <w:sz w:val="18"/>
                      <w:szCs w:val="18"/>
                      <w14:textFill>
                        <w14:solidFill>
                          <w14:schemeClr w14:val="tx1"/>
                        </w14:solidFill>
                      </w14:textFill>
                    </w:rPr>
                    <w:t>☑</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评价基准年</w:t>
                  </w:r>
                </w:p>
              </w:tc>
              <w:tc>
                <w:tcPr>
                  <w:tcW w:w="6366" w:type="dxa"/>
                  <w:gridSpan w:val="7"/>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环境空气质量现状调查数据来源</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长期例行监测标准□</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主管部门发布的数据标准</w:t>
                  </w:r>
                  <w:r>
                    <w:rPr>
                      <w:snapToGrid w:val="0"/>
                      <w:color w:val="000000" w:themeColor="text1"/>
                      <w:sz w:val="18"/>
                      <w:szCs w:val="18"/>
                      <w14:textFill>
                        <w14:solidFill>
                          <w14:schemeClr w14:val="tx1"/>
                        </w14:solidFill>
                      </w14:textFill>
                    </w:rPr>
                    <w:sym w:font="Wingdings 2" w:char="0052"/>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现状补充标准</w:t>
                  </w:r>
                  <w:r>
                    <w:rPr>
                      <w:snapToGrid w:val="0"/>
                      <w:color w:val="000000" w:themeColor="text1"/>
                      <w:sz w:val="18"/>
                      <w:szCs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现状评价</w:t>
                  </w:r>
                </w:p>
              </w:tc>
              <w:tc>
                <w:tcPr>
                  <w:tcW w:w="3958" w:type="dxa"/>
                  <w:gridSpan w:val="4"/>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达标区□</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不达标区</w:t>
                  </w:r>
                  <w:r>
                    <w:rPr>
                      <w:snapToGrid w:val="0"/>
                      <w:color w:val="000000" w:themeColor="text1"/>
                      <w:sz w:val="18"/>
                      <w:szCs w:val="18"/>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污染源调查</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调查内容</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本项目正常排放源</w:t>
                  </w:r>
                  <w:r>
                    <w:rPr>
                      <w:snapToGrid w:val="0"/>
                      <w:color w:val="000000" w:themeColor="text1"/>
                      <w:sz w:val="18"/>
                      <w:szCs w:val="18"/>
                      <w14:textFill>
                        <w14:solidFill>
                          <w14:schemeClr w14:val="tx1"/>
                        </w14:solidFill>
                      </w14:textFill>
                    </w:rPr>
                    <w:sym w:font="Wingdings 2" w:char="0052"/>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本项目非正常排放源</w:t>
                  </w:r>
                  <w:r>
                    <w:rPr>
                      <w:snapToGrid w:val="0"/>
                      <w:color w:val="000000" w:themeColor="text1"/>
                      <w:sz w:val="18"/>
                      <w:szCs w:val="18"/>
                      <w14:textFill>
                        <w14:solidFill>
                          <w14:schemeClr w14:val="tx1"/>
                        </w14:solidFill>
                      </w14:textFill>
                    </w:rPr>
                    <w:sym w:font="Wingdings 2" w:char="00A3"/>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现有污染源</w:t>
                  </w:r>
                  <w:r>
                    <w:rPr>
                      <w:snapToGrid w:val="0"/>
                      <w:color w:val="000000" w:themeColor="text1"/>
                      <w:sz w:val="18"/>
                      <w:szCs w:val="18"/>
                      <w14:textFill>
                        <w14:solidFill>
                          <w14:schemeClr w14:val="tx1"/>
                        </w14:solidFill>
                      </w14:textFill>
                    </w:rPr>
                    <w:sym w:font="Wingdings 2" w:char="0052"/>
                  </w:r>
                </w:p>
              </w:tc>
              <w:tc>
                <w:tcPr>
                  <w:tcW w:w="183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拟替代的污染源□</w:t>
                  </w:r>
                </w:p>
              </w:tc>
              <w:tc>
                <w:tcPr>
                  <w:tcW w:w="992"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其他在建、拟建项目污染源□</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大气环境影响预测与评价</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预测模型</w:t>
                  </w:r>
                </w:p>
              </w:tc>
              <w:tc>
                <w:tcPr>
                  <w:tcW w:w="1264"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AERMOD□</w:t>
                  </w:r>
                </w:p>
              </w:tc>
              <w:tc>
                <w:tcPr>
                  <w:tcW w:w="862"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ADMS□</w:t>
                  </w:r>
                </w:p>
              </w:tc>
              <w:tc>
                <w:tcPr>
                  <w:tcW w:w="698"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AUSTAL2000□</w:t>
                  </w:r>
                </w:p>
              </w:tc>
              <w:tc>
                <w:tcPr>
                  <w:tcW w:w="1134"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EDMS/AEDT□</w:t>
                  </w:r>
                </w:p>
              </w:tc>
              <w:tc>
                <w:tcPr>
                  <w:tcW w:w="992"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CALPUFF□</w:t>
                  </w:r>
                </w:p>
              </w:tc>
              <w:tc>
                <w:tcPr>
                  <w:tcW w:w="1134"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网格模型□</w:t>
                  </w:r>
                </w:p>
              </w:tc>
              <w:tc>
                <w:tcPr>
                  <w:tcW w:w="282"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预测范围</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边长≥50km□</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边长5~50km□</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预测因子</w:t>
                  </w:r>
                </w:p>
              </w:tc>
              <w:tc>
                <w:tcPr>
                  <w:tcW w:w="3958" w:type="dxa"/>
                  <w:gridSpan w:val="4"/>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预测因子（     ）</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包括二次PM</w:t>
                  </w:r>
                  <w:r>
                    <w:rPr>
                      <w:color w:val="000000" w:themeColor="text1"/>
                      <w:kern w:val="0"/>
                      <w:sz w:val="18"/>
                      <w:szCs w:val="18"/>
                      <w:vertAlign w:val="subscript"/>
                      <w14:textFill>
                        <w14:solidFill>
                          <w14:schemeClr w14:val="tx1"/>
                        </w14:solidFill>
                      </w14:textFill>
                    </w:rPr>
                    <w:t>2.5</w:t>
                  </w:r>
                  <w:r>
                    <w:rPr>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不包括二次PM</w:t>
                  </w:r>
                  <w:r>
                    <w:rPr>
                      <w:color w:val="000000" w:themeColor="text1"/>
                      <w:kern w:val="0"/>
                      <w:sz w:val="18"/>
                      <w:szCs w:val="18"/>
                      <w:vertAlign w:val="subscript"/>
                      <w14:textFill>
                        <w14:solidFill>
                          <w14:schemeClr w14:val="tx1"/>
                        </w14:solidFill>
                      </w14:textFill>
                    </w:rPr>
                    <w:t>2.5</w:t>
                  </w:r>
                  <w:r>
                    <w:rPr>
                      <w:color w:val="000000" w:themeColor="text1"/>
                      <w:kern w:val="0"/>
                      <w:sz w:val="18"/>
                      <w:szCs w:val="18"/>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正常排放短期浓度贡献值</w:t>
                  </w:r>
                </w:p>
              </w:tc>
              <w:tc>
                <w:tcPr>
                  <w:tcW w:w="3958" w:type="dxa"/>
                  <w:gridSpan w:val="4"/>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C本项目最大占标率≤100%□</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C本项目最大占标率&gt;100%□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正常排放年均浓度贡献值</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一类区</w:t>
                  </w:r>
                </w:p>
              </w:tc>
              <w:tc>
                <w:tcPr>
                  <w:tcW w:w="183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w:t>
                  </w:r>
                  <w:r>
                    <w:rPr>
                      <w:color w:val="000000" w:themeColor="text1"/>
                      <w:sz w:val="18"/>
                      <w:szCs w:val="18"/>
                      <w:vertAlign w:val="superscript"/>
                      <w14:textFill>
                        <w14:solidFill>
                          <w14:schemeClr w14:val="tx1"/>
                        </w14:solidFill>
                      </w14:textFill>
                    </w:rPr>
                    <w:t>本项目</w:t>
                  </w:r>
                  <w:r>
                    <w:rPr>
                      <w:color w:val="000000" w:themeColor="text1"/>
                      <w:kern w:val="0"/>
                      <w:sz w:val="18"/>
                      <w:szCs w:val="18"/>
                      <w14:textFill>
                        <w14:solidFill>
                          <w14:schemeClr w14:val="tx1"/>
                        </w14:solidFill>
                      </w14:textFill>
                    </w:rPr>
                    <w:t>最大占标率≤10%□</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w:t>
                  </w:r>
                  <w:r>
                    <w:rPr>
                      <w:color w:val="000000" w:themeColor="text1"/>
                      <w:sz w:val="18"/>
                      <w:szCs w:val="18"/>
                      <w:vertAlign w:val="superscript"/>
                      <w14:textFill>
                        <w14:solidFill>
                          <w14:schemeClr w14:val="tx1"/>
                        </w14:solidFill>
                      </w14:textFill>
                    </w:rPr>
                    <w:t>本项目</w:t>
                  </w:r>
                  <w:r>
                    <w:rPr>
                      <w:color w:val="000000" w:themeColor="text1"/>
                      <w:kern w:val="0"/>
                      <w:sz w:val="18"/>
                      <w:szCs w:val="18"/>
                      <w14:textFill>
                        <w14:solidFill>
                          <w14:schemeClr w14:val="tx1"/>
                        </w14:solidFill>
                      </w14:textFill>
                    </w:rPr>
                    <w:t>最大占标率&gt;10%□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二类区</w:t>
                  </w:r>
                </w:p>
              </w:tc>
              <w:tc>
                <w:tcPr>
                  <w:tcW w:w="183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w:t>
                  </w:r>
                  <w:r>
                    <w:rPr>
                      <w:color w:val="000000" w:themeColor="text1"/>
                      <w:sz w:val="18"/>
                      <w:szCs w:val="18"/>
                      <w:vertAlign w:val="superscript"/>
                      <w14:textFill>
                        <w14:solidFill>
                          <w14:schemeClr w14:val="tx1"/>
                        </w14:solidFill>
                      </w14:textFill>
                    </w:rPr>
                    <w:t>本项目</w:t>
                  </w:r>
                  <w:r>
                    <w:rPr>
                      <w:color w:val="000000" w:themeColor="text1"/>
                      <w:kern w:val="0"/>
                      <w:sz w:val="18"/>
                      <w:szCs w:val="18"/>
                      <w14:textFill>
                        <w14:solidFill>
                          <w14:schemeClr w14:val="tx1"/>
                        </w14:solidFill>
                      </w14:textFill>
                    </w:rPr>
                    <w:t>最大占标率≤30%□</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w:t>
                  </w:r>
                  <w:r>
                    <w:rPr>
                      <w:color w:val="000000" w:themeColor="text1"/>
                      <w:sz w:val="18"/>
                      <w:szCs w:val="18"/>
                      <w:vertAlign w:val="superscript"/>
                      <w14:textFill>
                        <w14:solidFill>
                          <w14:schemeClr w14:val="tx1"/>
                        </w14:solidFill>
                      </w14:textFill>
                    </w:rPr>
                    <w:t>本项目</w:t>
                  </w:r>
                  <w:r>
                    <w:rPr>
                      <w:color w:val="000000" w:themeColor="text1"/>
                      <w:kern w:val="0"/>
                      <w:sz w:val="18"/>
                      <w:szCs w:val="18"/>
                      <w14:textFill>
                        <w14:solidFill>
                          <w14:schemeClr w14:val="tx1"/>
                        </w14:solidFill>
                      </w14:textFill>
                    </w:rPr>
                    <w:t>最大占标率&gt;30%□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非正常1h浓度贡献值</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非正常持续时长</w:t>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  ）h</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w:t>
                  </w:r>
                  <w:r>
                    <w:rPr>
                      <w:color w:val="000000" w:themeColor="text1"/>
                      <w:sz w:val="18"/>
                      <w:szCs w:val="18"/>
                      <w:vertAlign w:val="superscript"/>
                      <w14:textFill>
                        <w14:solidFill>
                          <w14:schemeClr w14:val="tx1"/>
                        </w14:solidFill>
                      </w14:textFill>
                    </w:rPr>
                    <w:t>非正常</w:t>
                  </w:r>
                  <w:r>
                    <w:rPr>
                      <w:color w:val="000000" w:themeColor="text1"/>
                      <w:kern w:val="0"/>
                      <w:sz w:val="18"/>
                      <w:szCs w:val="18"/>
                      <w14:textFill>
                        <w14:solidFill>
                          <w14:schemeClr w14:val="tx1"/>
                        </w14:solidFill>
                      </w14:textFill>
                    </w:rPr>
                    <w:t>占标率≤100%□</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w:t>
                  </w:r>
                  <w:r>
                    <w:rPr>
                      <w:color w:val="000000" w:themeColor="text1"/>
                      <w:sz w:val="18"/>
                      <w:szCs w:val="18"/>
                      <w:vertAlign w:val="superscript"/>
                      <w14:textFill>
                        <w14:solidFill>
                          <w14:schemeClr w14:val="tx1"/>
                        </w14:solidFill>
                      </w14:textFill>
                    </w:rPr>
                    <w:t>非正常</w:t>
                  </w:r>
                  <w:r>
                    <w:rPr>
                      <w:color w:val="000000" w:themeColor="text1"/>
                      <w:kern w:val="0"/>
                      <w:sz w:val="18"/>
                      <w:szCs w:val="18"/>
                      <w14:textFill>
                        <w14:solidFill>
                          <w14:schemeClr w14:val="tx1"/>
                        </w14:solidFill>
                      </w14:textFill>
                    </w:rPr>
                    <w:t>占标率&gt;100%□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保证率日平均浓度和年平均浓度叠加值</w:t>
                  </w:r>
                </w:p>
              </w:tc>
              <w:tc>
                <w:tcPr>
                  <w:tcW w:w="3958" w:type="dxa"/>
                  <w:gridSpan w:val="4"/>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C叠加达标□</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区域环境质量的整体变化情况</w:t>
                  </w:r>
                </w:p>
              </w:tc>
              <w:tc>
                <w:tcPr>
                  <w:tcW w:w="3958" w:type="dxa"/>
                  <w:gridSpan w:val="4"/>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k≤-20%□</w:t>
                  </w:r>
                </w:p>
              </w:tc>
              <w:tc>
                <w:tcPr>
                  <w:tcW w:w="2408"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k&gt;-20%□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环境监测计划</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污染源监测</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监测因子：（非甲烷总烃）</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有组织废气监测</w:t>
                  </w:r>
                  <w:r>
                    <w:rPr>
                      <w:rFonts w:hint="eastAsia"/>
                      <w:color w:val="000000" w:themeColor="text1"/>
                      <w:kern w:val="0"/>
                      <w:sz w:val="18"/>
                      <w:szCs w:val="18"/>
                      <w:lang w:eastAsia="zh-CN"/>
                      <w14:textFill>
                        <w14:solidFill>
                          <w14:schemeClr w14:val="tx1"/>
                        </w14:solidFill>
                      </w14:textFill>
                    </w:rPr>
                    <w:t>☑</w:t>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无组织废气监测</w:t>
                  </w:r>
                  <w:r>
                    <w:rPr>
                      <w:rFonts w:hint="eastAsia"/>
                      <w:color w:val="000000" w:themeColor="text1"/>
                      <w:kern w:val="0"/>
                      <w:sz w:val="18"/>
                      <w:szCs w:val="18"/>
                      <w:lang w:eastAsia="zh-CN"/>
                      <w14:textFill>
                        <w14:solidFill>
                          <w14:schemeClr w14:val="tx1"/>
                        </w14:solidFill>
                      </w14:textFill>
                    </w:rPr>
                    <w:t>☑</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环境质量监测</w:t>
                  </w:r>
                </w:p>
              </w:tc>
              <w:tc>
                <w:tcPr>
                  <w:tcW w:w="2824" w:type="dxa"/>
                  <w:gridSpan w:val="3"/>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监测因子：（非甲烷总烃）</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监测点位数（1）</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无监测</w:t>
                  </w:r>
                  <w:r>
                    <w:rPr>
                      <w:snapToGrid w:val="0"/>
                      <w:color w:val="000000" w:themeColor="text1"/>
                      <w:sz w:val="18"/>
                      <w:szCs w:val="18"/>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right"/>
              </w:trPr>
              <w:tc>
                <w:tcPr>
                  <w:tcW w:w="669" w:type="dxa"/>
                  <w:vMerge w:val="restart"/>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评价结论</w:t>
                  </w: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环境影响</w:t>
                  </w:r>
                </w:p>
              </w:tc>
              <w:tc>
                <w:tcPr>
                  <w:tcW w:w="6366" w:type="dxa"/>
                  <w:gridSpan w:val="7"/>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 xml:space="preserve">可以接受 </w:t>
                  </w:r>
                  <w:r>
                    <w:rPr>
                      <w:snapToGrid w:val="0"/>
                      <w:color w:val="000000" w:themeColor="text1"/>
                      <w:sz w:val="18"/>
                      <w:szCs w:val="18"/>
                      <w14:textFill>
                        <w14:solidFill>
                          <w14:schemeClr w14:val="tx1"/>
                        </w14:solidFill>
                      </w14:textFill>
                    </w:rPr>
                    <w:sym w:font="Wingdings 2" w:char="0052"/>
                  </w:r>
                  <w:r>
                    <w:rPr>
                      <w:color w:val="000000" w:themeColor="text1"/>
                      <w:kern w:val="0"/>
                      <w:sz w:val="18"/>
                      <w:szCs w:val="18"/>
                      <w14:textFill>
                        <w14:solidFill>
                          <w14:schemeClr w14:val="tx1"/>
                        </w14:solidFill>
                      </w14:textFill>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大气环境防护距离</w:t>
                  </w:r>
                </w:p>
              </w:tc>
              <w:tc>
                <w:tcPr>
                  <w:tcW w:w="6366" w:type="dxa"/>
                  <w:gridSpan w:val="7"/>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距（    )厂界最远（0）m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669" w:type="dxa"/>
                  <w:vMerge w:val="continue"/>
                  <w:tcBorders>
                    <w:tl2br w:val="nil"/>
                    <w:tr2bl w:val="nil"/>
                  </w:tcBorders>
                  <w:tcMar>
                    <w:top w:w="15" w:type="dxa"/>
                    <w:left w:w="15" w:type="dxa"/>
                    <w:right w:w="15" w:type="dxa"/>
                  </w:tcMar>
                  <w:vAlign w:val="center"/>
                </w:tcPr>
                <w:p>
                  <w:pPr>
                    <w:spacing w:line="240" w:lineRule="auto"/>
                    <w:ind w:firstLine="0" w:firstLineChars="0"/>
                    <w:jc w:val="center"/>
                    <w:rPr>
                      <w:color w:val="000000" w:themeColor="text1"/>
                      <w:sz w:val="18"/>
                      <w:szCs w:val="18"/>
                      <w14:textFill>
                        <w14:solidFill>
                          <w14:schemeClr w14:val="tx1"/>
                        </w14:solidFill>
                      </w14:textFill>
                    </w:rPr>
                  </w:pPr>
                </w:p>
              </w:tc>
              <w:tc>
                <w:tcPr>
                  <w:tcW w:w="1443"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污染源年排放量</w:t>
                  </w:r>
                </w:p>
              </w:tc>
              <w:tc>
                <w:tcPr>
                  <w:tcW w:w="212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SO</w:t>
                  </w:r>
                  <w:r>
                    <w:rPr>
                      <w:color w:val="000000" w:themeColor="text1"/>
                      <w:kern w:val="0"/>
                      <w:sz w:val="18"/>
                      <w:szCs w:val="18"/>
                      <w:vertAlign w:val="subscript"/>
                      <w14:textFill>
                        <w14:solidFill>
                          <w14:schemeClr w14:val="tx1"/>
                        </w14:solidFill>
                      </w14:textFill>
                    </w:rPr>
                    <w:t>2</w:t>
                  </w:r>
                  <w:r>
                    <w:rPr>
                      <w:color w:val="000000" w:themeColor="text1"/>
                      <w:kern w:val="0"/>
                      <w:sz w:val="18"/>
                      <w:szCs w:val="18"/>
                      <w14:textFill>
                        <w14:solidFill>
                          <w14:schemeClr w14:val="tx1"/>
                        </w14:solidFill>
                      </w14:textFill>
                    </w:rPr>
                    <w:t xml:space="preserve">:( </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)t/a</w:t>
                  </w:r>
                </w:p>
              </w:tc>
              <w:tc>
                <w:tcPr>
                  <w:tcW w:w="1832"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 xml:space="preserve">NOx:( </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 xml:space="preserve"> )t/a</w:t>
                  </w:r>
                </w:p>
              </w:tc>
              <w:tc>
                <w:tcPr>
                  <w:tcW w:w="992" w:type="dxa"/>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 xml:space="preserve">颗粒物:( </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 xml:space="preserve"> )t/a</w:t>
                  </w:r>
                </w:p>
              </w:tc>
              <w:tc>
                <w:tcPr>
                  <w:tcW w:w="1416" w:type="dxa"/>
                  <w:gridSpan w:val="2"/>
                  <w:tcBorders>
                    <w:tl2br w:val="nil"/>
                    <w:tr2bl w:val="nil"/>
                  </w:tcBorders>
                  <w:tcMar>
                    <w:top w:w="15" w:type="dxa"/>
                    <w:left w:w="15" w:type="dxa"/>
                    <w:right w:w="15" w:type="dxa"/>
                  </w:tcMar>
                  <w:vAlign w:val="center"/>
                </w:tcPr>
                <w:p>
                  <w:pPr>
                    <w:widowControl/>
                    <w:spacing w:line="240" w:lineRule="auto"/>
                    <w:ind w:firstLine="0" w:firstLineChars="0"/>
                    <w:jc w:val="center"/>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VOCs:(</w:t>
                  </w:r>
                  <w:r>
                    <w:rPr>
                      <w:rFonts w:hint="eastAsia"/>
                      <w:color w:val="000000" w:themeColor="text1"/>
                      <w:kern w:val="0"/>
                      <w:sz w:val="18"/>
                      <w:szCs w:val="18"/>
                      <w:lang w:val="en-US" w:eastAsia="zh-CN"/>
                      <w14:textFill>
                        <w14:solidFill>
                          <w14:schemeClr w14:val="tx1"/>
                        </w14:solidFill>
                      </w14:textFill>
                    </w:rPr>
                    <w:t>2.01</w:t>
                  </w:r>
                  <w:r>
                    <w:rPr>
                      <w:color w:val="000000" w:themeColor="text1"/>
                      <w:kern w:val="0"/>
                      <w:sz w:val="18"/>
                      <w:szCs w:val="18"/>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right"/>
              </w:trPr>
              <w:tc>
                <w:tcPr>
                  <w:tcW w:w="8478" w:type="dxa"/>
                  <w:gridSpan w:val="9"/>
                  <w:tcBorders>
                    <w:tl2br w:val="nil"/>
                    <w:tr2bl w:val="nil"/>
                  </w:tcBorders>
                  <w:tcMar>
                    <w:top w:w="15" w:type="dxa"/>
                    <w:left w:w="15" w:type="dxa"/>
                    <w:right w:w="15" w:type="dxa"/>
                  </w:tcMar>
                  <w:vAlign w:val="center"/>
                </w:tcPr>
                <w:p>
                  <w:pPr>
                    <w:widowControl/>
                    <w:spacing w:line="240" w:lineRule="auto"/>
                    <w:ind w:firstLine="0" w:firstLineChars="0"/>
                    <w:jc w:val="left"/>
                    <w:textAlignment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注：“□”，填“√”；“（  ）”为内容填写项</w:t>
                  </w:r>
                </w:p>
              </w:tc>
            </w:tr>
          </w:tbl>
          <w:p>
            <w:pPr>
              <w:ind w:firstLine="482"/>
              <w:rPr>
                <w:rFonts w:hAnsi="宋体"/>
                <w:b/>
                <w:color w:val="000000" w:themeColor="text1"/>
                <w:kern w:val="0"/>
                <w14:textFill>
                  <w14:solidFill>
                    <w14:schemeClr w14:val="tx1"/>
                  </w14:solidFill>
                </w14:textFill>
              </w:rPr>
            </w:pPr>
            <w:r>
              <w:rPr>
                <w:rFonts w:hAnsi="宋体"/>
                <w:b/>
                <w:color w:val="000000" w:themeColor="text1"/>
                <w:kern w:val="0"/>
                <w14:textFill>
                  <w14:solidFill>
                    <w14:schemeClr w14:val="tx1"/>
                  </w14:solidFill>
                </w14:textFill>
              </w:rPr>
              <w:t>2、</w:t>
            </w:r>
            <w:r>
              <w:rPr>
                <w:rFonts w:hint="eastAsia" w:hAnsi="宋体"/>
                <w:b/>
                <w:color w:val="000000" w:themeColor="text1"/>
                <w:kern w:val="0"/>
                <w14:textFill>
                  <w14:solidFill>
                    <w14:schemeClr w14:val="tx1"/>
                  </w14:solidFill>
                </w14:textFill>
              </w:rPr>
              <w:t>地表水环境影响分析</w:t>
            </w:r>
          </w:p>
          <w:p>
            <w:pPr>
              <w:adjustRightInd w:val="0"/>
              <w:snapToGrid w:val="0"/>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项目建成后，</w:t>
            </w:r>
            <w:r>
              <w:rPr>
                <w:rFonts w:hint="eastAsia" w:hAnsi="宋体"/>
                <w:color w:val="000000" w:themeColor="text1"/>
                <w:kern w:val="0"/>
                <w14:textFill>
                  <w14:solidFill>
                    <w14:schemeClr w14:val="tx1"/>
                  </w14:solidFill>
                </w14:textFill>
              </w:rPr>
              <w:t>采用雨污分流系统，雨水散排，营运期</w:t>
            </w:r>
            <w:r>
              <w:rPr>
                <w:rFonts w:hAnsi="宋体"/>
                <w:color w:val="000000" w:themeColor="text1"/>
                <w:kern w:val="0"/>
                <w14:textFill>
                  <w14:solidFill>
                    <w14:schemeClr w14:val="tx1"/>
                  </w14:solidFill>
                </w14:textFill>
              </w:rPr>
              <w:t>废水主要为站内生活污水</w:t>
            </w:r>
            <w:r>
              <w:rPr>
                <w:rFonts w:hint="eastAsia" w:hAnsi="宋体"/>
                <w:color w:val="000000" w:themeColor="text1"/>
                <w:kern w:val="0"/>
                <w14:textFill>
                  <w14:solidFill>
                    <w14:schemeClr w14:val="tx1"/>
                  </w14:solidFill>
                </w14:textFill>
              </w:rPr>
              <w:t>。</w:t>
            </w:r>
            <w:r>
              <w:rPr>
                <w:rFonts w:hAnsi="宋体"/>
                <w:color w:val="000000" w:themeColor="text1"/>
                <w:kern w:val="0"/>
                <w14:textFill>
                  <w14:solidFill>
                    <w14:schemeClr w14:val="tx1"/>
                  </w14:solidFill>
                </w14:textFill>
              </w:rPr>
              <w:t>本项目生活污水主要由站内工作人员和往来加油</w:t>
            </w:r>
            <w:r>
              <w:rPr>
                <w:rFonts w:hint="eastAsia" w:hAnsi="宋体"/>
                <w:color w:val="000000" w:themeColor="text1"/>
                <w:kern w:val="0"/>
                <w14:textFill>
                  <w14:solidFill>
                    <w14:schemeClr w14:val="tx1"/>
                  </w14:solidFill>
                </w14:textFill>
              </w:rPr>
              <w:t>顾</w:t>
            </w:r>
            <w:r>
              <w:rPr>
                <w:rFonts w:hAnsi="宋体"/>
                <w:color w:val="000000" w:themeColor="text1"/>
                <w:kern w:val="0"/>
                <w14:textFill>
                  <w14:solidFill>
                    <w14:schemeClr w14:val="tx1"/>
                  </w14:solidFill>
                </w14:textFill>
              </w:rPr>
              <w:t>客产生</w:t>
            </w:r>
            <w:r>
              <w:rPr>
                <w:rFonts w:hint="eastAsia" w:hAnsi="宋体"/>
                <w:color w:val="000000" w:themeColor="text1"/>
                <w:kern w:val="0"/>
                <w14:textFill>
                  <w14:solidFill>
                    <w14:schemeClr w14:val="tx1"/>
                  </w14:solidFill>
                </w14:textFill>
              </w:rPr>
              <w:t>。由于顾在站内仅加油时稍作停留，站区员工废水和流动人员</w:t>
            </w:r>
            <w:r>
              <w:rPr>
                <w:rFonts w:hint="eastAsia" w:hAnsi="宋体"/>
                <w:iCs/>
                <w:color w:val="000000" w:themeColor="text1"/>
                <w:kern w:val="0"/>
                <w14:textFill>
                  <w14:solidFill>
                    <w14:schemeClr w14:val="tx1"/>
                  </w14:solidFill>
                </w14:textFill>
              </w:rPr>
              <w:t>生活污水由化粪池预处理后，定期清掏，不外排</w:t>
            </w:r>
            <w:r>
              <w:rPr>
                <w:rFonts w:hint="eastAsia" w:hAnsi="宋体"/>
                <w:color w:val="000000" w:themeColor="text1"/>
                <w:kern w:val="0"/>
                <w14:textFill>
                  <w14:solidFill>
                    <w14:schemeClr w14:val="tx1"/>
                  </w14:solidFill>
                </w14:textFill>
              </w:rPr>
              <w:t>。</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综上所述，项目产生的废水能得到合理处理，对周围环境影响较小。</w:t>
            </w:r>
          </w:p>
          <w:p>
            <w:p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3、</w:t>
            </w:r>
            <w:r>
              <w:rPr>
                <w:rFonts w:hAnsi="宋体"/>
                <w:b/>
                <w:color w:val="000000" w:themeColor="text1"/>
                <w:kern w:val="0"/>
                <w14:textFill>
                  <w14:solidFill>
                    <w14:schemeClr w14:val="tx1"/>
                  </w14:solidFill>
                </w14:textFill>
              </w:rPr>
              <w:t>地下水</w:t>
            </w:r>
            <w:r>
              <w:rPr>
                <w:rFonts w:hint="eastAsia" w:hAnsi="宋体"/>
                <w:b/>
                <w:color w:val="000000" w:themeColor="text1"/>
                <w:kern w:val="0"/>
                <w14:textFill>
                  <w14:solidFill>
                    <w14:schemeClr w14:val="tx1"/>
                  </w14:solidFill>
                </w14:textFill>
              </w:rPr>
              <w:t>环境影响分析</w:t>
            </w:r>
          </w:p>
          <w:p>
            <w:pPr>
              <w:pStyle w:val="88"/>
              <w:spacing w:before="160" w:line="364" w:lineRule="auto"/>
              <w:ind w:left="14" w:right="-29" w:firstLine="48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根据《环境影响评价技术导则-地下水环境》（HJ610-2016）中相关要求，对建设项目地下水环境影响进行评价。</w:t>
            </w:r>
          </w:p>
          <w:p>
            <w:pPr>
              <w:pStyle w:val="88"/>
              <w:spacing w:before="161"/>
              <w:ind w:left="494"/>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w:t>
            </w:r>
            <w:r>
              <w:rPr>
                <w:rFonts w:ascii="Times New Roman" w:eastAsia="Times New Roman"/>
                <w:color w:val="000000" w:themeColor="text1"/>
                <w:sz w:val="24"/>
                <w:lang w:eastAsia="zh-CN"/>
                <w14:textFill>
                  <w14:solidFill>
                    <w14:schemeClr w14:val="tx1"/>
                  </w14:solidFill>
                </w14:textFill>
              </w:rPr>
              <w:t>1</w:t>
            </w:r>
            <w:r>
              <w:rPr>
                <w:color w:val="000000" w:themeColor="text1"/>
                <w:sz w:val="24"/>
                <w:lang w:eastAsia="zh-CN"/>
                <w14:textFill>
                  <w14:solidFill>
                    <w14:schemeClr w14:val="tx1"/>
                  </w14:solidFill>
                </w14:textFill>
              </w:rPr>
              <w:t>）地下水评价等级划分</w:t>
            </w:r>
          </w:p>
          <w:p>
            <w:pPr>
              <w:pStyle w:val="88"/>
              <w:spacing w:before="160"/>
              <w:ind w:left="494"/>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①建设项目类别</w:t>
            </w:r>
          </w:p>
          <w:p>
            <w:pPr>
              <w:pStyle w:val="88"/>
              <w:spacing w:before="161" w:line="364" w:lineRule="auto"/>
              <w:ind w:left="14" w:right="99" w:firstLine="480"/>
              <w:jc w:val="both"/>
              <w:rPr>
                <w:color w:val="000000" w:themeColor="text1"/>
                <w:sz w:val="24"/>
                <w:lang w:eastAsia="zh-CN"/>
                <w14:textFill>
                  <w14:solidFill>
                    <w14:schemeClr w14:val="tx1"/>
                  </w14:solidFill>
                </w14:textFill>
              </w:rPr>
            </w:pPr>
            <w:r>
              <w:rPr>
                <w:color w:val="000000" w:themeColor="text1"/>
                <w:spacing w:val="-7"/>
                <w:sz w:val="24"/>
                <w:lang w:eastAsia="zh-CN"/>
                <w14:textFill>
                  <w14:solidFill>
                    <w14:schemeClr w14:val="tx1"/>
                  </w14:solidFill>
                </w14:textFill>
              </w:rPr>
              <w:t>根据《环境影响评价技术导则</w:t>
            </w:r>
            <w:r>
              <w:rPr>
                <w:rFonts w:ascii="Times New Roman" w:hAnsi="Times New Roman" w:eastAsia="Times New Roman"/>
                <w:color w:val="000000" w:themeColor="text1"/>
                <w:sz w:val="24"/>
                <w:lang w:eastAsia="zh-CN"/>
                <w14:textFill>
                  <w14:solidFill>
                    <w14:schemeClr w14:val="tx1"/>
                  </w14:solidFill>
                </w14:textFill>
              </w:rPr>
              <w:t>-</w:t>
            </w:r>
            <w:r>
              <w:rPr>
                <w:color w:val="000000" w:themeColor="text1"/>
                <w:spacing w:val="-14"/>
                <w:sz w:val="24"/>
                <w:lang w:eastAsia="zh-CN"/>
                <w14:textFill>
                  <w14:solidFill>
                    <w14:schemeClr w14:val="tx1"/>
                  </w14:solidFill>
                </w14:textFill>
              </w:rPr>
              <w:t>地下水环境》</w:t>
            </w:r>
            <w:r>
              <w:rPr>
                <w:color w:val="000000" w:themeColor="text1"/>
                <w:spacing w:val="-7"/>
                <w:sz w:val="24"/>
                <w:lang w:eastAsia="zh-CN"/>
                <w14:textFill>
                  <w14:solidFill>
                    <w14:schemeClr w14:val="tx1"/>
                  </w14:solidFill>
                </w14:textFill>
              </w:rPr>
              <w:t>（</w:t>
            </w:r>
            <w:r>
              <w:rPr>
                <w:rFonts w:ascii="Times New Roman" w:hAnsi="Times New Roman" w:eastAsia="Times New Roman"/>
                <w:color w:val="000000" w:themeColor="text1"/>
                <w:spacing w:val="-7"/>
                <w:sz w:val="24"/>
                <w:lang w:eastAsia="zh-CN"/>
                <w14:textFill>
                  <w14:solidFill>
                    <w14:schemeClr w14:val="tx1"/>
                  </w14:solidFill>
                </w14:textFill>
              </w:rPr>
              <w:t>HJ610-2016</w:t>
            </w:r>
            <w:r>
              <w:rPr>
                <w:color w:val="000000" w:themeColor="text1"/>
                <w:spacing w:val="-7"/>
                <w:sz w:val="24"/>
                <w:lang w:eastAsia="zh-CN"/>
                <w14:textFill>
                  <w14:solidFill>
                    <w14:schemeClr w14:val="tx1"/>
                  </w14:solidFill>
                </w14:textFill>
              </w:rPr>
              <w:t>）</w:t>
            </w:r>
            <w:r>
              <w:rPr>
                <w:color w:val="000000" w:themeColor="text1"/>
                <w:spacing w:val="-3"/>
                <w:sz w:val="24"/>
                <w:lang w:eastAsia="zh-CN"/>
                <w14:textFill>
                  <w14:solidFill>
                    <w14:schemeClr w14:val="tx1"/>
                  </w14:solidFill>
                </w14:textFill>
              </w:rPr>
              <w:t>，本项目属于</w:t>
            </w:r>
            <w:r>
              <w:rPr>
                <w:rFonts w:ascii="Times New Roman" w:hAnsi="Times New Roman" w:eastAsia="Times New Roman"/>
                <w:color w:val="000000" w:themeColor="text1"/>
                <w:sz w:val="24"/>
                <w:lang w:eastAsia="zh-CN"/>
                <w14:textFill>
                  <w14:solidFill>
                    <w14:schemeClr w14:val="tx1"/>
                  </w14:solidFill>
                </w14:textFill>
              </w:rPr>
              <w:t>“</w:t>
            </w:r>
            <w:r>
              <w:rPr>
                <w:color w:val="000000" w:themeColor="text1"/>
                <w:spacing w:val="-18"/>
                <w:sz w:val="24"/>
                <w:lang w:eastAsia="zh-CN"/>
                <w14:textFill>
                  <w14:solidFill>
                    <w14:schemeClr w14:val="tx1"/>
                  </w14:solidFill>
                </w14:textFill>
              </w:rPr>
              <w:t xml:space="preserve">附录 </w:t>
            </w:r>
            <w:r>
              <w:rPr>
                <w:rFonts w:ascii="Times New Roman" w:hAnsi="Times New Roman" w:eastAsia="Times New Roman"/>
                <w:color w:val="000000" w:themeColor="text1"/>
                <w:spacing w:val="-13"/>
                <w:sz w:val="24"/>
                <w:lang w:eastAsia="zh-CN"/>
                <w14:textFill>
                  <w14:solidFill>
                    <w14:schemeClr w14:val="tx1"/>
                  </w14:solidFill>
                </w14:textFill>
              </w:rPr>
              <w:t xml:space="preserve">A </w:t>
            </w:r>
            <w:r>
              <w:rPr>
                <w:color w:val="000000" w:themeColor="text1"/>
                <w:sz w:val="24"/>
                <w:lang w:eastAsia="zh-CN"/>
                <w14:textFill>
                  <w14:solidFill>
                    <w14:schemeClr w14:val="tx1"/>
                  </w14:solidFill>
                </w14:textFill>
              </w:rPr>
              <w:t>地下水环境影响评价行业分类表</w:t>
            </w:r>
            <w:r>
              <w:rPr>
                <w:rFonts w:ascii="Times New Roman" w:hAnsi="Times New Roman" w:eastAsia="Times New Roman"/>
                <w:color w:val="000000" w:themeColor="text1"/>
                <w:sz w:val="24"/>
                <w:lang w:eastAsia="zh-CN"/>
                <w14:textFill>
                  <w14:solidFill>
                    <w14:schemeClr w14:val="tx1"/>
                  </w14:solidFill>
                </w14:textFill>
              </w:rPr>
              <w:t>”</w:t>
            </w:r>
            <w:r>
              <w:rPr>
                <w:color w:val="000000" w:themeColor="text1"/>
                <w:sz w:val="24"/>
                <w:lang w:eastAsia="zh-CN"/>
                <w14:textFill>
                  <w14:solidFill>
                    <w14:schemeClr w14:val="tx1"/>
                  </w14:solidFill>
                </w14:textFill>
              </w:rPr>
              <w:t>中</w:t>
            </w:r>
            <w:r>
              <w:rPr>
                <w:rFonts w:ascii="Times New Roman" w:hAnsi="Times New Roman" w:eastAsia="Times New Roman"/>
                <w:color w:val="000000" w:themeColor="text1"/>
                <w:sz w:val="24"/>
                <w:lang w:eastAsia="zh-CN"/>
                <w14:textFill>
                  <w14:solidFill>
                    <w14:schemeClr w14:val="tx1"/>
                  </w14:solidFill>
                </w14:textFill>
              </w:rPr>
              <w:t xml:space="preserve">“V </w:t>
            </w:r>
            <w:r>
              <w:rPr>
                <w:color w:val="000000" w:themeColor="text1"/>
                <w:sz w:val="24"/>
                <w:lang w:eastAsia="zh-CN"/>
                <w14:textFill>
                  <w14:solidFill>
                    <w14:schemeClr w14:val="tx1"/>
                  </w14:solidFill>
                </w14:textFill>
              </w:rPr>
              <w:t>社会事业与服务业，</w:t>
            </w:r>
            <w:r>
              <w:rPr>
                <w:rFonts w:ascii="Times New Roman" w:hAnsi="Times New Roman" w:eastAsia="Times New Roman"/>
                <w:color w:val="000000" w:themeColor="text1"/>
                <w:sz w:val="24"/>
                <w:lang w:eastAsia="zh-CN"/>
                <w14:textFill>
                  <w14:solidFill>
                    <w14:schemeClr w14:val="tx1"/>
                  </w14:solidFill>
                </w14:textFill>
              </w:rPr>
              <w:t>182</w:t>
            </w:r>
            <w:r>
              <w:rPr>
                <w:color w:val="000000" w:themeColor="text1"/>
                <w:sz w:val="24"/>
                <w:lang w:eastAsia="zh-CN"/>
                <w14:textFill>
                  <w14:solidFill>
                    <w14:schemeClr w14:val="tx1"/>
                  </w14:solidFill>
                </w14:textFill>
              </w:rPr>
              <w:t>、加油、加气站</w:t>
            </w:r>
            <w:r>
              <w:rPr>
                <w:rFonts w:ascii="Times New Roman" w:hAnsi="Times New Roman" w:eastAsia="Times New Roman"/>
                <w:color w:val="000000" w:themeColor="text1"/>
                <w:sz w:val="24"/>
                <w:lang w:eastAsia="zh-CN"/>
                <w14:textFill>
                  <w14:solidFill>
                    <w14:schemeClr w14:val="tx1"/>
                  </w14:solidFill>
                </w14:textFill>
              </w:rPr>
              <w:t>”</w:t>
            </w:r>
            <w:r>
              <w:rPr>
                <w:color w:val="000000" w:themeColor="text1"/>
                <w:sz w:val="24"/>
                <w:lang w:eastAsia="zh-CN"/>
                <w14:textFill>
                  <w14:solidFill>
                    <w14:schemeClr w14:val="tx1"/>
                  </w14:solidFill>
                </w14:textFill>
              </w:rPr>
              <w:t>类别为</w:t>
            </w:r>
            <w:r>
              <w:rPr>
                <w:rFonts w:ascii="Times New Roman" w:hAnsi="Times New Roman" w:eastAsia="Times New Roman"/>
                <w:color w:val="000000" w:themeColor="text1"/>
                <w:sz w:val="24"/>
                <w:lang w:eastAsia="zh-CN"/>
                <w14:textFill>
                  <w14:solidFill>
                    <w14:schemeClr w14:val="tx1"/>
                  </w14:solidFill>
                </w14:textFill>
              </w:rPr>
              <w:t>Ⅱ</w:t>
            </w:r>
            <w:r>
              <w:rPr>
                <w:color w:val="000000" w:themeColor="text1"/>
                <w:sz w:val="24"/>
                <w:lang w:eastAsia="zh-CN"/>
                <w14:textFill>
                  <w14:solidFill>
                    <w14:schemeClr w14:val="tx1"/>
                  </w14:solidFill>
                </w14:textFill>
              </w:rPr>
              <w:t>类项目。</w:t>
            </w:r>
          </w:p>
          <w:p>
            <w:pPr>
              <w:pStyle w:val="88"/>
              <w:spacing w:before="2"/>
              <w:ind w:left="494"/>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②地下水环境敏感程度</w:t>
            </w:r>
          </w:p>
          <w:p>
            <w:pPr>
              <w:pStyle w:val="88"/>
              <w:spacing w:before="160" w:line="364" w:lineRule="auto"/>
              <w:ind w:left="14" w:right="-29" w:firstLine="48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世纪大道中段南</w:t>
            </w:r>
            <w:r>
              <w:rPr>
                <w:color w:val="000000" w:themeColor="text1"/>
                <w:sz w:val="24"/>
                <w:lang w:eastAsia="zh-CN"/>
                <w14:textFill>
                  <w14:solidFill>
                    <w14:schemeClr w14:val="tx1"/>
                  </w14:solidFill>
                </w14:textFill>
              </w:rPr>
              <w:t>加油站位于</w:t>
            </w:r>
            <w:r>
              <w:rPr>
                <w:rFonts w:hint="eastAsia"/>
                <w:color w:val="000000" w:themeColor="text1"/>
                <w:sz w:val="24"/>
                <w:lang w:eastAsia="zh-CN"/>
                <w14:textFill>
                  <w14:solidFill>
                    <w14:schemeClr w14:val="tx1"/>
                  </w14:solidFill>
                </w14:textFill>
              </w:rPr>
              <w:t>西咸新区沣东新城沣东镇北槐村</w:t>
            </w:r>
            <w:r>
              <w:rPr>
                <w:color w:val="000000" w:themeColor="text1"/>
                <w:sz w:val="24"/>
                <w:lang w:eastAsia="zh-CN"/>
                <w14:textFill>
                  <w14:solidFill>
                    <w14:schemeClr w14:val="tx1"/>
                  </w14:solidFill>
                </w14:textFill>
              </w:rPr>
              <w:t>，位于沣皂河水源地</w:t>
            </w:r>
            <w:r>
              <w:rPr>
                <w:color w:val="000000" w:themeColor="text1"/>
                <w:spacing w:val="4"/>
                <w:sz w:val="24"/>
                <w:lang w:eastAsia="zh-CN"/>
                <w14:textFill>
                  <w14:solidFill>
                    <w14:schemeClr w14:val="tx1"/>
                  </w14:solidFill>
                </w14:textFill>
              </w:rPr>
              <w:t>（</w:t>
            </w:r>
            <w:r>
              <w:rPr>
                <w:color w:val="000000" w:themeColor="text1"/>
                <w:sz w:val="24"/>
                <w:lang w:eastAsia="zh-CN"/>
                <w14:textFill>
                  <w14:solidFill>
                    <w14:schemeClr w14:val="tx1"/>
                  </w14:solidFill>
                </w14:textFill>
              </w:rPr>
              <w:t>水源地类型为地下水</w:t>
            </w:r>
            <w:r>
              <w:rPr>
                <w:color w:val="000000" w:themeColor="text1"/>
                <w:spacing w:val="-26"/>
                <w:sz w:val="24"/>
                <w:lang w:eastAsia="zh-CN"/>
                <w14:textFill>
                  <w14:solidFill>
                    <w14:schemeClr w14:val="tx1"/>
                  </w14:solidFill>
                </w14:textFill>
              </w:rPr>
              <w:t>）</w:t>
            </w:r>
            <w:r>
              <w:rPr>
                <w:color w:val="000000" w:themeColor="text1"/>
                <w:spacing w:val="-14"/>
                <w:sz w:val="24"/>
                <w:lang w:eastAsia="zh-CN"/>
                <w14:textFill>
                  <w14:solidFill>
                    <w14:schemeClr w14:val="tx1"/>
                  </w14:solidFill>
                </w14:textFill>
              </w:rPr>
              <w:t>，根据《</w:t>
            </w:r>
            <w:r>
              <w:rPr>
                <w:rFonts w:ascii="Times New Roman" w:eastAsia="Times New Roman"/>
                <w:color w:val="000000" w:themeColor="text1"/>
                <w:sz w:val="24"/>
                <w:lang w:eastAsia="zh-CN"/>
                <w14:textFill>
                  <w14:solidFill>
                    <w14:schemeClr w14:val="tx1"/>
                  </w14:solidFill>
                </w14:textFill>
              </w:rPr>
              <w:t xml:space="preserve">2019 </w:t>
            </w:r>
            <w:r>
              <w:rPr>
                <w:color w:val="000000" w:themeColor="text1"/>
                <w:spacing w:val="-2"/>
                <w:sz w:val="24"/>
                <w:lang w:eastAsia="zh-CN"/>
                <w14:textFill>
                  <w14:solidFill>
                    <w14:schemeClr w14:val="tx1"/>
                  </w14:solidFill>
                </w14:textFill>
              </w:rPr>
              <w:t>年度陕西省市级城市集中式生活饮用水源水质状况报告》</w:t>
            </w:r>
            <w:r>
              <w:rPr>
                <w:color w:val="000000" w:themeColor="text1"/>
                <w:sz w:val="24"/>
                <w:lang w:eastAsia="zh-CN"/>
                <w14:textFill>
                  <w14:solidFill>
                    <w14:schemeClr w14:val="tx1"/>
                  </w14:solidFill>
                </w14:textFill>
              </w:rPr>
              <w:t>沣皂河水源地水质达标。</w:t>
            </w:r>
            <w:r>
              <w:rPr>
                <w:rFonts w:hint="eastAsia"/>
                <w:color w:val="000000" w:themeColor="text1"/>
                <w:sz w:val="24"/>
                <w:lang w:eastAsia="zh-CN"/>
                <w14:textFill>
                  <w14:solidFill>
                    <w14:schemeClr w14:val="tx1"/>
                  </w14:solidFill>
                </w14:textFill>
              </w:rPr>
              <w:t>世纪大道中段南</w:t>
            </w:r>
            <w:r>
              <w:rPr>
                <w:color w:val="000000" w:themeColor="text1"/>
                <w:sz w:val="24"/>
                <w:lang w:eastAsia="zh-CN"/>
                <w14:textFill>
                  <w14:solidFill>
                    <w14:schemeClr w14:val="tx1"/>
                  </w14:solidFill>
                </w14:textFill>
              </w:rPr>
              <w:t>加油站位于沣皂河水源地准保护区之外。本项目加油站不在村镇饮用水水源地保护区内。评价区内无集中式饮用水水源地（包括已建成的在用、备用、应急水源地，在建和规划的水源地）准保护区及其准保护区外的补给径流区，也无特殊地下水资源（如温泉水等）保护区及以外的分布区。项目地地下水敏感程度为不敏感。</w:t>
            </w:r>
          </w:p>
          <w:p>
            <w:pPr>
              <w:pStyle w:val="88"/>
              <w:spacing w:before="4"/>
              <w:ind w:left="496"/>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③评价等级划分</w:t>
            </w:r>
          </w:p>
          <w:p>
            <w:pPr>
              <w:pStyle w:val="88"/>
              <w:spacing w:before="8" w:line="460" w:lineRule="atLeast"/>
              <w:ind w:left="14" w:right="-29" w:firstLine="48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根据《环境影响评价技术导则</w:t>
            </w:r>
            <w:r>
              <w:rPr>
                <w:rFonts w:ascii="Times New Roman" w:eastAsia="Times New Roman"/>
                <w:color w:val="000000" w:themeColor="text1"/>
                <w:sz w:val="24"/>
                <w:lang w:eastAsia="zh-CN"/>
                <w14:textFill>
                  <w14:solidFill>
                    <w14:schemeClr w14:val="tx1"/>
                  </w14:solidFill>
                </w14:textFill>
              </w:rPr>
              <w:t>-</w:t>
            </w:r>
            <w:r>
              <w:rPr>
                <w:color w:val="000000" w:themeColor="text1"/>
                <w:sz w:val="24"/>
                <w:lang w:eastAsia="zh-CN"/>
                <w14:textFill>
                  <w14:solidFill>
                    <w14:schemeClr w14:val="tx1"/>
                  </w14:solidFill>
                </w14:textFill>
              </w:rPr>
              <w:t>地下水环境》（</w:t>
            </w:r>
            <w:r>
              <w:rPr>
                <w:rFonts w:ascii="Times New Roman" w:eastAsia="Times New Roman"/>
                <w:color w:val="000000" w:themeColor="text1"/>
                <w:sz w:val="24"/>
                <w:lang w:eastAsia="zh-CN"/>
                <w14:textFill>
                  <w14:solidFill>
                    <w14:schemeClr w14:val="tx1"/>
                  </w14:solidFill>
                </w14:textFill>
              </w:rPr>
              <w:t>HJ610-2016</w:t>
            </w:r>
            <w:r>
              <w:rPr>
                <w:color w:val="000000" w:themeColor="text1"/>
                <w:sz w:val="24"/>
                <w:lang w:eastAsia="zh-CN"/>
                <w14:textFill>
                  <w14:solidFill>
                    <w14:schemeClr w14:val="tx1"/>
                  </w14:solidFill>
                </w14:textFill>
              </w:rPr>
              <w:t>），建设项目地下水环</w:t>
            </w:r>
            <w:r>
              <w:rPr>
                <w:color w:val="000000" w:themeColor="text1"/>
                <w:spacing w:val="-5"/>
                <w:sz w:val="24"/>
                <w:lang w:eastAsia="zh-CN"/>
                <w14:textFill>
                  <w14:solidFill>
                    <w14:schemeClr w14:val="tx1"/>
                  </w14:solidFill>
                </w14:textFill>
              </w:rPr>
              <w:t xml:space="preserve">境影响评价工作等级划分见表 </w:t>
            </w:r>
            <w:r>
              <w:rPr>
                <w:rFonts w:ascii="Times New Roman" w:eastAsia="Times New Roman"/>
                <w:color w:val="000000" w:themeColor="text1"/>
                <w:sz w:val="24"/>
                <w:lang w:eastAsia="zh-CN"/>
                <w14:textFill>
                  <w14:solidFill>
                    <w14:schemeClr w14:val="tx1"/>
                  </w14:solidFill>
                </w14:textFill>
              </w:rPr>
              <w:t>7-</w:t>
            </w:r>
            <w:r>
              <w:rPr>
                <w:rFonts w:hint="eastAsia" w:ascii="Times New Roman" w:eastAsia="宋体"/>
                <w:color w:val="000000" w:themeColor="text1"/>
                <w:sz w:val="24"/>
                <w:lang w:eastAsia="zh-CN"/>
                <w14:textFill>
                  <w14:solidFill>
                    <w14:schemeClr w14:val="tx1"/>
                  </w14:solidFill>
                </w14:textFill>
              </w:rPr>
              <w:t>8</w:t>
            </w:r>
            <w:r>
              <w:rPr>
                <w:color w:val="000000" w:themeColor="text1"/>
                <w:sz w:val="24"/>
                <w:lang w:eastAsia="zh-CN"/>
                <w14:textFill>
                  <w14:solidFill>
                    <w14:schemeClr w14:val="tx1"/>
                  </w14:solidFill>
                </w14:textFill>
              </w:rPr>
              <w:t>。</w:t>
            </w:r>
          </w:p>
          <w:p>
            <w:pPr>
              <w:pStyle w:val="88"/>
              <w:spacing w:before="8" w:line="460" w:lineRule="atLeast"/>
              <w:ind w:left="14" w:right="-29" w:firstLine="48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表</w:t>
            </w:r>
            <w:r>
              <w:rPr>
                <w:b/>
                <w:color w:val="000000" w:themeColor="text1"/>
                <w:spacing w:val="-55"/>
                <w:sz w:val="21"/>
                <w14:textFill>
                  <w14:solidFill>
                    <w14:schemeClr w14:val="tx1"/>
                  </w14:solidFill>
                </w14:textFill>
              </w:rPr>
              <w:t xml:space="preserve"> </w:t>
            </w:r>
            <w:r>
              <w:rPr>
                <w:rFonts w:ascii="Times New Roman" w:eastAsia="Times New Roman"/>
                <w:b/>
                <w:color w:val="000000" w:themeColor="text1"/>
                <w:sz w:val="21"/>
                <w14:textFill>
                  <w14:solidFill>
                    <w14:schemeClr w14:val="tx1"/>
                  </w14:solidFill>
                </w14:textFill>
              </w:rPr>
              <w:t>7-</w:t>
            </w:r>
            <w:r>
              <w:rPr>
                <w:rFonts w:hint="eastAsia" w:ascii="Times New Roman" w:eastAsia="宋体"/>
                <w:b/>
                <w:color w:val="000000" w:themeColor="text1"/>
                <w:sz w:val="21"/>
                <w:lang w:eastAsia="zh-CN"/>
                <w14:textFill>
                  <w14:solidFill>
                    <w14:schemeClr w14:val="tx1"/>
                  </w14:solidFill>
                </w14:textFill>
              </w:rPr>
              <w:t>8</w:t>
            </w:r>
            <w:r>
              <w:rPr>
                <w:rFonts w:ascii="Times New Roman" w:eastAsia="Times New Roman"/>
                <w:b/>
                <w:color w:val="000000" w:themeColor="text1"/>
                <w:sz w:val="21"/>
                <w14:textFill>
                  <w14:solidFill>
                    <w14:schemeClr w14:val="tx1"/>
                  </w14:solidFill>
                </w14:textFill>
              </w:rPr>
              <w:tab/>
            </w:r>
            <w:r>
              <w:rPr>
                <w:b/>
                <w:color w:val="000000" w:themeColor="text1"/>
                <w:sz w:val="21"/>
                <w14:textFill>
                  <w14:solidFill>
                    <w14:schemeClr w14:val="tx1"/>
                  </w14:solidFill>
                </w14:textFill>
              </w:rPr>
              <w:t>评价工作等级分级表</w:t>
            </w:r>
          </w:p>
          <w:tbl>
            <w:tblPr>
              <w:tblStyle w:val="29"/>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110"/>
              <w:gridCol w:w="2110"/>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110" w:type="dxa"/>
                </w:tcPr>
                <w:p>
                  <w:pPr>
                    <w:pStyle w:val="88"/>
                    <w:spacing w:before="8" w:line="460" w:lineRule="atLeast"/>
                    <w:ind w:right="-29"/>
                    <w:jc w:val="center"/>
                    <w:rPr>
                      <w:b/>
                      <w:color w:val="000000" w:themeColor="text1"/>
                      <w:sz w:val="21"/>
                      <w:lang w:eastAsia="zh-CN"/>
                      <w14:textFill>
                        <w14:solidFill>
                          <w14:schemeClr w14:val="tx1"/>
                        </w14:solidFill>
                      </w14:textFill>
                    </w:rPr>
                  </w:pPr>
                  <w:r>
                    <w:rPr>
                      <w:color w:val="000000" w:themeColor="text1"/>
                      <w:sz w:val="21"/>
                      <w14:textFill>
                        <w14:solidFill>
                          <w14:schemeClr w14:val="tx1"/>
                        </w14:solidFill>
                      </w14:textFill>
                    </w:rPr>
                    <w:pict>
                      <v:line id="_x0000_s1027" o:spid="_x0000_s1027" o:spt="20" style="position:absolute;left:0pt;margin-left:-4.15pt;margin-top:0.85pt;height:48pt;width:105.75pt;z-index:251659264;mso-width-relative:page;mso-height-relative:page;" filled="t" coordsize="21600,21600">
                        <v:path arrowok="t"/>
                        <v:fill on="t" focussize="0,0"/>
                        <v:stroke/>
                        <v:imagedata o:title=""/>
                        <o:lock v:ext="edit"/>
                      </v:line>
                    </w:pict>
                  </w:r>
                  <w:r>
                    <w:rPr>
                      <w:rFonts w:hint="eastAsia"/>
                      <w:b/>
                      <w:color w:val="000000" w:themeColor="text1"/>
                      <w:sz w:val="21"/>
                      <w:lang w:eastAsia="zh-CN"/>
                      <w14:textFill>
                        <w14:solidFill>
                          <w14:schemeClr w14:val="tx1"/>
                        </w14:solidFill>
                      </w14:textFill>
                    </w:rPr>
                    <w:t xml:space="preserve">          </w:t>
                  </w:r>
                  <w:r>
                    <w:rPr>
                      <w:b/>
                      <w:color w:val="000000" w:themeColor="text1"/>
                      <w:sz w:val="21"/>
                      <w:lang w:eastAsia="zh-CN"/>
                      <w14:textFill>
                        <w14:solidFill>
                          <w14:schemeClr w14:val="tx1"/>
                        </w14:solidFill>
                      </w14:textFill>
                    </w:rPr>
                    <w:t>项目类别</w:t>
                  </w:r>
                </w:p>
                <w:p>
                  <w:pPr>
                    <w:pStyle w:val="88"/>
                    <w:spacing w:before="8" w:line="460" w:lineRule="atLeast"/>
                    <w:ind w:right="-29"/>
                    <w:jc w:val="both"/>
                    <w:rPr>
                      <w:b/>
                      <w:color w:val="000000" w:themeColor="text1"/>
                      <w:sz w:val="21"/>
                      <w:lang w:eastAsia="zh-CN"/>
                      <w14:textFill>
                        <w14:solidFill>
                          <w14:schemeClr w14:val="tx1"/>
                        </w14:solidFill>
                      </w14:textFill>
                    </w:rPr>
                  </w:pPr>
                  <w:r>
                    <w:rPr>
                      <w:b/>
                      <w:color w:val="000000" w:themeColor="text1"/>
                      <w:sz w:val="21"/>
                      <w:lang w:eastAsia="zh-CN"/>
                      <w14:textFill>
                        <w14:solidFill>
                          <w14:schemeClr w14:val="tx1"/>
                        </w14:solidFill>
                      </w14:textFill>
                    </w:rPr>
                    <w:t>环境敏感程度</w:t>
                  </w:r>
                </w:p>
              </w:tc>
              <w:tc>
                <w:tcPr>
                  <w:tcW w:w="2110" w:type="dxa"/>
                  <w:vAlign w:val="center"/>
                </w:tcPr>
                <w:p>
                  <w:pPr>
                    <w:pStyle w:val="88"/>
                    <w:jc w:val="center"/>
                    <w:rPr>
                      <w:b/>
                      <w:color w:val="000000" w:themeColor="text1"/>
                      <w:sz w:val="21"/>
                      <w:lang w:eastAsia="zh-CN"/>
                      <w14:textFill>
                        <w14:solidFill>
                          <w14:schemeClr w14:val="tx1"/>
                        </w14:solidFill>
                      </w14:textFill>
                    </w:rPr>
                  </w:pPr>
                  <w:r>
                    <w:rPr>
                      <w:rFonts w:ascii="Times New Roman" w:hAnsi="Times New Roman" w:eastAsia="Times New Roman"/>
                      <w:b/>
                      <w:color w:val="000000" w:themeColor="text1"/>
                      <w:sz w:val="21"/>
                      <w:lang w:eastAsia="zh-CN"/>
                      <w14:textFill>
                        <w14:solidFill>
                          <w14:schemeClr w14:val="tx1"/>
                        </w14:solidFill>
                      </w14:textFill>
                    </w:rPr>
                    <w:t>Ⅰ</w:t>
                  </w:r>
                  <w:r>
                    <w:rPr>
                      <w:b/>
                      <w:color w:val="000000" w:themeColor="text1"/>
                      <w:sz w:val="21"/>
                      <w:lang w:eastAsia="zh-CN"/>
                      <w14:textFill>
                        <w14:solidFill>
                          <w14:schemeClr w14:val="tx1"/>
                        </w14:solidFill>
                      </w14:textFill>
                    </w:rPr>
                    <w:t>类项目</w:t>
                  </w:r>
                </w:p>
              </w:tc>
              <w:tc>
                <w:tcPr>
                  <w:tcW w:w="2110" w:type="dxa"/>
                  <w:vAlign w:val="center"/>
                </w:tcPr>
                <w:p>
                  <w:pPr>
                    <w:pStyle w:val="88"/>
                    <w:jc w:val="center"/>
                    <w:rPr>
                      <w:b/>
                      <w:color w:val="000000" w:themeColor="text1"/>
                      <w:sz w:val="21"/>
                      <w:lang w:eastAsia="zh-CN"/>
                      <w14:textFill>
                        <w14:solidFill>
                          <w14:schemeClr w14:val="tx1"/>
                        </w14:solidFill>
                      </w14:textFill>
                    </w:rPr>
                  </w:pPr>
                  <w:r>
                    <w:rPr>
                      <w:rFonts w:ascii="Times New Roman" w:hAnsi="Times New Roman" w:eastAsia="Times New Roman"/>
                      <w:b/>
                      <w:color w:val="000000" w:themeColor="text1"/>
                      <w:sz w:val="21"/>
                      <w:lang w:eastAsia="zh-CN"/>
                      <w14:textFill>
                        <w14:solidFill>
                          <w14:schemeClr w14:val="tx1"/>
                        </w14:solidFill>
                      </w14:textFill>
                    </w:rPr>
                    <w:t>Ⅱ</w:t>
                  </w:r>
                  <w:r>
                    <w:rPr>
                      <w:b/>
                      <w:color w:val="000000" w:themeColor="text1"/>
                      <w:sz w:val="21"/>
                      <w:lang w:eastAsia="zh-CN"/>
                      <w14:textFill>
                        <w14:solidFill>
                          <w14:schemeClr w14:val="tx1"/>
                        </w14:solidFill>
                      </w14:textFill>
                    </w:rPr>
                    <w:t>类项目</w:t>
                  </w:r>
                </w:p>
              </w:tc>
              <w:tc>
                <w:tcPr>
                  <w:tcW w:w="2110" w:type="dxa"/>
                  <w:vAlign w:val="center"/>
                </w:tcPr>
                <w:p>
                  <w:pPr>
                    <w:pStyle w:val="88"/>
                    <w:jc w:val="center"/>
                    <w:rPr>
                      <w:b/>
                      <w:color w:val="000000" w:themeColor="text1"/>
                      <w:sz w:val="21"/>
                      <w:lang w:eastAsia="zh-CN"/>
                      <w14:textFill>
                        <w14:solidFill>
                          <w14:schemeClr w14:val="tx1"/>
                        </w14:solidFill>
                      </w14:textFill>
                    </w:rPr>
                  </w:pPr>
                  <w:r>
                    <w:rPr>
                      <w:rFonts w:ascii="Times New Roman" w:hAnsi="Times New Roman" w:eastAsia="Times New Roman"/>
                      <w:b/>
                      <w:color w:val="000000" w:themeColor="text1"/>
                      <w:sz w:val="21"/>
                      <w:lang w:eastAsia="zh-CN"/>
                      <w14:textFill>
                        <w14:solidFill>
                          <w14:schemeClr w14:val="tx1"/>
                        </w14:solidFill>
                      </w14:textFill>
                    </w:rPr>
                    <w:t>Ⅲ</w:t>
                  </w:r>
                  <w:r>
                    <w:rPr>
                      <w:b/>
                      <w:color w:val="000000" w:themeColor="text1"/>
                      <w:sz w:val="21"/>
                      <w:lang w:eastAsia="zh-CN"/>
                      <w14:textFill>
                        <w14:solidFill>
                          <w14:schemeClr w14:val="tx1"/>
                        </w14:solidFill>
                      </w14:textFill>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10" w:type="dxa"/>
                </w:tcPr>
                <w:p>
                  <w:pPr>
                    <w:pStyle w:val="88"/>
                    <w:jc w:val="center"/>
                    <w:rPr>
                      <w:b/>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敏感</w:t>
                  </w:r>
                </w:p>
              </w:tc>
              <w:tc>
                <w:tcPr>
                  <w:tcW w:w="2110" w:type="dxa"/>
                </w:tcPr>
                <w:p>
                  <w:pPr>
                    <w:pStyle w:val="88"/>
                    <w:spacing w:before="93"/>
                    <w:ind w:left="24"/>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一</w:t>
                  </w:r>
                </w:p>
              </w:tc>
              <w:tc>
                <w:tcPr>
                  <w:tcW w:w="2110" w:type="dxa"/>
                </w:tcPr>
                <w:p>
                  <w:pPr>
                    <w:pStyle w:val="88"/>
                    <w:spacing w:before="93"/>
                    <w:ind w:left="26"/>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一</w:t>
                  </w:r>
                </w:p>
              </w:tc>
              <w:tc>
                <w:tcPr>
                  <w:tcW w:w="2110" w:type="dxa"/>
                </w:tcPr>
                <w:p>
                  <w:pPr>
                    <w:pStyle w:val="88"/>
                    <w:spacing w:before="93"/>
                    <w:ind w:left="21"/>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110" w:type="dxa"/>
                </w:tcPr>
                <w:p>
                  <w:pPr>
                    <w:pStyle w:val="88"/>
                    <w:jc w:val="center"/>
                    <w:rPr>
                      <w:b/>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较敏感</w:t>
                  </w:r>
                </w:p>
              </w:tc>
              <w:tc>
                <w:tcPr>
                  <w:tcW w:w="2110" w:type="dxa"/>
                </w:tcPr>
                <w:p>
                  <w:pPr>
                    <w:pStyle w:val="88"/>
                    <w:spacing w:before="92"/>
                    <w:ind w:left="24"/>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一</w:t>
                  </w:r>
                </w:p>
              </w:tc>
              <w:tc>
                <w:tcPr>
                  <w:tcW w:w="2110" w:type="dxa"/>
                </w:tcPr>
                <w:p>
                  <w:pPr>
                    <w:pStyle w:val="88"/>
                    <w:spacing w:before="92"/>
                    <w:ind w:left="26"/>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二</w:t>
                  </w:r>
                </w:p>
              </w:tc>
              <w:tc>
                <w:tcPr>
                  <w:tcW w:w="2110" w:type="dxa"/>
                </w:tcPr>
                <w:p>
                  <w:pPr>
                    <w:pStyle w:val="88"/>
                    <w:spacing w:before="92"/>
                    <w:ind w:left="21"/>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10" w:type="dxa"/>
                </w:tcPr>
                <w:p>
                  <w:pPr>
                    <w:pStyle w:val="88"/>
                    <w:jc w:val="center"/>
                    <w:rPr>
                      <w:b/>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不敏感</w:t>
                  </w:r>
                </w:p>
              </w:tc>
              <w:tc>
                <w:tcPr>
                  <w:tcW w:w="2110" w:type="dxa"/>
                </w:tcPr>
                <w:p>
                  <w:pPr>
                    <w:pStyle w:val="88"/>
                    <w:spacing w:before="91"/>
                    <w:ind w:left="24"/>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二</w:t>
                  </w:r>
                </w:p>
              </w:tc>
              <w:tc>
                <w:tcPr>
                  <w:tcW w:w="2110" w:type="dxa"/>
                  <w:shd w:val="clear" w:color="auto" w:fill="D7D7D7" w:themeFill="background1" w:themeFillShade="D8"/>
                </w:tcPr>
                <w:p>
                  <w:pPr>
                    <w:pStyle w:val="88"/>
                    <w:spacing w:before="91"/>
                    <w:ind w:left="26"/>
                    <w:jc w:val="center"/>
                    <w:rPr>
                      <w:b/>
                      <w:color w:val="000000" w:themeColor="text1"/>
                      <w:sz w:val="21"/>
                      <w:lang w:eastAsia="zh-CN"/>
                      <w14:textFill>
                        <w14:solidFill>
                          <w14:schemeClr w14:val="tx1"/>
                        </w14:solidFill>
                      </w14:textFill>
                    </w:rPr>
                  </w:pPr>
                  <w:r>
                    <w:rPr>
                      <w:color w:val="000000" w:themeColor="text1"/>
                      <w:w w:val="99"/>
                      <w:sz w:val="21"/>
                      <w:lang w:eastAsia="zh-CN"/>
                      <w14:textFill>
                        <w14:solidFill>
                          <w14:schemeClr w14:val="tx1"/>
                        </w14:solidFill>
                      </w14:textFill>
                    </w:rPr>
                    <w:t>三</w:t>
                  </w:r>
                </w:p>
              </w:tc>
              <w:tc>
                <w:tcPr>
                  <w:tcW w:w="2110" w:type="dxa"/>
                </w:tcPr>
                <w:p>
                  <w:pPr>
                    <w:pStyle w:val="88"/>
                    <w:spacing w:before="91"/>
                    <w:ind w:left="21"/>
                    <w:jc w:val="center"/>
                    <w:rPr>
                      <w:b/>
                      <w:color w:val="000000" w:themeColor="text1"/>
                      <w:sz w:val="21"/>
                      <w:lang w:eastAsia="zh-CN"/>
                      <w14:textFill>
                        <w14:solidFill>
                          <w14:schemeClr w14:val="tx1"/>
                        </w14:solidFill>
                      </w14:textFill>
                    </w:rPr>
                  </w:pPr>
                  <w:r>
                    <w:rPr>
                      <w:b/>
                      <w:color w:val="000000" w:themeColor="text1"/>
                      <w:w w:val="99"/>
                      <w:sz w:val="21"/>
                      <w:lang w:eastAsia="zh-CN"/>
                      <w14:textFill>
                        <w14:solidFill>
                          <w14:schemeClr w14:val="tx1"/>
                        </w14:solidFill>
                      </w14:textFill>
                    </w:rPr>
                    <w:t>三</w:t>
                  </w:r>
                </w:p>
              </w:tc>
            </w:tr>
          </w:tbl>
          <w:p>
            <w:pPr>
              <w:pStyle w:val="88"/>
              <w:spacing w:before="82" w:line="364" w:lineRule="auto"/>
              <w:ind w:left="14" w:right="-29" w:firstLine="480"/>
              <w:rPr>
                <w:rFonts w:hAnsi="宋体"/>
                <w:color w:val="000000" w:themeColor="text1"/>
                <w:lang w:eastAsia="zh-CN"/>
                <w14:textFill>
                  <w14:solidFill>
                    <w14:schemeClr w14:val="tx1"/>
                  </w14:solidFill>
                </w14:textFill>
              </w:rPr>
            </w:pPr>
            <w:r>
              <w:rPr>
                <w:color w:val="000000" w:themeColor="text1"/>
                <w:sz w:val="24"/>
                <w:lang w:eastAsia="zh-CN"/>
                <w14:textFill>
                  <w14:solidFill>
                    <w14:schemeClr w14:val="tx1"/>
                  </w14:solidFill>
                </w14:textFill>
              </w:rPr>
              <w:t>项目地下水环境敏感程度为不敏感，按照</w:t>
            </w:r>
            <w:r>
              <w:rPr>
                <w:rFonts w:ascii="Times New Roman" w:hAnsi="Times New Roman" w:eastAsia="Times New Roman"/>
                <w:color w:val="000000" w:themeColor="text1"/>
                <w:sz w:val="24"/>
                <w:lang w:eastAsia="zh-CN"/>
                <w14:textFill>
                  <w14:solidFill>
                    <w14:schemeClr w14:val="tx1"/>
                  </w14:solidFill>
                </w14:textFill>
              </w:rPr>
              <w:t>Ⅱ</w:t>
            </w:r>
            <w:r>
              <w:rPr>
                <w:color w:val="000000" w:themeColor="text1"/>
                <w:sz w:val="24"/>
                <w:lang w:eastAsia="zh-CN"/>
                <w14:textFill>
                  <w14:solidFill>
                    <w14:schemeClr w14:val="tx1"/>
                  </w14:solidFill>
                </w14:textFill>
              </w:rPr>
              <w:t>类地下水环境影响评价工作等级划分</w:t>
            </w:r>
            <w:r>
              <w:rPr>
                <w:color w:val="000000" w:themeColor="text1"/>
                <w:spacing w:val="-1"/>
                <w:sz w:val="24"/>
                <w:lang w:eastAsia="zh-CN"/>
                <w14:textFill>
                  <w14:solidFill>
                    <w14:schemeClr w14:val="tx1"/>
                  </w14:solidFill>
                </w14:textFill>
              </w:rPr>
              <w:t>确定本项目地下水环境影响评价等级为三级。根据《环境影响评价技术导则</w:t>
            </w:r>
            <w:r>
              <w:rPr>
                <w:rFonts w:ascii="Times New Roman" w:hAnsi="Times New Roman" w:eastAsia="Times New Roman"/>
                <w:color w:val="000000" w:themeColor="text1"/>
                <w:sz w:val="24"/>
                <w:lang w:eastAsia="zh-CN"/>
                <w14:textFill>
                  <w14:solidFill>
                    <w14:schemeClr w14:val="tx1"/>
                  </w14:solidFill>
                </w14:textFill>
              </w:rPr>
              <w:t>-</w:t>
            </w:r>
            <w:r>
              <w:rPr>
                <w:color w:val="000000" w:themeColor="text1"/>
                <w:sz w:val="24"/>
                <w:lang w:eastAsia="zh-CN"/>
                <w14:textFill>
                  <w14:solidFill>
                    <w14:schemeClr w14:val="tx1"/>
                  </w14:solidFill>
                </w14:textFill>
              </w:rPr>
              <w:t>地下水环境》（</w:t>
            </w:r>
            <w:r>
              <w:rPr>
                <w:rFonts w:ascii="Times New Roman" w:hAnsi="Times New Roman" w:eastAsia="Times New Roman"/>
                <w:color w:val="000000" w:themeColor="text1"/>
                <w:sz w:val="24"/>
                <w:lang w:eastAsia="zh-CN"/>
                <w14:textFill>
                  <w14:solidFill>
                    <w14:schemeClr w14:val="tx1"/>
                  </w14:solidFill>
                </w14:textFill>
              </w:rPr>
              <w:t>HJ610-2016</w:t>
            </w:r>
            <w:r>
              <w:rPr>
                <w:color w:val="000000" w:themeColor="text1"/>
                <w:sz w:val="24"/>
                <w:lang w:eastAsia="zh-CN"/>
                <w14:textFill>
                  <w14:solidFill>
                    <w14:schemeClr w14:val="tx1"/>
                  </w14:solidFill>
                </w14:textFill>
              </w:rPr>
              <w:t>），地下水三级评价要求进行地下水影响分析与评价。</w:t>
            </w:r>
          </w:p>
          <w:p>
            <w:pPr>
              <w:pStyle w:val="88"/>
              <w:spacing w:before="2"/>
              <w:ind w:left="494"/>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w:t>
            </w:r>
            <w:r>
              <w:rPr>
                <w:rFonts w:ascii="Times New Roman" w:eastAsia="Times New Roman"/>
                <w:color w:val="000000" w:themeColor="text1"/>
                <w:sz w:val="24"/>
                <w:lang w:eastAsia="zh-CN"/>
                <w14:textFill>
                  <w14:solidFill>
                    <w14:schemeClr w14:val="tx1"/>
                  </w14:solidFill>
                </w14:textFill>
              </w:rPr>
              <w:t>2</w:t>
            </w:r>
            <w:r>
              <w:rPr>
                <w:color w:val="000000" w:themeColor="text1"/>
                <w:sz w:val="24"/>
                <w:lang w:eastAsia="zh-CN"/>
                <w14:textFill>
                  <w14:solidFill>
                    <w14:schemeClr w14:val="tx1"/>
                  </w14:solidFill>
                </w14:textFill>
              </w:rPr>
              <w:t>）评价范围</w:t>
            </w:r>
          </w:p>
          <w:p>
            <w:pPr>
              <w:pStyle w:val="88"/>
              <w:spacing w:before="160"/>
              <w:ind w:left="494"/>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参照《环境影响评价技术导则</w:t>
            </w:r>
            <w:r>
              <w:rPr>
                <w:rFonts w:ascii="Times New Roman" w:eastAsia="Times New Roman"/>
                <w:color w:val="000000" w:themeColor="text1"/>
                <w:sz w:val="24"/>
                <w:lang w:eastAsia="zh-CN"/>
                <w14:textFill>
                  <w14:solidFill>
                    <w14:schemeClr w14:val="tx1"/>
                  </w14:solidFill>
                </w14:textFill>
              </w:rPr>
              <w:t>-</w:t>
            </w:r>
            <w:r>
              <w:rPr>
                <w:color w:val="000000" w:themeColor="text1"/>
                <w:sz w:val="24"/>
                <w:lang w:eastAsia="zh-CN"/>
                <w14:textFill>
                  <w14:solidFill>
                    <w14:schemeClr w14:val="tx1"/>
                  </w14:solidFill>
                </w14:textFill>
              </w:rPr>
              <w:t>地下水环境》（</w:t>
            </w:r>
            <w:r>
              <w:rPr>
                <w:rFonts w:ascii="Times New Roman" w:eastAsia="Times New Roman"/>
                <w:color w:val="000000" w:themeColor="text1"/>
                <w:sz w:val="24"/>
                <w:lang w:eastAsia="zh-CN"/>
                <w14:textFill>
                  <w14:solidFill>
                    <w14:schemeClr w14:val="tx1"/>
                  </w14:solidFill>
                </w14:textFill>
              </w:rPr>
              <w:t>HJ610-2016</w:t>
            </w:r>
            <w:r>
              <w:rPr>
                <w:color w:val="000000" w:themeColor="text1"/>
                <w:sz w:val="24"/>
                <w:lang w:eastAsia="zh-CN"/>
                <w14:textFill>
                  <w14:solidFill>
                    <w14:schemeClr w14:val="tx1"/>
                  </w14:solidFill>
                </w14:textFill>
              </w:rPr>
              <w:t>）中公式计算法：</w:t>
            </w:r>
          </w:p>
          <w:p>
            <w:pPr>
              <w:pStyle w:val="88"/>
              <w:spacing w:before="77"/>
              <w:ind w:left="513"/>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position w:val="2"/>
                <w:sz w:val="24"/>
                <w14:textFill>
                  <w14:solidFill>
                    <w14:schemeClr w14:val="tx1"/>
                  </w14:solidFill>
                </w14:textFill>
              </w:rPr>
              <w:t>L=α×K×I×T/n</w:t>
            </w:r>
            <w:r>
              <w:rPr>
                <w:rFonts w:ascii="Times New Roman" w:hAnsi="Times New Roman"/>
                <w:color w:val="000000" w:themeColor="text1"/>
                <w:position w:val="2"/>
                <w:sz w:val="24"/>
                <w:vertAlign w:val="subscript"/>
                <w14:textFill>
                  <w14:solidFill>
                    <w14:schemeClr w14:val="tx1"/>
                  </w14:solidFill>
                </w14:textFill>
              </w:rPr>
              <w:t>e</w:t>
            </w:r>
          </w:p>
          <w:p>
            <w:pPr>
              <w:pStyle w:val="88"/>
              <w:spacing w:before="121"/>
              <w:ind w:left="494"/>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rFonts w:ascii="Times New Roman" w:hAnsi="Times New Roman" w:eastAsia="Times New Roman"/>
                <w:color w:val="000000" w:themeColor="text1"/>
                <w:sz w:val="24"/>
                <w14:textFill>
                  <w14:solidFill>
                    <w14:schemeClr w14:val="tx1"/>
                  </w14:solidFill>
                </w14:textFill>
              </w:rPr>
              <w:t>L—</w:t>
            </w:r>
            <w:r>
              <w:rPr>
                <w:color w:val="000000" w:themeColor="text1"/>
                <w:sz w:val="24"/>
                <w14:textFill>
                  <w14:solidFill>
                    <w14:schemeClr w14:val="tx1"/>
                  </w14:solidFill>
                </w14:textFill>
              </w:rPr>
              <w:t>下游迁移距离，</w:t>
            </w:r>
            <w:r>
              <w:rPr>
                <w:rFonts w:ascii="Times New Roman" w:hAnsi="Times New Roman" w:eastAsia="Times New Roman"/>
                <w:color w:val="000000" w:themeColor="text1"/>
                <w:sz w:val="24"/>
                <w14:textFill>
                  <w14:solidFill>
                    <w14:schemeClr w14:val="tx1"/>
                  </w14:solidFill>
                </w14:textFill>
              </w:rPr>
              <w:t>m</w:t>
            </w:r>
            <w:r>
              <w:rPr>
                <w:color w:val="000000" w:themeColor="text1"/>
                <w:sz w:val="24"/>
                <w14:textFill>
                  <w14:solidFill>
                    <w14:schemeClr w14:val="tx1"/>
                  </w14:solidFill>
                </w14:textFill>
              </w:rPr>
              <w:t>；</w:t>
            </w:r>
          </w:p>
          <w:p>
            <w:pPr>
              <w:ind w:firstLine="480"/>
              <w:rPr>
                <w:rFonts w:hAnsi="宋体"/>
                <w:color w:val="000000" w:themeColor="text1"/>
                <w:kern w:val="0"/>
                <w14:textFill>
                  <w14:solidFill>
                    <w14:schemeClr w14:val="tx1"/>
                  </w14:solidFill>
                </w14:textFill>
              </w:rPr>
            </w:pPr>
            <w:r>
              <w:rPr>
                <w:rFonts w:eastAsia="Times New Roman"/>
                <w:color w:val="000000" w:themeColor="text1"/>
                <w14:textFill>
                  <w14:solidFill>
                    <w14:schemeClr w14:val="tx1"/>
                  </w14:solidFill>
                </w14:textFill>
              </w:rPr>
              <w:t>α—</w:t>
            </w:r>
            <w:r>
              <w:rPr>
                <w:color w:val="000000" w:themeColor="text1"/>
                <w14:textFill>
                  <w14:solidFill>
                    <w14:schemeClr w14:val="tx1"/>
                  </w14:solidFill>
                </w14:textFill>
              </w:rPr>
              <w:t>变化系数，</w:t>
            </w:r>
            <w:r>
              <w:rPr>
                <w:rFonts w:eastAsia="Times New Roman"/>
                <w:color w:val="000000" w:themeColor="text1"/>
                <w14:textFill>
                  <w14:solidFill>
                    <w14:schemeClr w14:val="tx1"/>
                  </w14:solidFill>
                </w14:textFill>
              </w:rPr>
              <w:t>α≥1</w:t>
            </w:r>
            <w:r>
              <w:rPr>
                <w:color w:val="000000" w:themeColor="text1"/>
                <w14:textFill>
                  <w14:solidFill>
                    <w14:schemeClr w14:val="tx1"/>
                  </w14:solidFill>
                </w14:textFill>
              </w:rPr>
              <w:t xml:space="preserve">，一般取 </w:t>
            </w:r>
            <w:r>
              <w:rPr>
                <w:rFonts w:eastAsia="Times New Roman"/>
                <w:color w:val="000000" w:themeColor="text1"/>
                <w14:textFill>
                  <w14:solidFill>
                    <w14:schemeClr w14:val="tx1"/>
                  </w14:solidFill>
                </w14:textFill>
              </w:rPr>
              <w:t>2</w:t>
            </w:r>
            <w:r>
              <w:rPr>
                <w:color w:val="000000" w:themeColor="text1"/>
                <w14:textFill>
                  <w14:solidFill>
                    <w14:schemeClr w14:val="tx1"/>
                  </w14:solidFill>
                </w14:textFill>
              </w:rPr>
              <w:t>；</w:t>
            </w:r>
          </w:p>
          <w:p>
            <w:pPr>
              <w:pStyle w:val="88"/>
              <w:spacing w:before="2" w:line="362" w:lineRule="auto"/>
              <w:ind w:left="13" w:right="-29" w:firstLine="1200"/>
              <w:rPr>
                <w:color w:val="000000" w:themeColor="text1"/>
                <w:sz w:val="24"/>
                <w:lang w:eastAsia="zh-CN"/>
                <w14:textFill>
                  <w14:solidFill>
                    <w14:schemeClr w14:val="tx1"/>
                  </w14:solidFill>
                </w14:textFill>
              </w:rPr>
            </w:pPr>
            <w:r>
              <w:rPr>
                <w:rFonts w:ascii="Times New Roman" w:hAnsi="Times New Roman" w:eastAsia="Times New Roman"/>
                <w:color w:val="000000" w:themeColor="text1"/>
                <w:sz w:val="24"/>
                <w:lang w:eastAsia="zh-CN"/>
                <w14:textFill>
                  <w14:solidFill>
                    <w14:schemeClr w14:val="tx1"/>
                  </w14:solidFill>
                </w14:textFill>
              </w:rPr>
              <w:t>K—</w:t>
            </w:r>
            <w:r>
              <w:rPr>
                <w:color w:val="000000" w:themeColor="text1"/>
                <w:sz w:val="24"/>
                <w:lang w:eastAsia="zh-CN"/>
                <w14:textFill>
                  <w14:solidFill>
                    <w14:schemeClr w14:val="tx1"/>
                  </w14:solidFill>
                </w14:textFill>
              </w:rPr>
              <w:t>渗透系数，</w:t>
            </w:r>
            <w:r>
              <w:rPr>
                <w:rFonts w:ascii="Times New Roman" w:hAnsi="Times New Roman" w:eastAsia="Times New Roman"/>
                <w:color w:val="000000" w:themeColor="text1"/>
                <w:sz w:val="24"/>
                <w:lang w:eastAsia="zh-CN"/>
                <w14:textFill>
                  <w14:solidFill>
                    <w14:schemeClr w14:val="tx1"/>
                  </w14:solidFill>
                </w14:textFill>
              </w:rPr>
              <w:t>m/d</w:t>
            </w:r>
            <w:r>
              <w:rPr>
                <w:color w:val="000000" w:themeColor="text1"/>
                <w:spacing w:val="-1"/>
                <w:sz w:val="24"/>
                <w:lang w:eastAsia="zh-CN"/>
                <w14:textFill>
                  <w14:solidFill>
                    <w14:schemeClr w14:val="tx1"/>
                  </w14:solidFill>
                </w14:textFill>
              </w:rPr>
              <w:t>，厂址区含水层岩性为粉土，根据《关中盆地地下水资</w:t>
            </w:r>
            <w:r>
              <w:rPr>
                <w:color w:val="000000" w:themeColor="text1"/>
                <w:spacing w:val="-6"/>
                <w:sz w:val="24"/>
                <w:lang w:eastAsia="zh-CN"/>
                <w14:textFill>
                  <w14:solidFill>
                    <w14:schemeClr w14:val="tx1"/>
                  </w14:solidFill>
                </w14:textFill>
              </w:rPr>
              <w:t xml:space="preserve">源评价报告》，取值 </w:t>
            </w:r>
            <w:r>
              <w:rPr>
                <w:rFonts w:ascii="Times New Roman" w:hAnsi="Times New Roman" w:eastAsia="Times New Roman"/>
                <w:color w:val="000000" w:themeColor="text1"/>
                <w:sz w:val="24"/>
                <w:lang w:eastAsia="zh-CN"/>
                <w14:textFill>
                  <w14:solidFill>
                    <w14:schemeClr w14:val="tx1"/>
                  </w14:solidFill>
                </w14:textFill>
              </w:rPr>
              <w:t>1.2m/d</w:t>
            </w:r>
            <w:r>
              <w:rPr>
                <w:color w:val="000000" w:themeColor="text1"/>
                <w:sz w:val="24"/>
                <w:lang w:eastAsia="zh-CN"/>
                <w14:textFill>
                  <w14:solidFill>
                    <w14:schemeClr w14:val="tx1"/>
                  </w14:solidFill>
                </w14:textFill>
              </w:rPr>
              <w:t>；</w:t>
            </w:r>
          </w:p>
          <w:p>
            <w:pPr>
              <w:pStyle w:val="88"/>
              <w:spacing w:before="5" w:line="362" w:lineRule="auto"/>
              <w:ind w:left="1209" w:right="1095" w:firstLine="4"/>
              <w:rPr>
                <w:color w:val="000000" w:themeColor="text1"/>
                <w:sz w:val="24"/>
                <w:lang w:eastAsia="zh-CN"/>
                <w14:textFill>
                  <w14:solidFill>
                    <w14:schemeClr w14:val="tx1"/>
                  </w14:solidFill>
                </w14:textFill>
              </w:rPr>
            </w:pPr>
            <w:r>
              <w:rPr>
                <w:rFonts w:ascii="Times New Roman" w:hAnsi="Times New Roman" w:eastAsia="Times New Roman"/>
                <w:color w:val="000000" w:themeColor="text1"/>
                <w:sz w:val="24"/>
                <w:lang w:eastAsia="zh-CN"/>
                <w14:textFill>
                  <w14:solidFill>
                    <w14:schemeClr w14:val="tx1"/>
                  </w14:solidFill>
                </w14:textFill>
              </w:rPr>
              <w:t>I—</w:t>
            </w:r>
            <w:r>
              <w:rPr>
                <w:color w:val="000000" w:themeColor="text1"/>
                <w:sz w:val="24"/>
                <w:lang w:eastAsia="zh-CN"/>
                <w14:textFill>
                  <w14:solidFill>
                    <w14:schemeClr w14:val="tx1"/>
                  </w14:solidFill>
                </w14:textFill>
              </w:rPr>
              <w:t xml:space="preserve">水力坡度，无量纲，项目厂址区较为平整，取经验值 </w:t>
            </w:r>
            <w:r>
              <w:rPr>
                <w:rFonts w:ascii="Times New Roman" w:hAnsi="Times New Roman" w:eastAsia="Times New Roman"/>
                <w:color w:val="000000" w:themeColor="text1"/>
                <w:sz w:val="24"/>
                <w:lang w:eastAsia="zh-CN"/>
                <w14:textFill>
                  <w14:solidFill>
                    <w14:schemeClr w14:val="tx1"/>
                  </w14:solidFill>
                </w14:textFill>
              </w:rPr>
              <w:t>0.01</w:t>
            </w:r>
            <w:r>
              <w:rPr>
                <w:color w:val="000000" w:themeColor="text1"/>
                <w:sz w:val="24"/>
                <w:lang w:eastAsia="zh-CN"/>
                <w14:textFill>
                  <w14:solidFill>
                    <w14:schemeClr w14:val="tx1"/>
                  </w14:solidFill>
                </w14:textFill>
              </w:rPr>
              <w:t xml:space="preserve">； </w:t>
            </w:r>
            <w:r>
              <w:rPr>
                <w:rFonts w:ascii="Times New Roman" w:hAnsi="Times New Roman" w:eastAsia="Times New Roman"/>
                <w:color w:val="000000" w:themeColor="text1"/>
                <w:sz w:val="24"/>
                <w:lang w:eastAsia="zh-CN"/>
                <w14:textFill>
                  <w14:solidFill>
                    <w14:schemeClr w14:val="tx1"/>
                  </w14:solidFill>
                </w14:textFill>
              </w:rPr>
              <w:t>T—</w:t>
            </w:r>
            <w:r>
              <w:rPr>
                <w:color w:val="000000" w:themeColor="text1"/>
                <w:sz w:val="24"/>
                <w:lang w:eastAsia="zh-CN"/>
                <w14:textFill>
                  <w14:solidFill>
                    <w14:schemeClr w14:val="tx1"/>
                  </w14:solidFill>
                </w14:textFill>
              </w:rPr>
              <w:t>质点迁移天数，</w:t>
            </w:r>
            <w:r>
              <w:rPr>
                <w:rFonts w:ascii="Times New Roman" w:hAnsi="Times New Roman" w:eastAsia="Times New Roman"/>
                <w:color w:val="000000" w:themeColor="text1"/>
                <w:sz w:val="24"/>
                <w:lang w:eastAsia="zh-CN"/>
                <w14:textFill>
                  <w14:solidFill>
                    <w14:schemeClr w14:val="tx1"/>
                  </w14:solidFill>
                </w14:textFill>
              </w:rPr>
              <w:t>5000d</w:t>
            </w:r>
            <w:r>
              <w:rPr>
                <w:color w:val="000000" w:themeColor="text1"/>
                <w:sz w:val="24"/>
                <w:lang w:eastAsia="zh-CN"/>
                <w14:textFill>
                  <w14:solidFill>
                    <w14:schemeClr w14:val="tx1"/>
                  </w14:solidFill>
                </w14:textFill>
              </w:rPr>
              <w:t>；</w:t>
            </w:r>
          </w:p>
          <w:p>
            <w:pPr>
              <w:pStyle w:val="88"/>
              <w:spacing w:before="2" w:line="436" w:lineRule="auto"/>
              <w:ind w:left="1977" w:right="3025" w:hanging="764"/>
              <w:rPr>
                <w:rFonts w:ascii="Times New Roman" w:hAnsi="Times New Roman" w:eastAsia="Times New Roman"/>
                <w:color w:val="000000" w:themeColor="text1"/>
                <w:sz w:val="24"/>
                <w:lang w:eastAsia="zh-CN"/>
                <w14:textFill>
                  <w14:solidFill>
                    <w14:schemeClr w14:val="tx1"/>
                  </w14:solidFill>
                </w14:textFill>
              </w:rPr>
            </w:pPr>
            <w:r>
              <w:rPr>
                <w:rFonts w:ascii="Times New Roman" w:hAnsi="Times New Roman" w:eastAsia="Times New Roman"/>
                <w:color w:val="000000" w:themeColor="text1"/>
                <w:position w:val="2"/>
                <w:sz w:val="24"/>
                <w:lang w:eastAsia="zh-CN"/>
                <w14:textFill>
                  <w14:solidFill>
                    <w14:schemeClr w14:val="tx1"/>
                  </w14:solidFill>
                </w14:textFill>
              </w:rPr>
              <w:t>n</w:t>
            </w:r>
            <w:r>
              <w:rPr>
                <w:rFonts w:ascii="Times New Roman" w:hAnsi="Times New Roman" w:eastAsia="Times New Roman"/>
                <w:color w:val="000000" w:themeColor="text1"/>
                <w:position w:val="2"/>
                <w:sz w:val="24"/>
                <w:vertAlign w:val="subscript"/>
                <w:lang w:eastAsia="zh-CN"/>
                <w14:textFill>
                  <w14:solidFill>
                    <w14:schemeClr w14:val="tx1"/>
                  </w14:solidFill>
                </w14:textFill>
              </w:rPr>
              <w:t>e</w:t>
            </w:r>
            <w:r>
              <w:rPr>
                <w:rFonts w:ascii="Times New Roman" w:hAnsi="Times New Roman" w:eastAsia="Times New Roman"/>
                <w:color w:val="000000" w:themeColor="text1"/>
                <w:position w:val="2"/>
                <w:sz w:val="24"/>
                <w:lang w:eastAsia="zh-CN"/>
                <w14:textFill>
                  <w14:solidFill>
                    <w14:schemeClr w14:val="tx1"/>
                  </w14:solidFill>
                </w14:textFill>
              </w:rPr>
              <w:t>—</w:t>
            </w:r>
            <w:r>
              <w:rPr>
                <w:color w:val="000000" w:themeColor="text1"/>
                <w:position w:val="2"/>
                <w:sz w:val="24"/>
                <w:lang w:eastAsia="zh-CN"/>
                <w14:textFill>
                  <w14:solidFill>
                    <w14:schemeClr w14:val="tx1"/>
                  </w14:solidFill>
                </w14:textFill>
              </w:rPr>
              <w:t>有效孔隙度，无量纲，取经验参数</w:t>
            </w:r>
            <w:r>
              <w:rPr>
                <w:rFonts w:ascii="Times New Roman" w:hAnsi="Times New Roman" w:eastAsia="Times New Roman"/>
                <w:color w:val="000000" w:themeColor="text1"/>
                <w:position w:val="2"/>
                <w:sz w:val="24"/>
                <w:lang w:eastAsia="zh-CN"/>
                <w14:textFill>
                  <w14:solidFill>
                    <w14:schemeClr w14:val="tx1"/>
                  </w14:solidFill>
                </w14:textFill>
              </w:rPr>
              <w:t>0.1</w:t>
            </w:r>
            <w:r>
              <w:rPr>
                <w:color w:val="000000" w:themeColor="text1"/>
                <w:position w:val="2"/>
                <w:sz w:val="24"/>
                <w:lang w:eastAsia="zh-CN"/>
                <w14:textFill>
                  <w14:solidFill>
                    <w14:schemeClr w14:val="tx1"/>
                  </w14:solidFill>
                </w14:textFill>
              </w:rPr>
              <w:t xml:space="preserve">； </w:t>
            </w:r>
            <w:r>
              <w:rPr>
                <w:rFonts w:ascii="Times New Roman" w:hAnsi="Times New Roman" w:eastAsia="Times New Roman"/>
                <w:color w:val="000000" w:themeColor="text1"/>
                <w:sz w:val="24"/>
                <w:lang w:eastAsia="zh-CN"/>
                <w14:textFill>
                  <w14:solidFill>
                    <w14:schemeClr w14:val="tx1"/>
                  </w14:solidFill>
                </w14:textFill>
              </w:rPr>
              <w:t>L=2×1.2×0.01×5000/0.1=1200m</w:t>
            </w:r>
          </w:p>
          <w:p>
            <w:pPr>
              <w:ind w:firstLine="480"/>
              <w:rPr>
                <w:rFonts w:eastAsia="Times New Roman"/>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490220</wp:posOffset>
                  </wp:positionH>
                  <wp:positionV relativeFrom="page">
                    <wp:posOffset>2534285</wp:posOffset>
                  </wp:positionV>
                  <wp:extent cx="4493895" cy="2842895"/>
                  <wp:effectExtent l="0" t="0" r="1905" b="1460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4493895" cy="2842895"/>
                          </a:xfrm>
                          <a:prstGeom prst="rect">
                            <a:avLst/>
                          </a:prstGeom>
                          <a:noFill/>
                          <a:ln>
                            <a:noFill/>
                          </a:ln>
                        </pic:spPr>
                      </pic:pic>
                    </a:graphicData>
                  </a:graphic>
                </wp:anchor>
              </w:drawing>
            </w:r>
            <w:r>
              <w:rPr>
                <w:rFonts w:eastAsia="Times New Roman"/>
                <w:color w:val="000000" w:themeColor="text1"/>
                <w14:textFill>
                  <w14:solidFill>
                    <w14:schemeClr w14:val="tx1"/>
                  </w14:solidFill>
                </w14:textFill>
              </w:rPr>
              <w:t>考虑到本项目地下水流向是从南向北，地下水调查范围为：地下水流向站点下游1200m；两侧和上游考虑为 L/2，分别为 600m。则地下水评价范围为 2.16km</w:t>
            </w:r>
            <w:r>
              <w:rPr>
                <w:rFonts w:eastAsia="Times New Roman"/>
                <w:color w:val="000000" w:themeColor="text1"/>
                <w:vertAlign w:val="superscript"/>
                <w14:textFill>
                  <w14:solidFill>
                    <w14:schemeClr w14:val="tx1"/>
                  </w14:solidFill>
                </w14:textFill>
              </w:rPr>
              <w:t>2</w:t>
            </w:r>
            <w:r>
              <w:rPr>
                <w:rFonts w:eastAsia="Times New Roman"/>
                <w:color w:val="000000" w:themeColor="text1"/>
                <w14:textFill>
                  <w14:solidFill>
                    <w14:schemeClr w14:val="tx1"/>
                  </w14:solidFill>
                </w14:textFill>
              </w:rPr>
              <w:t>。</w:t>
            </w:r>
          </w:p>
          <w:p>
            <w:pPr>
              <w:pStyle w:val="88"/>
              <w:ind w:firstLine="480" w:firstLineChars="200"/>
              <w:rPr>
                <w:color w:val="000000" w:themeColor="text1"/>
                <w:sz w:val="24"/>
                <w:lang w:eastAsia="zh-CN"/>
                <w14:textFill>
                  <w14:solidFill>
                    <w14:schemeClr w14:val="tx1"/>
                  </w14:solidFill>
                </w14:textFill>
              </w:rPr>
            </w:pPr>
          </w:p>
          <w:p>
            <w:pPr>
              <w:adjustRightInd w:val="0"/>
              <w:snapToGrid w:val="0"/>
              <w:spacing w:line="240" w:lineRule="auto"/>
              <w:ind w:firstLine="0" w:firstLineChars="0"/>
              <w:jc w:val="center"/>
              <w:textAlignment w:val="baseline"/>
              <w:rPr>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图7-2 地下水环境影响评价范围图</w:t>
            </w:r>
          </w:p>
          <w:p>
            <w:pPr>
              <w:pStyle w:val="88"/>
              <w:spacing w:before="80"/>
              <w:ind w:left="542"/>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w:t>
            </w:r>
            <w:r>
              <w:rPr>
                <w:rFonts w:ascii="Times New Roman" w:eastAsia="Times New Roman"/>
                <w:color w:val="000000" w:themeColor="text1"/>
                <w:sz w:val="24"/>
                <w:lang w:eastAsia="zh-CN"/>
                <w14:textFill>
                  <w14:solidFill>
                    <w14:schemeClr w14:val="tx1"/>
                  </w14:solidFill>
                </w14:textFill>
              </w:rPr>
              <w:t>3</w:t>
            </w:r>
            <w:r>
              <w:rPr>
                <w:color w:val="000000" w:themeColor="text1"/>
                <w:sz w:val="24"/>
                <w:lang w:eastAsia="zh-CN"/>
                <w14:textFill>
                  <w14:solidFill>
                    <w14:schemeClr w14:val="tx1"/>
                  </w14:solidFill>
                </w14:textFill>
              </w:rPr>
              <w:t>）区域水文地质条件</w:t>
            </w:r>
          </w:p>
          <w:p>
            <w:pPr>
              <w:pStyle w:val="88"/>
              <w:spacing w:before="160" w:line="364" w:lineRule="auto"/>
              <w:ind w:left="19" w:right="-29" w:firstLine="48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沣东新城处于渭河南北两岸阶地区，属于西安凹陷北部。新生代以来堆积了巨厚</w:t>
            </w:r>
            <w:r>
              <w:rPr>
                <w:color w:val="000000" w:themeColor="text1"/>
                <w:spacing w:val="-3"/>
                <w:sz w:val="24"/>
                <w:lang w:eastAsia="zh-CN"/>
                <w14:textFill>
                  <w14:solidFill>
                    <w14:schemeClr w14:val="tx1"/>
                  </w14:solidFill>
                </w14:textFill>
              </w:rPr>
              <w:t>的松散沉积物，地下</w:t>
            </w:r>
            <w:r>
              <w:rPr>
                <w:rFonts w:ascii="Times New Roman" w:eastAsia="Times New Roman"/>
                <w:color w:val="000000" w:themeColor="text1"/>
                <w:sz w:val="24"/>
                <w:lang w:eastAsia="zh-CN"/>
                <w14:textFill>
                  <w14:solidFill>
                    <w14:schemeClr w14:val="tx1"/>
                  </w14:solidFill>
                </w14:textFill>
              </w:rPr>
              <w:t>300</w:t>
            </w:r>
            <w:r>
              <w:rPr>
                <w:color w:val="000000" w:themeColor="text1"/>
                <w:spacing w:val="-3"/>
                <w:sz w:val="24"/>
                <w:lang w:eastAsia="zh-CN"/>
                <w14:textFill>
                  <w14:solidFill>
                    <w14:schemeClr w14:val="tx1"/>
                  </w14:solidFill>
                </w14:textFill>
              </w:rPr>
              <w:t>米以内皆为第四纪松散堆积物，含水岩性为砂、砂砾卵石和部分黄土。各含水层在垂直方向与弱透水层成不等厚互层或夹层重叠。尤其是数十米的粗粒相冲积层，蕴藏着丰富的地下水资源。</w:t>
            </w:r>
          </w:p>
          <w:p>
            <w:pPr>
              <w:pStyle w:val="88"/>
              <w:spacing w:before="3" w:line="364" w:lineRule="auto"/>
              <w:ind w:left="19" w:right="-29" w:firstLine="480"/>
              <w:rPr>
                <w:color w:val="000000" w:themeColor="text1"/>
                <w:sz w:val="24"/>
                <w:lang w:eastAsia="zh-CN"/>
                <w14:textFill>
                  <w14:solidFill>
                    <w14:schemeClr w14:val="tx1"/>
                  </w14:solidFill>
                </w14:textFill>
              </w:rPr>
            </w:pPr>
            <w:r>
              <w:rPr>
                <w:color w:val="000000" w:themeColor="text1"/>
                <w:spacing w:val="-1"/>
                <w:sz w:val="24"/>
                <w:lang w:eastAsia="zh-CN"/>
                <w14:textFill>
                  <w14:solidFill>
                    <w14:schemeClr w14:val="tx1"/>
                  </w14:solidFill>
                </w14:textFill>
              </w:rPr>
              <w:t>项目附近地下水水位埋深</w:t>
            </w:r>
            <w:r>
              <w:rPr>
                <w:rFonts w:ascii="Times New Roman" w:eastAsia="Times New Roman"/>
                <w:color w:val="000000" w:themeColor="text1"/>
                <w:spacing w:val="-4"/>
                <w:sz w:val="24"/>
                <w:lang w:eastAsia="zh-CN"/>
                <w14:textFill>
                  <w14:solidFill>
                    <w14:schemeClr w14:val="tx1"/>
                  </w14:solidFill>
                </w14:textFill>
              </w:rPr>
              <w:t>30</w:t>
            </w:r>
            <w:r>
              <w:rPr>
                <w:color w:val="000000" w:themeColor="text1"/>
                <w:spacing w:val="-4"/>
                <w:sz w:val="24"/>
                <w:lang w:eastAsia="zh-CN"/>
                <w14:textFill>
                  <w14:solidFill>
                    <w14:schemeClr w14:val="tx1"/>
                  </w14:solidFill>
                </w14:textFill>
              </w:rPr>
              <w:t>～</w:t>
            </w:r>
            <w:r>
              <w:rPr>
                <w:rFonts w:ascii="Times New Roman" w:eastAsia="Times New Roman"/>
                <w:color w:val="000000" w:themeColor="text1"/>
                <w:spacing w:val="-4"/>
                <w:sz w:val="24"/>
                <w:lang w:eastAsia="zh-CN"/>
                <w14:textFill>
                  <w14:solidFill>
                    <w14:schemeClr w14:val="tx1"/>
                  </w14:solidFill>
                </w14:textFill>
              </w:rPr>
              <w:t>121m</w:t>
            </w:r>
            <w:r>
              <w:rPr>
                <w:color w:val="000000" w:themeColor="text1"/>
                <w:spacing w:val="-3"/>
                <w:sz w:val="24"/>
                <w:lang w:eastAsia="zh-CN"/>
                <w14:textFill>
                  <w14:solidFill>
                    <w14:schemeClr w14:val="tx1"/>
                  </w14:solidFill>
                </w14:textFill>
              </w:rPr>
              <w:t>，相应的水位标高介于</w:t>
            </w:r>
            <w:r>
              <w:rPr>
                <w:rFonts w:ascii="Times New Roman" w:eastAsia="Times New Roman"/>
                <w:color w:val="000000" w:themeColor="text1"/>
                <w:sz w:val="24"/>
                <w:lang w:eastAsia="zh-CN"/>
                <w14:textFill>
                  <w14:solidFill>
                    <w14:schemeClr w14:val="tx1"/>
                  </w14:solidFill>
                </w14:textFill>
              </w:rPr>
              <w:t>381.43</w:t>
            </w:r>
            <w:r>
              <w:rPr>
                <w:color w:val="000000" w:themeColor="text1"/>
                <w:sz w:val="24"/>
                <w:lang w:eastAsia="zh-CN"/>
                <w14:textFill>
                  <w14:solidFill>
                    <w14:schemeClr w14:val="tx1"/>
                  </w14:solidFill>
                </w14:textFill>
              </w:rPr>
              <w:t>～</w:t>
            </w:r>
            <w:r>
              <w:rPr>
                <w:rFonts w:ascii="Times New Roman" w:eastAsia="Times New Roman"/>
                <w:color w:val="000000" w:themeColor="text1"/>
                <w:sz w:val="24"/>
                <w:lang w:eastAsia="zh-CN"/>
                <w14:textFill>
                  <w14:solidFill>
                    <w14:schemeClr w14:val="tx1"/>
                  </w14:solidFill>
                </w14:textFill>
              </w:rPr>
              <w:t>402.46m</w:t>
            </w:r>
            <w:r>
              <w:rPr>
                <w:color w:val="000000" w:themeColor="text1"/>
                <w:sz w:val="24"/>
                <w:lang w:eastAsia="zh-CN"/>
                <w14:textFill>
                  <w14:solidFill>
                    <w14:schemeClr w14:val="tx1"/>
                  </w14:solidFill>
                </w14:textFill>
              </w:rPr>
              <w:t>，属潜水类型。</w:t>
            </w:r>
          </w:p>
          <w:p>
            <w:pPr>
              <w:pStyle w:val="88"/>
              <w:spacing w:before="1" w:line="364" w:lineRule="auto"/>
              <w:ind w:left="19" w:right="-29" w:firstLine="480"/>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潜水的赋存及分布：渭河河漫滩区属强富水区，潜水埋深一般小于</w:t>
            </w:r>
            <w:r>
              <w:rPr>
                <w:rFonts w:ascii="Times New Roman" w:eastAsia="Times New Roman"/>
                <w:color w:val="000000" w:themeColor="text1"/>
                <w:sz w:val="24"/>
                <w:lang w:eastAsia="zh-CN"/>
                <w14:textFill>
                  <w14:solidFill>
                    <w14:schemeClr w14:val="tx1"/>
                  </w14:solidFill>
                </w14:textFill>
              </w:rPr>
              <w:t>10</w:t>
            </w:r>
            <w:r>
              <w:rPr>
                <w:color w:val="000000" w:themeColor="text1"/>
                <w:sz w:val="24"/>
                <w:lang w:eastAsia="zh-CN"/>
                <w14:textFill>
                  <w14:solidFill>
                    <w14:schemeClr w14:val="tx1"/>
                  </w14:solidFill>
                </w14:textFill>
              </w:rPr>
              <w:t>米；渭河一</w:t>
            </w:r>
            <w:r>
              <w:rPr>
                <w:color w:val="000000" w:themeColor="text1"/>
                <w:spacing w:val="-9"/>
                <w:sz w:val="24"/>
                <w:lang w:eastAsia="zh-CN"/>
                <w14:textFill>
                  <w14:solidFill>
                    <w14:schemeClr w14:val="tx1"/>
                  </w14:solidFill>
                </w14:textFill>
              </w:rPr>
              <w:t xml:space="preserve">级阶地区为强富水区，潜水埋深一般在 </w:t>
            </w:r>
            <w:r>
              <w:rPr>
                <w:rFonts w:ascii="Times New Roman" w:eastAsia="Times New Roman"/>
                <w:color w:val="000000" w:themeColor="text1"/>
                <w:sz w:val="24"/>
                <w:lang w:eastAsia="zh-CN"/>
                <w14:textFill>
                  <w14:solidFill>
                    <w14:schemeClr w14:val="tx1"/>
                  </w14:solidFill>
                </w14:textFill>
              </w:rPr>
              <w:t xml:space="preserve">10~20  </w:t>
            </w:r>
            <w:r>
              <w:rPr>
                <w:color w:val="000000" w:themeColor="text1"/>
                <w:spacing w:val="-10"/>
                <w:sz w:val="24"/>
                <w:lang w:eastAsia="zh-CN"/>
                <w14:textFill>
                  <w14:solidFill>
                    <w14:schemeClr w14:val="tx1"/>
                  </w14:solidFill>
                </w14:textFill>
              </w:rPr>
              <w:t>米之间；渭河二级阶地区为较强富水区</w:t>
            </w:r>
            <w:r>
              <w:rPr>
                <w:color w:val="000000" w:themeColor="text1"/>
                <w:spacing w:val="-13"/>
                <w:sz w:val="24"/>
                <w:lang w:eastAsia="zh-CN"/>
                <w14:textFill>
                  <w14:solidFill>
                    <w14:schemeClr w14:val="tx1"/>
                  </w14:solidFill>
                </w14:textFill>
              </w:rPr>
              <w:t xml:space="preserve">从阶地前缘向后缘，富水性逐渐变弱，潜水埋深一般为 </w:t>
            </w:r>
            <w:r>
              <w:rPr>
                <w:rFonts w:ascii="Times New Roman" w:eastAsia="Times New Roman"/>
                <w:color w:val="000000" w:themeColor="text1"/>
                <w:spacing w:val="-6"/>
                <w:sz w:val="24"/>
                <w:lang w:eastAsia="zh-CN"/>
                <w14:textFill>
                  <w14:solidFill>
                    <w14:schemeClr w14:val="tx1"/>
                  </w14:solidFill>
                </w14:textFill>
              </w:rPr>
              <w:t>10~20m</w:t>
            </w:r>
            <w:r>
              <w:rPr>
                <w:color w:val="000000" w:themeColor="text1"/>
                <w:spacing w:val="-2"/>
                <w:sz w:val="24"/>
                <w:lang w:eastAsia="zh-CN"/>
                <w14:textFill>
                  <w14:solidFill>
                    <w14:schemeClr w14:val="tx1"/>
                  </w14:solidFill>
                </w14:textFill>
              </w:rPr>
              <w:t xml:space="preserve">；渭河三级阶地区为中等富水区，潜水埋深为 </w:t>
            </w:r>
            <w:r>
              <w:rPr>
                <w:rFonts w:ascii="Times New Roman" w:eastAsia="Times New Roman"/>
                <w:color w:val="000000" w:themeColor="text1"/>
                <w:sz w:val="24"/>
                <w:lang w:eastAsia="zh-CN"/>
                <w14:textFill>
                  <w14:solidFill>
                    <w14:schemeClr w14:val="tx1"/>
                  </w14:solidFill>
                </w14:textFill>
              </w:rPr>
              <w:t>30~60</w:t>
            </w:r>
            <w:r>
              <w:rPr>
                <w:rFonts w:ascii="Times New Roman" w:eastAsia="Times New Roman"/>
                <w:color w:val="000000" w:themeColor="text1"/>
                <w:spacing w:val="59"/>
                <w:sz w:val="24"/>
                <w:lang w:eastAsia="zh-CN"/>
                <w14:textFill>
                  <w14:solidFill>
                    <w14:schemeClr w14:val="tx1"/>
                  </w14:solidFill>
                </w14:textFill>
              </w:rPr>
              <w:t xml:space="preserve"> </w:t>
            </w:r>
            <w:r>
              <w:rPr>
                <w:color w:val="000000" w:themeColor="text1"/>
                <w:sz w:val="24"/>
                <w:lang w:eastAsia="zh-CN"/>
                <w14:textFill>
                  <w14:solidFill>
                    <w14:schemeClr w14:val="tx1"/>
                  </w14:solidFill>
                </w14:textFill>
              </w:rPr>
              <w:t>米；黄土塬区为极弱富水区，潜水埋深大于</w:t>
            </w:r>
            <w:r>
              <w:rPr>
                <w:rFonts w:ascii="Times New Roman" w:eastAsia="Times New Roman"/>
                <w:color w:val="000000" w:themeColor="text1"/>
                <w:sz w:val="24"/>
                <w:lang w:eastAsia="zh-CN"/>
                <w14:textFill>
                  <w14:solidFill>
                    <w14:schemeClr w14:val="tx1"/>
                  </w14:solidFill>
                </w14:textFill>
              </w:rPr>
              <w:t>60</w:t>
            </w:r>
            <w:r>
              <w:rPr>
                <w:color w:val="000000" w:themeColor="text1"/>
                <w:sz w:val="24"/>
                <w:lang w:eastAsia="zh-CN"/>
                <w14:textFill>
                  <w14:solidFill>
                    <w14:schemeClr w14:val="tx1"/>
                  </w14:solidFill>
                </w14:textFill>
              </w:rPr>
              <w:t>米。</w:t>
            </w:r>
          </w:p>
          <w:p>
            <w:pPr>
              <w:pStyle w:val="88"/>
              <w:spacing w:before="2" w:line="364" w:lineRule="auto"/>
              <w:ind w:left="19" w:right="56" w:firstLine="480"/>
              <w:jc w:val="both"/>
              <w:rPr>
                <w:rFonts w:hAnsi="宋体"/>
                <w:color w:val="000000" w:themeColor="text1"/>
                <w:lang w:eastAsia="zh-CN"/>
                <w14:textFill>
                  <w14:solidFill>
                    <w14:schemeClr w14:val="tx1"/>
                  </w14:solidFill>
                </w14:textFill>
              </w:rPr>
            </w:pPr>
            <w:r>
              <w:rPr>
                <w:color w:val="000000" w:themeColor="text1"/>
                <w:sz w:val="24"/>
                <w:lang w:eastAsia="zh-CN"/>
                <w14:textFill>
                  <w14:solidFill>
                    <w14:schemeClr w14:val="tx1"/>
                  </w14:solidFill>
                </w14:textFill>
              </w:rPr>
              <w:t>潜水动态特征：根据观测资料，潜水位的变化趋势可以分为上升区、下降区和平稳区。下降区主要分布于北部三级阶地和台塬区以及西部强开采区、渭河南部地区； 上升区分布于旧城区和东部的高漫滩区，由于潜水开采量减少所致；平稳区分布于西部和西南部以及处于上升区和下降区之间的过渡地带。</w:t>
            </w:r>
          </w:p>
          <w:p>
            <w:pPr>
              <w:autoSpaceDE w:val="0"/>
              <w:autoSpaceDN w:val="0"/>
              <w:ind w:firstLine="0" w:firstLineChars="0"/>
              <w:jc w:val="center"/>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drawing>
                <wp:inline distT="0" distB="0" distL="114300" distR="114300">
                  <wp:extent cx="4191000" cy="3105150"/>
                  <wp:effectExtent l="0" t="0" r="0" b="0"/>
                  <wp:docPr id="7" name="图片 7" descr="75159cf74df43be895f7ca67f6d9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159cf74df43be895f7ca67f6d94ce"/>
                          <pic:cNvPicPr>
                            <a:picLocks noChangeAspect="1"/>
                          </pic:cNvPicPr>
                        </pic:nvPicPr>
                        <pic:blipFill>
                          <a:blip r:embed="rId25"/>
                          <a:stretch>
                            <a:fillRect/>
                          </a:stretch>
                        </pic:blipFill>
                        <pic:spPr>
                          <a:xfrm>
                            <a:off x="0" y="0"/>
                            <a:ext cx="4191000" cy="3105150"/>
                          </a:xfrm>
                          <a:prstGeom prst="rect">
                            <a:avLst/>
                          </a:prstGeom>
                        </pic:spPr>
                      </pic:pic>
                    </a:graphicData>
                  </a:graphic>
                </wp:inline>
              </w:drawing>
            </w:r>
          </w:p>
          <w:p>
            <w:pPr>
              <w:adjustRightInd w:val="0"/>
              <w:snapToGrid w:val="0"/>
              <w:spacing w:line="240" w:lineRule="auto"/>
              <w:ind w:firstLine="0" w:firstLineChars="0"/>
              <w:jc w:val="center"/>
              <w:textAlignment w:val="baseline"/>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图7-</w:t>
            </w:r>
            <w:r>
              <w:rPr>
                <w:rFonts w:hint="eastAsia"/>
                <w:b/>
                <w:bCs/>
                <w:color w:val="000000" w:themeColor="text1"/>
                <w:sz w:val="21"/>
                <w:szCs w:val="21"/>
                <w:lang w:val="en-US" w:eastAsia="zh-CN"/>
                <w14:textFill>
                  <w14:solidFill>
                    <w14:schemeClr w14:val="tx1"/>
                  </w14:solidFill>
                </w14:textFill>
              </w:rPr>
              <w:t>3</w:t>
            </w:r>
            <w:r>
              <w:rPr>
                <w:rFonts w:hint="eastAsia"/>
                <w:b/>
                <w:bCs/>
                <w:color w:val="000000" w:themeColor="text1"/>
                <w:sz w:val="21"/>
                <w:szCs w:val="21"/>
                <w14:textFill>
                  <w14:solidFill>
                    <w14:schemeClr w14:val="tx1"/>
                  </w14:solidFill>
                </w14:textFill>
              </w:rPr>
              <w:t xml:space="preserve">  地下水系统划分图</w:t>
            </w:r>
          </w:p>
          <w:p>
            <w:pPr>
              <w:snapToGrid w:val="0"/>
              <w:ind w:left="12" w:leftChars="5" w:right="94" w:rightChars="39" w:firstLine="480"/>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（4）</w:t>
            </w:r>
            <w:r>
              <w:rPr>
                <w:rFonts w:hint="eastAsia" w:hAnsi="宋体"/>
                <w:color w:val="000000" w:themeColor="text1"/>
                <w:kern w:val="0"/>
                <w14:textFill>
                  <w14:solidFill>
                    <w14:schemeClr w14:val="tx1"/>
                  </w14:solidFill>
                </w14:textFill>
              </w:rPr>
              <w:t>地下水环境影响预测</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①预测时段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根据导则预测时段要求，预测时段设定为发生油品泄漏后的100天、1000天。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②情景设置</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本工程对项目周边地下水环境的影响，主要是对项目场地地下水下游方向潜水的影响。该区域潜水的污染途径主要有：地下油罐破裂，可能会造成油类下渗污染地下水；在雨季，污染物随雨水漫流至厂区，沿未经防渗处理层，渗至地下水层，并通过含水层之间的垂向越流及水平流动扩散。</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正常情况下，建设项目的工艺设备和地下水环境保护措施均达到设计要求条件下的运行状况，严格落实了各项地下水防渗措施，则本项目的渗漏量很小，通过源头控制、分区防渗、加强环境管理、定期跟踪监测，可有效防控本项目改变场界以外地区现有的地下水环境质量，正常状况对地下水环境的影响很小。因此本项目的预测时段确定为非正常状况。</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根据《环境影响评价技术导则地下水环境》（HJ610-2016）第9.6条的要求，非正常状况下，预测源强可根据工艺设备或地下水环境保护措施因系统老化或腐蚀程度等设定。本项目设定站区内油罐发生泄露，保护效果达不到设计要求时的情景，最不利情况，4个储油罐同时泄露，持续点源发生渗漏的情景，该情景下不考虑包气带防污性能带来的吸附作用和时间滞后效应，取污染物原始浓度随污水沿垂直方向直接进入到潜水含水层进行预测。</w:t>
            </w:r>
          </w:p>
          <w:p>
            <w:pPr>
              <w:adjustRightInd w:val="0"/>
              <w:snapToGrid w:val="0"/>
              <w:spacing w:line="240" w:lineRule="auto"/>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表7</w:t>
            </w:r>
            <w:r>
              <w:rPr>
                <w:rFonts w:hint="eastAsia"/>
                <w:b/>
                <w:bCs/>
                <w:color w:val="000000" w:themeColor="text1"/>
                <w:sz w:val="21"/>
                <w:szCs w:val="21"/>
                <w14:textFill>
                  <w14:solidFill>
                    <w14:schemeClr w14:val="tx1"/>
                  </w14:solidFill>
                </w14:textFill>
              </w:rPr>
              <w:t>-9</w:t>
            </w:r>
            <w:r>
              <w:rPr>
                <w:b/>
                <w:bCs/>
                <w:color w:val="000000" w:themeColor="text1"/>
                <w:sz w:val="21"/>
                <w:szCs w:val="21"/>
                <w14:textFill>
                  <w14:solidFill>
                    <w14:schemeClr w14:val="tx1"/>
                  </w14:solidFill>
                </w14:textFill>
              </w:rPr>
              <w:t>油罐泄漏非正常状况情景设定</w:t>
            </w:r>
          </w:p>
          <w:tbl>
            <w:tblPr>
              <w:tblStyle w:val="28"/>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91"/>
              <w:gridCol w:w="2552"/>
              <w:gridCol w:w="1134"/>
              <w:gridCol w:w="1134"/>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储罐</w:t>
                  </w:r>
                </w:p>
              </w:tc>
              <w:tc>
                <w:tcPr>
                  <w:tcW w:w="119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储罐数量</w:t>
                  </w:r>
                </w:p>
              </w:tc>
              <w:tc>
                <w:tcPr>
                  <w:tcW w:w="25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储罐材质</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储罐容积</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充装度</w:t>
                  </w:r>
                </w:p>
              </w:tc>
              <w:tc>
                <w:tcPr>
                  <w:tcW w:w="116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汽油储罐</w:t>
                  </w:r>
                </w:p>
              </w:tc>
              <w:tc>
                <w:tcPr>
                  <w:tcW w:w="119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rFonts w:hAnsi="宋体"/>
                      <w:color w:val="000000" w:themeColor="text1"/>
                      <w:sz w:val="21"/>
                      <w:szCs w:val="21"/>
                      <w14:textFill>
                        <w14:solidFill>
                          <w14:schemeClr w14:val="tx1"/>
                        </w14:solidFill>
                      </w14:textFill>
                    </w:rPr>
                    <w:t>座</w:t>
                  </w:r>
                </w:p>
              </w:tc>
              <w:tc>
                <w:tcPr>
                  <w:tcW w:w="25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内钢外</w:t>
                  </w:r>
                  <w:r>
                    <w:rPr>
                      <w:rFonts w:hAnsi="宋体"/>
                      <w:color w:val="000000" w:themeColor="text1"/>
                      <w:sz w:val="21"/>
                      <w:szCs w:val="21"/>
                      <w14:textFill>
                        <w14:solidFill>
                          <w14:schemeClr w14:val="tx1"/>
                        </w14:solidFill>
                      </w14:textFill>
                    </w:rPr>
                    <w:t>玻璃纤维</w:t>
                  </w:r>
                  <w:r>
                    <w:rPr>
                      <w:rFonts w:hint="eastAsia" w:hAnsi="宋体"/>
                      <w:color w:val="000000" w:themeColor="text1"/>
                      <w:sz w:val="21"/>
                      <w:szCs w:val="21"/>
                      <w14:textFill>
                        <w14:solidFill>
                          <w14:schemeClr w14:val="tx1"/>
                        </w14:solidFill>
                      </w14:textFill>
                    </w:rPr>
                    <w:t>双层</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Ansi="宋体"/>
                      <w:color w:val="000000" w:themeColor="text1"/>
                      <w:sz w:val="21"/>
                      <w:szCs w:val="21"/>
                      <w14:textFill>
                        <w14:solidFill>
                          <w14:schemeClr w14:val="tx1"/>
                        </w14:solidFill>
                      </w14:textFill>
                    </w:rPr>
                    <w:t>罐</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r>
                    <w:rPr>
                      <w:color w:val="000000" w:themeColor="text1"/>
                      <w:sz w:val="21"/>
                      <w:szCs w:val="21"/>
                      <w14:textFill>
                        <w14:solidFill>
                          <w14:schemeClr w14:val="tx1"/>
                        </w14:solidFill>
                      </w14:textFill>
                    </w:rPr>
                    <w:t>%</w:t>
                  </w:r>
                </w:p>
              </w:tc>
              <w:tc>
                <w:tcPr>
                  <w:tcW w:w="116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50.56t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汽油储罐</w:t>
                  </w:r>
                </w:p>
              </w:tc>
              <w:tc>
                <w:tcPr>
                  <w:tcW w:w="119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座</w:t>
                  </w:r>
                </w:p>
              </w:tc>
              <w:tc>
                <w:tcPr>
                  <w:tcW w:w="255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内钢外</w:t>
                  </w:r>
                  <w:r>
                    <w:rPr>
                      <w:rFonts w:hAnsi="宋体"/>
                      <w:color w:val="000000" w:themeColor="text1"/>
                      <w:sz w:val="21"/>
                      <w:szCs w:val="21"/>
                      <w14:textFill>
                        <w14:solidFill>
                          <w14:schemeClr w14:val="tx1"/>
                        </w14:solidFill>
                      </w14:textFill>
                    </w:rPr>
                    <w:t>玻璃纤维</w:t>
                  </w:r>
                  <w:r>
                    <w:rPr>
                      <w:rFonts w:hint="eastAsia" w:hAnsi="宋体"/>
                      <w:color w:val="000000" w:themeColor="text1"/>
                      <w:sz w:val="21"/>
                      <w:szCs w:val="21"/>
                      <w14:textFill>
                        <w14:solidFill>
                          <w14:schemeClr w14:val="tx1"/>
                        </w14:solidFill>
                      </w14:textFill>
                    </w:rPr>
                    <w:t>双层</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Ansi="宋体"/>
                      <w:color w:val="000000" w:themeColor="text1"/>
                      <w:sz w:val="21"/>
                      <w:szCs w:val="21"/>
                      <w14:textFill>
                        <w14:solidFill>
                          <w14:schemeClr w14:val="tx1"/>
                        </w14:solidFill>
                      </w14:textFill>
                    </w:rPr>
                    <w:t>罐</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r>
                    <w:rPr>
                      <w:color w:val="000000" w:themeColor="text1"/>
                      <w:sz w:val="21"/>
                      <w:szCs w:val="21"/>
                      <w14:textFill>
                        <w14:solidFill>
                          <w14:schemeClr w14:val="tx1"/>
                        </w14:solidFill>
                      </w14:textFill>
                    </w:rPr>
                    <w:t>%</w:t>
                  </w:r>
                </w:p>
              </w:tc>
              <w:tc>
                <w:tcPr>
                  <w:tcW w:w="116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18.96</w:t>
                  </w:r>
                  <w:r>
                    <w:rPr>
                      <w:rFonts w:hint="eastAsia"/>
                      <w:color w:val="000000" w:themeColor="text1"/>
                      <w:sz w:val="21"/>
                      <w:szCs w:val="2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4"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柴油储罐</w:t>
                  </w:r>
                </w:p>
              </w:tc>
              <w:tc>
                <w:tcPr>
                  <w:tcW w:w="119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座</w:t>
                  </w:r>
                </w:p>
              </w:tc>
              <w:tc>
                <w:tcPr>
                  <w:tcW w:w="2552"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内钢外</w:t>
                  </w:r>
                  <w:r>
                    <w:rPr>
                      <w:rFonts w:hAnsi="宋体"/>
                      <w:color w:val="000000" w:themeColor="text1"/>
                      <w:sz w:val="21"/>
                      <w:szCs w:val="21"/>
                      <w14:textFill>
                        <w14:solidFill>
                          <w14:schemeClr w14:val="tx1"/>
                        </w14:solidFill>
                      </w14:textFill>
                    </w:rPr>
                    <w:t>玻璃纤维</w:t>
                  </w:r>
                  <w:r>
                    <w:rPr>
                      <w:rFonts w:hint="eastAsia" w:hAnsi="宋体"/>
                      <w:color w:val="000000" w:themeColor="text1"/>
                      <w:sz w:val="21"/>
                      <w:szCs w:val="21"/>
                      <w14:textFill>
                        <w14:solidFill>
                          <w14:schemeClr w14:val="tx1"/>
                        </w14:solidFill>
                      </w14:textFill>
                    </w:rPr>
                    <w:t>双层</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Ansi="宋体"/>
                      <w:color w:val="000000" w:themeColor="text1"/>
                      <w:sz w:val="21"/>
                      <w:szCs w:val="21"/>
                      <w14:textFill>
                        <w14:solidFill>
                          <w14:schemeClr w14:val="tx1"/>
                        </w14:solidFill>
                      </w14:textFill>
                    </w:rPr>
                    <w:t>罐</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0%</w:t>
                  </w:r>
                </w:p>
              </w:tc>
              <w:tc>
                <w:tcPr>
                  <w:tcW w:w="116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20.4t</w:t>
                  </w:r>
                </w:p>
              </w:tc>
            </w:tr>
          </w:tbl>
          <w:p>
            <w:pPr>
              <w:pStyle w:val="65"/>
              <w:numPr>
                <w:ilvl w:val="0"/>
                <w:numId w:val="2"/>
              </w:numPr>
              <w:ind w:firstLineChars="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预测模式</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根据本项目的污染特征确定预测因子为石油类。</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1）预测模型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根据《环境影响评价技术导则地下水环境》（HJ610-2016）要求，地下水环境影响评价三级评价预测方法可以选用解析法。</w:t>
            </w:r>
            <w:r>
              <w:rPr>
                <w:rFonts w:hint="eastAsia"/>
                <w:color w:val="000000" w:themeColor="text1"/>
                <w14:textFill>
                  <w14:solidFill>
                    <w14:schemeClr w14:val="tx1"/>
                  </w14:solidFill>
                </w14:textFill>
              </w:rPr>
              <w:t>本次地下水预测采用《环境影响评价技术导则</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地下水》附录</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推荐的预测模型：一维稳定流动一维水动力弥散问题中的一维无限长多孔介质柱体，示踪剂瞬时注入模型，预测公式为：</w:t>
            </w:r>
          </w:p>
          <w:p>
            <w:pPr>
              <w:ind w:firstLine="480"/>
              <w:jc w:val="center"/>
              <w:rPr>
                <w:color w:val="000000" w:themeColor="text1"/>
                <w:spacing w:val="20"/>
                <w:kern w:val="0"/>
                <w14:textFill>
                  <w14:solidFill>
                    <w14:schemeClr w14:val="tx1"/>
                  </w14:solidFill>
                </w14:textFill>
              </w:rPr>
            </w:pPr>
            <w:r>
              <w:rPr>
                <w:rFonts w:ascii="宋体" w:hAnsi="Calibri" w:cs="宋体"/>
                <w:color w:val="000000" w:themeColor="text1"/>
                <w:kern w:val="0"/>
                <w14:textFill>
                  <w14:solidFill>
                    <w14:schemeClr w14:val="tx1"/>
                  </w14:solidFill>
                </w14:textFill>
              </w:rPr>
              <w:drawing>
                <wp:inline distT="0" distB="0" distL="0" distR="0">
                  <wp:extent cx="1930400" cy="609600"/>
                  <wp:effectExtent l="0" t="0" r="127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30400" cy="609600"/>
                          </a:xfrm>
                          <a:prstGeom prst="rect">
                            <a:avLst/>
                          </a:prstGeom>
                          <a:noFill/>
                          <a:ln>
                            <a:noFill/>
                          </a:ln>
                        </pic:spPr>
                      </pic:pic>
                    </a:graphicData>
                  </a:graphic>
                </wp:inline>
              </w:drawing>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式中：x——</w:t>
            </w:r>
            <w:r>
              <w:rPr>
                <w:rFonts w:hint="eastAsia"/>
                <w:color w:val="000000" w:themeColor="text1"/>
                <w14:textFill>
                  <w14:solidFill>
                    <w14:schemeClr w14:val="tx1"/>
                  </w14:solidFill>
                </w14:textFill>
              </w:rPr>
              <w:t>距注入点的距离，m</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t——时间，d；</w:t>
            </w:r>
          </w:p>
          <w:p>
            <w:pPr>
              <w:ind w:firstLine="1159" w:firstLineChars="483"/>
              <w:rPr>
                <w:color w:val="000000" w:themeColor="text1"/>
                <w14:textFill>
                  <w14:solidFill>
                    <w14:schemeClr w14:val="tx1"/>
                  </w14:solidFill>
                </w14:textFill>
              </w:rPr>
            </w:pPr>
            <w:r>
              <w:rPr>
                <w:color w:val="000000" w:themeColor="text1"/>
                <w14:textFill>
                  <w14:solidFill>
                    <w14:schemeClr w14:val="tx1"/>
                  </w14:solidFill>
                </w14:textFill>
              </w:rPr>
              <w:t>C（x，t）——t时刻x处的示踪剂质量浓度，g/L；</w:t>
            </w:r>
          </w:p>
          <w:p>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m——单位事件注入示踪剂的质量，kg；</w:t>
            </w:r>
          </w:p>
          <w:p>
            <w:pPr>
              <w:ind w:firstLine="1159" w:firstLineChars="483"/>
              <w:rPr>
                <w:color w:val="000000" w:themeColor="text1"/>
                <w14:textFill>
                  <w14:solidFill>
                    <w14:schemeClr w14:val="tx1"/>
                  </w14:solidFill>
                </w14:textFill>
              </w:rPr>
            </w:pPr>
            <w:r>
              <w:rPr>
                <w:color w:val="000000" w:themeColor="text1"/>
                <w14:textFill>
                  <w14:solidFill>
                    <w14:schemeClr w14:val="tx1"/>
                  </w14:solidFill>
                </w14:textFill>
              </w:rPr>
              <w:t>w—</w:t>
            </w:r>
            <w:r>
              <w:rPr>
                <w:rFonts w:hint="eastAsia"/>
                <w:color w:val="000000" w:themeColor="text1"/>
                <w14:textFill>
                  <w14:solidFill>
                    <w14:schemeClr w14:val="tx1"/>
                  </w14:solidFill>
                </w14:textFill>
              </w:rPr>
              <w:t>横截面面积，</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pPr>
              <w:ind w:firstLine="1159" w:firstLineChars="483"/>
              <w:rPr>
                <w:color w:val="000000" w:themeColor="text1"/>
                <w14:textFill>
                  <w14:solidFill>
                    <w14:schemeClr w14:val="tx1"/>
                  </w14:solidFill>
                </w14:textFill>
              </w:rPr>
            </w:pPr>
            <w:r>
              <w:rPr>
                <w:color w:val="000000" w:themeColor="text1"/>
                <w14:textFill>
                  <w14:solidFill>
                    <w14:schemeClr w14:val="tx1"/>
                  </w14:solidFill>
                </w14:textFill>
              </w:rPr>
              <w:t>u——水流速度，m/d；</w:t>
            </w:r>
          </w:p>
          <w:p>
            <w:pPr>
              <w:ind w:firstLine="1159" w:firstLineChars="483"/>
              <w:rPr>
                <w:color w:val="000000" w:themeColor="text1"/>
                <w14:textFill>
                  <w14:solidFill>
                    <w14:schemeClr w14:val="tx1"/>
                  </w14:solidFill>
                </w14:textFill>
              </w:rPr>
            </w:pPr>
            <w:r>
              <w:rPr>
                <w:color w:val="000000" w:themeColor="text1"/>
                <w14:textFill>
                  <w14:solidFill>
                    <w14:schemeClr w14:val="tx1"/>
                  </w14:solidFill>
                </w14:textFill>
              </w:rPr>
              <w:t>n——有效孔隙度，无量纲；</w:t>
            </w:r>
          </w:p>
          <w:p>
            <w:pPr>
              <w:ind w:firstLine="1159" w:firstLineChars="483"/>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L</w:t>
            </w:r>
            <w:r>
              <w:rPr>
                <w:color w:val="000000" w:themeColor="text1"/>
                <w14:textFill>
                  <w14:solidFill>
                    <w14:schemeClr w14:val="tx1"/>
                  </w14:solidFill>
                </w14:textFill>
              </w:rPr>
              <w:t>——纵向弥散系数，m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2）参数的确定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a、注</w:t>
            </w:r>
            <w:r>
              <w:rPr>
                <w:color w:val="000000" w:themeColor="text1"/>
                <w14:textFill>
                  <w14:solidFill>
                    <w14:schemeClr w14:val="tx1"/>
                  </w14:solidFill>
                </w14:textFill>
              </w:rPr>
              <w:t>入示踪剂（石油类）质量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非正常泄漏时间跟企业管理程度有关，项目储罐设有液位计，当油罐发生泄漏后，很快就会发现，一般不会出现连续一天以上的事故泄漏，故本项目非正常下渗时间按1天计，故注入示踪剂（石油类）质量为</w:t>
            </w:r>
            <w:r>
              <w:rPr>
                <w:rFonts w:hint="eastAsia"/>
                <w:color w:val="000000" w:themeColor="text1"/>
                <w14:textFill>
                  <w14:solidFill>
                    <w14:schemeClr w14:val="tx1"/>
                  </w14:solidFill>
                </w14:textFill>
              </w:rPr>
              <w:t>86.4</w:t>
            </w:r>
            <w:r>
              <w:rPr>
                <w:color w:val="000000" w:themeColor="text1"/>
                <w14:textFill>
                  <w14:solidFill>
                    <w14:schemeClr w14:val="tx1"/>
                  </w14:solidFill>
                </w14:textFill>
              </w:rPr>
              <w:t>kg。</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横截面面积</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横截面面积</w:t>
            </w:r>
            <w:r>
              <w:rPr>
                <w:rFonts w:hint="eastAsia"/>
                <w:color w:val="000000" w:themeColor="text1"/>
                <w14:textFill>
                  <w14:solidFill>
                    <w14:schemeClr w14:val="tx1"/>
                  </w14:solidFill>
                </w14:textFill>
              </w:rPr>
              <w:t>110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地下水流速</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采用水动力学断面法计算地下水流速。计算公式为：</w:t>
            </w:r>
          </w:p>
          <w:p>
            <w:pPr>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u=kI/n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式中：u—地下水流速，计算求得0.012m/d；</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k—渗透系数，</w:t>
            </w:r>
            <w:r>
              <w:rPr>
                <w:rFonts w:hint="eastAsia"/>
                <w:color w:val="000000" w:themeColor="text1"/>
                <w14:textFill>
                  <w14:solidFill>
                    <w14:schemeClr w14:val="tx1"/>
                  </w14:solidFill>
                </w14:textFill>
              </w:rPr>
              <w:t>厂址区含水层岩性为粉土，根据《关中盆地地下水资源评价报告》，取值1.2m/d</w:t>
            </w:r>
            <w:r>
              <w:rPr>
                <w:color w:val="000000" w:themeColor="text1"/>
                <w14:textFill>
                  <w14:solidFill>
                    <w14:schemeClr w14:val="tx1"/>
                  </w14:solidFill>
                </w14:textFill>
              </w:rPr>
              <w:t>；</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I—水力坡度，</w:t>
            </w:r>
            <w:r>
              <w:rPr>
                <w:rFonts w:hint="eastAsia"/>
                <w:color w:val="000000" w:themeColor="text1"/>
                <w14:textFill>
                  <w14:solidFill>
                    <w14:schemeClr w14:val="tx1"/>
                  </w14:solidFill>
                </w14:textFill>
              </w:rPr>
              <w:t>无量纲，项目厂址区较为平整，取经验值0.001</w:t>
            </w:r>
            <w:r>
              <w:rPr>
                <w:color w:val="000000" w:themeColor="text1"/>
                <w14:textFill>
                  <w14:solidFill>
                    <w14:schemeClr w14:val="tx1"/>
                  </w14:solidFill>
                </w14:textFill>
              </w:rPr>
              <w:t>；</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n—有效孔隙度，根据经验值选0.1。</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弥散系数</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纵横弥散系数根据含水层岩性及渗透系数、水力坡度等因素，参照相同地区的经验值确定，D</w:t>
            </w:r>
            <w:r>
              <w:rPr>
                <w:color w:val="000000" w:themeColor="text1"/>
                <w:vertAlign w:val="subscript"/>
                <w14:textFill>
                  <w14:solidFill>
                    <w14:schemeClr w14:val="tx1"/>
                  </w14:solidFill>
                </w14:textFill>
              </w:rPr>
              <w:t>L</w:t>
            </w:r>
            <w:r>
              <w:rPr>
                <w:color w:val="000000" w:themeColor="text1"/>
                <w14:textFill>
                  <w14:solidFill>
                    <w14:schemeClr w14:val="tx1"/>
                  </w14:solidFill>
                </w14:textFill>
              </w:rPr>
              <w:t>=0.2m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w:t>
            </w:r>
            <w:r>
              <w:rPr>
                <w:color w:val="000000" w:themeColor="text1"/>
                <w14:textFill>
                  <w14:solidFill>
                    <w14:schemeClr w14:val="tx1"/>
                  </w14:solidFill>
                </w14:textFill>
              </w:rPr>
              <w:t>标准选取</w:t>
            </w:r>
          </w:p>
          <w:p>
            <w:pPr>
              <w:ind w:firstLine="480"/>
              <w:rPr>
                <w:rFonts w:hAnsi="宋体"/>
                <w:color w:val="000000" w:themeColor="text1"/>
                <w:kern w:val="0"/>
                <w14:textFill>
                  <w14:solidFill>
                    <w14:schemeClr w14:val="tx1"/>
                  </w14:solidFill>
                </w14:textFill>
              </w:rPr>
            </w:pPr>
            <w:r>
              <w:rPr>
                <w:color w:val="000000" w:themeColor="text1"/>
                <w14:textFill>
                  <w14:solidFill>
                    <w14:schemeClr w14:val="tx1"/>
                  </w14:solidFill>
                </w14:textFill>
              </w:rPr>
              <w:t>石油类环境质量标准选取</w:t>
            </w:r>
            <w:r>
              <w:rPr>
                <w:rFonts w:hAnsi="宋体"/>
                <w:color w:val="000000" w:themeColor="text1"/>
                <w14:textFill>
                  <w14:solidFill>
                    <w14:schemeClr w14:val="tx1"/>
                  </w14:solidFill>
                </w14:textFill>
              </w:rPr>
              <w:t>《地表水环境质量标准》（GB3838-2002）中</w:t>
            </w:r>
            <w:r>
              <w:rPr>
                <w:rFonts w:hint="eastAsia" w:hAnsi="宋体"/>
                <w:color w:val="000000" w:themeColor="text1"/>
                <w14:textFill>
                  <w14:solidFill>
                    <w14:schemeClr w14:val="tx1"/>
                  </w14:solidFill>
                </w14:textFill>
              </w:rPr>
              <w:t>Ⅲ</w:t>
            </w:r>
            <w:r>
              <w:rPr>
                <w:rFonts w:hAnsi="宋体"/>
                <w:color w:val="000000" w:themeColor="text1"/>
                <w14:textFill>
                  <w14:solidFill>
                    <w14:schemeClr w14:val="tx1"/>
                  </w14:solidFill>
                </w14:textFill>
              </w:rPr>
              <w:t>类标准</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即0.</w:t>
            </w:r>
            <w:r>
              <w:rPr>
                <w:rFonts w:hint="eastAsia" w:hAnsi="宋体"/>
                <w:color w:val="000000" w:themeColor="text1"/>
                <w14:textFill>
                  <w14:solidFill>
                    <w14:schemeClr w14:val="tx1"/>
                  </w14:solidFill>
                </w14:textFill>
              </w:rPr>
              <w:t>05</w:t>
            </w:r>
            <w:r>
              <w:rPr>
                <w:rFonts w:hAnsi="宋体"/>
                <w:color w:val="000000" w:themeColor="text1"/>
                <w14:textFill>
                  <w14:solidFill>
                    <w14:schemeClr w14:val="tx1"/>
                  </w14:solidFill>
                </w14:textFill>
              </w:rPr>
              <w:t>mg/L；</w:t>
            </w:r>
            <w:r>
              <w:rPr>
                <w:color w:val="000000" w:themeColor="text1"/>
                <w14:textFill>
                  <w14:solidFill>
                    <w14:schemeClr w14:val="tx1"/>
                  </w14:solidFill>
                </w14:textFill>
              </w:rPr>
              <w:t>石油类检出限取值为0.0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mg/L。</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⑤预测结果</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石油类预测结果详见表7-10。</w:t>
            </w:r>
          </w:p>
          <w:p>
            <w:pPr>
              <w:adjustRightInd w:val="0"/>
              <w:snapToGrid w:val="0"/>
              <w:spacing w:line="240" w:lineRule="auto"/>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表7</w:t>
            </w:r>
            <w:r>
              <w:rPr>
                <w:rFonts w:hint="eastAsia"/>
                <w:b/>
                <w:bCs/>
                <w:color w:val="000000" w:themeColor="text1"/>
                <w:sz w:val="21"/>
                <w:szCs w:val="21"/>
                <w14:textFill>
                  <w14:solidFill>
                    <w14:schemeClr w14:val="tx1"/>
                  </w14:solidFill>
                </w14:textFill>
              </w:rPr>
              <w:t>-10非正常状况石油类污染物运移天数随距离变化一览表</w:t>
            </w:r>
          </w:p>
          <w:tbl>
            <w:tblPr>
              <w:tblStyle w:val="28"/>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3271"/>
              <w:gridCol w:w="3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803"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距离</w:t>
                  </w:r>
                </w:p>
              </w:tc>
              <w:tc>
                <w:tcPr>
                  <w:tcW w:w="3271" w:type="dxa"/>
                  <w:tcBorders>
                    <w:bottom w:val="single" w:color="000000"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00d</w:t>
                  </w:r>
                </w:p>
              </w:tc>
              <w:tc>
                <w:tcPr>
                  <w:tcW w:w="3067" w:type="dxa"/>
                  <w:tcBorders>
                    <w:bottom w:val="single" w:color="000000"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803" w:type="dxa"/>
                  <w:vMerge w:val="continue"/>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p>
              </w:tc>
              <w:tc>
                <w:tcPr>
                  <w:tcW w:w="3271" w:type="dxa"/>
                  <w:tcBorders>
                    <w:top w:val="single" w:color="000000"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浓度（m</w:t>
                  </w:r>
                  <w:r>
                    <w:rPr>
                      <w:color w:val="000000" w:themeColor="text1"/>
                      <w:sz w:val="21"/>
                      <w:szCs w:val="21"/>
                      <w14:textFill>
                        <w14:solidFill>
                          <w14:schemeClr w14:val="tx1"/>
                        </w14:solidFill>
                      </w14:textFill>
                    </w:rPr>
                    <w:t>g/L</w:t>
                  </w:r>
                  <w:r>
                    <w:rPr>
                      <w:rFonts w:hint="eastAsia"/>
                      <w:color w:val="000000" w:themeColor="text1"/>
                      <w:sz w:val="21"/>
                      <w:szCs w:val="21"/>
                      <w14:textFill>
                        <w14:solidFill>
                          <w14:schemeClr w14:val="tx1"/>
                        </w14:solidFill>
                      </w14:textFill>
                    </w:rPr>
                    <w:t>）</w:t>
                  </w:r>
                </w:p>
              </w:tc>
              <w:tc>
                <w:tcPr>
                  <w:tcW w:w="3067" w:type="dxa"/>
                  <w:tcBorders>
                    <w:top w:val="single" w:color="000000" w:sz="4" w:space="0"/>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浓度（m</w:t>
                  </w:r>
                  <w:r>
                    <w:rPr>
                      <w:color w:val="000000" w:themeColor="text1"/>
                      <w:sz w:val="21"/>
                      <w:szCs w:val="21"/>
                      <w14:textFill>
                        <w14:solidFill>
                          <w14:schemeClr w14:val="tx1"/>
                        </w14:solidFill>
                      </w14:textFill>
                    </w:rPr>
                    <w:t>g/L</w:t>
                  </w: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0.2150998</w:t>
                  </w:r>
                </w:p>
              </w:tc>
              <w:tc>
                <w:tcPr>
                  <w:tcW w:w="3067"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0.0002186562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0.06983269</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0.001030192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20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0.001860978</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0.003780081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4.070874E-06</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0.01080215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4</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7.30967E-10</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0.02404064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5</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1.077387E-14</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0.04166851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6</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1.303495E-20</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0.0562466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7</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1.294527E-27</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0.05913043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8</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1.055301E-35</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0.04841191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9</w:t>
                  </w:r>
                  <w:r>
                    <w:rPr>
                      <w:rFonts w:hAnsi="宋体"/>
                      <w:color w:val="000000" w:themeColor="text1"/>
                      <w:sz w:val="21"/>
                      <w:szCs w:val="21"/>
                      <w14:textFill>
                        <w14:solidFill>
                          <w14:schemeClr w14:val="tx1"/>
                        </w14:solidFill>
                      </w14:textFill>
                    </w:rPr>
                    <w:t>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7.006492E-45</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0.03086879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00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0.01532899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10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0.00592835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20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0.001785585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30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067"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0.0004188452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40</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067"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7.651612E-05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达标距离</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.0499599</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2.15m</w:t>
                  </w:r>
                  <w:r>
                    <w:rPr>
                      <w:rFonts w:hint="eastAsia"/>
                      <w:color w:val="000000" w:themeColor="text1"/>
                      <w:sz w:val="21"/>
                      <w:szCs w:val="21"/>
                      <w14:textFill>
                        <w14:solidFill>
                          <w14:schemeClr w14:val="tx1"/>
                        </w14:solidFill>
                      </w14:textFill>
                    </w:rPr>
                    <w:t>）</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r>
                    <w:rPr>
                      <w:rFonts w:hAnsi="宋体"/>
                      <w:color w:val="000000" w:themeColor="text1"/>
                      <w:sz w:val="21"/>
                      <w:szCs w:val="21"/>
                      <w14:textFill>
                        <w14:solidFill>
                          <w14:schemeClr w14:val="tx1"/>
                        </w14:solidFill>
                      </w14:textFill>
                    </w:rPr>
                    <w:t>.0499910</w:t>
                  </w:r>
                  <w:r>
                    <w:rPr>
                      <w:rFonts w:hint="eastAsia" w:hAnsi="宋体"/>
                      <w:color w:val="000000" w:themeColor="text1"/>
                      <w:sz w:val="21"/>
                      <w:szCs w:val="21"/>
                      <w14:textFill>
                        <w14:solidFill>
                          <w14:schemeClr w14:val="tx1"/>
                        </w14:solidFill>
                      </w14:textFill>
                    </w:rPr>
                    <w:t>（</w:t>
                  </w:r>
                  <w:r>
                    <w:rPr>
                      <w:rFonts w:hAnsi="宋体"/>
                      <w:color w:val="000000" w:themeColor="text1"/>
                      <w:sz w:val="21"/>
                      <w:szCs w:val="21"/>
                      <w14:textFill>
                        <w14:solidFill>
                          <w14:schemeClr w14:val="tx1"/>
                        </w14:solidFill>
                      </w14:textFill>
                    </w:rPr>
                    <w:t>78.10m</w:t>
                  </w:r>
                  <w:r>
                    <w:rPr>
                      <w:rFonts w:hint="eastAsia" w:hAnsi="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03"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检出距离</w:t>
                  </w:r>
                </w:p>
              </w:tc>
              <w:tc>
                <w:tcPr>
                  <w:tcW w:w="3271"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0107455</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6.11m</w:t>
                  </w:r>
                  <w:r>
                    <w:rPr>
                      <w:rFonts w:hint="eastAsia"/>
                      <w:color w:val="000000" w:themeColor="text1"/>
                      <w:sz w:val="21"/>
                      <w:szCs w:val="21"/>
                      <w14:textFill>
                        <w14:solidFill>
                          <w14:schemeClr w14:val="tx1"/>
                        </w14:solidFill>
                      </w14:textFill>
                    </w:rPr>
                    <w:t>）</w:t>
                  </w:r>
                </w:p>
              </w:tc>
              <w:tc>
                <w:tcPr>
                  <w:tcW w:w="3067" w:type="dxa"/>
                  <w:vAlign w:val="center"/>
                </w:tcPr>
                <w:p>
                  <w:pPr>
                    <w:spacing w:line="240" w:lineRule="auto"/>
                    <w:ind w:firstLine="0" w:firstLineChars="0"/>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0.0113289</w:t>
                  </w:r>
                  <w:r>
                    <w:rPr>
                      <w:rFonts w:hint="eastAsia" w:hAnsi="宋体"/>
                      <w:color w:val="000000" w:themeColor="text1"/>
                      <w:sz w:val="21"/>
                      <w:szCs w:val="21"/>
                      <w14:textFill>
                        <w14:solidFill>
                          <w14:schemeClr w14:val="tx1"/>
                        </w14:solidFill>
                      </w14:textFill>
                    </w:rPr>
                    <w:t>（1</w:t>
                  </w:r>
                  <w:r>
                    <w:rPr>
                      <w:rFonts w:hAnsi="宋体"/>
                      <w:color w:val="000000" w:themeColor="text1"/>
                      <w:sz w:val="21"/>
                      <w:szCs w:val="21"/>
                      <w14:textFill>
                        <w14:solidFill>
                          <w14:schemeClr w14:val="tx1"/>
                        </w14:solidFill>
                      </w14:textFill>
                    </w:rPr>
                    <w:t>03.58m</w:t>
                  </w:r>
                  <w:r>
                    <w:rPr>
                      <w:rFonts w:hint="eastAsia" w:hAnsi="宋体"/>
                      <w:color w:val="000000" w:themeColor="text1"/>
                      <w:sz w:val="21"/>
                      <w:szCs w:val="21"/>
                      <w14:textFill>
                        <w14:solidFill>
                          <w14:schemeClr w14:val="tx1"/>
                        </w14:solidFill>
                      </w14:textFill>
                    </w:rPr>
                    <w:t>）</w:t>
                  </w:r>
                </w:p>
              </w:tc>
            </w:tr>
          </w:tbl>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石油类迁移方向在不进行防渗的情况下，各污染物在水动力条件作用下主要由南向北方向运移，随时间的增加和运移的距离增加，含水层石油类浓度变化呈受逐渐下降的趋势。在运移100d时，距离污染源</w:t>
            </w:r>
            <w:r>
              <w:rPr>
                <w:rFonts w:hAnsi="宋体"/>
                <w:color w:val="000000" w:themeColor="text1"/>
                <w:kern w:val="0"/>
                <w14:textFill>
                  <w14:solidFill>
                    <w14:schemeClr w14:val="tx1"/>
                  </w14:solidFill>
                </w14:textFill>
              </w:rPr>
              <w:t>12.15</w:t>
            </w:r>
            <w:r>
              <w:rPr>
                <w:rFonts w:hint="eastAsia" w:hAnsi="宋体"/>
                <w:color w:val="000000" w:themeColor="text1"/>
                <w:kern w:val="0"/>
                <w14:textFill>
                  <w14:solidFill>
                    <w14:schemeClr w14:val="tx1"/>
                  </w14:solidFill>
                </w14:textFill>
              </w:rPr>
              <w:t>m地下水石油类浓度满足《地表水环境质量标准》（GB3838-2002）Ⅲ类水标准的规定；在运移1000d 时，距离污染源7</w:t>
            </w:r>
            <w:r>
              <w:rPr>
                <w:rFonts w:hAnsi="宋体"/>
                <w:color w:val="000000" w:themeColor="text1"/>
                <w:kern w:val="0"/>
                <w14:textFill>
                  <w14:solidFill>
                    <w14:schemeClr w14:val="tx1"/>
                  </w14:solidFill>
                </w14:textFill>
              </w:rPr>
              <w:t>8.10</w:t>
            </w:r>
            <w:r>
              <w:rPr>
                <w:rFonts w:hint="eastAsia" w:hAnsi="宋体"/>
                <w:color w:val="000000" w:themeColor="text1"/>
                <w:kern w:val="0"/>
                <w14:textFill>
                  <w14:solidFill>
                    <w14:schemeClr w14:val="tx1"/>
                  </w14:solidFill>
                </w14:textFill>
              </w:rPr>
              <w:t>m地下水石油类浓度满足《地表水环境质量标准》（GB3838-2002）Ⅲ类水标准的规定。</w:t>
            </w:r>
            <w:r>
              <w:rPr>
                <w:color w:val="000000" w:themeColor="text1"/>
                <w14:textFill>
                  <w14:solidFill>
                    <w14:schemeClr w14:val="tx1"/>
                  </w14:solidFill>
                </w14:textFill>
              </w:rPr>
              <w:t>项目厂区下游78.10m范围内无地下水保护目标，故项目不会对周边敏感点造成影响</w:t>
            </w:r>
            <w:r>
              <w:rPr>
                <w:rFonts w:hint="eastAsia" w:hAnsi="宋体"/>
                <w:color w:val="000000" w:themeColor="text1"/>
                <w:kern w:val="0"/>
                <w14:textFill>
                  <w14:solidFill>
                    <w14:schemeClr w14:val="tx1"/>
                  </w14:solidFill>
                </w14:textFill>
              </w:rPr>
              <w:t>。</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w:t>
            </w:r>
            <w:r>
              <w:rPr>
                <w:rFonts w:hAnsi="宋体"/>
                <w:color w:val="000000" w:themeColor="text1"/>
                <w:kern w:val="0"/>
                <w14:textFill>
                  <w14:solidFill>
                    <w14:schemeClr w14:val="tx1"/>
                  </w14:solidFill>
                </w14:textFill>
              </w:rPr>
              <w:t>5</w:t>
            </w:r>
            <w:r>
              <w:rPr>
                <w:rFonts w:hint="eastAsia" w:hAnsi="宋体"/>
                <w:color w:val="000000" w:themeColor="text1"/>
                <w:kern w:val="0"/>
                <w14:textFill>
                  <w14:solidFill>
                    <w14:schemeClr w14:val="tx1"/>
                  </w14:solidFill>
                </w14:textFill>
              </w:rPr>
              <w:t>）地下水环境保护措施与对策</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本项目拟采用内钢外玻璃纤维增强塑料双层储罐，与土壤接触的油罐外表面防腐设计按《石油化工设备和管道涂料防腐蚀技术规范（SH3022）的有关规定，并采用不低于加强级的防腐绝缘保护层。项目油罐为双层结构，双层油罐的结构图见图7-</w:t>
            </w:r>
            <w:r>
              <w:rPr>
                <w:rFonts w:hint="eastAsia" w:hAnsi="宋体"/>
                <w:color w:val="000000" w:themeColor="text1"/>
                <w:kern w:val="0"/>
                <w:lang w:val="en-US" w:eastAsia="zh-CN"/>
                <w14:textFill>
                  <w14:solidFill>
                    <w14:schemeClr w14:val="tx1"/>
                  </w14:solidFill>
                </w14:textFill>
              </w:rPr>
              <w:t>4</w:t>
            </w:r>
            <w:r>
              <w:rPr>
                <w:rFonts w:hint="eastAsia" w:hAnsi="宋体"/>
                <w:color w:val="000000" w:themeColor="text1"/>
                <w:kern w:val="0"/>
                <w14:textFill>
                  <w14:solidFill>
                    <w14:schemeClr w14:val="tx1"/>
                  </w14:solidFill>
                </w14:textFill>
              </w:rPr>
              <w:t>：</w:t>
            </w:r>
          </w:p>
          <w:p>
            <w:pPr>
              <w:pStyle w:val="7"/>
              <w:ind w:firstLine="0" w:firstLineChars="0"/>
              <w:jc w:val="center"/>
              <w:rPr>
                <w:color w:val="000000" w:themeColor="text1"/>
                <w14:textFill>
                  <w14:solidFill>
                    <w14:schemeClr w14:val="tx1"/>
                  </w14:solidFill>
                </w14:textFill>
              </w:rPr>
            </w:pPr>
            <w:r>
              <w:rPr>
                <w:rFonts w:ascii="Calibri" w:hAnsi="Calibri"/>
                <w:color w:val="000000" w:themeColor="text1"/>
                <w14:textFill>
                  <w14:solidFill>
                    <w14:schemeClr w14:val="tx1"/>
                  </w14:solidFill>
                </w14:textFill>
              </w:rPr>
              <w:drawing>
                <wp:inline distT="0" distB="0" distL="0" distR="0">
                  <wp:extent cx="4062730" cy="2628900"/>
                  <wp:effectExtent l="0" t="0" r="139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63138" cy="2628900"/>
                          </a:xfrm>
                          <a:prstGeom prst="rect">
                            <a:avLst/>
                          </a:prstGeom>
                          <a:noFill/>
                        </pic:spPr>
                      </pic:pic>
                    </a:graphicData>
                  </a:graphic>
                </wp:inline>
              </w:drawing>
            </w:r>
          </w:p>
          <w:p>
            <w:pPr>
              <w:ind w:firstLine="0" w:firstLineChars="0"/>
              <w:jc w:val="center"/>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图7-</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双层油罐结构图</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油罐内层：采用6mm厚的特种钢板制造，与普通的厚度仅5mm的单层油罐相比，强度大大提高；外层：强化玻璃纤维层，厚度达到2.5mm以上，具有很强的耐腐蚀性、耐电蚀性。在内部钢壳与外部强化玻璃纤维层之间采用专利加工方法，使内外层之间产生0.1mm的空隙，并形成真空层，在人孔附近设置检测立管，并设置油气浓度报警器。即使内壳发生泄露，也能保证油品仅在空隙间流动，不会马上溢出外界污染土壤。</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油路管线均采用双层管路，外层进行加强级防腐处理，并设立防泄漏检测立管和油气浓度报警器。</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由于同时项目采取防渗漏检查孔等渗漏溢出检测设施，可及时发现储油罐渗漏，即使发生泄漏，也在储罐和管线夹层中，不会对地下水造成污染现象，所以本项目对地下水环境影响较小。</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为有效</w:t>
            </w:r>
            <w:r>
              <w:rPr>
                <w:rFonts w:hint="eastAsia" w:hAnsi="宋体"/>
                <w:color w:val="000000" w:themeColor="text1"/>
                <w:kern w:val="0"/>
                <w14:textFill>
                  <w14:solidFill>
                    <w14:schemeClr w14:val="tx1"/>
                  </w14:solidFill>
                </w14:textFill>
              </w:rPr>
              <w:t>降低</w:t>
            </w:r>
            <w:r>
              <w:rPr>
                <w:rFonts w:hAnsi="宋体"/>
                <w:color w:val="000000" w:themeColor="text1"/>
                <w:kern w:val="0"/>
                <w14:textFill>
                  <w14:solidFill>
                    <w14:schemeClr w14:val="tx1"/>
                  </w14:solidFill>
                </w14:textFill>
              </w:rPr>
              <w:t>地下水环境污染的风险，应做好地下水污染预防措施，应按照“源头控制、分区控制、污染监控、应急响应”的主动与被动防渗相结合的防渗原则。本项目拟采取的地下水的防治措施如下所述：</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w:t>
            </w:r>
            <w:r>
              <w:rPr>
                <w:rFonts w:hAnsi="宋体"/>
                <w:color w:val="000000" w:themeColor="text1"/>
                <w:kern w:val="0"/>
                <w14:textFill>
                  <w14:solidFill>
                    <w14:schemeClr w14:val="tx1"/>
                  </w14:solidFill>
                </w14:textFill>
              </w:rPr>
              <w:t>源头控制措施</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项目应根据国家现行相关规范加强环境管理，采取防止和降低污染物跑、冒、滴、漏的措施。正常运营过程中应加强控制及处理机修过程中污染物跑、冒、滴、漏，同时应加强对防渗工程的检查，若发现防渗密封材料老化或损坏，应及时维修更换。</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w:t>
            </w:r>
            <w:r>
              <w:rPr>
                <w:rFonts w:hAnsi="宋体"/>
                <w:color w:val="000000" w:themeColor="text1"/>
                <w:kern w:val="0"/>
                <w14:textFill>
                  <w14:solidFill>
                    <w14:schemeClr w14:val="tx1"/>
                  </w14:solidFill>
                </w14:textFill>
              </w:rPr>
              <w:t>分区防治措施</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将全厂按各功能单元所处的位置划分为重点防渗区、一般防渗区以及非防渗区三类地下水污染防治区域：</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重点防渗区：油罐区</w:t>
            </w:r>
            <w:r>
              <w:rPr>
                <w:rFonts w:hint="eastAsia" w:hAnsi="宋体"/>
                <w:color w:val="000000" w:themeColor="text1"/>
                <w:kern w:val="0"/>
                <w14:textFill>
                  <w14:solidFill>
                    <w14:schemeClr w14:val="tx1"/>
                  </w14:solidFill>
                </w14:textFill>
              </w:rPr>
              <w:t>。</w:t>
            </w:r>
            <w:r>
              <w:rPr>
                <w:rFonts w:hAnsi="宋体"/>
                <w:color w:val="000000" w:themeColor="text1"/>
                <w:kern w:val="0"/>
                <w14:textFill>
                  <w14:solidFill>
                    <w14:schemeClr w14:val="tx1"/>
                  </w14:solidFill>
                </w14:textFill>
              </w:rPr>
              <w:t>一般防渗区：</w:t>
            </w:r>
            <w:r>
              <w:rPr>
                <w:rFonts w:hint="eastAsia" w:hAnsi="宋体"/>
                <w:color w:val="000000" w:themeColor="text1"/>
                <w:kern w:val="0"/>
                <w14:textFill>
                  <w14:solidFill>
                    <w14:schemeClr w14:val="tx1"/>
                  </w14:solidFill>
                </w14:textFill>
              </w:rPr>
              <w:t>加油区</w:t>
            </w:r>
            <w:r>
              <w:rPr>
                <w:rFonts w:hAnsi="宋体"/>
                <w:color w:val="000000" w:themeColor="text1"/>
                <w:kern w:val="0"/>
                <w14:textFill>
                  <w14:solidFill>
                    <w14:schemeClr w14:val="tx1"/>
                  </w14:solidFill>
                </w14:textFill>
              </w:rPr>
              <w:t>。</w:t>
            </w:r>
            <w:r>
              <w:rPr>
                <w:rFonts w:hint="eastAsia" w:hAnsi="宋体"/>
                <w:color w:val="000000" w:themeColor="text1"/>
                <w:kern w:val="0"/>
                <w14:textFill>
                  <w14:solidFill>
                    <w14:schemeClr w14:val="tx1"/>
                  </w14:solidFill>
                </w14:textFill>
              </w:rPr>
              <w:t>简单</w:t>
            </w:r>
            <w:r>
              <w:rPr>
                <w:rFonts w:hAnsi="宋体"/>
                <w:color w:val="000000" w:themeColor="text1"/>
                <w:kern w:val="0"/>
                <w14:textFill>
                  <w14:solidFill>
                    <w14:schemeClr w14:val="tx1"/>
                  </w14:solidFill>
                </w14:textFill>
              </w:rPr>
              <w:t>防渗区：</w:t>
            </w:r>
            <w:r>
              <w:rPr>
                <w:rFonts w:hint="eastAsia" w:hAnsi="宋体"/>
                <w:color w:val="000000" w:themeColor="text1"/>
                <w:kern w:val="0"/>
                <w14:textFill>
                  <w14:solidFill>
                    <w14:schemeClr w14:val="tx1"/>
                  </w14:solidFill>
                </w14:textFill>
              </w:rPr>
              <w:t>道路、</w:t>
            </w:r>
            <w:r>
              <w:rPr>
                <w:rFonts w:hAnsi="宋体"/>
                <w:color w:val="000000" w:themeColor="text1"/>
                <w:kern w:val="0"/>
                <w14:textFill>
                  <w14:solidFill>
                    <w14:schemeClr w14:val="tx1"/>
                  </w14:solidFill>
                </w14:textFill>
              </w:rPr>
              <w:t>站房。</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项目对照《环境影响评价技术导则-地下水环境》（HJ610-2016）和《加油站地下水污染防治技术指南（试行）》（环办水体函[2017]323号）防渗技术要求对站区内重点防渗区、一般防渗区采取了针对性防渗措施，具体措施如下：</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ⅰ、储油区储罐采取双层钢制储罐，储罐外表面采取防腐等级不低于加强级的防腐措施，按照《汽车加油加气站设计与施工规范》（GB50156-2012，2014年版）要求，可有效防止污染地下水。</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ⅱ、加油区按照《汽车加油加气站设计与施工规范》（GB50156-2012，2014年版）防渗技术要求进行防渗处理，防止物料跑冒滴漏下渗污染地下水。</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ⅲ、道路、站房建设按照《汽车加油加气站设计与施工规范》（GB50156-2012，2014年版）防渗技术要求建设。</w:t>
            </w:r>
          </w:p>
          <w:p>
            <w:pPr>
              <w:ind w:firstLine="0" w:firstLineChars="0"/>
              <w:jc w:val="center"/>
              <w:rPr>
                <w:rFonts w:hAnsi="宋体"/>
                <w:color w:val="000000" w:themeColor="text1"/>
                <w:kern w:val="0"/>
                <w14:textFill>
                  <w14:solidFill>
                    <w14:schemeClr w14:val="tx1"/>
                  </w14:solidFill>
                </w14:textFill>
              </w:rPr>
            </w:pPr>
            <w:r>
              <w:rPr>
                <w:color w:val="000000" w:themeColor="text1"/>
                <w14:textFill>
                  <w14:solidFill>
                    <w14:schemeClr w14:val="tx1"/>
                  </w14:solidFill>
                </w14:textFill>
              </w:rPr>
              <w:drawing>
                <wp:inline distT="0" distB="0" distL="114300" distR="114300">
                  <wp:extent cx="4775200" cy="4147185"/>
                  <wp:effectExtent l="0" t="0" r="6350" b="57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4775200" cy="4147185"/>
                          </a:xfrm>
                          <a:prstGeom prst="rect">
                            <a:avLst/>
                          </a:prstGeom>
                          <a:noFill/>
                          <a:ln>
                            <a:noFill/>
                          </a:ln>
                        </pic:spPr>
                      </pic:pic>
                    </a:graphicData>
                  </a:graphic>
                </wp:inline>
              </w:drawing>
            </w:r>
          </w:p>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图7-</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加油站分区防渗图</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（6）地下水监控</w:t>
            </w:r>
          </w:p>
          <w:p>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评价要求在建设项目</w:t>
            </w:r>
            <w:r>
              <w:rPr>
                <w:rFonts w:hint="eastAsia"/>
                <w:color w:val="000000" w:themeColor="text1"/>
                <w:lang w:bidi="ar"/>
                <w14:textFill>
                  <w14:solidFill>
                    <w14:schemeClr w14:val="tx1"/>
                  </w14:solidFill>
                </w14:textFill>
              </w:rPr>
              <w:t>储罐区地下水下游处</w:t>
            </w:r>
            <w:r>
              <w:rPr>
                <w:color w:val="000000" w:themeColor="text1"/>
                <w:lang w:bidi="ar"/>
                <w14:textFill>
                  <w14:solidFill>
                    <w14:schemeClr w14:val="tx1"/>
                  </w14:solidFill>
                </w14:textFill>
              </w:rPr>
              <w:t>布设一个地下水影响跟踪监测点进行长期动态监测，监测计划见表7</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1</w:t>
            </w:r>
            <w:r>
              <w:rPr>
                <w:rFonts w:hint="eastAsia"/>
                <w:color w:val="000000" w:themeColor="text1"/>
                <w:lang w:val="en-US" w:eastAsia="zh-CN" w:bidi="ar"/>
                <w14:textFill>
                  <w14:solidFill>
                    <w14:schemeClr w14:val="tx1"/>
                  </w14:solidFill>
                </w14:textFill>
              </w:rPr>
              <w:t>2</w:t>
            </w:r>
            <w:r>
              <w:rPr>
                <w:rFonts w:hint="eastAsia"/>
                <w:color w:val="000000" w:themeColor="text1"/>
                <w:lang w:bidi="ar"/>
                <w14:textFill>
                  <w14:solidFill>
                    <w14:schemeClr w14:val="tx1"/>
                  </w14:solidFill>
                </w14:textFill>
              </w:rPr>
              <w:t>。</w:t>
            </w:r>
          </w:p>
          <w:p>
            <w:pPr>
              <w:adjustRightInd w:val="0"/>
              <w:snapToGrid w:val="0"/>
              <w:spacing w:line="240" w:lineRule="auto"/>
              <w:ind w:firstLine="0" w:firstLineChars="0"/>
              <w:jc w:val="center"/>
              <w:textAlignment w:val="baseline"/>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表7</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1</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 xml:space="preserve">  </w:t>
            </w:r>
            <w:r>
              <w:rPr>
                <w:b/>
                <w:bCs/>
                <w:color w:val="000000" w:themeColor="text1"/>
                <w:sz w:val="21"/>
                <w:szCs w:val="21"/>
                <w14:textFill>
                  <w14:solidFill>
                    <w14:schemeClr w14:val="tx1"/>
                  </w14:solidFill>
                </w14:textFill>
              </w:rPr>
              <w:t>地下水监测计划一览表</w:t>
            </w:r>
          </w:p>
          <w:tbl>
            <w:tblPr>
              <w:tblStyle w:val="28"/>
              <w:tblW w:w="8294"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667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61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r>
                    <w:rPr>
                      <w:bCs/>
                      <w:color w:val="000000" w:themeColor="text1"/>
                      <w:sz w:val="2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1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监测点位</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储罐区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1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与本项目关系</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本项目储罐区</w:t>
                  </w:r>
                  <w:r>
                    <w:rPr>
                      <w:rFonts w:hint="eastAsia"/>
                      <w:color w:val="000000" w:themeColor="text1"/>
                      <w:sz w:val="21"/>
                      <w:szCs w:val="21"/>
                      <w:lang w:bidi="ar"/>
                      <w14:textFill>
                        <w14:solidFill>
                          <w14:schemeClr w14:val="tx1"/>
                        </w14:solidFill>
                      </w14:textFill>
                    </w:rPr>
                    <w:t>地下水下游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61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功能</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地下水环境影响跟踪监测点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1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监测频率</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一年一次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17" w:type="dxa"/>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监测层位</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第四系潜水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1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监测因子</w:t>
                  </w:r>
                </w:p>
              </w:tc>
              <w:tc>
                <w:tcPr>
                  <w:tcW w:w="6677" w:type="dxa"/>
                  <w:vAlign w:val="center"/>
                </w:tcPr>
                <w:p>
                  <w:pPr>
                    <w:adjustRightInd w:val="0"/>
                    <w:snapToGrid w:val="0"/>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石油类</w:t>
                  </w:r>
                </w:p>
              </w:tc>
            </w:tr>
          </w:tbl>
          <w:p>
            <w:pPr>
              <w:ind w:firstLine="480"/>
              <w:rPr>
                <w:color w:val="000000" w:themeColor="text1"/>
                <w:lang w:bidi="ar"/>
                <w14:textFill>
                  <w14:solidFill>
                    <w14:schemeClr w14:val="tx1"/>
                  </w14:solidFill>
                </w14:textFill>
              </w:rPr>
            </w:pPr>
            <w:r>
              <w:rPr>
                <w:color w:val="000000" w:themeColor="text1"/>
                <w:lang w:bidi="ar"/>
                <w14:textFill>
                  <w14:solidFill>
                    <w14:schemeClr w14:val="tx1"/>
                  </w14:solidFill>
                </w14:textFill>
              </w:rPr>
              <w:t>对监测井要进行专门的维护和管理，包括以下几个方面：</w:t>
            </w:r>
          </w:p>
          <w:p>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a、</w:t>
            </w:r>
            <w:r>
              <w:rPr>
                <w:color w:val="000000" w:themeColor="text1"/>
                <w:lang w:bidi="ar"/>
                <w14:textFill>
                  <w14:solidFill>
                    <w14:schemeClr w14:val="tx1"/>
                  </w14:solidFill>
                </w14:textFill>
              </w:rPr>
              <w:t>每两年测量监测井井深，当监测井内淤积物淤没虑水管或井内水深小于1m时，应及时与水井所有人沟通，进行清淤或换井；</w:t>
            </w:r>
          </w:p>
          <w:p>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b、</w:t>
            </w:r>
            <w:r>
              <w:rPr>
                <w:color w:val="000000" w:themeColor="text1"/>
                <w:lang w:bidi="ar"/>
                <w14:textFill>
                  <w14:solidFill>
                    <w14:schemeClr w14:val="tx1"/>
                  </w14:solidFill>
                </w14:textFill>
              </w:rPr>
              <w:t>井口固定点标志和孔口保护帽等发生移位或损坏时，必须及时修复；</w:t>
            </w:r>
          </w:p>
          <w:p>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c、</w:t>
            </w:r>
            <w:r>
              <w:rPr>
                <w:color w:val="000000" w:themeColor="text1"/>
                <w:lang w:bidi="ar"/>
                <w14:textFill>
                  <w14:solidFill>
                    <w14:schemeClr w14:val="tx1"/>
                  </w14:solidFill>
                </w14:textFill>
              </w:rPr>
              <w:t>对监测井建立《基本情况表》，监测井的撤销、变更情况应记入《基本情况表》内，新换监测井应重新建立《基本情况表》；</w:t>
            </w:r>
          </w:p>
          <w:p>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d、</w:t>
            </w:r>
            <w:r>
              <w:rPr>
                <w:color w:val="000000" w:themeColor="text1"/>
                <w:lang w:bidi="ar"/>
                <w14:textFill>
                  <w14:solidFill>
                    <w14:schemeClr w14:val="tx1"/>
                  </w14:solidFill>
                </w14:textFill>
              </w:rPr>
              <w:t>监测结果按项目有关规定，及时建立档案，对于常规监测数据应该公开，特别是对本工程所在区域的居民公开；</w:t>
            </w:r>
          </w:p>
          <w:p>
            <w:pPr>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e、</w:t>
            </w:r>
            <w:r>
              <w:rPr>
                <w:color w:val="000000" w:themeColor="text1"/>
                <w:lang w:bidi="ar"/>
                <w14:textFill>
                  <w14:solidFill>
                    <w14:schemeClr w14:val="tx1"/>
                  </w14:solidFill>
                </w14:textFill>
              </w:rPr>
              <w:t>若发现水位异常，应加密监测，改为每天监测1次，并分析原因，及时采取应急措施。</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综上所述，在采取上述防渗、防腐处理措施后，项目对地下水基本不会造成明显影响。</w:t>
            </w:r>
          </w:p>
          <w:p>
            <w:pPr>
              <w:ind w:firstLine="480"/>
              <w:rPr>
                <w:rFonts w:hAnsi="宋体"/>
                <w:color w:val="000000" w:themeColor="text1"/>
                <w:kern w:val="0"/>
                <w14:textFill>
                  <w14:solidFill>
                    <w14:schemeClr w14:val="tx1"/>
                  </w14:solidFill>
                </w14:textFill>
              </w:rPr>
            </w:pP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综上所述，在采取上述防渗、防腐处理措施后，项目对地下水基本不会造成明显影响。</w:t>
            </w:r>
          </w:p>
          <w:p>
            <w:p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4、声环境影响分析</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（1）噪声源</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在营运期内，本项目噪声主要以加油机、来往车辆等产生的噪声，加油机及来往车辆噪声源强约为</w:t>
            </w:r>
            <w:r>
              <w:rPr>
                <w:rFonts w:hint="eastAsia" w:hAnsi="宋体"/>
                <w:color w:val="000000" w:themeColor="text1"/>
                <w:kern w:val="0"/>
                <w14:textFill>
                  <w14:solidFill>
                    <w14:schemeClr w14:val="tx1"/>
                  </w14:solidFill>
                </w14:textFill>
              </w:rPr>
              <w:t>60~90</w:t>
            </w:r>
            <w:r>
              <w:rPr>
                <w:rFonts w:hAnsi="宋体"/>
                <w:color w:val="000000" w:themeColor="text1"/>
                <w:kern w:val="0"/>
                <w14:textFill>
                  <w14:solidFill>
                    <w14:schemeClr w14:val="tx1"/>
                  </w14:solidFill>
                </w14:textFill>
              </w:rPr>
              <w:t>dB(A)</w:t>
            </w:r>
            <w:r>
              <w:rPr>
                <w:rFonts w:hint="eastAsia" w:hAnsi="宋体"/>
                <w:color w:val="000000" w:themeColor="text1"/>
                <w:kern w:val="0"/>
                <w14:textFill>
                  <w14:solidFill>
                    <w14:schemeClr w14:val="tx1"/>
                  </w14:solidFill>
                </w14:textFill>
              </w:rPr>
              <w:t>，项目主要噪声设备特征及治理措施见表7-</w:t>
            </w:r>
            <w:r>
              <w:rPr>
                <w:rFonts w:hAnsi="宋体"/>
                <w:color w:val="000000" w:themeColor="text1"/>
                <w:kern w:val="0"/>
                <w14:textFill>
                  <w14:solidFill>
                    <w14:schemeClr w14:val="tx1"/>
                  </w14:solidFill>
                </w14:textFill>
              </w:rPr>
              <w:t>1</w:t>
            </w:r>
            <w:r>
              <w:rPr>
                <w:rFonts w:hint="eastAsia" w:hAnsi="宋体"/>
                <w:color w:val="000000" w:themeColor="text1"/>
                <w:kern w:val="0"/>
                <w14:textFill>
                  <w14:solidFill>
                    <w14:schemeClr w14:val="tx1"/>
                  </w14:solidFill>
                </w14:textFill>
              </w:rPr>
              <w:t>2。</w:t>
            </w:r>
          </w:p>
          <w:p>
            <w:pPr>
              <w:autoSpaceDE w:val="0"/>
              <w:autoSpaceDN w:val="0"/>
              <w:adjustRightInd w:val="0"/>
              <w:spacing w:line="240" w:lineRule="auto"/>
              <w:ind w:firstLine="0" w:firstLineChars="0"/>
              <w:jc w:val="center"/>
              <w:rPr>
                <w:rFonts w:hAnsi="宋体"/>
                <w:b/>
                <w:color w:val="000000" w:themeColor="text1"/>
                <w:kern w:val="0"/>
                <w:sz w:val="21"/>
                <w:szCs w:val="21"/>
                <w14:textFill>
                  <w14:solidFill>
                    <w14:schemeClr w14:val="tx1"/>
                  </w14:solidFill>
                </w14:textFill>
              </w:rPr>
            </w:pPr>
            <w:r>
              <w:rPr>
                <w:rFonts w:hint="eastAsia" w:hAnsi="宋体"/>
                <w:b/>
                <w:color w:val="000000" w:themeColor="text1"/>
                <w:kern w:val="0"/>
                <w:sz w:val="21"/>
                <w:szCs w:val="21"/>
                <w14:textFill>
                  <w14:solidFill>
                    <w14:schemeClr w14:val="tx1"/>
                  </w14:solidFill>
                </w14:textFill>
              </w:rPr>
              <w:t>表7-</w:t>
            </w:r>
            <w:r>
              <w:rPr>
                <w:rFonts w:hAnsi="宋体"/>
                <w:b/>
                <w:color w:val="000000" w:themeColor="text1"/>
                <w:kern w:val="0"/>
                <w:sz w:val="21"/>
                <w:szCs w:val="21"/>
                <w14:textFill>
                  <w14:solidFill>
                    <w14:schemeClr w14:val="tx1"/>
                  </w14:solidFill>
                </w14:textFill>
              </w:rPr>
              <w:t>1</w:t>
            </w:r>
            <w:r>
              <w:rPr>
                <w:rFonts w:hint="eastAsia" w:hAnsi="宋体"/>
                <w:b/>
                <w:color w:val="000000" w:themeColor="text1"/>
                <w:kern w:val="0"/>
                <w:sz w:val="21"/>
                <w:szCs w:val="21"/>
                <w:lang w:val="en-US" w:eastAsia="zh-CN"/>
                <w14:textFill>
                  <w14:solidFill>
                    <w14:schemeClr w14:val="tx1"/>
                  </w14:solidFill>
                </w14:textFill>
              </w:rPr>
              <w:t>3</w:t>
            </w:r>
            <w:r>
              <w:rPr>
                <w:rFonts w:hint="eastAsia" w:hAnsi="宋体"/>
                <w:b/>
                <w:color w:val="000000" w:themeColor="text1"/>
                <w:kern w:val="0"/>
                <w:sz w:val="21"/>
                <w:szCs w:val="21"/>
                <w14:textFill>
                  <w14:solidFill>
                    <w14:schemeClr w14:val="tx1"/>
                  </w14:solidFill>
                </w14:textFill>
              </w:rPr>
              <w:t xml:space="preserve">  主要噪声源强及特征表</w:t>
            </w:r>
          </w:p>
          <w:tbl>
            <w:tblPr>
              <w:tblStyle w:val="29"/>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92"/>
              <w:gridCol w:w="1397"/>
              <w:gridCol w:w="349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7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序号</w:t>
                  </w:r>
                </w:p>
              </w:tc>
              <w:tc>
                <w:tcPr>
                  <w:tcW w:w="1292"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噪声源</w:t>
                  </w:r>
                </w:p>
              </w:tc>
              <w:tc>
                <w:tcPr>
                  <w:tcW w:w="1397"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声级值</w:t>
                  </w:r>
                  <w:r>
                    <w:rPr>
                      <w:rFonts w:hAnsi="宋体"/>
                      <w:color w:val="000000" w:themeColor="text1"/>
                      <w:kern w:val="0"/>
                      <w:sz w:val="21"/>
                      <w:szCs w:val="21"/>
                      <w14:textFill>
                        <w14:solidFill>
                          <w14:schemeClr w14:val="tx1"/>
                        </w14:solidFill>
                      </w14:textFill>
                    </w:rPr>
                    <w:t>dB(A)</w:t>
                  </w:r>
                </w:p>
              </w:tc>
              <w:tc>
                <w:tcPr>
                  <w:tcW w:w="3491"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采取的措施</w:t>
                  </w:r>
                </w:p>
              </w:tc>
              <w:tc>
                <w:tcPr>
                  <w:tcW w:w="1402" w:type="dxa"/>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治理后声级值</w:t>
                  </w:r>
                  <w:r>
                    <w:rPr>
                      <w:rFonts w:hAnsi="宋体"/>
                      <w:color w:val="000000" w:themeColor="text1"/>
                      <w:kern w:val="0"/>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7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1</w:t>
                  </w:r>
                </w:p>
              </w:tc>
              <w:tc>
                <w:tcPr>
                  <w:tcW w:w="1292" w:type="dxa"/>
                  <w:vAlign w:val="center"/>
                </w:tcPr>
                <w:p>
                  <w:pPr>
                    <w:pStyle w:val="3"/>
                    <w:adjustRightInd w:val="0"/>
                    <w:snapToGrid w:val="0"/>
                    <w:spacing w:line="336" w:lineRule="auto"/>
                    <w:ind w:firstLine="0" w:firstLineChars="0"/>
                    <w:jc w:val="center"/>
                    <w:rPr>
                      <w:rFonts w:ascii="Times New Roman"/>
                      <w:color w:val="000000" w:themeColor="text1"/>
                      <w:kern w:val="0"/>
                      <w:sz w:val="21"/>
                      <w:szCs w:val="21"/>
                      <w14:textFill>
                        <w14:solidFill>
                          <w14:schemeClr w14:val="tx1"/>
                        </w14:solidFill>
                      </w14:textFill>
                    </w:rPr>
                  </w:pPr>
                  <w:r>
                    <w:rPr>
                      <w:rFonts w:hint="eastAsia" w:ascii="Times New Roman"/>
                      <w:color w:val="000000" w:themeColor="text1"/>
                      <w:kern w:val="0"/>
                      <w:sz w:val="21"/>
                      <w:szCs w:val="21"/>
                      <w14:textFill>
                        <w14:solidFill>
                          <w14:schemeClr w14:val="tx1"/>
                        </w14:solidFill>
                      </w14:textFill>
                    </w:rPr>
                    <w:t>加油机</w:t>
                  </w:r>
                </w:p>
              </w:tc>
              <w:tc>
                <w:tcPr>
                  <w:tcW w:w="1397" w:type="dxa"/>
                  <w:vAlign w:val="center"/>
                </w:tcPr>
                <w:p>
                  <w:pPr>
                    <w:pStyle w:val="3"/>
                    <w:adjustRightInd w:val="0"/>
                    <w:snapToGrid w:val="0"/>
                    <w:spacing w:line="336" w:lineRule="auto"/>
                    <w:ind w:firstLine="0" w:firstLineChars="0"/>
                    <w:jc w:val="center"/>
                    <w:rPr>
                      <w:rFonts w:ascii="Times New Roman"/>
                      <w:color w:val="000000" w:themeColor="text1"/>
                      <w:kern w:val="0"/>
                      <w:sz w:val="21"/>
                      <w:szCs w:val="21"/>
                      <w14:textFill>
                        <w14:solidFill>
                          <w14:schemeClr w14:val="tx1"/>
                        </w14:solidFill>
                      </w14:textFill>
                    </w:rPr>
                  </w:pPr>
                  <w:r>
                    <w:rPr>
                      <w:rFonts w:ascii="Times New Roman"/>
                      <w:color w:val="000000" w:themeColor="text1"/>
                      <w:kern w:val="0"/>
                      <w:sz w:val="21"/>
                      <w:szCs w:val="21"/>
                      <w14:textFill>
                        <w14:solidFill>
                          <w14:schemeClr w14:val="tx1"/>
                        </w14:solidFill>
                      </w14:textFill>
                    </w:rPr>
                    <w:t>60</w:t>
                  </w:r>
                  <w:r>
                    <w:rPr>
                      <w:rFonts w:hint="eastAsia" w:ascii="Times New Roman"/>
                      <w:color w:val="000000" w:themeColor="text1"/>
                      <w:kern w:val="0"/>
                      <w:sz w:val="21"/>
                      <w:szCs w:val="21"/>
                      <w14:textFill>
                        <w14:solidFill>
                          <w14:schemeClr w14:val="tx1"/>
                        </w14:solidFill>
                      </w14:textFill>
                    </w:rPr>
                    <w:t>-</w:t>
                  </w:r>
                  <w:r>
                    <w:rPr>
                      <w:rFonts w:ascii="Times New Roman"/>
                      <w:color w:val="000000" w:themeColor="text1"/>
                      <w:kern w:val="0"/>
                      <w:sz w:val="21"/>
                      <w:szCs w:val="21"/>
                      <w14:textFill>
                        <w14:solidFill>
                          <w14:schemeClr w14:val="tx1"/>
                        </w14:solidFill>
                      </w14:textFill>
                    </w:rPr>
                    <w:t>80</w:t>
                  </w:r>
                </w:p>
              </w:tc>
              <w:tc>
                <w:tcPr>
                  <w:tcW w:w="3491"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底部加固，定期检查更换老旧设备</w:t>
                  </w:r>
                </w:p>
              </w:tc>
              <w:tc>
                <w:tcPr>
                  <w:tcW w:w="1402" w:type="dxa"/>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76"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2</w:t>
                  </w:r>
                </w:p>
              </w:tc>
              <w:tc>
                <w:tcPr>
                  <w:tcW w:w="1292" w:type="dxa"/>
                  <w:vAlign w:val="center"/>
                </w:tcPr>
                <w:p>
                  <w:pPr>
                    <w:pStyle w:val="3"/>
                    <w:adjustRightInd w:val="0"/>
                    <w:snapToGrid w:val="0"/>
                    <w:spacing w:line="336" w:lineRule="auto"/>
                    <w:ind w:firstLine="0" w:firstLineChars="0"/>
                    <w:jc w:val="center"/>
                    <w:rPr>
                      <w:rFonts w:ascii="Times New Roman"/>
                      <w:color w:val="000000" w:themeColor="text1"/>
                      <w:kern w:val="0"/>
                      <w:sz w:val="21"/>
                      <w:szCs w:val="21"/>
                      <w14:textFill>
                        <w14:solidFill>
                          <w14:schemeClr w14:val="tx1"/>
                        </w14:solidFill>
                      </w14:textFill>
                    </w:rPr>
                  </w:pPr>
                  <w:r>
                    <w:rPr>
                      <w:rFonts w:hint="eastAsia" w:ascii="Times New Roman"/>
                      <w:color w:val="000000" w:themeColor="text1"/>
                      <w:kern w:val="0"/>
                      <w:sz w:val="21"/>
                      <w:szCs w:val="21"/>
                      <w14:textFill>
                        <w14:solidFill>
                          <w14:schemeClr w14:val="tx1"/>
                        </w14:solidFill>
                      </w14:textFill>
                    </w:rPr>
                    <w:t>车辆</w:t>
                  </w:r>
                </w:p>
              </w:tc>
              <w:tc>
                <w:tcPr>
                  <w:tcW w:w="1397" w:type="dxa"/>
                  <w:vAlign w:val="center"/>
                </w:tcPr>
                <w:p>
                  <w:pPr>
                    <w:pStyle w:val="3"/>
                    <w:adjustRightInd w:val="0"/>
                    <w:snapToGrid w:val="0"/>
                    <w:spacing w:line="336" w:lineRule="auto"/>
                    <w:ind w:firstLine="0" w:firstLineChars="0"/>
                    <w:jc w:val="center"/>
                    <w:rPr>
                      <w:rFonts w:ascii="Times New Roman"/>
                      <w:color w:val="000000" w:themeColor="text1"/>
                      <w:kern w:val="0"/>
                      <w:sz w:val="21"/>
                      <w:szCs w:val="21"/>
                      <w14:textFill>
                        <w14:solidFill>
                          <w14:schemeClr w14:val="tx1"/>
                        </w14:solidFill>
                      </w14:textFill>
                    </w:rPr>
                  </w:pPr>
                  <w:r>
                    <w:rPr>
                      <w:rFonts w:hint="eastAsia" w:ascii="Times New Roman"/>
                      <w:color w:val="000000" w:themeColor="text1"/>
                      <w:kern w:val="0"/>
                      <w:sz w:val="21"/>
                      <w:szCs w:val="21"/>
                      <w14:textFill>
                        <w14:solidFill>
                          <w14:schemeClr w14:val="tx1"/>
                        </w14:solidFill>
                      </w14:textFill>
                    </w:rPr>
                    <w:t>60~90</w:t>
                  </w:r>
                </w:p>
              </w:tc>
              <w:tc>
                <w:tcPr>
                  <w:tcW w:w="3491" w:type="dxa"/>
                  <w:vAlign w:val="center"/>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加强管理，禁止鸣笛，保持道路畅通</w:t>
                  </w:r>
                </w:p>
              </w:tc>
              <w:tc>
                <w:tcPr>
                  <w:tcW w:w="1402" w:type="dxa"/>
                </w:tcPr>
                <w:p>
                  <w:pPr>
                    <w:autoSpaceDE w:val="0"/>
                    <w:autoSpaceDN w:val="0"/>
                    <w:adjustRightInd w:val="0"/>
                    <w:spacing w:line="240" w:lineRule="auto"/>
                    <w:ind w:firstLine="0" w:firstLineChars="0"/>
                    <w:jc w:val="center"/>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60</w:t>
                  </w:r>
                </w:p>
              </w:tc>
            </w:tr>
          </w:tbl>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（2）声环境影响预测</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A．点源传播衰减模式</w:t>
            </w:r>
            <w:r>
              <w:rPr>
                <w:rFonts w:hint="eastAsia" w:hAnsi="宋体"/>
                <w:color w:val="000000" w:themeColor="text1"/>
                <w:kern w:val="0"/>
                <w14:textFill>
                  <w14:solidFill>
                    <w14:schemeClr w14:val="tx1"/>
                  </w14:solidFill>
                </w14:textFill>
              </w:rPr>
              <w:t>：</w:t>
            </w:r>
          </w:p>
          <w:p>
            <w:pPr>
              <w:ind w:firstLine="0" w:firstLineChars="0"/>
              <w:jc w:val="center"/>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object>
                <v:shape id="_x0000_i1026" o:spt="75" type="#_x0000_t75" style="height:34.6pt;width:106.6pt;" o:ole="t" filled="f" o:preferrelative="t" stroked="f" coordsize="21600,21600">
                  <v:path/>
                  <v:fill on="f" focussize="0,0"/>
                  <v:stroke on="f" joinstyle="miter"/>
                  <v:imagedata r:id="rId30" o:title=""/>
                  <o:lock v:ext="edit" aspectratio="t"/>
                  <w10:wrap type="none"/>
                  <w10:anchorlock/>
                </v:shape>
                <o:OLEObject Type="Embed" ProgID="Equation.3" ShapeID="_x0000_i1026" DrawAspect="Content" ObjectID="_1468075726" r:id="rId29">
                  <o:LockedField>false</o:LockedField>
                </o:OLEObject>
              </w:object>
            </w:r>
          </w:p>
          <w:p>
            <w:pPr>
              <w:autoSpaceDE w:val="0"/>
              <w:autoSpaceDN w:val="0"/>
              <w:ind w:left="420"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式中：L</w:t>
            </w:r>
            <w:r>
              <w:rPr>
                <w:rFonts w:hAnsi="宋体"/>
                <w:color w:val="000000" w:themeColor="text1"/>
                <w:kern w:val="0"/>
                <w:vertAlign w:val="subscript"/>
                <w14:textFill>
                  <w14:solidFill>
                    <w14:schemeClr w14:val="tx1"/>
                  </w14:solidFill>
                </w14:textFill>
              </w:rPr>
              <w:t>P</w:t>
            </w:r>
            <w:r>
              <w:rPr>
                <w:rFonts w:hAnsi="宋体"/>
                <w:color w:val="000000" w:themeColor="text1"/>
                <w:kern w:val="0"/>
                <w14:textFill>
                  <w14:solidFill>
                    <w14:schemeClr w14:val="tx1"/>
                  </w14:solidFill>
                </w14:textFill>
              </w:rPr>
              <w:t>—点声源在预测点产生的声压级，dB（A）；</w:t>
            </w:r>
          </w:p>
          <w:p>
            <w:pPr>
              <w:autoSpaceDE w:val="0"/>
              <w:autoSpaceDN w:val="0"/>
              <w:ind w:left="480" w:leftChars="200" w:firstLine="720" w:firstLineChars="30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L</w:t>
            </w:r>
            <w:r>
              <w:rPr>
                <w:rFonts w:hAnsi="宋体"/>
                <w:color w:val="000000" w:themeColor="text1"/>
                <w:kern w:val="0"/>
                <w:vertAlign w:val="subscript"/>
                <w14:textFill>
                  <w14:solidFill>
                    <w14:schemeClr w14:val="tx1"/>
                  </w14:solidFill>
                </w14:textFill>
              </w:rPr>
              <w:t>P0</w:t>
            </w:r>
            <w:r>
              <w:rPr>
                <w:rFonts w:hAnsi="宋体"/>
                <w:color w:val="000000" w:themeColor="text1"/>
                <w:kern w:val="0"/>
                <w14:textFill>
                  <w14:solidFill>
                    <w14:schemeClr w14:val="tx1"/>
                  </w14:solidFill>
                </w14:textFill>
              </w:rPr>
              <w:t>—点声源在参考位置r</w:t>
            </w:r>
            <w:r>
              <w:rPr>
                <w:rFonts w:hAnsi="宋体"/>
                <w:color w:val="000000" w:themeColor="text1"/>
                <w:kern w:val="0"/>
                <w:vertAlign w:val="subscript"/>
                <w14:textFill>
                  <w14:solidFill>
                    <w14:schemeClr w14:val="tx1"/>
                  </w14:solidFill>
                </w14:textFill>
              </w:rPr>
              <w:t>0</w:t>
            </w:r>
            <w:r>
              <w:rPr>
                <w:rFonts w:hAnsi="宋体"/>
                <w:color w:val="000000" w:themeColor="text1"/>
                <w:kern w:val="0"/>
                <w14:textFill>
                  <w14:solidFill>
                    <w14:schemeClr w14:val="tx1"/>
                  </w14:solidFill>
                </w14:textFill>
              </w:rPr>
              <w:t>处的声压级，dB（A）；</w:t>
            </w:r>
          </w:p>
          <w:p>
            <w:pPr>
              <w:autoSpaceDE w:val="0"/>
              <w:autoSpaceDN w:val="0"/>
              <w:ind w:left="480" w:leftChars="200" w:firstLine="720" w:firstLineChars="30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r——预测点距声源的距离，m；</w:t>
            </w:r>
          </w:p>
          <w:p>
            <w:pPr>
              <w:autoSpaceDE w:val="0"/>
              <w:autoSpaceDN w:val="0"/>
              <w:ind w:left="480" w:leftChars="200" w:firstLine="720" w:firstLineChars="30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r</w:t>
            </w:r>
            <w:r>
              <w:rPr>
                <w:rFonts w:hAnsi="宋体"/>
                <w:color w:val="000000" w:themeColor="text1"/>
                <w:kern w:val="0"/>
                <w:vertAlign w:val="subscript"/>
                <w14:textFill>
                  <w14:solidFill>
                    <w14:schemeClr w14:val="tx1"/>
                  </w14:solidFill>
                </w14:textFill>
              </w:rPr>
              <w:t>0</w:t>
            </w:r>
            <w:r>
              <w:rPr>
                <w:rFonts w:hAnsi="宋体"/>
                <w:color w:val="000000" w:themeColor="text1"/>
                <w:kern w:val="0"/>
                <w14:textFill>
                  <w14:solidFill>
                    <w14:schemeClr w14:val="tx1"/>
                  </w14:solidFill>
                </w14:textFill>
              </w:rPr>
              <w:t>——参考位置距声源的距离，1m。</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B．多声源在某一点的影响叠加模式：</w:t>
            </w:r>
          </w:p>
          <w:p>
            <w:pPr>
              <w:autoSpaceDE w:val="0"/>
              <w:autoSpaceDN w:val="0"/>
              <w:ind w:firstLine="1080" w:firstLineChars="45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object>
                <v:shape id="_x0000_i1027" o:spt="75" type="#_x0000_t75" style="height:34.6pt;width:106.6pt;" o:ole="t" filled="f" o:preferrelative="t" stroked="f" coordsize="21600,21600">
                  <v:path/>
                  <v:fill on="f" focussize="0,0"/>
                  <v:stroke on="f" joinstyle="miter"/>
                  <v:imagedata r:id="rId32" o:title=""/>
                  <o:lock v:ext="edit" aspectratio="t"/>
                  <w10:wrap type="none"/>
                  <w10:anchorlock/>
                </v:shape>
                <o:OLEObject Type="Embed" ProgID="Equation.3" ShapeID="_x0000_i1027" DrawAspect="Content" ObjectID="_1468075727" r:id="rId31">
                  <o:LockedField>false</o:LockedField>
                </o:OLEObject>
              </w:object>
            </w:r>
          </w:p>
          <w:p>
            <w:pPr>
              <w:autoSpaceDE w:val="0"/>
              <w:autoSpaceDN w:val="0"/>
              <w:ind w:left="420"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式中：Lpj —j点处的总声压级，dB（A）；</w:t>
            </w:r>
          </w:p>
          <w:p>
            <w:pPr>
              <w:autoSpaceDE w:val="0"/>
              <w:autoSpaceDN w:val="0"/>
              <w:ind w:left="480" w:leftChars="200" w:firstLine="720" w:firstLineChars="30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n—噪声源个数。</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由于本项目已经实施，经过实测，项目</w:t>
            </w:r>
            <w:r>
              <w:rPr>
                <w:rFonts w:hAnsi="宋体"/>
                <w:color w:val="000000" w:themeColor="text1"/>
                <w:kern w:val="0"/>
                <w14:textFill>
                  <w14:solidFill>
                    <w14:schemeClr w14:val="tx1"/>
                  </w14:solidFill>
                </w14:textFill>
              </w:rPr>
              <w:t>声源在四周厂界</w:t>
            </w:r>
            <w:r>
              <w:rPr>
                <w:rFonts w:hint="eastAsia" w:hAnsi="宋体"/>
                <w:color w:val="000000" w:themeColor="text1"/>
                <w:kern w:val="0"/>
                <w14:textFill>
                  <w14:solidFill>
                    <w14:schemeClr w14:val="tx1"/>
                  </w14:solidFill>
                </w14:textFill>
              </w:rPr>
              <w:t>（1m）</w:t>
            </w:r>
            <w:r>
              <w:rPr>
                <w:rFonts w:hAnsi="宋体"/>
                <w:color w:val="000000" w:themeColor="text1"/>
                <w:kern w:val="0"/>
                <w14:textFill>
                  <w14:solidFill>
                    <w14:schemeClr w14:val="tx1"/>
                  </w14:solidFill>
                </w14:textFill>
              </w:rPr>
              <w:t>处的噪声满足</w:t>
            </w:r>
            <w:r>
              <w:rPr>
                <w:rFonts w:hint="eastAsia" w:hAnsi="宋体"/>
                <w:color w:val="000000" w:themeColor="text1"/>
                <w:kern w:val="0"/>
                <w14:textFill>
                  <w14:solidFill>
                    <w14:schemeClr w14:val="tx1"/>
                  </w14:solidFill>
                </w14:textFill>
              </w:rPr>
              <w:t>《工业企业厂界环境噪声排放标准》（GB12348-2008）中4类和2类排放标准。</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评价要求项目采取以下措施降低噪声影响：</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①选用低噪声设备；提高机械设备装配精度，加强维护和检修，提高润滑度，减少机械振动和摩擦产生的噪声，防止共振；</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②加强加油车辆的引导管理，限速进站加油，禁止鸣笛。</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③在站区四周布置绿化带，可有效减轻噪声对周围环境的影响。</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在采取一系列降噪措施后，可有效减少项目运行设备的噪声源强，对周边声环境影响较小。</w:t>
            </w:r>
          </w:p>
          <w:p>
            <w:p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5、土壤环境影响</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（1）土壤环境影响评价项目类别</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根据建设项目对土壤环境影响的程度，对照《环境影响评价技术导则 土壤环境（试行）》（HJ964-2018）附录A土壤环境影响评价类别判断，加油站为</w:t>
            </w:r>
            <w:r>
              <w:rPr>
                <w:rFonts w:hint="eastAsia" w:ascii="宋体" w:hAnsi="宋体"/>
                <w:color w:val="000000" w:themeColor="text1"/>
                <w:kern w:val="0"/>
                <w14:textFill>
                  <w14:solidFill>
                    <w14:schemeClr w14:val="tx1"/>
                  </w14:solidFill>
                </w14:textFill>
              </w:rPr>
              <w:t>Ⅲ类建设项目</w:t>
            </w:r>
            <w:r>
              <w:rPr>
                <w:rFonts w:hint="eastAsia" w:hAnsi="宋体"/>
                <w:color w:val="000000" w:themeColor="text1"/>
                <w:kern w:val="0"/>
                <w14:textFill>
                  <w14:solidFill>
                    <w14:schemeClr w14:val="tx1"/>
                  </w14:solidFill>
                </w14:textFill>
              </w:rPr>
              <w:t>。</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（2）土壤环境敏感程度</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该建设项目为污染影响性，建设项目的土壤环境敏感程度分为敏感、较敏感、不敏感三级，项目位于陕西省西咸新区沣东新城沣东镇北槐村，北侧正对世纪大道，西侧为世纪锦城小区，东侧为洗车店，北侧为汽车修理厂，南侧为三类民居。对照污染影响性型敏感程度分级表，该项目土壤环境敏感程度为：敏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（3）土壤环境影响工作等级</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本项目涉及土壤大气沉降的污染物主要为非甲烷总烃。在加油、储存、卸油工序中排放的污染物均采取了相应的污染防治措施处理。根据《环境影响评价技术导则 大气环境》（HJ2.2-2018）中的推荐的估算模型 AERSCREEN 进行筛选计算，加油站无组织排放的非甲烷总烃下风向最大质量浓度为</w:t>
            </w:r>
            <w:r>
              <w:rPr>
                <w:rFonts w:hint="eastAsia" w:hAnsi="宋体"/>
                <w:color w:val="000000" w:themeColor="text1"/>
                <w:kern w:val="0"/>
                <w14:textFill>
                  <w14:solidFill>
                    <w14:schemeClr w14:val="tx1"/>
                  </w14:solidFill>
                </w14:textFill>
              </w:rPr>
              <w:t xml:space="preserve"> 0.</w:t>
            </w:r>
            <w:r>
              <w:rPr>
                <w:rFonts w:hint="eastAsia" w:hAnsi="宋体"/>
                <w:color w:val="000000" w:themeColor="text1"/>
                <w:kern w:val="0"/>
                <w:lang w:val="en-US" w:eastAsia="zh-CN"/>
                <w14:textFill>
                  <w14:solidFill>
                    <w14:schemeClr w14:val="tx1"/>
                  </w14:solidFill>
                </w14:textFill>
              </w:rPr>
              <w:t>159</w:t>
            </w:r>
            <w:r>
              <w:rPr>
                <w:rFonts w:hint="eastAsia" w:hAnsi="宋体"/>
                <w:color w:val="000000" w:themeColor="text1"/>
                <w:kern w:val="0"/>
                <w14:textFill>
                  <w14:solidFill>
                    <w14:schemeClr w14:val="tx1"/>
                  </w14:solidFill>
                </w14:textFill>
              </w:rPr>
              <w:t>mg/m</w:t>
            </w:r>
            <w:r>
              <w:rPr>
                <w:rFonts w:hint="eastAsia" w:hAnsi="宋体"/>
                <w:color w:val="000000" w:themeColor="text1"/>
                <w:kern w:val="0"/>
                <w:vertAlign w:val="superscript"/>
                <w14:textFill>
                  <w14:solidFill>
                    <w14:schemeClr w14:val="tx1"/>
                  </w14:solidFill>
                </w14:textFill>
              </w:rPr>
              <w:t>3</w:t>
            </w:r>
            <w:r>
              <w:rPr>
                <w:rFonts w:hint="eastAsia" w:hAnsi="宋体"/>
                <w:color w:val="000000" w:themeColor="text1"/>
                <w:kern w:val="0"/>
                <w14:textFill>
                  <w14:solidFill>
                    <w14:schemeClr w14:val="tx1"/>
                  </w14:solidFill>
                </w14:textFill>
              </w:rPr>
              <w:t>，占标率</w:t>
            </w:r>
            <w:r>
              <w:rPr>
                <w:rFonts w:hint="eastAsia" w:hAnsi="宋体"/>
                <w:color w:val="000000" w:themeColor="text1"/>
                <w:kern w:val="0"/>
                <w:lang w:val="en-US" w:eastAsia="zh-CN"/>
                <w14:textFill>
                  <w14:solidFill>
                    <w14:schemeClr w14:val="tx1"/>
                  </w14:solidFill>
                </w14:textFill>
              </w:rPr>
              <w:t>为7.97</w:t>
            </w:r>
            <w:r>
              <w:rPr>
                <w:rFonts w:hint="eastAsia" w:hAnsi="宋体"/>
                <w:color w:val="000000" w:themeColor="text1"/>
                <w:kern w:val="0"/>
                <w14:textFill>
                  <w14:solidFill>
                    <w14:schemeClr w14:val="tx1"/>
                  </w14:solidFill>
                </w14:textFill>
              </w:rPr>
              <w:t>%</w:t>
            </w:r>
            <w:r>
              <w:rPr>
                <w:rFonts w:hint="eastAsia" w:hAnsi="宋体"/>
                <w:color w:val="000000" w:themeColor="text1"/>
                <w:kern w:val="0"/>
                <w:lang w:eastAsia="zh-CN"/>
                <w14:textFill>
                  <w14:solidFill>
                    <w14:schemeClr w14:val="tx1"/>
                  </w14:solidFill>
                </w14:textFill>
              </w:rPr>
              <w:t>，</w:t>
            </w:r>
            <w:r>
              <w:rPr>
                <w:rFonts w:hint="eastAsia" w:hAnsi="宋体"/>
                <w:color w:val="000000" w:themeColor="text1"/>
                <w:kern w:val="0"/>
                <w14:textFill>
                  <w14:solidFill>
                    <w14:schemeClr w14:val="tx1"/>
                  </w14:solidFill>
                </w14:textFill>
              </w:rPr>
              <w:t>下风向最大质量浓度对应距离为</w:t>
            </w:r>
            <w:r>
              <w:rPr>
                <w:rFonts w:hint="eastAsia" w:hAnsi="宋体"/>
                <w:color w:val="000000" w:themeColor="text1"/>
                <w:kern w:val="0"/>
                <w:lang w:val="en-US" w:eastAsia="zh-CN"/>
                <w14:textFill>
                  <w14:solidFill>
                    <w14:schemeClr w14:val="tx1"/>
                  </w14:solidFill>
                </w14:textFill>
              </w:rPr>
              <w:t>46</w:t>
            </w:r>
            <w:r>
              <w:rPr>
                <w:rFonts w:hint="eastAsia" w:hAnsi="宋体"/>
                <w:color w:val="000000" w:themeColor="text1"/>
                <w:kern w:val="0"/>
                <w14:textFill>
                  <w14:solidFill>
                    <w14:schemeClr w14:val="tx1"/>
                  </w14:solidFill>
                </w14:textFill>
              </w:rPr>
              <w:t>m</w:t>
            </w:r>
            <w:r>
              <w:rPr>
                <w:rFonts w:hint="eastAsia" w:hAnsi="宋体"/>
                <w:color w:val="000000" w:themeColor="text1"/>
                <w:kern w:val="0"/>
                <w14:textFill>
                  <w14:solidFill>
                    <w14:schemeClr w14:val="tx1"/>
                  </w14:solidFill>
                </w14:textFill>
              </w:rPr>
              <w:t>；本项目涉及土壤大气沉降的污染物主要为非甲烷总烃，无重大污染，不涉及重金属污染因子，故本次评价不考虑大气沉降对土壤环境的影响途径；生活废水排入化粪池定期清掏不外派，因此不存在大气沉降影响</w:t>
            </w:r>
            <w:r>
              <w:rPr>
                <w:color w:val="000000" w:themeColor="text1"/>
                <w14:textFill>
                  <w14:solidFill>
                    <w14:schemeClr w14:val="tx1"/>
                  </w14:solidFill>
                </w14:textFill>
              </w:rPr>
              <w:t>及地面漫流影响。本次环评要求危险废物统一收集，暂存于危废暂存间，交由有资质单位处置。厂区厂房、防渗系统（各</w:t>
            </w:r>
            <w:r>
              <w:rPr>
                <w:rFonts w:hint="eastAsia" w:hAnsi="宋体"/>
                <w:color w:val="000000" w:themeColor="text1"/>
                <w:kern w:val="0"/>
                <w14:textFill>
                  <w14:solidFill>
                    <w14:schemeClr w14:val="tx1"/>
                  </w14:solidFill>
                </w14:textFill>
              </w:rPr>
              <w:t>分区厂区地面）等的建设均应严格按照《危险废物贮存污染控制标准》（GB18597-2001）及 2013 年修改单标准等相关规范要求进行建设，做好防酸、防渗、防风、防雨、防流失等相应措施，并且每年进行防渗检漏。同时，上述危险废物的转移应严格按危险废物转移联单手续进行，按要求进行防渗处理后，本项目不存在垂直入渗影响。根据分析，本项目对土壤环境影响轻微。</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项目为加油站项目，</w:t>
            </w:r>
            <w:r>
              <w:rPr>
                <w:rFonts w:hint="eastAsia"/>
                <w:color w:val="000000" w:themeColor="text1"/>
                <w14:textFill>
                  <w14:solidFill>
                    <w14:schemeClr w14:val="tx1"/>
                  </w14:solidFill>
                </w14:textFill>
              </w:rPr>
              <w:t>占地</w:t>
            </w:r>
            <w:r>
              <w:rPr>
                <w:color w:val="000000" w:themeColor="text1"/>
                <w14:textFill>
                  <w14:solidFill>
                    <w14:schemeClr w14:val="tx1"/>
                  </w14:solidFill>
                </w14:textFill>
              </w:rPr>
              <w:t>规模为小型（≤5hm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属于《环境影响评价技术导则土壤环境》（HJ964-2018）附录A中的加油站类别，项目类别为Ⅲ类</w:t>
            </w:r>
            <w:r>
              <w:rPr>
                <w:rFonts w:hint="eastAsia" w:hAnsi="宋体"/>
                <w:color w:val="000000" w:themeColor="text1"/>
                <w:kern w:val="0"/>
                <w14:textFill>
                  <w14:solidFill>
                    <w14:schemeClr w14:val="tx1"/>
                  </w14:solidFill>
                </w14:textFill>
              </w:rPr>
              <w:t xml:space="preserve"> 。</w:t>
            </w:r>
          </w:p>
          <w:p>
            <w:pPr>
              <w:pStyle w:val="88"/>
              <w:spacing w:before="161"/>
              <w:ind w:left="499"/>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w:t>
            </w:r>
            <w:r>
              <w:rPr>
                <w:rFonts w:hint="eastAsia" w:ascii="Times New Roman" w:eastAsia="宋体"/>
                <w:color w:val="000000" w:themeColor="text1"/>
                <w:sz w:val="24"/>
                <w:lang w:eastAsia="zh-CN"/>
                <w14:textFill>
                  <w14:solidFill>
                    <w14:schemeClr w14:val="tx1"/>
                  </w14:solidFill>
                </w14:textFill>
              </w:rPr>
              <w:t>4</w:t>
            </w:r>
            <w:r>
              <w:rPr>
                <w:color w:val="000000" w:themeColor="text1"/>
                <w:sz w:val="24"/>
                <w:lang w:eastAsia="zh-CN"/>
                <w14:textFill>
                  <w14:solidFill>
                    <w14:schemeClr w14:val="tx1"/>
                  </w14:solidFill>
                </w14:textFill>
              </w:rPr>
              <w:t>）土壤环境自查表</w:t>
            </w:r>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 xml:space="preserve">本项目土壤环境影响评价自查表见表 </w:t>
            </w:r>
            <w:r>
              <w:rPr>
                <w:rFonts w:eastAsia="Times New Roman"/>
                <w:color w:val="000000" w:themeColor="text1"/>
                <w14:textFill>
                  <w14:solidFill>
                    <w14:schemeClr w14:val="tx1"/>
                  </w14:solidFill>
                </w14:textFill>
              </w:rPr>
              <w:t>7-</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p>
          <w:p>
            <w:pPr>
              <w:spacing w:line="240" w:lineRule="auto"/>
              <w:ind w:firstLine="0" w:firstLineChars="0"/>
              <w:jc w:val="center"/>
              <w:rPr>
                <w:color w:val="000000" w:themeColor="text1"/>
                <w14:textFill>
                  <w14:solidFill>
                    <w14:schemeClr w14:val="tx1"/>
                  </w14:solidFill>
                </w14:textFill>
              </w:rPr>
            </w:pPr>
            <w:r>
              <w:rPr>
                <w:b/>
                <w:color w:val="000000" w:themeColor="text1"/>
                <w:sz w:val="21"/>
                <w:szCs w:val="21"/>
                <w14:textFill>
                  <w14:solidFill>
                    <w14:schemeClr w14:val="tx1"/>
                  </w14:solidFill>
                </w14:textFill>
              </w:rPr>
              <w:t xml:space="preserve">表 </w:t>
            </w:r>
            <w:r>
              <w:rPr>
                <w:rFonts w:eastAsia="Times New Roman"/>
                <w:b/>
                <w:color w:val="000000" w:themeColor="text1"/>
                <w:sz w:val="21"/>
                <w:szCs w:val="21"/>
                <w14:textFill>
                  <w14:solidFill>
                    <w14:schemeClr w14:val="tx1"/>
                  </w14:solidFill>
                </w14:textFill>
              </w:rPr>
              <w:t>7-</w:t>
            </w:r>
            <w:r>
              <w:rPr>
                <w:rFonts w:hint="eastAsia"/>
                <w:b/>
                <w:color w:val="000000" w:themeColor="text1"/>
                <w:sz w:val="21"/>
                <w:szCs w:val="21"/>
                <w14:textFill>
                  <w14:solidFill>
                    <w14:schemeClr w14:val="tx1"/>
                  </w14:solidFill>
                </w14:textFill>
              </w:rPr>
              <w:t>1</w:t>
            </w:r>
            <w:r>
              <w:rPr>
                <w:rFonts w:hint="eastAsia"/>
                <w:b/>
                <w:color w:val="000000" w:themeColor="text1"/>
                <w:sz w:val="21"/>
                <w:szCs w:val="21"/>
                <w:lang w:val="en-US" w:eastAsia="zh-CN"/>
                <w14:textFill>
                  <w14:solidFill>
                    <w14:schemeClr w14:val="tx1"/>
                  </w14:solidFill>
                </w14:textFill>
              </w:rPr>
              <w:t>4</w:t>
            </w:r>
            <w:r>
              <w:rPr>
                <w:rFonts w:eastAsia="Times New Roman"/>
                <w:b/>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土壤环境影响评价自查表</w:t>
            </w:r>
          </w:p>
          <w:tbl>
            <w:tblPr>
              <w:tblStyle w:val="28"/>
              <w:tblpPr w:leftFromText="180" w:rightFromText="180" w:vertAnchor="text" w:horzAnchor="page" w:tblpXSpec="center" w:tblpY="423"/>
              <w:tblOverlap w:val="never"/>
              <w:tblW w:w="8358" w:type="dxa"/>
              <w:jc w:val="center"/>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2228"/>
              <w:gridCol w:w="4693"/>
              <w:gridCol w:w="958"/>
            </w:tblGrid>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2707" w:type="dxa"/>
                  <w:gridSpan w:val="2"/>
                  <w:tcBorders>
                    <w:tl2br w:val="nil"/>
                    <w:tr2bl w:val="nil"/>
                  </w:tcBorders>
                </w:tcPr>
                <w:p>
                  <w:pPr>
                    <w:pStyle w:val="88"/>
                    <w:spacing w:before="62"/>
                    <w:ind w:right="98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工作内容</w:t>
                  </w:r>
                </w:p>
              </w:tc>
              <w:tc>
                <w:tcPr>
                  <w:tcW w:w="4693" w:type="dxa"/>
                  <w:tcBorders>
                    <w:tl2br w:val="nil"/>
                    <w:tr2bl w:val="nil"/>
                  </w:tcBorders>
                </w:tcPr>
                <w:p>
                  <w:pPr>
                    <w:pStyle w:val="88"/>
                    <w:spacing w:before="62"/>
                    <w:ind w:left="53" w:right="1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完成情况</w:t>
                  </w:r>
                </w:p>
              </w:tc>
              <w:tc>
                <w:tcPr>
                  <w:tcW w:w="958" w:type="dxa"/>
                  <w:tcBorders>
                    <w:tl2br w:val="nil"/>
                    <w:tr2bl w:val="nil"/>
                  </w:tcBorders>
                </w:tcPr>
                <w:p>
                  <w:pPr>
                    <w:pStyle w:val="88"/>
                    <w:spacing w:before="62"/>
                    <w:ind w:right="255" w:firstLine="210" w:firstLineChars="10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备注</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479" w:type="dxa"/>
                  <w:vMerge w:val="restart"/>
                  <w:tcBorders>
                    <w:tl2br w:val="nil"/>
                    <w:tr2bl w:val="nil"/>
                  </w:tcBorders>
                </w:tcPr>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spacing w:before="4"/>
                    <w:rPr>
                      <w:color w:val="000000" w:themeColor="text1"/>
                      <w:sz w:val="17"/>
                      <w14:textFill>
                        <w14:solidFill>
                          <w14:schemeClr w14:val="tx1"/>
                        </w14:solidFill>
                      </w14:textFill>
                    </w:rPr>
                  </w:pPr>
                </w:p>
                <w:p>
                  <w:pPr>
                    <w:pStyle w:val="88"/>
                    <w:spacing w:line="278" w:lineRule="auto"/>
                    <w:ind w:left="158" w:right="118"/>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影响识别</w:t>
                  </w:r>
                </w:p>
              </w:tc>
              <w:tc>
                <w:tcPr>
                  <w:tcW w:w="2228" w:type="dxa"/>
                  <w:tcBorders>
                    <w:tl2br w:val="nil"/>
                    <w:tr2bl w:val="nil"/>
                  </w:tcBorders>
                </w:tcPr>
                <w:p>
                  <w:pPr>
                    <w:pStyle w:val="88"/>
                    <w:spacing w:before="63"/>
                    <w:ind w:left="141"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影响类型</w:t>
                  </w:r>
                </w:p>
              </w:tc>
              <w:tc>
                <w:tcPr>
                  <w:tcW w:w="4693" w:type="dxa"/>
                  <w:tcBorders>
                    <w:tl2br w:val="nil"/>
                    <w:tr2bl w:val="nil"/>
                  </w:tcBorders>
                </w:tcPr>
                <w:p>
                  <w:pPr>
                    <w:pStyle w:val="88"/>
                    <w:spacing w:before="63"/>
                    <w:ind w:left="57" w:right="17"/>
                    <w:jc w:val="center"/>
                    <w:rPr>
                      <w:rFonts w:ascii="Times New Roman" w:hAnsi="Times New Roman" w:eastAsia="Times New Roman"/>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污染影响型</w:t>
                  </w:r>
                  <w:r>
                    <w:rPr>
                      <w:rFonts w:hint="eastAsia" w:ascii="MS UI Gothic" w:hAnsi="MS UI Gothic" w:eastAsia="MS UI Gothic"/>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；生态影响型</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；两种兼有</w:t>
                  </w:r>
                  <w:r>
                    <w:rPr>
                      <w:rFonts w:ascii="Times New Roman" w:hAnsi="Times New Roman" w:eastAsia="Times New Roman"/>
                      <w:color w:val="000000" w:themeColor="text1"/>
                      <w:sz w:val="21"/>
                      <w:lang w:eastAsia="zh-CN"/>
                      <w14:textFill>
                        <w14:solidFill>
                          <w14:schemeClr w14:val="tx1"/>
                        </w14:solidFill>
                      </w14:textFill>
                    </w:rPr>
                    <w:t>□</w:t>
                  </w:r>
                </w:p>
              </w:tc>
              <w:tc>
                <w:tcPr>
                  <w:tcW w:w="958" w:type="dxa"/>
                  <w:tcBorders>
                    <w:tl2br w:val="nil"/>
                    <w:tr2bl w:val="nil"/>
                  </w:tcBorders>
                </w:tcPr>
                <w:p>
                  <w:pPr>
                    <w:pStyle w:val="88"/>
                    <w:spacing w:before="77"/>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45"/>
                    <w:ind w:left="141" w:right="10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土地利用类型</w:t>
                  </w:r>
                </w:p>
              </w:tc>
              <w:tc>
                <w:tcPr>
                  <w:tcW w:w="4693" w:type="dxa"/>
                  <w:tcBorders>
                    <w:tl2br w:val="nil"/>
                    <w:tr2bl w:val="nil"/>
                  </w:tcBorders>
                </w:tcPr>
                <w:p>
                  <w:pPr>
                    <w:pStyle w:val="88"/>
                    <w:spacing w:before="45"/>
                    <w:ind w:left="57" w:right="17"/>
                    <w:jc w:val="center"/>
                    <w:rPr>
                      <w:rFonts w:ascii="Times New Roman" w:hAnsi="Times New Roman" w:eastAsia="Times New Roman"/>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建设用地</w:t>
                  </w:r>
                  <w:r>
                    <w:rPr>
                      <w:rFonts w:hint="eastAsia" w:ascii="MS UI Gothic" w:hAnsi="MS UI Gothic" w:eastAsia="MS UI Gothic"/>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；农用地</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；未利用地</w:t>
                  </w:r>
                  <w:r>
                    <w:rPr>
                      <w:rFonts w:ascii="Times New Roman" w:hAnsi="Times New Roman" w:eastAsia="Times New Roman"/>
                      <w:color w:val="000000" w:themeColor="text1"/>
                      <w:sz w:val="21"/>
                      <w:lang w:eastAsia="zh-CN"/>
                      <w14:textFill>
                        <w14:solidFill>
                          <w14:schemeClr w14:val="tx1"/>
                        </w14:solidFill>
                      </w14:textFill>
                    </w:rPr>
                    <w:t>□</w:t>
                  </w:r>
                </w:p>
              </w:tc>
              <w:tc>
                <w:tcPr>
                  <w:tcW w:w="958" w:type="dxa"/>
                  <w:tcBorders>
                    <w:tl2br w:val="nil"/>
                    <w:tr2bl w:val="nil"/>
                  </w:tcBorders>
                </w:tcPr>
                <w:p>
                  <w:pPr>
                    <w:pStyle w:val="88"/>
                    <w:spacing w:before="59"/>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46"/>
                    <w:ind w:left="141"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占地规模</w:t>
                  </w:r>
                </w:p>
              </w:tc>
              <w:tc>
                <w:tcPr>
                  <w:tcW w:w="4693" w:type="dxa"/>
                  <w:tcBorders>
                    <w:tl2br w:val="nil"/>
                    <w:tr2bl w:val="nil"/>
                  </w:tcBorders>
                </w:tcPr>
                <w:p>
                  <w:pPr>
                    <w:pStyle w:val="88"/>
                    <w:spacing w:before="46"/>
                    <w:ind w:left="54" w:right="17"/>
                    <w:jc w:val="center"/>
                    <w:rPr>
                      <w:rFonts w:ascii="Times New Roman" w:eastAsia="Times New Roman"/>
                      <w:color w:val="000000" w:themeColor="text1"/>
                      <w:sz w:val="13"/>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2.18</w:t>
                  </w: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hm</w:t>
                  </w:r>
                  <w:r>
                    <w:rPr>
                      <w:rFonts w:ascii="Times New Roman" w:eastAsia="Times New Roman"/>
                      <w:color w:val="000000" w:themeColor="text1"/>
                      <w:position w:val="7"/>
                      <w:sz w:val="13"/>
                      <w14:textFill>
                        <w14:solidFill>
                          <w14:schemeClr w14:val="tx1"/>
                        </w14:solidFill>
                      </w14:textFill>
                    </w:rPr>
                    <w:t>2</w:t>
                  </w:r>
                </w:p>
              </w:tc>
              <w:tc>
                <w:tcPr>
                  <w:tcW w:w="958" w:type="dxa"/>
                  <w:tcBorders>
                    <w:tl2br w:val="nil"/>
                    <w:tr2bl w:val="nil"/>
                  </w:tcBorders>
                </w:tcPr>
                <w:p>
                  <w:pPr>
                    <w:pStyle w:val="88"/>
                    <w:spacing w:before="60"/>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44"/>
                    <w:ind w:left="141" w:right="105"/>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敏感目标信息</w:t>
                  </w:r>
                </w:p>
              </w:tc>
              <w:tc>
                <w:tcPr>
                  <w:tcW w:w="4693" w:type="dxa"/>
                  <w:tcBorders>
                    <w:tl2br w:val="nil"/>
                    <w:tr2bl w:val="nil"/>
                  </w:tcBorders>
                </w:tcPr>
                <w:p>
                  <w:pPr>
                    <w:pStyle w:val="88"/>
                    <w:spacing w:before="44"/>
                    <w:ind w:left="53" w:right="1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敏感目标（居民）</w:t>
                  </w:r>
                </w:p>
              </w:tc>
              <w:tc>
                <w:tcPr>
                  <w:tcW w:w="958" w:type="dxa"/>
                  <w:tcBorders>
                    <w:tl2br w:val="nil"/>
                    <w:tr2bl w:val="nil"/>
                  </w:tcBorders>
                </w:tcPr>
                <w:p>
                  <w:pPr>
                    <w:pStyle w:val="88"/>
                    <w:spacing w:before="58"/>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160"/>
                    <w:ind w:left="141"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影响途径</w:t>
                  </w:r>
                </w:p>
              </w:tc>
              <w:tc>
                <w:tcPr>
                  <w:tcW w:w="4693" w:type="dxa"/>
                  <w:tcBorders>
                    <w:tl2br w:val="nil"/>
                    <w:tr2bl w:val="nil"/>
                  </w:tcBorders>
                </w:tcPr>
                <w:p>
                  <w:pPr>
                    <w:pStyle w:val="88"/>
                    <w:spacing w:before="4"/>
                    <w:ind w:left="60" w:right="17"/>
                    <w:jc w:val="center"/>
                    <w:rPr>
                      <w:rFonts w:ascii="Times New Roman" w:hAnsi="Times New Roman" w:eastAsia="Times New Roman"/>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大气沉降</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；地面漫流</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；垂直入渗</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；地下水位</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；其他</w:t>
                  </w:r>
                  <w:r>
                    <w:rPr>
                      <w:rFonts w:ascii="Times New Roman" w:hAnsi="Times New Roman" w:eastAsia="Times New Roman"/>
                      <w:color w:val="000000" w:themeColor="text1"/>
                      <w:sz w:val="21"/>
                      <w:lang w:eastAsia="zh-CN"/>
                      <w14:textFill>
                        <w14:solidFill>
                          <w14:schemeClr w14:val="tx1"/>
                        </w14:solidFill>
                      </w14:textFill>
                    </w:rPr>
                    <w:t>□</w:t>
                  </w:r>
                </w:p>
              </w:tc>
              <w:tc>
                <w:tcPr>
                  <w:tcW w:w="958" w:type="dxa"/>
                  <w:tcBorders>
                    <w:tl2br w:val="nil"/>
                    <w:tr2bl w:val="nil"/>
                  </w:tcBorders>
                </w:tcPr>
                <w:p>
                  <w:pPr>
                    <w:pStyle w:val="88"/>
                    <w:spacing w:before="174"/>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45"/>
                    <w:ind w:left="141"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全部污染物</w:t>
                  </w:r>
                </w:p>
              </w:tc>
              <w:tc>
                <w:tcPr>
                  <w:tcW w:w="4693" w:type="dxa"/>
                  <w:tcBorders>
                    <w:tl2br w:val="nil"/>
                    <w:tr2bl w:val="nil"/>
                  </w:tcBorders>
                </w:tcPr>
                <w:p>
                  <w:pPr>
                    <w:pStyle w:val="88"/>
                    <w:spacing w:before="45"/>
                    <w:ind w:left="53" w:right="1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石油烃类</w:t>
                  </w:r>
                </w:p>
              </w:tc>
              <w:tc>
                <w:tcPr>
                  <w:tcW w:w="958" w:type="dxa"/>
                  <w:tcBorders>
                    <w:tl2br w:val="nil"/>
                    <w:tr2bl w:val="nil"/>
                  </w:tcBorders>
                </w:tcPr>
                <w:p>
                  <w:pPr>
                    <w:pStyle w:val="88"/>
                    <w:spacing w:before="59"/>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46"/>
                    <w:ind w:left="141" w:right="10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特征因子</w:t>
                  </w:r>
                </w:p>
              </w:tc>
              <w:tc>
                <w:tcPr>
                  <w:tcW w:w="4693" w:type="dxa"/>
                  <w:tcBorders>
                    <w:tl2br w:val="nil"/>
                    <w:tr2bl w:val="nil"/>
                  </w:tcBorders>
                </w:tcPr>
                <w:p>
                  <w:pPr>
                    <w:pStyle w:val="88"/>
                    <w:spacing w:before="46"/>
                    <w:ind w:left="53" w:right="1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石油烃类</w:t>
                  </w:r>
                </w:p>
              </w:tc>
              <w:tc>
                <w:tcPr>
                  <w:tcW w:w="958" w:type="dxa"/>
                  <w:tcBorders>
                    <w:tl2br w:val="nil"/>
                    <w:tr2bl w:val="nil"/>
                  </w:tcBorders>
                </w:tcPr>
                <w:p>
                  <w:pPr>
                    <w:pStyle w:val="88"/>
                    <w:spacing w:before="60"/>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479"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4"/>
                    <w:ind w:left="141" w:right="105"/>
                    <w:jc w:val="center"/>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所属土壤环境影响评价项目类别</w:t>
                  </w:r>
                </w:p>
              </w:tc>
              <w:tc>
                <w:tcPr>
                  <w:tcW w:w="4693" w:type="dxa"/>
                  <w:tcBorders>
                    <w:tl2br w:val="nil"/>
                    <w:tr2bl w:val="nil"/>
                  </w:tcBorders>
                </w:tcPr>
                <w:p>
                  <w:pPr>
                    <w:pStyle w:val="88"/>
                    <w:spacing w:before="160"/>
                    <w:ind w:left="57" w:right="17"/>
                    <w:jc w:val="center"/>
                    <w:rPr>
                      <w:rFonts w:ascii="Times New Roman" w:hAnsi="Times New Roman" w:eastAsia="Times New Roman"/>
                      <w:color w:val="000000" w:themeColor="text1"/>
                      <w:sz w:val="21"/>
                      <w14:textFill>
                        <w14:solidFill>
                          <w14:schemeClr w14:val="tx1"/>
                        </w14:solidFill>
                      </w14:textFill>
                    </w:rPr>
                  </w:pPr>
                  <w:r>
                    <w:rPr>
                      <w:rFonts w:ascii="Times New Roman" w:hAnsi="Times New Roman" w:eastAsia="Times New Roman"/>
                      <w:color w:val="000000" w:themeColor="text1"/>
                      <w:sz w:val="21"/>
                      <w14:textFill>
                        <w14:solidFill>
                          <w14:schemeClr w14:val="tx1"/>
                        </w14:solidFill>
                      </w14:textFill>
                    </w:rPr>
                    <w:t>Ⅰ□</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Ⅱ□</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Ⅲ</w:t>
                  </w:r>
                  <w:r>
                    <w:rPr>
                      <w:rFonts w:hint="eastAsia" w:ascii="MS UI Gothic" w:hAnsi="MS UI Gothic" w:eastAsia="MS UI Gothic"/>
                      <w:color w:val="000000" w:themeColor="text1"/>
                      <w:sz w:val="21"/>
                      <w14:textFill>
                        <w14:solidFill>
                          <w14:schemeClr w14:val="tx1"/>
                        </w14:solidFill>
                      </w14:textFill>
                    </w:rPr>
                    <w:t>☑</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Ⅳ□</w:t>
                  </w:r>
                </w:p>
              </w:tc>
              <w:tc>
                <w:tcPr>
                  <w:tcW w:w="958" w:type="dxa"/>
                  <w:tcBorders>
                    <w:tl2br w:val="nil"/>
                    <w:tr2bl w:val="nil"/>
                  </w:tcBorders>
                </w:tcPr>
                <w:p>
                  <w:pPr>
                    <w:pStyle w:val="88"/>
                    <w:spacing w:before="174"/>
                    <w:ind w:left="37"/>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thickThinMediumGap" w:color="000000" w:sz="6"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479" w:type="dxa"/>
                  <w:vMerge w:val="continue"/>
                  <w:tcBorders>
                    <w:tl2br w:val="nil"/>
                    <w:tr2bl w:val="nil"/>
                  </w:tcBorders>
                </w:tcPr>
                <w:p>
                  <w:pPr>
                    <w:pStyle w:val="88"/>
                    <w:rPr>
                      <w:color w:val="000000" w:themeColor="text1"/>
                      <w:sz w:val="2"/>
                      <w:szCs w:val="2"/>
                      <w14:textFill>
                        <w14:solidFill>
                          <w14:schemeClr w14:val="tx1"/>
                        </w14:solidFill>
                      </w14:textFill>
                    </w:rPr>
                  </w:pPr>
                </w:p>
              </w:tc>
              <w:tc>
                <w:tcPr>
                  <w:tcW w:w="2228" w:type="dxa"/>
                  <w:tcBorders>
                    <w:tl2br w:val="nil"/>
                    <w:tr2bl w:val="nil"/>
                  </w:tcBorders>
                </w:tcPr>
                <w:p>
                  <w:pPr>
                    <w:pStyle w:val="88"/>
                    <w:spacing w:before="60"/>
                    <w:ind w:left="793"/>
                    <w:rPr>
                      <w:color w:val="000000" w:themeColor="text1"/>
                      <w:sz w:val="21"/>
                      <w14:textFill>
                        <w14:solidFill>
                          <w14:schemeClr w14:val="tx1"/>
                        </w14:solidFill>
                      </w14:textFill>
                    </w:rPr>
                  </w:pPr>
                  <w:r>
                    <w:rPr>
                      <w:color w:val="000000" w:themeColor="text1"/>
                      <w:sz w:val="21"/>
                      <w14:textFill>
                        <w14:solidFill>
                          <w14:schemeClr w14:val="tx1"/>
                        </w14:solidFill>
                      </w14:textFill>
                    </w:rPr>
                    <w:t>敏感程度</w:t>
                  </w:r>
                </w:p>
              </w:tc>
              <w:tc>
                <w:tcPr>
                  <w:tcW w:w="4693" w:type="dxa"/>
                  <w:tcBorders>
                    <w:tl2br w:val="nil"/>
                    <w:tr2bl w:val="nil"/>
                  </w:tcBorders>
                </w:tcPr>
                <w:p>
                  <w:pPr>
                    <w:pStyle w:val="88"/>
                    <w:spacing w:before="60"/>
                    <w:ind w:left="1255"/>
                    <w:rPr>
                      <w:rFonts w:ascii="Times New Roman" w:hAnsi="Times New Roman" w:eastAsia="Times New Roman"/>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敏感</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；较敏感</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；不敏感</w:t>
                  </w:r>
                  <w:r>
                    <w:rPr>
                      <w:rFonts w:hint="eastAsia" w:ascii="MS UI Gothic" w:hAnsi="MS UI Gothic" w:eastAsia="MS UI Gothic"/>
                      <w:color w:val="000000" w:themeColor="text1"/>
                      <w:sz w:val="21"/>
                      <w:lang w:eastAsia="zh-CN"/>
                      <w14:textFill>
                        <w14:solidFill>
                          <w14:schemeClr w14:val="tx1"/>
                        </w14:solidFill>
                      </w14:textFill>
                    </w:rPr>
                    <w:t>☑</w:t>
                  </w:r>
                </w:p>
              </w:tc>
              <w:tc>
                <w:tcPr>
                  <w:tcW w:w="958" w:type="dxa"/>
                  <w:tcBorders>
                    <w:tl2br w:val="nil"/>
                    <w:tr2bl w:val="nil"/>
                  </w:tcBorders>
                </w:tcPr>
                <w:p>
                  <w:pPr>
                    <w:pStyle w:val="88"/>
                    <w:spacing w:before="74"/>
                    <w:ind w:left="495"/>
                    <w:rPr>
                      <w:rFonts w:ascii="Times New Roman"/>
                      <w:color w:val="000000" w:themeColor="text1"/>
                      <w:w w:val="99"/>
                      <w:sz w:val="21"/>
                      <w:lang w:eastAsia="zh-CN"/>
                      <w14:textFill>
                        <w14:solidFill>
                          <w14:schemeClr w14:val="tx1"/>
                        </w14:solidFill>
                      </w14:textFill>
                    </w:rPr>
                  </w:pPr>
                  <w:r>
                    <w:rPr>
                      <w:rFonts w:ascii="Times New Roman"/>
                      <w:color w:val="000000" w:themeColor="text1"/>
                      <w:w w:val="99"/>
                      <w:sz w:val="21"/>
                      <w:lang w:eastAsia="zh-CN"/>
                      <w14:textFill>
                        <w14:solidFill>
                          <w14:schemeClr w14:val="tx1"/>
                        </w14:solidFill>
                      </w14:textFill>
                    </w:rPr>
                    <w:t>/</w:t>
                  </w:r>
                </w:p>
              </w:tc>
            </w:tr>
          </w:tbl>
          <w:tbl>
            <w:tblPr>
              <w:tblStyle w:val="28"/>
              <w:tblpPr w:leftFromText="180" w:rightFromText="180" w:vertAnchor="text" w:horzAnchor="page" w:tblpXSpec="center" w:tblpY="291"/>
              <w:tblOverlap w:val="never"/>
              <w:tblW w:w="85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1585"/>
              <w:gridCol w:w="1417"/>
              <w:gridCol w:w="904"/>
              <w:gridCol w:w="684"/>
              <w:gridCol w:w="342"/>
              <w:gridCol w:w="1451"/>
              <w:gridCol w:w="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65" w:type="dxa"/>
                  <w:gridSpan w:val="2"/>
                  <w:tcBorders>
                    <w:tl2br w:val="nil"/>
                    <w:tr2bl w:val="nil"/>
                  </w:tcBorders>
                </w:tcPr>
                <w:p>
                  <w:pPr>
                    <w:pStyle w:val="88"/>
                    <w:spacing w:before="64"/>
                    <w:ind w:left="827"/>
                    <w:rPr>
                      <w:color w:val="000000" w:themeColor="text1"/>
                      <w:sz w:val="21"/>
                      <w14:textFill>
                        <w14:solidFill>
                          <w14:schemeClr w14:val="tx1"/>
                        </w14:solidFill>
                      </w14:textFill>
                    </w:rPr>
                  </w:pPr>
                  <w:r>
                    <w:rPr>
                      <w:color w:val="000000" w:themeColor="text1"/>
                      <w:sz w:val="21"/>
                      <w14:textFill>
                        <w14:solidFill>
                          <w14:schemeClr w14:val="tx1"/>
                        </w14:solidFill>
                      </w14:textFill>
                    </w:rPr>
                    <w:t>评价工作等级</w:t>
                  </w:r>
                </w:p>
              </w:tc>
              <w:tc>
                <w:tcPr>
                  <w:tcW w:w="4798" w:type="dxa"/>
                  <w:gridSpan w:val="5"/>
                  <w:tcBorders>
                    <w:tl2br w:val="nil"/>
                    <w:tr2bl w:val="nil"/>
                  </w:tcBorders>
                </w:tcPr>
                <w:p>
                  <w:pPr>
                    <w:pStyle w:val="88"/>
                    <w:spacing w:before="64"/>
                    <w:ind w:left="1507"/>
                    <w:rPr>
                      <w:rFonts w:ascii="Times New Roman" w:hAnsi="Times New Roman" w:eastAsia="宋体"/>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一级</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；二级</w:t>
                  </w:r>
                  <w:r>
                    <w:rPr>
                      <w:rFonts w:ascii="Times New Roman" w:hAnsi="Times New Roman" w:eastAsia="Times New Roman"/>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；三级</w:t>
                  </w:r>
                  <w:r>
                    <w:rPr>
                      <w:rFonts w:hint="eastAsia" w:ascii="Times New Roman" w:hAnsi="Times New Roman" w:eastAsia="宋体"/>
                      <w:color w:val="000000" w:themeColor="text1"/>
                      <w:sz w:val="21"/>
                      <w:lang w:eastAsia="zh-CN"/>
                      <w14:textFill>
                        <w14:solidFill>
                          <w14:schemeClr w14:val="tx1"/>
                        </w14:solidFill>
                      </w14:textFill>
                    </w:rPr>
                    <w:t>☑</w:t>
                  </w:r>
                </w:p>
              </w:tc>
              <w:tc>
                <w:tcPr>
                  <w:tcW w:w="975" w:type="dxa"/>
                  <w:tcBorders>
                    <w:tl2br w:val="nil"/>
                    <w:tr2bl w:val="nil"/>
                  </w:tcBorders>
                </w:tcPr>
                <w:p>
                  <w:pPr>
                    <w:pStyle w:val="88"/>
                    <w:spacing w:before="78"/>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restart"/>
                  <w:tcBorders>
                    <w:tl2br w:val="nil"/>
                    <w:tr2bl w:val="nil"/>
                  </w:tcBorders>
                </w:tcPr>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spacing w:before="2"/>
                    <w:rPr>
                      <w:color w:val="000000" w:themeColor="text1"/>
                      <w:sz w:val="25"/>
                      <w14:textFill>
                        <w14:solidFill>
                          <w14:schemeClr w14:val="tx1"/>
                        </w14:solidFill>
                      </w14:textFill>
                    </w:rPr>
                  </w:pPr>
                </w:p>
                <w:p>
                  <w:pPr>
                    <w:pStyle w:val="88"/>
                    <w:rPr>
                      <w:color w:val="000000" w:themeColor="text1"/>
                      <w:sz w:val="21"/>
                      <w14:textFill>
                        <w14:solidFill>
                          <w14:schemeClr w14:val="tx1"/>
                        </w14:solidFill>
                      </w14:textFill>
                    </w:rPr>
                  </w:pPr>
                  <w:r>
                    <w:rPr>
                      <w:color w:val="000000" w:themeColor="text1"/>
                      <w:sz w:val="21"/>
                      <w14:textFill>
                        <w14:solidFill>
                          <w14:schemeClr w14:val="tx1"/>
                        </w14:solidFill>
                      </w14:textFill>
                    </w:rPr>
                    <w:t>现状调查</w:t>
                  </w:r>
                </w:p>
                <w:p>
                  <w:pPr>
                    <w:pStyle w:val="88"/>
                    <w:rPr>
                      <w:color w:val="000000" w:themeColor="text1"/>
                      <w:sz w:val="21"/>
                      <w14:textFill>
                        <w14:solidFill>
                          <w14:schemeClr w14:val="tx1"/>
                        </w14:solidFill>
                      </w14:textFill>
                    </w:rPr>
                  </w:pPr>
                  <w:r>
                    <w:rPr>
                      <w:color w:val="000000" w:themeColor="text1"/>
                      <w:sz w:val="21"/>
                      <w14:textFill>
                        <w14:solidFill>
                          <w14:schemeClr w14:val="tx1"/>
                        </w14:solidFill>
                      </w14:textFill>
                    </w:rPr>
                    <w:t>内容</w:t>
                  </w:r>
                </w:p>
              </w:tc>
              <w:tc>
                <w:tcPr>
                  <w:tcW w:w="1585" w:type="dxa"/>
                  <w:tcBorders>
                    <w:tl2br w:val="nil"/>
                    <w:tr2bl w:val="nil"/>
                  </w:tcBorders>
                </w:tcPr>
                <w:p>
                  <w:pPr>
                    <w:pStyle w:val="88"/>
                    <w:spacing w:before="62"/>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资料收集</w:t>
                  </w:r>
                </w:p>
              </w:tc>
              <w:tc>
                <w:tcPr>
                  <w:tcW w:w="4798" w:type="dxa"/>
                  <w:gridSpan w:val="5"/>
                  <w:tcBorders>
                    <w:tl2br w:val="nil"/>
                    <w:tr2bl w:val="nil"/>
                  </w:tcBorders>
                </w:tcPr>
                <w:p>
                  <w:pPr>
                    <w:pStyle w:val="88"/>
                    <w:spacing w:before="62"/>
                    <w:ind w:left="1529"/>
                    <w:rPr>
                      <w:rFonts w:ascii="Times New Roman" w:hAnsi="Times New Roman" w:eastAsia="Times New Roman"/>
                      <w:color w:val="000000" w:themeColor="text1"/>
                      <w:sz w:val="21"/>
                      <w14:textFill>
                        <w14:solidFill>
                          <w14:schemeClr w14:val="tx1"/>
                        </w14:solidFill>
                      </w14:textFill>
                    </w:rPr>
                  </w:pPr>
                  <w:r>
                    <w:rPr>
                      <w:rFonts w:ascii="Times New Roman" w:hAnsi="Times New Roman" w:eastAsia="Times New Roman"/>
                      <w:color w:val="000000" w:themeColor="text1"/>
                      <w:sz w:val="21"/>
                      <w14:textFill>
                        <w14:solidFill>
                          <w14:schemeClr w14:val="tx1"/>
                        </w14:solidFill>
                      </w14:textFill>
                    </w:rPr>
                    <w:t>a) □</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b) □</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c) □</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d) □</w:t>
                  </w:r>
                </w:p>
              </w:tc>
              <w:tc>
                <w:tcPr>
                  <w:tcW w:w="975" w:type="dxa"/>
                  <w:tcBorders>
                    <w:tl2br w:val="nil"/>
                    <w:tr2bl w:val="nil"/>
                  </w:tcBorders>
                </w:tcPr>
                <w:p>
                  <w:pPr>
                    <w:pStyle w:val="88"/>
                    <w:spacing w:before="76"/>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63"/>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理化性质</w:t>
                  </w:r>
                </w:p>
              </w:tc>
              <w:tc>
                <w:tcPr>
                  <w:tcW w:w="4798" w:type="dxa"/>
                  <w:gridSpan w:val="5"/>
                  <w:tcBorders>
                    <w:tl2br w:val="nil"/>
                    <w:tr2bl w:val="nil"/>
                  </w:tcBorders>
                </w:tcPr>
                <w:p>
                  <w:pPr>
                    <w:pStyle w:val="88"/>
                    <w:spacing w:before="77"/>
                    <w:ind w:left="42"/>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75" w:type="dxa"/>
                  <w:tcBorders>
                    <w:tl2br w:val="nil"/>
                    <w:tr2bl w:val="nil"/>
                  </w:tcBorders>
                </w:tcPr>
                <w:p>
                  <w:pPr>
                    <w:pStyle w:val="88"/>
                    <w:spacing w:before="77"/>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vMerge w:val="restart"/>
                  <w:tcBorders>
                    <w:tl2br w:val="nil"/>
                    <w:tr2bl w:val="nil"/>
                  </w:tcBorders>
                  <w:vAlign w:val="center"/>
                </w:tcPr>
                <w:p>
                  <w:pPr>
                    <w:pStyle w:val="88"/>
                    <w:spacing w:before="7"/>
                    <w:jc w:val="center"/>
                    <w:rPr>
                      <w:color w:val="000000" w:themeColor="text1"/>
                      <w:sz w:val="29"/>
                      <w14:textFill>
                        <w14:solidFill>
                          <w14:schemeClr w14:val="tx1"/>
                        </w14:solidFill>
                      </w14:textFill>
                    </w:rPr>
                  </w:pPr>
                </w:p>
                <w:p>
                  <w:pPr>
                    <w:pStyle w:val="8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现状监测点位</w:t>
                  </w:r>
                </w:p>
              </w:tc>
              <w:tc>
                <w:tcPr>
                  <w:tcW w:w="1417" w:type="dxa"/>
                  <w:tcBorders>
                    <w:bottom w:val="single" w:color="auto" w:sz="4" w:space="0"/>
                    <w:tl2br w:val="nil"/>
                    <w:tr2bl w:val="nil"/>
                  </w:tcBorders>
                  <w:vAlign w:val="center"/>
                </w:tcPr>
                <w:p>
                  <w:pPr>
                    <w:pStyle w:val="88"/>
                    <w:jc w:val="center"/>
                    <w:rPr>
                      <w:rFonts w:ascii="Times New Roman"/>
                      <w:color w:val="000000" w:themeColor="text1"/>
                      <w14:textFill>
                        <w14:solidFill>
                          <w14:schemeClr w14:val="tx1"/>
                        </w14:solidFill>
                      </w14:textFill>
                    </w:rPr>
                  </w:pPr>
                </w:p>
              </w:tc>
              <w:tc>
                <w:tcPr>
                  <w:tcW w:w="904" w:type="dxa"/>
                  <w:tcBorders>
                    <w:bottom w:val="single" w:color="auto" w:sz="4" w:space="0"/>
                    <w:tl2br w:val="nil"/>
                    <w:tr2bl w:val="nil"/>
                  </w:tcBorders>
                  <w:vAlign w:val="center"/>
                </w:tcPr>
                <w:p>
                  <w:pPr>
                    <w:pStyle w:val="88"/>
                    <w:spacing w:before="191"/>
                    <w:jc w:val="center"/>
                    <w:rPr>
                      <w:rFonts w:hint="default" w:ascii="Times New Roman" w:eastAsiaTheme="minorEastAsia"/>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占地范围内</w:t>
                  </w:r>
                </w:p>
              </w:tc>
              <w:tc>
                <w:tcPr>
                  <w:tcW w:w="1026" w:type="dxa"/>
                  <w:gridSpan w:val="2"/>
                  <w:tcBorders>
                    <w:bottom w:val="single" w:color="auto" w:sz="4" w:space="0"/>
                    <w:tl2br w:val="nil"/>
                    <w:tr2bl w:val="nil"/>
                  </w:tcBorders>
                  <w:vAlign w:val="center"/>
                </w:tcPr>
                <w:p>
                  <w:pPr>
                    <w:pStyle w:val="8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占地范围外</w:t>
                  </w:r>
                </w:p>
              </w:tc>
              <w:tc>
                <w:tcPr>
                  <w:tcW w:w="1451" w:type="dxa"/>
                  <w:tcBorders>
                    <w:bottom w:val="single" w:color="auto" w:sz="4" w:space="0"/>
                    <w:tl2br w:val="nil"/>
                    <w:tr2bl w:val="nil"/>
                  </w:tcBorders>
                  <w:vAlign w:val="center"/>
                </w:tcPr>
                <w:p>
                  <w:pPr>
                    <w:pStyle w:val="8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深度</w:t>
                  </w:r>
                </w:p>
              </w:tc>
              <w:tc>
                <w:tcPr>
                  <w:tcW w:w="975" w:type="dxa"/>
                  <w:vMerge w:val="restart"/>
                  <w:tcBorders>
                    <w:tl2br w:val="nil"/>
                    <w:tr2bl w:val="nil"/>
                  </w:tcBorders>
                </w:tcPr>
                <w:p>
                  <w:pPr>
                    <w:pStyle w:val="88"/>
                    <w:spacing w:before="78"/>
                    <w:ind w:left="495"/>
                    <w:rPr>
                      <w:rFonts w:ascii="Times New Roman"/>
                      <w:color w:val="000000" w:themeColor="text1"/>
                      <w:w w:val="99"/>
                      <w:sz w:val="21"/>
                      <w14:textFill>
                        <w14:solidFill>
                          <w14:schemeClr w14:val="tx1"/>
                        </w14:solidFill>
                      </w14:textFill>
                    </w:rPr>
                  </w:pPr>
                </w:p>
                <w:p>
                  <w:pPr>
                    <w:pStyle w:val="88"/>
                    <w:spacing w:before="78"/>
                    <w:ind w:left="495"/>
                    <w:rPr>
                      <w:rFonts w:ascii="Times New Roman"/>
                      <w:color w:val="000000" w:themeColor="text1"/>
                      <w:w w:val="99"/>
                      <w:sz w:val="21"/>
                      <w14:textFill>
                        <w14:solidFill>
                          <w14:schemeClr w14:val="tx1"/>
                        </w14:solidFill>
                      </w14:textFill>
                    </w:rPr>
                  </w:pPr>
                </w:p>
                <w:p>
                  <w:pPr>
                    <w:pStyle w:val="88"/>
                    <w:spacing w:before="78"/>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vMerge w:val="continue"/>
                  <w:tcBorders>
                    <w:tl2br w:val="nil"/>
                    <w:tr2bl w:val="nil"/>
                  </w:tcBorders>
                  <w:vAlign w:val="center"/>
                </w:tcPr>
                <w:p>
                  <w:pPr>
                    <w:pStyle w:val="88"/>
                    <w:jc w:val="center"/>
                    <w:rPr>
                      <w:color w:val="000000" w:themeColor="text1"/>
                      <w:sz w:val="21"/>
                      <w14:textFill>
                        <w14:solidFill>
                          <w14:schemeClr w14:val="tx1"/>
                        </w14:solidFill>
                      </w14:textFill>
                    </w:rPr>
                  </w:pPr>
                </w:p>
              </w:tc>
              <w:tc>
                <w:tcPr>
                  <w:tcW w:w="1417" w:type="dxa"/>
                  <w:tcBorders>
                    <w:top w:val="single" w:color="auto" w:sz="4" w:space="0"/>
                    <w:tl2br w:val="nil"/>
                    <w:tr2bl w:val="nil"/>
                  </w:tcBorders>
                  <w:vAlign w:val="center"/>
                </w:tcPr>
                <w:p>
                  <w:pPr>
                    <w:pStyle w:val="88"/>
                    <w:jc w:val="center"/>
                    <w:rPr>
                      <w:rFonts w:ascii="Times New Roman"/>
                      <w:color w:val="000000" w:themeColor="text1"/>
                      <w14:textFill>
                        <w14:solidFill>
                          <w14:schemeClr w14:val="tx1"/>
                        </w14:solidFill>
                      </w14:textFill>
                    </w:rPr>
                  </w:pPr>
                  <w:r>
                    <w:rPr>
                      <w:color w:val="000000" w:themeColor="text1"/>
                      <w:sz w:val="21"/>
                      <w14:textFill>
                        <w14:solidFill>
                          <w14:schemeClr w14:val="tx1"/>
                        </w14:solidFill>
                      </w14:textFill>
                    </w:rPr>
                    <w:t>表层样点数</w:t>
                  </w:r>
                </w:p>
              </w:tc>
              <w:tc>
                <w:tcPr>
                  <w:tcW w:w="904" w:type="dxa"/>
                  <w:tcBorders>
                    <w:top w:val="single" w:color="auto" w:sz="4" w:space="0"/>
                    <w:tl2br w:val="nil"/>
                    <w:tr2bl w:val="nil"/>
                  </w:tcBorders>
                  <w:vAlign w:val="center"/>
                </w:tcPr>
                <w:p>
                  <w:pPr>
                    <w:pStyle w:val="88"/>
                    <w:spacing w:before="191"/>
                    <w:ind w:left="31"/>
                    <w:jc w:val="center"/>
                    <w:rPr>
                      <w:rFonts w:hint="eastAsia"/>
                      <w:color w:val="000000" w:themeColor="text1"/>
                      <w:sz w:val="21"/>
                      <w:lang w:val="en-US" w:eastAsia="zh-CN"/>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026" w:type="dxa"/>
                  <w:gridSpan w:val="2"/>
                  <w:tcBorders>
                    <w:top w:val="single" w:color="auto" w:sz="4" w:space="0"/>
                    <w:tl2br w:val="nil"/>
                    <w:tr2bl w:val="nil"/>
                  </w:tcBorders>
                  <w:vAlign w:val="center"/>
                </w:tcPr>
                <w:p>
                  <w:pPr>
                    <w:pStyle w:val="88"/>
                    <w:jc w:val="center"/>
                    <w:rPr>
                      <w:rFonts w:hint="eastAsia" w:eastAsiaTheme="minorEastAsia"/>
                      <w:color w:val="000000" w:themeColor="text1"/>
                      <w:sz w:val="21"/>
                      <w:lang w:eastAsia="zh-CN"/>
                      <w14:textFill>
                        <w14:solidFill>
                          <w14:schemeClr w14:val="tx1"/>
                        </w14:solidFill>
                      </w14:textFill>
                    </w:rPr>
                  </w:pPr>
                  <w:r>
                    <w:rPr>
                      <w:rFonts w:hint="eastAsia" w:ascii="Times New Roman"/>
                      <w:color w:val="000000" w:themeColor="text1"/>
                      <w:w w:val="99"/>
                      <w:sz w:val="21"/>
                      <w:lang w:val="en-US" w:eastAsia="zh-CN"/>
                      <w14:textFill>
                        <w14:solidFill>
                          <w14:schemeClr w14:val="tx1"/>
                        </w14:solidFill>
                      </w14:textFill>
                    </w:rPr>
                    <w:t>3</w:t>
                  </w:r>
                </w:p>
              </w:tc>
              <w:tc>
                <w:tcPr>
                  <w:tcW w:w="1451" w:type="dxa"/>
                  <w:tcBorders>
                    <w:top w:val="single" w:color="auto" w:sz="4" w:space="0"/>
                    <w:tl2br w:val="nil"/>
                    <w:tr2bl w:val="nil"/>
                  </w:tcBorders>
                  <w:vAlign w:val="center"/>
                </w:tcPr>
                <w:p>
                  <w:pPr>
                    <w:pStyle w:val="88"/>
                    <w:jc w:val="center"/>
                    <w:rPr>
                      <w:rFonts w:hint="default" w:eastAsiaTheme="minorEastAsia"/>
                      <w:color w:val="000000" w:themeColor="text1"/>
                      <w:sz w:val="21"/>
                      <w:lang w:val="en-US" w:eastAsia="zh-CN"/>
                      <w14:textFill>
                        <w14:solidFill>
                          <w14:schemeClr w14:val="tx1"/>
                        </w14:solidFill>
                      </w14:textFill>
                    </w:rPr>
                  </w:pPr>
                  <w:r>
                    <w:rPr>
                      <w:rFonts w:hint="eastAsia" w:ascii="Times New Roman"/>
                      <w:color w:val="000000" w:themeColor="text1"/>
                      <w:w w:val="99"/>
                      <w:sz w:val="21"/>
                      <w:lang w:val="en-US" w:eastAsia="zh-CN"/>
                      <w14:textFill>
                        <w14:solidFill>
                          <w14:schemeClr w14:val="tx1"/>
                        </w14:solidFill>
                      </w14:textFill>
                    </w:rPr>
                    <w:t>0~0.2m</w:t>
                  </w:r>
                </w:p>
              </w:tc>
              <w:tc>
                <w:tcPr>
                  <w:tcW w:w="975" w:type="dxa"/>
                  <w:vMerge w:val="continue"/>
                  <w:tcBorders>
                    <w:tl2br w:val="nil"/>
                    <w:tr2bl w:val="nil"/>
                  </w:tcBorders>
                </w:tcPr>
                <w:p>
                  <w:pPr>
                    <w:pStyle w:val="88"/>
                    <w:spacing w:before="191"/>
                    <w:ind w:left="495"/>
                    <w:rPr>
                      <w:rFonts w:ascii="Times New Roman"/>
                      <w:color w:val="000000" w:themeColor="text1"/>
                      <w:w w:val="99"/>
                      <w:sz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vMerge w:val="continue"/>
                  <w:tcBorders>
                    <w:tl2br w:val="nil"/>
                    <w:tr2bl w:val="nil"/>
                  </w:tcBorders>
                  <w:vAlign w:val="center"/>
                </w:tcPr>
                <w:p>
                  <w:pPr>
                    <w:ind w:firstLine="40"/>
                    <w:jc w:val="center"/>
                    <w:rPr>
                      <w:color w:val="000000" w:themeColor="text1"/>
                      <w:sz w:val="2"/>
                      <w:szCs w:val="2"/>
                      <w14:textFill>
                        <w14:solidFill>
                          <w14:schemeClr w14:val="tx1"/>
                        </w14:solidFill>
                      </w14:textFill>
                    </w:rPr>
                  </w:pPr>
                </w:p>
              </w:tc>
              <w:tc>
                <w:tcPr>
                  <w:tcW w:w="1417" w:type="dxa"/>
                  <w:tcBorders>
                    <w:tl2br w:val="nil"/>
                    <w:tr2bl w:val="nil"/>
                  </w:tcBorders>
                  <w:vAlign w:val="center"/>
                </w:tcPr>
                <w:p>
                  <w:pPr>
                    <w:pStyle w:val="88"/>
                    <w:spacing w:before="64"/>
                    <w:ind w:left="157" w:right="129"/>
                    <w:jc w:val="center"/>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柱状</w:t>
                  </w:r>
                  <w:r>
                    <w:rPr>
                      <w:color w:val="000000" w:themeColor="text1"/>
                      <w:sz w:val="21"/>
                      <w14:textFill>
                        <w14:solidFill>
                          <w14:schemeClr w14:val="tx1"/>
                        </w14:solidFill>
                      </w14:textFill>
                    </w:rPr>
                    <w:t>样点数</w:t>
                  </w:r>
                </w:p>
              </w:tc>
              <w:tc>
                <w:tcPr>
                  <w:tcW w:w="904" w:type="dxa"/>
                  <w:tcBorders>
                    <w:tl2br w:val="nil"/>
                    <w:tr2bl w:val="nil"/>
                  </w:tcBorders>
                  <w:vAlign w:val="center"/>
                </w:tcPr>
                <w:p>
                  <w:pPr>
                    <w:pStyle w:val="88"/>
                    <w:spacing w:before="78"/>
                    <w:ind w:left="31"/>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026" w:type="dxa"/>
                  <w:gridSpan w:val="2"/>
                  <w:tcBorders>
                    <w:tl2br w:val="nil"/>
                    <w:tr2bl w:val="nil"/>
                  </w:tcBorders>
                  <w:vAlign w:val="center"/>
                </w:tcPr>
                <w:p>
                  <w:pPr>
                    <w:pStyle w:val="88"/>
                    <w:spacing w:before="78"/>
                    <w:ind w:left="39"/>
                    <w:jc w:val="center"/>
                    <w:rPr>
                      <w:rFonts w:hint="eastAsia" w:ascii="Times New Roman" w:eastAsiaTheme="minorEastAsia"/>
                      <w:color w:val="000000" w:themeColor="text1"/>
                      <w:sz w:val="21"/>
                      <w:lang w:eastAsia="zh-CN"/>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451" w:type="dxa"/>
                  <w:tcBorders>
                    <w:tl2br w:val="nil"/>
                    <w:tr2bl w:val="nil"/>
                  </w:tcBorders>
                  <w:vAlign w:val="center"/>
                </w:tcPr>
                <w:p>
                  <w:pPr>
                    <w:pStyle w:val="88"/>
                    <w:spacing w:before="78"/>
                    <w:ind w:left="43"/>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75" w:type="dxa"/>
                  <w:vMerge w:val="continue"/>
                  <w:tcBorders>
                    <w:tl2br w:val="nil"/>
                    <w:tr2bl w:val="nil"/>
                  </w:tcBorders>
                </w:tcPr>
                <w:p>
                  <w:pPr>
                    <w:pStyle w:val="88"/>
                    <w:spacing w:before="78"/>
                    <w:ind w:left="495"/>
                    <w:rPr>
                      <w:rFonts w:ascii="Times New Roman"/>
                      <w:color w:val="000000" w:themeColor="text1"/>
                      <w:sz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vAlign w:val="center"/>
                </w:tcPr>
                <w:p>
                  <w:pPr>
                    <w:pStyle w:val="88"/>
                    <w:spacing w:before="62"/>
                    <w:ind w:right="16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现状监测因子</w:t>
                  </w:r>
                </w:p>
              </w:tc>
              <w:tc>
                <w:tcPr>
                  <w:tcW w:w="4798" w:type="dxa"/>
                  <w:gridSpan w:val="5"/>
                  <w:tcBorders>
                    <w:tl2br w:val="nil"/>
                    <w:tr2bl w:val="nil"/>
                  </w:tcBorders>
                </w:tcPr>
                <w:p>
                  <w:pPr>
                    <w:pStyle w:val="88"/>
                    <w:rPr>
                      <w:rFonts w:ascii="Times New Roman"/>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砷、镉、铬、铜、铅、汞、镍、四氯化碳、氯仿、氯甲烷、1,1-二氧乙烷、1,2-二氧乙烷、1,1-二氧乙烯、顺-1,2-二氧乙烯、反-1,2-二氧乙烯、二氧甲烷、1,2-二氧丙烷、1,1,1,2-四氯乙烷、1,1,2,2-四氯乙烷、四氯乙烯、1,1,1-三氯乙烷、1,1,2-三氯乙烷、三氯乙烯、1,2,3-三氯丙烷、氯乙烯、苯、氯苯、1,2-二氯苯、1,4-二氯苯、乙苯、苯乙烯、甲苯、间二甲苯+对二甲苯、邻二甲苯、硝基苯、苯胺、2-氯酚、苯并[α]蒽、苯并[α]芘、苯并[α]荧蒽、苯并[k]荧蒽、䓛、二苯并[α、h]蒽、茚并[1,2,3-cd]芘、萘、石油烃</w:t>
                  </w:r>
                </w:p>
              </w:tc>
              <w:tc>
                <w:tcPr>
                  <w:tcW w:w="975" w:type="dxa"/>
                  <w:tcBorders>
                    <w:tl2br w:val="nil"/>
                    <w:tr2bl w:val="nil"/>
                  </w:tcBorders>
                </w:tcPr>
                <w:p>
                  <w:pPr>
                    <w:pStyle w:val="88"/>
                    <w:spacing w:before="76"/>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80" w:type="dxa"/>
                  <w:vMerge w:val="restart"/>
                  <w:tcBorders>
                    <w:tl2br w:val="nil"/>
                    <w:tr2bl w:val="nil"/>
                  </w:tcBorders>
                </w:tcPr>
                <w:p>
                  <w:pPr>
                    <w:pStyle w:val="88"/>
                    <w:rPr>
                      <w:color w:val="000000" w:themeColor="text1"/>
                      <w:sz w:val="20"/>
                      <w14:textFill>
                        <w14:solidFill>
                          <w14:schemeClr w14:val="tx1"/>
                        </w14:solidFill>
                      </w14:textFill>
                    </w:rPr>
                  </w:pPr>
                </w:p>
                <w:p>
                  <w:pPr>
                    <w:pStyle w:val="88"/>
                    <w:spacing w:before="8"/>
                    <w:rPr>
                      <w:color w:val="000000" w:themeColor="text1"/>
                      <w:sz w:val="16"/>
                      <w14:textFill>
                        <w14:solidFill>
                          <w14:schemeClr w14:val="tx1"/>
                        </w14:solidFill>
                      </w14:textFill>
                    </w:rPr>
                  </w:pPr>
                </w:p>
                <w:p>
                  <w:pPr>
                    <w:pStyle w:val="88"/>
                    <w:ind w:left="203"/>
                    <w:rPr>
                      <w:color w:val="000000" w:themeColor="text1"/>
                      <w:sz w:val="21"/>
                      <w14:textFill>
                        <w14:solidFill>
                          <w14:schemeClr w14:val="tx1"/>
                        </w14:solidFill>
                      </w14:textFill>
                    </w:rPr>
                  </w:pPr>
                  <w:r>
                    <w:rPr>
                      <w:color w:val="000000" w:themeColor="text1"/>
                      <w:sz w:val="21"/>
                      <w14:textFill>
                        <w14:solidFill>
                          <w14:schemeClr w14:val="tx1"/>
                        </w14:solidFill>
                      </w14:textFill>
                    </w:rPr>
                    <w:t>现状评价</w:t>
                  </w:r>
                </w:p>
              </w:tc>
              <w:tc>
                <w:tcPr>
                  <w:tcW w:w="1585" w:type="dxa"/>
                  <w:tcBorders>
                    <w:tl2br w:val="nil"/>
                    <w:tr2bl w:val="nil"/>
                  </w:tcBorders>
                </w:tcPr>
                <w:p>
                  <w:pPr>
                    <w:pStyle w:val="88"/>
                    <w:spacing w:before="64"/>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评价因子</w:t>
                  </w:r>
                </w:p>
              </w:tc>
              <w:tc>
                <w:tcPr>
                  <w:tcW w:w="4798" w:type="dxa"/>
                  <w:gridSpan w:val="5"/>
                  <w:tcBorders>
                    <w:tl2br w:val="nil"/>
                    <w:tr2bl w:val="nil"/>
                  </w:tcBorders>
                </w:tcPr>
                <w:p>
                  <w:pPr>
                    <w:pStyle w:val="88"/>
                    <w:rPr>
                      <w:rFonts w:ascii="Times New Roman"/>
                      <w:color w:val="000000" w:themeColor="text1"/>
                      <w14:textFill>
                        <w14:solidFill>
                          <w14:schemeClr w14:val="tx1"/>
                        </w14:solidFill>
                      </w14:textFill>
                    </w:rPr>
                  </w:pPr>
                </w:p>
              </w:tc>
              <w:tc>
                <w:tcPr>
                  <w:tcW w:w="975" w:type="dxa"/>
                  <w:tcBorders>
                    <w:tl2br w:val="nil"/>
                    <w:tr2bl w:val="nil"/>
                  </w:tcBorders>
                </w:tcPr>
                <w:p>
                  <w:pPr>
                    <w:pStyle w:val="88"/>
                    <w:spacing w:before="77"/>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62"/>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评价标准</w:t>
                  </w:r>
                </w:p>
              </w:tc>
              <w:tc>
                <w:tcPr>
                  <w:tcW w:w="4798" w:type="dxa"/>
                  <w:gridSpan w:val="5"/>
                  <w:tcBorders>
                    <w:tl2br w:val="nil"/>
                    <w:tr2bl w:val="nil"/>
                  </w:tcBorders>
                </w:tcPr>
                <w:p>
                  <w:pPr>
                    <w:pStyle w:val="88"/>
                    <w:spacing w:before="62"/>
                    <w:rPr>
                      <w:rFonts w:ascii="Times New Roman" w:hAnsi="Times New Roman" w:eastAsia="Times New Roman"/>
                      <w:color w:val="000000" w:themeColor="text1"/>
                      <w:sz w:val="21"/>
                      <w14:textFill>
                        <w14:solidFill>
                          <w14:schemeClr w14:val="tx1"/>
                        </w14:solidFill>
                      </w14:textFill>
                    </w:rPr>
                  </w:pPr>
                  <w:r>
                    <w:rPr>
                      <w:rFonts w:ascii="Times New Roman" w:hAnsi="Times New Roman" w:eastAsia="Times New Roman"/>
                      <w:color w:val="000000" w:themeColor="text1"/>
                      <w:sz w:val="21"/>
                      <w14:textFill>
                        <w14:solidFill>
                          <w14:schemeClr w14:val="tx1"/>
                        </w14:solidFill>
                      </w14:textFill>
                    </w:rPr>
                    <w:t>GB15618□</w:t>
                  </w:r>
                  <w:r>
                    <w:rPr>
                      <w:color w:val="000000" w:themeColor="text1"/>
                      <w:sz w:val="21"/>
                      <w14:textFill>
                        <w14:solidFill>
                          <w14:schemeClr w14:val="tx1"/>
                        </w14:solidFill>
                      </w14:textFill>
                    </w:rPr>
                    <w:t>；</w:t>
                  </w:r>
                  <w:r>
                    <w:rPr>
                      <w:rFonts w:ascii="Times New Roman" w:hAnsi="Times New Roman" w:eastAsia="Times New Roman"/>
                      <w:color w:val="000000" w:themeColor="text1"/>
                      <w:sz w:val="21"/>
                      <w14:textFill>
                        <w14:solidFill>
                          <w14:schemeClr w14:val="tx1"/>
                        </w14:solidFill>
                      </w14:textFill>
                    </w:rPr>
                    <w:t>GB36600</w:t>
                  </w:r>
                  <w:r>
                    <w:rPr>
                      <w:rFonts w:hint="eastAsia" w:ascii="Times New Roman" w:hAnsi="Times New Roman" w:eastAsia="宋体"/>
                      <w:color w:val="000000" w:themeColor="text1"/>
                      <w:sz w:val="21"/>
                      <w:lang w:eastAsia="zh-CN"/>
                      <w14:textFill>
                        <w14:solidFill>
                          <w14:schemeClr w14:val="tx1"/>
                        </w14:solidFill>
                      </w14:textFill>
                    </w:rPr>
                    <w:t>☑</w:t>
                  </w:r>
                  <w:r>
                    <w:rPr>
                      <w:color w:val="000000" w:themeColor="text1"/>
                      <w:sz w:val="21"/>
                      <w14:textFill>
                        <w14:solidFill>
                          <w14:schemeClr w14:val="tx1"/>
                        </w14:solidFill>
                      </w14:textFill>
                    </w:rPr>
                    <w:t>；表</w:t>
                  </w:r>
                  <w:r>
                    <w:rPr>
                      <w:rFonts w:ascii="Times New Roman" w:hAnsi="Times New Roman" w:eastAsia="Times New Roman"/>
                      <w:color w:val="000000" w:themeColor="text1"/>
                      <w:sz w:val="21"/>
                      <w14:textFill>
                        <w14:solidFill>
                          <w14:schemeClr w14:val="tx1"/>
                        </w14:solidFill>
                      </w14:textFill>
                    </w:rPr>
                    <w:t>D.1□</w:t>
                  </w:r>
                  <w:r>
                    <w:rPr>
                      <w:color w:val="000000" w:themeColor="text1"/>
                      <w:sz w:val="21"/>
                      <w14:textFill>
                        <w14:solidFill>
                          <w14:schemeClr w14:val="tx1"/>
                        </w14:solidFill>
                      </w14:textFill>
                    </w:rPr>
                    <w:t>；表</w:t>
                  </w:r>
                  <w:r>
                    <w:rPr>
                      <w:rFonts w:ascii="Times New Roman" w:hAnsi="Times New Roman" w:eastAsia="Times New Roman"/>
                      <w:color w:val="000000" w:themeColor="text1"/>
                      <w:sz w:val="21"/>
                      <w14:textFill>
                        <w14:solidFill>
                          <w14:schemeClr w14:val="tx1"/>
                        </w14:solidFill>
                      </w14:textFill>
                    </w:rPr>
                    <w:t>D.2□</w:t>
                  </w:r>
                  <w:r>
                    <w:rPr>
                      <w:color w:val="000000" w:themeColor="text1"/>
                      <w:sz w:val="21"/>
                      <w14:textFill>
                        <w14:solidFill>
                          <w14:schemeClr w14:val="tx1"/>
                        </w14:solidFill>
                      </w14:textFill>
                    </w:rPr>
                    <w:t>；其他</w:t>
                  </w:r>
                  <w:r>
                    <w:rPr>
                      <w:rFonts w:ascii="Times New Roman" w:hAnsi="Times New Roman" w:eastAsia="Times New Roman"/>
                      <w:color w:val="000000" w:themeColor="text1"/>
                      <w:sz w:val="21"/>
                      <w14:textFill>
                        <w14:solidFill>
                          <w14:schemeClr w14:val="tx1"/>
                        </w14:solidFill>
                      </w14:textFill>
                    </w:rPr>
                    <w:t>□</w:t>
                  </w:r>
                </w:p>
              </w:tc>
              <w:tc>
                <w:tcPr>
                  <w:tcW w:w="975" w:type="dxa"/>
                  <w:tcBorders>
                    <w:tl2br w:val="nil"/>
                    <w:tr2bl w:val="nil"/>
                  </w:tcBorders>
                </w:tcPr>
                <w:p>
                  <w:pPr>
                    <w:pStyle w:val="88"/>
                    <w:spacing w:before="76"/>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63"/>
                    <w:ind w:right="160"/>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现状评价结论</w:t>
                  </w:r>
                </w:p>
              </w:tc>
              <w:tc>
                <w:tcPr>
                  <w:tcW w:w="4798" w:type="dxa"/>
                  <w:gridSpan w:val="5"/>
                  <w:tcBorders>
                    <w:tl2br w:val="nil"/>
                    <w:tr2bl w:val="nil"/>
                  </w:tcBorders>
                </w:tcPr>
                <w:p>
                  <w:pPr>
                    <w:pStyle w:val="88"/>
                    <w:spacing w:before="63"/>
                    <w:ind w:left="751"/>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厂区及周边区域目前土壤环境质量良好</w:t>
                  </w:r>
                </w:p>
              </w:tc>
              <w:tc>
                <w:tcPr>
                  <w:tcW w:w="975" w:type="dxa"/>
                  <w:tcBorders>
                    <w:tl2br w:val="nil"/>
                    <w:tr2bl w:val="nil"/>
                  </w:tcBorders>
                </w:tcPr>
                <w:p>
                  <w:pPr>
                    <w:pStyle w:val="88"/>
                    <w:spacing w:before="77"/>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restart"/>
                  <w:tcBorders>
                    <w:tl2br w:val="nil"/>
                    <w:tr2bl w:val="nil"/>
                  </w:tcBorders>
                </w:tcPr>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spacing w:before="133"/>
                    <w:ind w:left="203"/>
                    <w:rPr>
                      <w:color w:val="000000" w:themeColor="text1"/>
                      <w:sz w:val="21"/>
                      <w14:textFill>
                        <w14:solidFill>
                          <w14:schemeClr w14:val="tx1"/>
                        </w14:solidFill>
                      </w14:textFill>
                    </w:rPr>
                  </w:pPr>
                  <w:r>
                    <w:rPr>
                      <w:color w:val="000000" w:themeColor="text1"/>
                      <w:sz w:val="21"/>
                      <w14:textFill>
                        <w14:solidFill>
                          <w14:schemeClr w14:val="tx1"/>
                        </w14:solidFill>
                      </w14:textFill>
                    </w:rPr>
                    <w:t>影响预测</w:t>
                  </w:r>
                </w:p>
              </w:tc>
              <w:tc>
                <w:tcPr>
                  <w:tcW w:w="1585" w:type="dxa"/>
                  <w:tcBorders>
                    <w:tl2br w:val="nil"/>
                    <w:tr2bl w:val="nil"/>
                  </w:tcBorders>
                </w:tcPr>
                <w:p>
                  <w:pPr>
                    <w:pStyle w:val="88"/>
                    <w:spacing w:before="62"/>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预测因子</w:t>
                  </w:r>
                </w:p>
              </w:tc>
              <w:tc>
                <w:tcPr>
                  <w:tcW w:w="4798" w:type="dxa"/>
                  <w:gridSpan w:val="5"/>
                  <w:tcBorders>
                    <w:tl2br w:val="nil"/>
                    <w:tr2bl w:val="nil"/>
                  </w:tcBorders>
                </w:tcPr>
                <w:p>
                  <w:pPr>
                    <w:pStyle w:val="88"/>
                    <w:spacing w:before="76"/>
                    <w:ind w:left="123" w:right="81"/>
                    <w:jc w:val="center"/>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w:t>
                  </w:r>
                </w:p>
              </w:tc>
              <w:tc>
                <w:tcPr>
                  <w:tcW w:w="975" w:type="dxa"/>
                  <w:tcBorders>
                    <w:tl2br w:val="nil"/>
                    <w:tr2bl w:val="nil"/>
                  </w:tcBorders>
                </w:tcPr>
                <w:p>
                  <w:pPr>
                    <w:pStyle w:val="88"/>
                    <w:spacing w:before="76"/>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63"/>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预测方法</w:t>
                  </w:r>
                </w:p>
              </w:tc>
              <w:tc>
                <w:tcPr>
                  <w:tcW w:w="4798" w:type="dxa"/>
                  <w:gridSpan w:val="5"/>
                  <w:tcBorders>
                    <w:tl2br w:val="nil"/>
                    <w:tr2bl w:val="nil"/>
                  </w:tcBorders>
                </w:tcPr>
                <w:p>
                  <w:pPr>
                    <w:pStyle w:val="88"/>
                    <w:spacing w:before="63"/>
                    <w:ind w:left="818"/>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附录</w:t>
                  </w:r>
                  <w:r>
                    <w:rPr>
                      <w:rFonts w:ascii="Times New Roman" w:hAnsi="Times New Roman" w:eastAsia="Times New Roman"/>
                      <w:color w:val="000000" w:themeColor="text1"/>
                      <w:sz w:val="21"/>
                      <w:lang w:eastAsia="zh-CN"/>
                      <w14:textFill>
                        <w14:solidFill>
                          <w14:schemeClr w14:val="tx1"/>
                        </w14:solidFill>
                      </w14:textFill>
                    </w:rPr>
                    <w:t>E□</w:t>
                  </w:r>
                  <w:r>
                    <w:rPr>
                      <w:color w:val="000000" w:themeColor="text1"/>
                      <w:sz w:val="21"/>
                      <w:lang w:eastAsia="zh-CN"/>
                      <w14:textFill>
                        <w14:solidFill>
                          <w14:schemeClr w14:val="tx1"/>
                        </w14:solidFill>
                      </w14:textFill>
                    </w:rPr>
                    <w:t>；附录</w:t>
                  </w:r>
                  <w:r>
                    <w:rPr>
                      <w:rFonts w:ascii="Times New Roman" w:hAnsi="Times New Roman" w:eastAsia="Times New Roman"/>
                      <w:color w:val="000000" w:themeColor="text1"/>
                      <w:sz w:val="21"/>
                      <w:lang w:eastAsia="zh-CN"/>
                      <w14:textFill>
                        <w14:solidFill>
                          <w14:schemeClr w14:val="tx1"/>
                        </w14:solidFill>
                      </w14:textFill>
                    </w:rPr>
                    <w:t>F□</w:t>
                  </w:r>
                  <w:r>
                    <w:rPr>
                      <w:color w:val="000000" w:themeColor="text1"/>
                      <w:sz w:val="21"/>
                      <w:lang w:eastAsia="zh-CN"/>
                      <w14:textFill>
                        <w14:solidFill>
                          <w14:schemeClr w14:val="tx1"/>
                        </w14:solidFill>
                      </w14:textFill>
                    </w:rPr>
                    <w:t>；其他（类比分析）</w:t>
                  </w:r>
                </w:p>
              </w:tc>
              <w:tc>
                <w:tcPr>
                  <w:tcW w:w="975" w:type="dxa"/>
                  <w:tcBorders>
                    <w:tl2br w:val="nil"/>
                    <w:tr2bl w:val="nil"/>
                  </w:tcBorders>
                </w:tcPr>
                <w:p>
                  <w:pPr>
                    <w:pStyle w:val="88"/>
                    <w:spacing w:before="77"/>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176"/>
                    <w:ind w:left="195" w:right="16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预测分析内容</w:t>
                  </w:r>
                </w:p>
              </w:tc>
              <w:tc>
                <w:tcPr>
                  <w:tcW w:w="4798" w:type="dxa"/>
                  <w:gridSpan w:val="5"/>
                  <w:tcBorders>
                    <w:tl2br w:val="nil"/>
                    <w:tr2bl w:val="nil"/>
                  </w:tcBorders>
                </w:tcPr>
                <w:p>
                  <w:pPr>
                    <w:pStyle w:val="88"/>
                    <w:spacing w:before="21"/>
                    <w:ind w:left="123" w:right="81"/>
                    <w:jc w:val="center"/>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影响范围（控制在评价范围内）</w:t>
                  </w:r>
                </w:p>
                <w:p>
                  <w:pPr>
                    <w:pStyle w:val="88"/>
                    <w:spacing w:before="42"/>
                    <w:ind w:left="123" w:right="81"/>
                    <w:jc w:val="center"/>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影响程度（对土壤环境影响较小）</w:t>
                  </w:r>
                </w:p>
              </w:tc>
              <w:tc>
                <w:tcPr>
                  <w:tcW w:w="975" w:type="dxa"/>
                  <w:tcBorders>
                    <w:tl2br w:val="nil"/>
                    <w:tr2bl w:val="nil"/>
                  </w:tcBorders>
                </w:tcPr>
                <w:p>
                  <w:pPr>
                    <w:pStyle w:val="88"/>
                    <w:spacing w:before="190"/>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176"/>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预测结论</w:t>
                  </w:r>
                </w:p>
              </w:tc>
              <w:tc>
                <w:tcPr>
                  <w:tcW w:w="4798" w:type="dxa"/>
                  <w:gridSpan w:val="5"/>
                  <w:tcBorders>
                    <w:tl2br w:val="nil"/>
                    <w:tr2bl w:val="nil"/>
                  </w:tcBorders>
                </w:tcPr>
                <w:p>
                  <w:pPr>
                    <w:pStyle w:val="88"/>
                    <w:spacing w:before="20"/>
                    <w:ind w:left="129" w:right="81"/>
                    <w:jc w:val="center"/>
                    <w:rPr>
                      <w:rFonts w:ascii="Times New Roman" w:hAnsi="Times New Roman" w:eastAsia="Times New Roman"/>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达标结论：</w:t>
                  </w:r>
                  <w:r>
                    <w:rPr>
                      <w:rFonts w:ascii="Times New Roman" w:hAnsi="Times New Roman" w:eastAsia="Times New Roman"/>
                      <w:color w:val="000000" w:themeColor="text1"/>
                      <w:sz w:val="21"/>
                      <w:lang w:eastAsia="zh-CN"/>
                      <w14:textFill>
                        <w14:solidFill>
                          <w14:schemeClr w14:val="tx1"/>
                        </w14:solidFill>
                      </w14:textFill>
                    </w:rPr>
                    <w:t>a) □</w:t>
                  </w:r>
                  <w:r>
                    <w:rPr>
                      <w:color w:val="000000" w:themeColor="text1"/>
                      <w:sz w:val="21"/>
                      <w:lang w:eastAsia="zh-CN"/>
                      <w14:textFill>
                        <w14:solidFill>
                          <w14:schemeClr w14:val="tx1"/>
                        </w14:solidFill>
                      </w14:textFill>
                    </w:rPr>
                    <w:t>；</w:t>
                  </w:r>
                  <w:r>
                    <w:rPr>
                      <w:rFonts w:ascii="Times New Roman" w:hAnsi="Times New Roman" w:eastAsia="Times New Roman"/>
                      <w:color w:val="000000" w:themeColor="text1"/>
                      <w:sz w:val="21"/>
                      <w:lang w:eastAsia="zh-CN"/>
                      <w14:textFill>
                        <w14:solidFill>
                          <w14:schemeClr w14:val="tx1"/>
                        </w14:solidFill>
                      </w14:textFill>
                    </w:rPr>
                    <w:t>b) □</w:t>
                  </w:r>
                  <w:r>
                    <w:rPr>
                      <w:color w:val="000000" w:themeColor="text1"/>
                      <w:sz w:val="21"/>
                      <w:lang w:eastAsia="zh-CN"/>
                      <w14:textFill>
                        <w14:solidFill>
                          <w14:schemeClr w14:val="tx1"/>
                        </w14:solidFill>
                      </w14:textFill>
                    </w:rPr>
                    <w:t>；</w:t>
                  </w:r>
                  <w:r>
                    <w:rPr>
                      <w:rFonts w:ascii="Times New Roman" w:hAnsi="Times New Roman" w:eastAsia="Times New Roman"/>
                      <w:color w:val="000000" w:themeColor="text1"/>
                      <w:sz w:val="21"/>
                      <w:lang w:eastAsia="zh-CN"/>
                      <w14:textFill>
                        <w14:solidFill>
                          <w14:schemeClr w14:val="tx1"/>
                        </w14:solidFill>
                      </w14:textFill>
                    </w:rPr>
                    <w:t>c)□</w:t>
                  </w:r>
                </w:p>
                <w:p>
                  <w:pPr>
                    <w:pStyle w:val="88"/>
                    <w:spacing w:before="43"/>
                    <w:ind w:left="128" w:right="81"/>
                    <w:jc w:val="center"/>
                    <w:rPr>
                      <w:rFonts w:ascii="Times New Roman" w:hAnsi="Times New Roman" w:eastAsia="Times New Roman"/>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不达标结论：</w:t>
                  </w:r>
                  <w:r>
                    <w:rPr>
                      <w:rFonts w:ascii="Times New Roman" w:hAnsi="Times New Roman" w:eastAsia="Times New Roman"/>
                      <w:color w:val="000000" w:themeColor="text1"/>
                      <w:sz w:val="21"/>
                      <w:lang w:eastAsia="zh-CN"/>
                      <w14:textFill>
                        <w14:solidFill>
                          <w14:schemeClr w14:val="tx1"/>
                        </w14:solidFill>
                      </w14:textFill>
                    </w:rPr>
                    <w:t>a) □</w:t>
                  </w:r>
                  <w:r>
                    <w:rPr>
                      <w:color w:val="000000" w:themeColor="text1"/>
                      <w:sz w:val="21"/>
                      <w:lang w:eastAsia="zh-CN"/>
                      <w14:textFill>
                        <w14:solidFill>
                          <w14:schemeClr w14:val="tx1"/>
                        </w14:solidFill>
                      </w14:textFill>
                    </w:rPr>
                    <w:t>；</w:t>
                  </w:r>
                  <w:r>
                    <w:rPr>
                      <w:rFonts w:ascii="Times New Roman" w:hAnsi="Times New Roman" w:eastAsia="Times New Roman"/>
                      <w:color w:val="000000" w:themeColor="text1"/>
                      <w:sz w:val="21"/>
                      <w:lang w:eastAsia="zh-CN"/>
                      <w14:textFill>
                        <w14:solidFill>
                          <w14:schemeClr w14:val="tx1"/>
                        </w14:solidFill>
                      </w14:textFill>
                    </w:rPr>
                    <w:t>b)</w:t>
                  </w:r>
                </w:p>
              </w:tc>
              <w:tc>
                <w:tcPr>
                  <w:tcW w:w="975" w:type="dxa"/>
                  <w:tcBorders>
                    <w:tl2br w:val="nil"/>
                    <w:tr2bl w:val="nil"/>
                  </w:tcBorders>
                </w:tcPr>
                <w:p>
                  <w:pPr>
                    <w:pStyle w:val="88"/>
                    <w:spacing w:before="190"/>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180" w:type="dxa"/>
                  <w:vMerge w:val="restart"/>
                  <w:tcBorders>
                    <w:tl2br w:val="nil"/>
                    <w:tr2bl w:val="nil"/>
                  </w:tcBorders>
                </w:tcPr>
                <w:p>
                  <w:pPr>
                    <w:pStyle w:val="88"/>
                    <w:rPr>
                      <w:color w:val="000000" w:themeColor="text1"/>
                      <w:sz w:val="20"/>
                      <w14:textFill>
                        <w14:solidFill>
                          <w14:schemeClr w14:val="tx1"/>
                        </w14:solidFill>
                      </w14:textFill>
                    </w:rPr>
                  </w:pPr>
                </w:p>
                <w:p>
                  <w:pPr>
                    <w:pStyle w:val="88"/>
                    <w:rPr>
                      <w:color w:val="000000" w:themeColor="text1"/>
                      <w:sz w:val="20"/>
                      <w14:textFill>
                        <w14:solidFill>
                          <w14:schemeClr w14:val="tx1"/>
                        </w14:solidFill>
                      </w14:textFill>
                    </w:rPr>
                  </w:pPr>
                </w:p>
                <w:p>
                  <w:pPr>
                    <w:pStyle w:val="88"/>
                    <w:spacing w:before="6"/>
                    <w:rPr>
                      <w:color w:val="000000" w:themeColor="text1"/>
                      <w:sz w:val="21"/>
                      <w14:textFill>
                        <w14:solidFill>
                          <w14:schemeClr w14:val="tx1"/>
                        </w14:solidFill>
                      </w14:textFill>
                    </w:rPr>
                  </w:pPr>
                </w:p>
                <w:p>
                  <w:pPr>
                    <w:pStyle w:val="88"/>
                    <w:ind w:left="203"/>
                    <w:rPr>
                      <w:color w:val="000000" w:themeColor="text1"/>
                      <w:sz w:val="21"/>
                      <w14:textFill>
                        <w14:solidFill>
                          <w14:schemeClr w14:val="tx1"/>
                        </w14:solidFill>
                      </w14:textFill>
                    </w:rPr>
                  </w:pPr>
                  <w:r>
                    <w:rPr>
                      <w:color w:val="000000" w:themeColor="text1"/>
                      <w:sz w:val="21"/>
                      <w14:textFill>
                        <w14:solidFill>
                          <w14:schemeClr w14:val="tx1"/>
                        </w14:solidFill>
                      </w14:textFill>
                    </w:rPr>
                    <w:t>防控措施</w:t>
                  </w:r>
                </w:p>
              </w:tc>
              <w:tc>
                <w:tcPr>
                  <w:tcW w:w="1585" w:type="dxa"/>
                  <w:tcBorders>
                    <w:tl2br w:val="nil"/>
                    <w:tr2bl w:val="nil"/>
                  </w:tcBorders>
                </w:tcPr>
                <w:p>
                  <w:pPr>
                    <w:pStyle w:val="88"/>
                    <w:spacing w:before="176"/>
                    <w:ind w:left="195" w:right="15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防控措施</w:t>
                  </w:r>
                </w:p>
              </w:tc>
              <w:tc>
                <w:tcPr>
                  <w:tcW w:w="4798" w:type="dxa"/>
                  <w:gridSpan w:val="5"/>
                  <w:tcBorders>
                    <w:tl2br w:val="nil"/>
                    <w:tr2bl w:val="nil"/>
                  </w:tcBorders>
                </w:tcPr>
                <w:p>
                  <w:pPr>
                    <w:pStyle w:val="88"/>
                    <w:spacing w:before="20"/>
                    <w:ind w:left="232" w:right="81"/>
                    <w:jc w:val="center"/>
                    <w:rPr>
                      <w:color w:val="000000" w:themeColor="text1"/>
                      <w:sz w:val="21"/>
                      <w:lang w:eastAsia="zh-CN"/>
                      <w14:textFill>
                        <w14:solidFill>
                          <w14:schemeClr w14:val="tx1"/>
                        </w14:solidFill>
                      </w14:textFill>
                    </w:rPr>
                  </w:pPr>
                  <w:r>
                    <w:rPr>
                      <w:color w:val="000000" w:themeColor="text1"/>
                      <w:w w:val="95"/>
                      <w:sz w:val="21"/>
                      <w:lang w:eastAsia="zh-CN"/>
                      <w14:textFill>
                        <w14:solidFill>
                          <w14:schemeClr w14:val="tx1"/>
                        </w14:solidFill>
                      </w14:textFill>
                    </w:rPr>
                    <w:t>土壤环境质量现状保障</w:t>
                  </w:r>
                  <w:r>
                    <w:rPr>
                      <w:rFonts w:ascii="Times New Roman" w:hAnsi="Times New Roman" w:eastAsia="Times New Roman"/>
                      <w:color w:val="000000" w:themeColor="text1"/>
                      <w:spacing w:val="-6"/>
                      <w:w w:val="95"/>
                      <w:sz w:val="21"/>
                      <w:lang w:eastAsia="zh-CN"/>
                      <w14:textFill>
                        <w14:solidFill>
                          <w14:schemeClr w14:val="tx1"/>
                        </w14:solidFill>
                      </w14:textFill>
                    </w:rPr>
                    <w:t>□</w:t>
                  </w:r>
                  <w:r>
                    <w:rPr>
                      <w:color w:val="000000" w:themeColor="text1"/>
                      <w:spacing w:val="-2"/>
                      <w:w w:val="95"/>
                      <w:sz w:val="21"/>
                      <w:lang w:eastAsia="zh-CN"/>
                      <w14:textFill>
                        <w14:solidFill>
                          <w14:schemeClr w14:val="tx1"/>
                        </w14:solidFill>
                      </w14:textFill>
                    </w:rPr>
                    <w:t>；源头控制</w:t>
                  </w:r>
                  <w:r>
                    <w:rPr>
                      <w:rFonts w:hint="eastAsia" w:ascii="MS UI Gothic" w:hAnsi="MS UI Gothic" w:eastAsia="MS UI Gothic"/>
                      <w:color w:val="000000" w:themeColor="text1"/>
                      <w:spacing w:val="-4"/>
                      <w:w w:val="95"/>
                      <w:sz w:val="21"/>
                      <w:lang w:eastAsia="zh-CN"/>
                      <w14:textFill>
                        <w14:solidFill>
                          <w14:schemeClr w14:val="tx1"/>
                        </w14:solidFill>
                      </w14:textFill>
                    </w:rPr>
                    <w:t>☑</w:t>
                  </w:r>
                  <w:r>
                    <w:rPr>
                      <w:color w:val="000000" w:themeColor="text1"/>
                      <w:spacing w:val="-2"/>
                      <w:w w:val="95"/>
                      <w:sz w:val="21"/>
                      <w:lang w:eastAsia="zh-CN"/>
                      <w14:textFill>
                        <w14:solidFill>
                          <w14:schemeClr w14:val="tx1"/>
                        </w14:solidFill>
                      </w14:textFill>
                    </w:rPr>
                    <w:t>；过程防控</w:t>
                  </w:r>
                  <w:r>
                    <w:rPr>
                      <w:rFonts w:hint="eastAsia" w:ascii="MS UI Gothic" w:hAnsi="MS UI Gothic" w:eastAsia="MS UI Gothic"/>
                      <w:color w:val="000000" w:themeColor="text1"/>
                      <w:w w:val="95"/>
                      <w:sz w:val="21"/>
                      <w:lang w:eastAsia="zh-CN"/>
                      <w14:textFill>
                        <w14:solidFill>
                          <w14:schemeClr w14:val="tx1"/>
                        </w14:solidFill>
                      </w14:textFill>
                    </w:rPr>
                    <w:t>☑</w:t>
                  </w:r>
                  <w:r>
                    <w:rPr>
                      <w:color w:val="000000" w:themeColor="text1"/>
                      <w:w w:val="95"/>
                      <w:sz w:val="21"/>
                      <w:lang w:eastAsia="zh-CN"/>
                      <w14:textFill>
                        <w14:solidFill>
                          <w14:schemeClr w14:val="tx1"/>
                        </w14:solidFill>
                      </w14:textFill>
                    </w:rPr>
                    <w:t>；</w:t>
                  </w:r>
                </w:p>
                <w:p>
                  <w:pPr>
                    <w:pStyle w:val="88"/>
                    <w:spacing w:before="43"/>
                    <w:ind w:left="122" w:right="81"/>
                    <w:jc w:val="center"/>
                    <w:rPr>
                      <w:rFonts w:ascii="Times New Roman" w:hAnsi="Times New Roman" w:eastAsia="Times New Roman"/>
                      <w:color w:val="000000" w:themeColor="text1"/>
                      <w:sz w:val="21"/>
                      <w14:textFill>
                        <w14:solidFill>
                          <w14:schemeClr w14:val="tx1"/>
                        </w14:solidFill>
                      </w14:textFill>
                    </w:rPr>
                  </w:pPr>
                  <w:r>
                    <w:rPr>
                      <w:color w:val="000000" w:themeColor="text1"/>
                      <w:sz w:val="21"/>
                      <w14:textFill>
                        <w14:solidFill>
                          <w14:schemeClr w14:val="tx1"/>
                        </w14:solidFill>
                      </w14:textFill>
                    </w:rPr>
                    <w:t>其他</w:t>
                  </w:r>
                  <w:r>
                    <w:rPr>
                      <w:rFonts w:ascii="Times New Roman" w:hAnsi="Times New Roman" w:eastAsia="Times New Roman"/>
                      <w:color w:val="000000" w:themeColor="text1"/>
                      <w:sz w:val="21"/>
                      <w14:textFill>
                        <w14:solidFill>
                          <w14:schemeClr w14:val="tx1"/>
                        </w14:solidFill>
                      </w14:textFill>
                    </w:rPr>
                    <w:t>□</w:t>
                  </w:r>
                </w:p>
              </w:tc>
              <w:tc>
                <w:tcPr>
                  <w:tcW w:w="975" w:type="dxa"/>
                  <w:tcBorders>
                    <w:tl2br w:val="nil"/>
                    <w:tr2bl w:val="nil"/>
                  </w:tcBorders>
                </w:tcPr>
                <w:p>
                  <w:pPr>
                    <w:pStyle w:val="88"/>
                    <w:spacing w:before="190"/>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vMerge w:val="restart"/>
                  <w:tcBorders>
                    <w:tl2br w:val="nil"/>
                    <w:tr2bl w:val="nil"/>
                  </w:tcBorders>
                </w:tcPr>
                <w:p>
                  <w:pPr>
                    <w:pStyle w:val="88"/>
                    <w:spacing w:before="10"/>
                    <w:rPr>
                      <w:color w:val="000000" w:themeColor="text1"/>
                      <w:sz w:val="20"/>
                      <w14:textFill>
                        <w14:solidFill>
                          <w14:schemeClr w14:val="tx1"/>
                        </w14:solidFill>
                      </w14:textFill>
                    </w:rPr>
                  </w:pPr>
                </w:p>
                <w:p>
                  <w:pPr>
                    <w:pStyle w:val="88"/>
                    <w:ind w:left="427"/>
                    <w:rPr>
                      <w:color w:val="000000" w:themeColor="text1"/>
                      <w:sz w:val="21"/>
                      <w14:textFill>
                        <w14:solidFill>
                          <w14:schemeClr w14:val="tx1"/>
                        </w14:solidFill>
                      </w14:textFill>
                    </w:rPr>
                  </w:pPr>
                  <w:r>
                    <w:rPr>
                      <w:color w:val="000000" w:themeColor="text1"/>
                      <w:sz w:val="21"/>
                      <w14:textFill>
                        <w14:solidFill>
                          <w14:schemeClr w14:val="tx1"/>
                        </w14:solidFill>
                      </w14:textFill>
                    </w:rPr>
                    <w:t>跟踪监测</w:t>
                  </w:r>
                </w:p>
              </w:tc>
              <w:tc>
                <w:tcPr>
                  <w:tcW w:w="1417" w:type="dxa"/>
                  <w:tcBorders>
                    <w:tl2br w:val="nil"/>
                    <w:tr2bl w:val="nil"/>
                  </w:tcBorders>
                </w:tcPr>
                <w:p>
                  <w:pPr>
                    <w:pStyle w:val="88"/>
                    <w:spacing w:before="62"/>
                    <w:ind w:left="157" w:right="114"/>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监测点数</w:t>
                  </w:r>
                </w:p>
              </w:tc>
              <w:tc>
                <w:tcPr>
                  <w:tcW w:w="1588" w:type="dxa"/>
                  <w:gridSpan w:val="2"/>
                  <w:tcBorders>
                    <w:tl2br w:val="nil"/>
                    <w:tr2bl w:val="nil"/>
                  </w:tcBorders>
                </w:tcPr>
                <w:p>
                  <w:pPr>
                    <w:pStyle w:val="88"/>
                    <w:spacing w:before="76"/>
                    <w:ind w:left="46"/>
                    <w:jc w:val="center"/>
                    <w:rPr>
                      <w:rFonts w:hint="eastAsia" w:ascii="Times New Roman" w:eastAsiaTheme="minorEastAsia"/>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检测指标</w:t>
                  </w:r>
                </w:p>
              </w:tc>
              <w:tc>
                <w:tcPr>
                  <w:tcW w:w="1793" w:type="dxa"/>
                  <w:gridSpan w:val="2"/>
                  <w:tcBorders>
                    <w:tl2br w:val="nil"/>
                    <w:tr2bl w:val="nil"/>
                  </w:tcBorders>
                </w:tcPr>
                <w:p>
                  <w:pPr>
                    <w:pStyle w:val="88"/>
                    <w:spacing w:before="62"/>
                    <w:ind w:left="538"/>
                    <w:rPr>
                      <w:color w:val="000000" w:themeColor="text1"/>
                      <w:sz w:val="21"/>
                      <w14:textFill>
                        <w14:solidFill>
                          <w14:schemeClr w14:val="tx1"/>
                        </w14:solidFill>
                      </w14:textFill>
                    </w:rPr>
                  </w:pPr>
                  <w:r>
                    <w:rPr>
                      <w:color w:val="000000" w:themeColor="text1"/>
                      <w:sz w:val="21"/>
                      <w14:textFill>
                        <w14:solidFill>
                          <w14:schemeClr w14:val="tx1"/>
                        </w14:solidFill>
                      </w14:textFill>
                    </w:rPr>
                    <w:t>监测频次</w:t>
                  </w:r>
                </w:p>
              </w:tc>
              <w:tc>
                <w:tcPr>
                  <w:tcW w:w="975" w:type="dxa"/>
                  <w:tcBorders>
                    <w:tl2br w:val="nil"/>
                    <w:tr2bl w:val="nil"/>
                  </w:tcBorders>
                </w:tcPr>
                <w:p>
                  <w:pPr>
                    <w:pStyle w:val="88"/>
                    <w:spacing w:before="76"/>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417" w:type="dxa"/>
                  <w:tcBorders>
                    <w:tl2br w:val="nil"/>
                    <w:tr2bl w:val="nil"/>
                  </w:tcBorders>
                </w:tcPr>
                <w:p>
                  <w:pPr>
                    <w:pStyle w:val="88"/>
                    <w:spacing w:before="77"/>
                    <w:ind w:left="46"/>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588" w:type="dxa"/>
                  <w:gridSpan w:val="2"/>
                  <w:tcBorders>
                    <w:tl2br w:val="nil"/>
                    <w:tr2bl w:val="nil"/>
                  </w:tcBorders>
                </w:tcPr>
                <w:p>
                  <w:pPr>
                    <w:pStyle w:val="88"/>
                    <w:spacing w:before="77"/>
                    <w:ind w:left="46"/>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1793" w:type="dxa"/>
                  <w:gridSpan w:val="2"/>
                  <w:tcBorders>
                    <w:tl2br w:val="nil"/>
                    <w:tr2bl w:val="nil"/>
                  </w:tcBorders>
                </w:tcPr>
                <w:p>
                  <w:pPr>
                    <w:pStyle w:val="88"/>
                    <w:spacing w:before="77"/>
                    <w:ind w:left="43"/>
                    <w:jc w:val="center"/>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c>
                <w:tcPr>
                  <w:tcW w:w="975" w:type="dxa"/>
                  <w:tcBorders>
                    <w:tl2br w:val="nil"/>
                    <w:tr2bl w:val="nil"/>
                  </w:tcBorders>
                </w:tcPr>
                <w:p>
                  <w:pPr>
                    <w:pStyle w:val="88"/>
                    <w:spacing w:before="77"/>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80"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85" w:type="dxa"/>
                  <w:tcBorders>
                    <w:tl2br w:val="nil"/>
                    <w:tr2bl w:val="nil"/>
                  </w:tcBorders>
                </w:tcPr>
                <w:p>
                  <w:pPr>
                    <w:pStyle w:val="88"/>
                    <w:spacing w:before="62"/>
                    <w:ind w:left="195" w:right="16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信息公开指标</w:t>
                  </w:r>
                </w:p>
              </w:tc>
              <w:tc>
                <w:tcPr>
                  <w:tcW w:w="4798" w:type="dxa"/>
                  <w:gridSpan w:val="5"/>
                  <w:tcBorders>
                    <w:tl2br w:val="nil"/>
                    <w:tr2bl w:val="nil"/>
                  </w:tcBorders>
                </w:tcPr>
                <w:p>
                  <w:pPr>
                    <w:pStyle w:val="88"/>
                    <w:spacing w:before="62"/>
                    <w:ind w:left="962"/>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防控措施和跟踪监测计划全部内容</w:t>
                  </w:r>
                </w:p>
              </w:tc>
              <w:tc>
                <w:tcPr>
                  <w:tcW w:w="975" w:type="dxa"/>
                  <w:tcBorders>
                    <w:tl2br w:val="nil"/>
                    <w:tr2bl w:val="nil"/>
                  </w:tcBorders>
                </w:tcPr>
                <w:p>
                  <w:pPr>
                    <w:pStyle w:val="88"/>
                    <w:spacing w:before="76"/>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2765" w:type="dxa"/>
                  <w:gridSpan w:val="2"/>
                  <w:tcBorders>
                    <w:tl2br w:val="nil"/>
                    <w:tr2bl w:val="nil"/>
                  </w:tcBorders>
                </w:tcPr>
                <w:p>
                  <w:pPr>
                    <w:pStyle w:val="8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评价结论</w:t>
                  </w:r>
                </w:p>
              </w:tc>
              <w:tc>
                <w:tcPr>
                  <w:tcW w:w="4798" w:type="dxa"/>
                  <w:gridSpan w:val="5"/>
                  <w:tcBorders>
                    <w:tl2br w:val="nil"/>
                    <w:tr2bl w:val="nil"/>
                  </w:tcBorders>
                </w:tcPr>
                <w:p>
                  <w:pPr>
                    <w:pStyle w:val="88"/>
                    <w:spacing w:before="63"/>
                    <w:ind w:left="1697"/>
                    <w:rPr>
                      <w:color w:val="000000" w:themeColor="text1"/>
                      <w:sz w:val="21"/>
                      <w14:textFill>
                        <w14:solidFill>
                          <w14:schemeClr w14:val="tx1"/>
                        </w14:solidFill>
                      </w14:textFill>
                    </w:rPr>
                  </w:pPr>
                  <w:r>
                    <w:rPr>
                      <w:color w:val="000000" w:themeColor="text1"/>
                      <w:sz w:val="21"/>
                      <w14:textFill>
                        <w14:solidFill>
                          <w14:schemeClr w14:val="tx1"/>
                        </w14:solidFill>
                      </w14:textFill>
                    </w:rPr>
                    <w:t>土壤影响可以接受</w:t>
                  </w:r>
                </w:p>
              </w:tc>
              <w:tc>
                <w:tcPr>
                  <w:tcW w:w="975" w:type="dxa"/>
                  <w:tcBorders>
                    <w:tl2br w:val="nil"/>
                    <w:tr2bl w:val="nil"/>
                  </w:tcBorders>
                </w:tcPr>
                <w:p>
                  <w:pPr>
                    <w:pStyle w:val="88"/>
                    <w:spacing w:before="77"/>
                    <w:ind w:left="495"/>
                    <w:rPr>
                      <w:rFonts w:ascii="Times New Roman"/>
                      <w:color w:val="000000" w:themeColor="text1"/>
                      <w:sz w:val="21"/>
                      <w14:textFill>
                        <w14:solidFill>
                          <w14:schemeClr w14:val="tx1"/>
                        </w14:solidFill>
                      </w14:textFill>
                    </w:rPr>
                  </w:pPr>
                  <w:r>
                    <w:rPr>
                      <w:rFonts w:ascii="Times New Roman"/>
                      <w:color w:val="000000" w:themeColor="text1"/>
                      <w:w w:val="99"/>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8538" w:type="dxa"/>
                  <w:gridSpan w:val="8"/>
                  <w:tcBorders>
                    <w:tl2br w:val="nil"/>
                    <w:tr2bl w:val="nil"/>
                  </w:tcBorders>
                </w:tcPr>
                <w:p>
                  <w:pPr>
                    <w:pStyle w:val="88"/>
                    <w:spacing w:before="62"/>
                    <w:ind w:left="119"/>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注：未勾选和填写项为不涉及内容</w:t>
                  </w:r>
                </w:p>
              </w:tc>
            </w:tr>
          </w:tbl>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（5）土壤环境保护措施</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①建立土壤和地下水污染隐患排查治理制度，定期对重点区域、重点设施开展隐患排查。发现污染隐患的，应当制定整改方案，及时采取技术、管理措施消除隐患。隐患排查、治理情况应当如实记录并建立档案。</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②建议污水处理设施、油罐区等存在土壤污染风险的设施，按照国家有关标准和规范的要求，设计、建设和安装有关防腐蚀、防泄漏设施和泄漏监测装置，防止有毒有害物质污染土壤和地下水。</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③建议通过油料周转量核算正常损耗率，通过异常损耗率可间接反映出可能存在污染事故。</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④定期维护相应分区防渗措施，维持相应防渗区的防渗能力。通过以上措施从源头控制、过程防控上避免对土壤环境的污染。</w:t>
            </w:r>
          </w:p>
          <w:p>
            <w:p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6、固废环境影响分析</w:t>
            </w:r>
          </w:p>
          <w:p>
            <w:pPr>
              <w:spacing w:line="460" w:lineRule="exact"/>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项目生活垃圾主要是职工和顾客日常生活产生的生活垃圾，全部经收集后由环卫部门清运；包装废物经收集后与生活垃圾一起由环卫部门清运。处理跑冒滴漏时产生的含油棉纱；三次油气回收产生的废活性炭；在加油机内有少量废残油渣，同时地下储油罐经过长期使用，在罐底积累的油泥需定时清除，该部分固废委托有资质的单位处置，建设单位不得私自处置该部分固废。</w:t>
            </w:r>
          </w:p>
          <w:p>
            <w:pPr>
              <w:autoSpaceDE w:val="0"/>
              <w:autoSpaceDN w:val="0"/>
              <w:adjustRightInd w:val="0"/>
              <w:spacing w:line="240" w:lineRule="auto"/>
              <w:ind w:firstLine="0" w:firstLineChars="0"/>
              <w:jc w:val="center"/>
              <w:rPr>
                <w:rFonts w:hAnsi="宋体"/>
                <w:b/>
                <w:color w:val="000000" w:themeColor="text1"/>
                <w:kern w:val="0"/>
                <w:sz w:val="21"/>
                <w:szCs w:val="21"/>
                <w14:textFill>
                  <w14:solidFill>
                    <w14:schemeClr w14:val="tx1"/>
                  </w14:solidFill>
                </w14:textFill>
              </w:rPr>
            </w:pPr>
            <w:r>
              <w:rPr>
                <w:rFonts w:hAnsi="宋体"/>
                <w:b/>
                <w:color w:val="000000" w:themeColor="text1"/>
                <w:kern w:val="0"/>
                <w:sz w:val="21"/>
                <w:szCs w:val="21"/>
                <w14:textFill>
                  <w14:solidFill>
                    <w14:schemeClr w14:val="tx1"/>
                  </w14:solidFill>
                </w14:textFill>
              </w:rPr>
              <w:t>表7-</w:t>
            </w:r>
            <w:r>
              <w:rPr>
                <w:rFonts w:hint="eastAsia" w:hAnsi="宋体"/>
                <w:b/>
                <w:color w:val="000000" w:themeColor="text1"/>
                <w:kern w:val="0"/>
                <w:sz w:val="21"/>
                <w:szCs w:val="21"/>
                <w14:textFill>
                  <w14:solidFill>
                    <w14:schemeClr w14:val="tx1"/>
                  </w14:solidFill>
                </w14:textFill>
              </w:rPr>
              <w:t>1</w:t>
            </w:r>
            <w:r>
              <w:rPr>
                <w:rFonts w:hint="eastAsia" w:hAnsi="宋体"/>
                <w:b/>
                <w:color w:val="000000" w:themeColor="text1"/>
                <w:kern w:val="0"/>
                <w:sz w:val="21"/>
                <w:szCs w:val="21"/>
                <w:lang w:val="en-US" w:eastAsia="zh-CN"/>
                <w14:textFill>
                  <w14:solidFill>
                    <w14:schemeClr w14:val="tx1"/>
                  </w14:solidFill>
                </w14:textFill>
              </w:rPr>
              <w:t>5</w:t>
            </w:r>
            <w:r>
              <w:rPr>
                <w:rFonts w:hAnsi="宋体"/>
                <w:b/>
                <w:color w:val="000000" w:themeColor="text1"/>
                <w:kern w:val="0"/>
                <w:sz w:val="21"/>
                <w:szCs w:val="21"/>
                <w14:textFill>
                  <w14:solidFill>
                    <w14:schemeClr w14:val="tx1"/>
                  </w14:solidFill>
                </w14:textFill>
              </w:rPr>
              <w:t xml:space="preserve"> 固废清单</w:t>
            </w:r>
          </w:p>
          <w:tbl>
            <w:tblPr>
              <w:tblStyle w:val="28"/>
              <w:tblW w:w="842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64"/>
              <w:gridCol w:w="1842"/>
              <w:gridCol w:w="1418"/>
              <w:gridCol w:w="1490"/>
              <w:gridCol w:w="15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序号</w:t>
                  </w:r>
                </w:p>
              </w:tc>
              <w:tc>
                <w:tcPr>
                  <w:tcW w:w="1464"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污染物类别</w:t>
                  </w:r>
                </w:p>
              </w:tc>
              <w:tc>
                <w:tcPr>
                  <w:tcW w:w="1842"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属性</w:t>
                  </w:r>
                </w:p>
              </w:tc>
              <w:tc>
                <w:tcPr>
                  <w:tcW w:w="141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危废代码</w:t>
                  </w:r>
                </w:p>
              </w:tc>
              <w:tc>
                <w:tcPr>
                  <w:tcW w:w="1490"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产生量（t/a）</w:t>
                  </w:r>
                </w:p>
              </w:tc>
              <w:tc>
                <w:tcPr>
                  <w:tcW w:w="1563"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处置</w:t>
                  </w:r>
                  <w:r>
                    <w:rPr>
                      <w:rFonts w:hAnsi="宋体"/>
                      <w:color w:val="000000" w:themeColor="text1"/>
                      <w:kern w:val="0"/>
                      <w:sz w:val="21"/>
                      <w14:textFill>
                        <w14:solidFill>
                          <w14:schemeClr w14:val="tx1"/>
                        </w14:solidFill>
                      </w14:textFill>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1</w:t>
                  </w:r>
                </w:p>
              </w:tc>
              <w:tc>
                <w:tcPr>
                  <w:tcW w:w="1464"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生活垃圾</w:t>
                  </w:r>
                </w:p>
              </w:tc>
              <w:tc>
                <w:tcPr>
                  <w:tcW w:w="1842"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一般固废</w:t>
                  </w:r>
                </w:p>
              </w:tc>
              <w:tc>
                <w:tcPr>
                  <w:tcW w:w="141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w:t>
                  </w:r>
                </w:p>
              </w:tc>
              <w:tc>
                <w:tcPr>
                  <w:tcW w:w="1490"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11.24</w:t>
                  </w:r>
                </w:p>
              </w:tc>
              <w:tc>
                <w:tcPr>
                  <w:tcW w:w="1563" w:type="dxa"/>
                  <w:vMerge w:val="restart"/>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分类收集，环卫部门定期清运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2</w:t>
                  </w:r>
                </w:p>
              </w:tc>
              <w:tc>
                <w:tcPr>
                  <w:tcW w:w="1464"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包装废物</w:t>
                  </w:r>
                </w:p>
              </w:tc>
              <w:tc>
                <w:tcPr>
                  <w:tcW w:w="1842"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一般固废</w:t>
                  </w:r>
                </w:p>
              </w:tc>
              <w:tc>
                <w:tcPr>
                  <w:tcW w:w="141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w:t>
                  </w:r>
                </w:p>
              </w:tc>
              <w:tc>
                <w:tcPr>
                  <w:tcW w:w="1490"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0.5</w:t>
                  </w:r>
                </w:p>
              </w:tc>
              <w:tc>
                <w:tcPr>
                  <w:tcW w:w="1563" w:type="dxa"/>
                  <w:vMerge w:val="continue"/>
                  <w:tcBorders>
                    <w:bottom w:val="single" w:color="auto" w:sz="6" w:space="0"/>
                  </w:tcBorders>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64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3</w:t>
                  </w:r>
                </w:p>
              </w:tc>
              <w:tc>
                <w:tcPr>
                  <w:tcW w:w="1464"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含油</w:t>
                  </w:r>
                  <w:r>
                    <w:rPr>
                      <w:rFonts w:hint="eastAsia" w:hAnsi="宋体"/>
                      <w:color w:val="000000" w:themeColor="text1"/>
                      <w:kern w:val="0"/>
                      <w:sz w:val="21"/>
                      <w14:textFill>
                        <w14:solidFill>
                          <w14:schemeClr w14:val="tx1"/>
                        </w14:solidFill>
                      </w14:textFill>
                    </w:rPr>
                    <w:t>手套、抹布、棉纱</w:t>
                  </w:r>
                </w:p>
              </w:tc>
              <w:tc>
                <w:tcPr>
                  <w:tcW w:w="1842" w:type="dxa"/>
                  <w:vAlign w:val="center"/>
                </w:tcPr>
                <w:p>
                  <w:pPr>
                    <w:spacing w:line="240" w:lineRule="auto"/>
                    <w:ind w:firstLine="0" w:firstLineChars="0"/>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HW49</w:t>
                  </w:r>
                  <w:r>
                    <w:rPr>
                      <w:rFonts w:hint="eastAsia" w:hAnsi="宋体"/>
                      <w:color w:val="000000" w:themeColor="text1"/>
                      <w:kern w:val="0"/>
                      <w:sz w:val="21"/>
                      <w14:textFill>
                        <w14:solidFill>
                          <w14:schemeClr w14:val="tx1"/>
                        </w14:solidFill>
                      </w14:textFill>
                    </w:rPr>
                    <w:t>其他废物（豁免）</w:t>
                  </w:r>
                </w:p>
              </w:tc>
              <w:tc>
                <w:tcPr>
                  <w:tcW w:w="141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900-041-49</w:t>
                  </w:r>
                </w:p>
              </w:tc>
              <w:tc>
                <w:tcPr>
                  <w:tcW w:w="1490"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0.005</w:t>
                  </w:r>
                </w:p>
              </w:tc>
              <w:tc>
                <w:tcPr>
                  <w:tcW w:w="1563" w:type="dxa"/>
                  <w:vMerge w:val="restart"/>
                  <w:tcBorders>
                    <w:top w:val="single" w:color="auto" w:sz="6" w:space="0"/>
                  </w:tcBorders>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妥善暂存，</w:t>
                  </w:r>
                  <w:r>
                    <w:rPr>
                      <w:rFonts w:hAnsi="宋体"/>
                      <w:color w:val="000000" w:themeColor="text1"/>
                      <w:kern w:val="0"/>
                      <w:sz w:val="21"/>
                      <w14:textFill>
                        <w14:solidFill>
                          <w14:schemeClr w14:val="tx1"/>
                        </w14:solidFill>
                      </w14:textFill>
                    </w:rPr>
                    <w:t>交有资质</w:t>
                  </w:r>
                  <w:r>
                    <w:rPr>
                      <w:rFonts w:hint="eastAsia" w:hAnsi="宋体"/>
                      <w:color w:val="000000" w:themeColor="text1"/>
                      <w:kern w:val="0"/>
                      <w:sz w:val="21"/>
                      <w14:textFill>
                        <w14:solidFill>
                          <w14:schemeClr w14:val="tx1"/>
                        </w14:solidFill>
                      </w14:textFill>
                    </w:rPr>
                    <w:t>单</w:t>
                  </w:r>
                  <w:r>
                    <w:rPr>
                      <w:rFonts w:hAnsi="宋体"/>
                      <w:color w:val="000000" w:themeColor="text1"/>
                      <w:kern w:val="0"/>
                      <w:sz w:val="21"/>
                      <w14:textFill>
                        <w14:solidFill>
                          <w14:schemeClr w14:val="tx1"/>
                        </w14:solidFill>
                      </w14:textFill>
                    </w:rPr>
                    <w:t>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4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4</w:t>
                  </w:r>
                </w:p>
              </w:tc>
              <w:tc>
                <w:tcPr>
                  <w:tcW w:w="1464"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废活性炭</w:t>
                  </w:r>
                </w:p>
              </w:tc>
              <w:tc>
                <w:tcPr>
                  <w:tcW w:w="1842" w:type="dxa"/>
                  <w:vAlign w:val="center"/>
                </w:tcPr>
                <w:p>
                  <w:pPr>
                    <w:spacing w:line="240" w:lineRule="auto"/>
                    <w:ind w:firstLine="0" w:firstLineChars="0"/>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HW06废有机溶剂与含有机溶剂废物</w:t>
                  </w:r>
                </w:p>
              </w:tc>
              <w:tc>
                <w:tcPr>
                  <w:tcW w:w="141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900-039-49</w:t>
                  </w:r>
                </w:p>
              </w:tc>
              <w:tc>
                <w:tcPr>
                  <w:tcW w:w="1490" w:type="dxa"/>
                  <w:vAlign w:val="center"/>
                </w:tcPr>
                <w:p>
                  <w:pPr>
                    <w:spacing w:line="240" w:lineRule="auto"/>
                    <w:ind w:firstLine="0" w:firstLineChars="0"/>
                    <w:jc w:val="center"/>
                    <w:rPr>
                      <w:rFonts w:hint="default" w:hAnsi="宋体" w:eastAsia="宋体"/>
                      <w:color w:val="000000" w:themeColor="text1"/>
                      <w:kern w:val="0"/>
                      <w:sz w:val="21"/>
                      <w:lang w:val="en-US" w:eastAsia="zh-CN"/>
                      <w14:textFill>
                        <w14:solidFill>
                          <w14:schemeClr w14:val="tx1"/>
                        </w14:solidFill>
                      </w14:textFill>
                    </w:rPr>
                  </w:pPr>
                  <w:r>
                    <w:rPr>
                      <w:rFonts w:hint="eastAsia" w:hAnsi="宋体"/>
                      <w:color w:val="000000" w:themeColor="text1"/>
                      <w:kern w:val="0"/>
                      <w:sz w:val="21"/>
                      <w14:textFill>
                        <w14:solidFill>
                          <w14:schemeClr w14:val="tx1"/>
                        </w14:solidFill>
                      </w14:textFill>
                    </w:rPr>
                    <w:t>0.0</w:t>
                  </w:r>
                  <w:r>
                    <w:rPr>
                      <w:rFonts w:hint="eastAsia" w:hAnsi="宋体"/>
                      <w:color w:val="000000" w:themeColor="text1"/>
                      <w:kern w:val="0"/>
                      <w:sz w:val="21"/>
                      <w:lang w:val="en-US" w:eastAsia="zh-CN"/>
                      <w14:textFill>
                        <w14:solidFill>
                          <w14:schemeClr w14:val="tx1"/>
                        </w14:solidFill>
                      </w14:textFill>
                    </w:rPr>
                    <w:t>20</w:t>
                  </w:r>
                </w:p>
              </w:tc>
              <w:tc>
                <w:tcPr>
                  <w:tcW w:w="1563" w:type="dxa"/>
                  <w:vMerge w:val="continue"/>
                  <w:tcBorders>
                    <w:bottom w:val="single" w:color="auto" w:sz="6" w:space="0"/>
                  </w:tcBorders>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5</w:t>
                  </w:r>
                </w:p>
              </w:tc>
              <w:tc>
                <w:tcPr>
                  <w:tcW w:w="1464"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清罐废油、废渣</w:t>
                  </w:r>
                </w:p>
              </w:tc>
              <w:tc>
                <w:tcPr>
                  <w:tcW w:w="1842" w:type="dxa"/>
                  <w:vAlign w:val="center"/>
                </w:tcPr>
                <w:p>
                  <w:pPr>
                    <w:spacing w:line="240" w:lineRule="auto"/>
                    <w:ind w:firstLine="0" w:firstLineChars="0"/>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HW08</w:t>
                  </w:r>
                  <w:r>
                    <w:rPr>
                      <w:rFonts w:hint="eastAsia" w:hAnsi="宋体"/>
                      <w:color w:val="000000" w:themeColor="text1"/>
                      <w:kern w:val="0"/>
                      <w:sz w:val="21"/>
                      <w14:textFill>
                        <w14:solidFill>
                          <w14:schemeClr w14:val="tx1"/>
                        </w14:solidFill>
                      </w14:textFill>
                    </w:rPr>
                    <w:t>废矿物油与含矿物油废物</w:t>
                  </w:r>
                </w:p>
              </w:tc>
              <w:tc>
                <w:tcPr>
                  <w:tcW w:w="1418"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900-210-08</w:t>
                  </w:r>
                </w:p>
              </w:tc>
              <w:tc>
                <w:tcPr>
                  <w:tcW w:w="1490" w:type="dxa"/>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2kg/3年</w:t>
                  </w:r>
                </w:p>
              </w:tc>
              <w:tc>
                <w:tcPr>
                  <w:tcW w:w="1563" w:type="dxa"/>
                  <w:tcBorders>
                    <w:top w:val="single" w:color="auto" w:sz="6" w:space="0"/>
                  </w:tcBorders>
                  <w:vAlign w:val="center"/>
                </w:tcPr>
                <w:p>
                  <w:pPr>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交有资质单位处理</w:t>
                  </w:r>
                </w:p>
              </w:tc>
            </w:tr>
          </w:tbl>
          <w:p>
            <w:pPr>
              <w:spacing w:line="460" w:lineRule="exact"/>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本评价要求建设单位建设一个危险废物贮存间，对项目区产生的清罐废油、废渣；含油手套、抹布、棉纱；废活性炭等危险废物进行暂存，并且项目产生的危险废物必须使用防渗漏、防遗撒的专用工具盛装，危险废物桶放置在防风、防雨、防渗的危险废物暂存点内。危险废物暂存桶应配有相应标志标识牌，并做好危险废物台账记录，并定期委托有资质单位进行处理。</w:t>
            </w:r>
          </w:p>
          <w:p>
            <w:pPr>
              <w:spacing w:line="460" w:lineRule="exact"/>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严格按《危险废物贮存污染控制标准》（GB 18597-2001）和《危险废物转移联单管理办法》（国家环保总局5号令）相关要求对其进行贮存及转移，危险废物必须填写转移联单。</w:t>
            </w:r>
          </w:p>
          <w:p>
            <w:pPr>
              <w:adjustRightInd w:val="0"/>
              <w:snapToGrid w:val="0"/>
              <w:ind w:firstLine="480"/>
              <w:jc w:val="left"/>
              <w:rPr>
                <w:color w:val="000000" w:themeColor="text1"/>
                <w14:textFill>
                  <w14:solidFill>
                    <w14:schemeClr w14:val="tx1"/>
                  </w14:solidFill>
                </w14:textFill>
              </w:rPr>
            </w:pPr>
            <w:r>
              <w:rPr>
                <w:color w:val="000000" w:themeColor="text1"/>
                <w14:textFill>
                  <w14:solidFill>
                    <w14:schemeClr w14:val="tx1"/>
                  </w14:solidFill>
                </w14:textFill>
              </w:rPr>
              <w:t>危险废物</w:t>
            </w:r>
            <w:r>
              <w:rPr>
                <w:rFonts w:hint="eastAsia"/>
                <w:color w:val="000000" w:themeColor="text1"/>
                <w14:textFill>
                  <w14:solidFill>
                    <w14:schemeClr w14:val="tx1"/>
                  </w14:solidFill>
                </w14:textFill>
              </w:rPr>
              <w:t>贮存间</w:t>
            </w:r>
            <w:r>
              <w:rPr>
                <w:color w:val="000000" w:themeColor="text1"/>
                <w14:textFill>
                  <w14:solidFill>
                    <w14:schemeClr w14:val="tx1"/>
                  </w14:solidFill>
                </w14:textFill>
              </w:rPr>
              <w:t>必须满足以下要求：</w:t>
            </w:r>
          </w:p>
          <w:p>
            <w:pPr>
              <w:adjustRightInd w:val="0"/>
              <w:snapToGrid w:val="0"/>
              <w:ind w:firstLine="480"/>
              <w:jc w:val="left"/>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①</w:t>
            </w:r>
            <w:r>
              <w:rPr>
                <w:color w:val="000000" w:themeColor="text1"/>
                <w14:textFill>
                  <w14:solidFill>
                    <w14:schemeClr w14:val="tx1"/>
                  </w14:solidFill>
                </w14:textFill>
              </w:rPr>
              <w:t>危险废物堆要防风、防雨、防晒；</w:t>
            </w:r>
          </w:p>
          <w:p>
            <w:pPr>
              <w:adjustRightInd w:val="0"/>
              <w:snapToGrid w:val="0"/>
              <w:ind w:firstLine="480"/>
              <w:jc w:val="left"/>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color w:val="000000" w:themeColor="text1"/>
                <w14:textFill>
                  <w14:solidFill>
                    <w14:schemeClr w14:val="tx1"/>
                  </w14:solidFill>
                </w14:textFill>
              </w:rPr>
              <w:t>不能兼容的危险废物不能堆放在一起等危险废物堆放贮存要求；</w:t>
            </w:r>
          </w:p>
          <w:p>
            <w:pPr>
              <w:adjustRightInd w:val="0"/>
              <w:snapToGrid w:val="0"/>
              <w:ind w:firstLine="480"/>
              <w:jc w:val="left"/>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r>
              <w:rPr>
                <w:color w:val="000000" w:themeColor="text1"/>
                <w14:textFill>
                  <w14:solidFill>
                    <w14:schemeClr w14:val="tx1"/>
                  </w14:solidFill>
                </w14:textFill>
              </w:rPr>
              <w:t>危险废物设置危险废物贮存标志；</w:t>
            </w:r>
          </w:p>
          <w:p>
            <w:pPr>
              <w:adjustRightInd w:val="0"/>
              <w:snapToGrid w:val="0"/>
              <w:ind w:firstLine="480" w:firstLineChars="0"/>
              <w:jc w:val="left"/>
              <w:rPr>
                <w:color w:val="000000" w:themeColor="text1"/>
                <w14:textFill>
                  <w14:solidFill>
                    <w14:schemeClr w14:val="tx1"/>
                  </w14:solidFill>
                </w14:textFill>
              </w:rPr>
            </w:pPr>
            <w:r>
              <w:rPr>
                <w:rFonts w:hint="eastAsia" w:cs="宋体"/>
                <w:color w:val="000000" w:themeColor="text1"/>
                <w14:textFill>
                  <w14:solidFill>
                    <w14:schemeClr w14:val="tx1"/>
                  </w14:solidFill>
                </w14:textFill>
              </w:rPr>
              <w:t>④</w:t>
            </w:r>
            <w:r>
              <w:rPr>
                <w:color w:val="000000" w:themeColor="text1"/>
                <w14:textFill>
                  <w14:solidFill>
                    <w14:schemeClr w14:val="tx1"/>
                  </w14:solidFill>
                </w14:textFill>
              </w:rPr>
              <w:t>地面要用坚固、防渗的材料建造，建筑材料必须与危险废物相容；</w:t>
            </w:r>
          </w:p>
          <w:p>
            <w:pPr>
              <w:adjustRightInd w:val="0"/>
              <w:snapToGrid w:val="0"/>
              <w:ind w:left="360" w:firstLine="115" w:firstLineChars="48"/>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⑤危废贮存间要设置明显的贮存危险废物种类标志和警示标志；</w:t>
            </w:r>
          </w:p>
          <w:p>
            <w:pPr>
              <w:adjustRightInd w:val="0"/>
              <w:snapToGrid w:val="0"/>
              <w:ind w:firstLine="48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⑥建立完善相关环保管理规章制度；</w:t>
            </w:r>
          </w:p>
          <w:p>
            <w:pPr>
              <w:adjustRightInd w:val="0"/>
              <w:snapToGrid w:val="0"/>
              <w:ind w:firstLine="48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⑦危废贮存间应双人双锁，编制出入库台账；</w:t>
            </w:r>
          </w:p>
          <w:p>
            <w:pPr>
              <w:adjustRightInd w:val="0"/>
              <w:snapToGrid w:val="0"/>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⑧企业要加强对危险废物的日常管理，明确岗位职责，健全危险废物管理制度和管理台帐；定期对危险废物收集、贮存、利用、转移、处置等环节的安全防范措施进行检查，遏制散、洒、滴、漏等现象发生。</w:t>
            </w:r>
          </w:p>
          <w:p>
            <w:pPr>
              <w:spacing w:line="460" w:lineRule="exact"/>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因此，在严格落实营运期固废处理措施后，项目产生固废都能得到妥善处理，对周围环境无影响。</w:t>
            </w:r>
          </w:p>
          <w:p>
            <w:p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7、污染物排放清单</w:t>
            </w:r>
          </w:p>
          <w:p>
            <w:pPr>
              <w:pStyle w:val="75"/>
              <w:spacing w:before="72" w:line="240" w:lineRule="auto"/>
              <w:ind w:firstLine="422"/>
              <w:rPr>
                <w:rFonts w:hAnsi="宋体"/>
                <w:color w:val="000000" w:themeColor="text1"/>
                <w:kern w:val="0"/>
                <w:sz w:val="21"/>
                <w:szCs w:val="21"/>
                <w:lang w:val="en-US"/>
                <w14:textFill>
                  <w14:solidFill>
                    <w14:schemeClr w14:val="tx1"/>
                  </w14:solidFill>
                </w14:textFill>
              </w:rPr>
            </w:pPr>
            <w:r>
              <w:rPr>
                <w:rFonts w:hint="eastAsia" w:hAnsi="宋体"/>
                <w:color w:val="000000" w:themeColor="text1"/>
                <w:kern w:val="0"/>
                <w:sz w:val="21"/>
                <w:szCs w:val="21"/>
                <w:lang w:val="en-US"/>
                <w14:textFill>
                  <w14:solidFill>
                    <w14:schemeClr w14:val="tx1"/>
                  </w14:solidFill>
                </w14:textFill>
              </w:rPr>
              <w:t>表7-1</w:t>
            </w:r>
            <w:r>
              <w:rPr>
                <w:rFonts w:hint="eastAsia" w:hAnsi="宋体"/>
                <w:color w:val="000000" w:themeColor="text1"/>
                <w:kern w:val="0"/>
                <w:sz w:val="21"/>
                <w:szCs w:val="21"/>
                <w:lang w:val="en-US" w:eastAsia="zh-CN"/>
                <w14:textFill>
                  <w14:solidFill>
                    <w14:schemeClr w14:val="tx1"/>
                  </w14:solidFill>
                </w14:textFill>
              </w:rPr>
              <w:t>6</w:t>
            </w:r>
            <w:r>
              <w:rPr>
                <w:rFonts w:hint="eastAsia" w:hAnsi="宋体"/>
                <w:color w:val="000000" w:themeColor="text1"/>
                <w:kern w:val="0"/>
                <w:sz w:val="21"/>
                <w:szCs w:val="21"/>
                <w:lang w:val="en-US"/>
                <w14:textFill>
                  <w14:solidFill>
                    <w14:schemeClr w14:val="tx1"/>
                  </w14:solidFill>
                </w14:textFill>
              </w:rPr>
              <w:t xml:space="preserve">   污染物排放清单</w:t>
            </w:r>
          </w:p>
          <w:tbl>
            <w:tblPr>
              <w:tblStyle w:val="2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08"/>
              <w:gridCol w:w="994"/>
              <w:gridCol w:w="1294"/>
              <w:gridCol w:w="992"/>
              <w:gridCol w:w="127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27"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类别</w:t>
                  </w:r>
                </w:p>
              </w:tc>
              <w:tc>
                <w:tcPr>
                  <w:tcW w:w="110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污染源</w:t>
                  </w:r>
                </w:p>
              </w:tc>
              <w:tc>
                <w:tcPr>
                  <w:tcW w:w="994"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污染物名称</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环保措施</w:t>
                  </w:r>
                </w:p>
              </w:tc>
              <w:tc>
                <w:tcPr>
                  <w:tcW w:w="992"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排放量</w:t>
                  </w:r>
                </w:p>
              </w:tc>
              <w:tc>
                <w:tcPr>
                  <w:tcW w:w="1276"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排放</w:t>
                  </w:r>
                  <w:r>
                    <w:rPr>
                      <w:rFonts w:hint="eastAsia" w:hAnsi="宋体"/>
                      <w:color w:val="000000" w:themeColor="text1"/>
                      <w:kern w:val="0"/>
                      <w:szCs w:val="21"/>
                      <w14:textFill>
                        <w14:solidFill>
                          <w14:schemeClr w14:val="tx1"/>
                        </w14:solidFill>
                      </w14:textFill>
                    </w:rPr>
                    <w:t>情况</w:t>
                  </w:r>
                </w:p>
              </w:tc>
              <w:tc>
                <w:tcPr>
                  <w:tcW w:w="226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427" w:type="dxa"/>
                  <w:vMerge w:val="restart"/>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废气</w:t>
                  </w:r>
                </w:p>
              </w:tc>
              <w:tc>
                <w:tcPr>
                  <w:tcW w:w="1108"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卸油系统</w:t>
                  </w:r>
                </w:p>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储油系统</w:t>
                  </w:r>
                </w:p>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加油系统</w:t>
                  </w:r>
                </w:p>
              </w:tc>
              <w:tc>
                <w:tcPr>
                  <w:tcW w:w="994"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非甲烷总烃</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一、二次油气回收</w:t>
                  </w:r>
                </w:p>
              </w:tc>
              <w:tc>
                <w:tcPr>
                  <w:tcW w:w="992"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lang w:val="en-US" w:eastAsia="zh-CN"/>
                      <w14:textFill>
                        <w14:solidFill>
                          <w14:schemeClr w14:val="tx1"/>
                        </w14:solidFill>
                      </w14:textFill>
                    </w:rPr>
                    <w:t>1.0275</w:t>
                  </w:r>
                  <w:r>
                    <w:rPr>
                      <w:rFonts w:hint="eastAsia" w:hAnsi="宋体"/>
                      <w:color w:val="000000" w:themeColor="text1"/>
                      <w:kern w:val="0"/>
                      <w:szCs w:val="21"/>
                      <w14:textFill>
                        <w14:solidFill>
                          <w14:schemeClr w14:val="tx1"/>
                        </w14:solidFill>
                      </w14:textFill>
                    </w:rPr>
                    <w:t>t/a</w:t>
                  </w:r>
                </w:p>
              </w:tc>
              <w:tc>
                <w:tcPr>
                  <w:tcW w:w="1276"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无组织排放</w:t>
                  </w:r>
                </w:p>
              </w:tc>
              <w:tc>
                <w:tcPr>
                  <w:tcW w:w="2268"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《加油站大气污染物排放标准》GB20952-2007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27" w:type="dxa"/>
                  <w:vMerge w:val="continue"/>
                  <w:vAlign w:val="center"/>
                </w:tcPr>
                <w:p>
                  <w:pPr>
                    <w:pStyle w:val="81"/>
                    <w:rPr>
                      <w:rFonts w:hAnsi="宋体"/>
                      <w:color w:val="000000" w:themeColor="text1"/>
                      <w:kern w:val="0"/>
                      <w:szCs w:val="21"/>
                      <w14:textFill>
                        <w14:solidFill>
                          <w14:schemeClr w14:val="tx1"/>
                        </w14:solidFill>
                      </w14:textFill>
                    </w:rPr>
                  </w:pPr>
                </w:p>
              </w:tc>
              <w:tc>
                <w:tcPr>
                  <w:tcW w:w="1108" w:type="dxa"/>
                  <w:vMerge w:val="continue"/>
                  <w:vAlign w:val="center"/>
                </w:tcPr>
                <w:p>
                  <w:pPr>
                    <w:pStyle w:val="81"/>
                    <w:rPr>
                      <w:rFonts w:hAnsi="宋体"/>
                      <w:color w:val="000000" w:themeColor="text1"/>
                      <w:kern w:val="0"/>
                      <w:szCs w:val="21"/>
                      <w14:textFill>
                        <w14:solidFill>
                          <w14:schemeClr w14:val="tx1"/>
                        </w14:solidFill>
                      </w14:textFill>
                    </w:rPr>
                  </w:pPr>
                </w:p>
              </w:tc>
              <w:tc>
                <w:tcPr>
                  <w:tcW w:w="994" w:type="dxa"/>
                  <w:vMerge w:val="continue"/>
                  <w:vAlign w:val="center"/>
                </w:tcPr>
                <w:p>
                  <w:pPr>
                    <w:pStyle w:val="81"/>
                    <w:rPr>
                      <w:rFonts w:hAnsi="宋体"/>
                      <w:color w:val="000000" w:themeColor="text1"/>
                      <w:kern w:val="0"/>
                      <w:szCs w:val="21"/>
                      <w14:textFill>
                        <w14:solidFill>
                          <w14:schemeClr w14:val="tx1"/>
                        </w14:solidFill>
                      </w14:textFill>
                    </w:rPr>
                  </w:pP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三次油气回收</w:t>
                  </w:r>
                </w:p>
              </w:tc>
              <w:tc>
                <w:tcPr>
                  <w:tcW w:w="992" w:type="dxa"/>
                  <w:vMerge w:val="continue"/>
                  <w:vAlign w:val="center"/>
                </w:tcPr>
                <w:p>
                  <w:pPr>
                    <w:pStyle w:val="81"/>
                    <w:jc w:val="both"/>
                    <w:rPr>
                      <w:rFonts w:hAnsi="宋体"/>
                      <w:color w:val="000000" w:themeColor="text1"/>
                      <w:kern w:val="0"/>
                      <w:szCs w:val="21"/>
                      <w14:textFill>
                        <w14:solidFill>
                          <w14:schemeClr w14:val="tx1"/>
                        </w14:solidFill>
                      </w14:textFill>
                    </w:rPr>
                  </w:pPr>
                </w:p>
              </w:tc>
              <w:tc>
                <w:tcPr>
                  <w:tcW w:w="1276" w:type="dxa"/>
                  <w:vMerge w:val="continue"/>
                  <w:vAlign w:val="center"/>
                </w:tcPr>
                <w:p>
                  <w:pPr>
                    <w:pStyle w:val="81"/>
                    <w:rPr>
                      <w:rFonts w:hAnsi="宋体"/>
                      <w:color w:val="000000" w:themeColor="text1"/>
                      <w:kern w:val="0"/>
                      <w:szCs w:val="21"/>
                      <w14:textFill>
                        <w14:solidFill>
                          <w14:schemeClr w14:val="tx1"/>
                        </w14:solidFill>
                      </w14:textFill>
                    </w:rPr>
                  </w:pPr>
                </w:p>
              </w:tc>
              <w:tc>
                <w:tcPr>
                  <w:tcW w:w="2268" w:type="dxa"/>
                  <w:vMerge w:val="continue"/>
                  <w:vAlign w:val="center"/>
                </w:tcPr>
                <w:p>
                  <w:pPr>
                    <w:pStyle w:val="81"/>
                    <w:rPr>
                      <w:rFonts w:hAnsi="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27"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废水</w:t>
                  </w:r>
                </w:p>
              </w:tc>
              <w:tc>
                <w:tcPr>
                  <w:tcW w:w="110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工作人员和流动人员</w:t>
                  </w:r>
                </w:p>
              </w:tc>
              <w:tc>
                <w:tcPr>
                  <w:tcW w:w="994"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生活污水</w:t>
                  </w:r>
                </w:p>
              </w:tc>
              <w:tc>
                <w:tcPr>
                  <w:tcW w:w="1294"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化粪池</w:t>
                  </w:r>
                </w:p>
              </w:tc>
              <w:tc>
                <w:tcPr>
                  <w:tcW w:w="992" w:type="dxa"/>
                  <w:vAlign w:val="center"/>
                </w:tcPr>
                <w:p>
                  <w:pPr>
                    <w:pStyle w:val="81"/>
                    <w:rPr>
                      <w:rFonts w:hAnsi="宋体"/>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554.8m</w:t>
                  </w:r>
                  <w:r>
                    <w:rPr>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/a</w:t>
                  </w:r>
                </w:p>
              </w:tc>
              <w:tc>
                <w:tcPr>
                  <w:tcW w:w="1276"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不外排</w:t>
                  </w:r>
                </w:p>
              </w:tc>
              <w:tc>
                <w:tcPr>
                  <w:tcW w:w="226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27" w:type="dxa"/>
                  <w:vMerge w:val="restart"/>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固废</w:t>
                  </w:r>
                </w:p>
              </w:tc>
              <w:tc>
                <w:tcPr>
                  <w:tcW w:w="110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污染源</w:t>
                  </w:r>
                </w:p>
              </w:tc>
              <w:tc>
                <w:tcPr>
                  <w:tcW w:w="994"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污染物名称</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环保措施</w:t>
                  </w: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排放量</w:t>
                  </w:r>
                </w:p>
              </w:tc>
              <w:tc>
                <w:tcPr>
                  <w:tcW w:w="226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427" w:type="dxa"/>
                  <w:vMerge w:val="continue"/>
                  <w:vAlign w:val="center"/>
                </w:tcPr>
                <w:p>
                  <w:pPr>
                    <w:pStyle w:val="81"/>
                    <w:rPr>
                      <w:rFonts w:hAnsi="宋体"/>
                      <w:color w:val="000000" w:themeColor="text1"/>
                      <w:kern w:val="0"/>
                      <w:szCs w:val="21"/>
                      <w14:textFill>
                        <w14:solidFill>
                          <w14:schemeClr w14:val="tx1"/>
                        </w14:solidFill>
                      </w14:textFill>
                    </w:rPr>
                  </w:pPr>
                </w:p>
              </w:tc>
              <w:tc>
                <w:tcPr>
                  <w:tcW w:w="110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工作人员和流动人员</w:t>
                  </w:r>
                </w:p>
              </w:tc>
              <w:tc>
                <w:tcPr>
                  <w:tcW w:w="9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生活垃圾</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垃圾桶收集后由环卫部门统一收集</w:t>
                  </w: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11.74</w:t>
                  </w:r>
                  <w:r>
                    <w:rPr>
                      <w:rFonts w:hAnsi="宋体"/>
                      <w:color w:val="000000" w:themeColor="text1"/>
                      <w:kern w:val="0"/>
                      <w:szCs w:val="21"/>
                      <w14:textFill>
                        <w14:solidFill>
                          <w14:schemeClr w14:val="tx1"/>
                        </w14:solidFill>
                      </w14:textFill>
                    </w:rPr>
                    <w:t>/a</w:t>
                  </w:r>
                </w:p>
              </w:tc>
              <w:tc>
                <w:tcPr>
                  <w:tcW w:w="226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trPr>
              <w:tc>
                <w:tcPr>
                  <w:tcW w:w="427" w:type="dxa"/>
                  <w:vMerge w:val="continue"/>
                  <w:vAlign w:val="center"/>
                </w:tcPr>
                <w:p>
                  <w:pPr>
                    <w:pStyle w:val="81"/>
                    <w:rPr>
                      <w:rFonts w:hAnsi="宋体"/>
                      <w:color w:val="000000" w:themeColor="text1"/>
                      <w:kern w:val="0"/>
                      <w:szCs w:val="21"/>
                      <w14:textFill>
                        <w14:solidFill>
                          <w14:schemeClr w14:val="tx1"/>
                        </w14:solidFill>
                      </w14:textFill>
                    </w:rPr>
                  </w:pPr>
                </w:p>
              </w:tc>
              <w:tc>
                <w:tcPr>
                  <w:tcW w:w="1108"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设备</w:t>
                  </w:r>
                </w:p>
              </w:tc>
              <w:tc>
                <w:tcPr>
                  <w:tcW w:w="994" w:type="dxa"/>
                  <w:vAlign w:val="center"/>
                </w:tcPr>
                <w:p>
                  <w:pPr>
                    <w:spacing w:line="320" w:lineRule="exact"/>
                    <w:ind w:firstLine="0" w:firstLineChars="0"/>
                    <w:rPr>
                      <w:rFonts w:hAnsi="宋体"/>
                      <w:color w:val="000000" w:themeColor="text1"/>
                      <w:kern w:val="0"/>
                      <w:sz w:val="21"/>
                      <w:szCs w:val="21"/>
                      <w14:textFill>
                        <w14:solidFill>
                          <w14:schemeClr w14:val="tx1"/>
                        </w14:solidFill>
                      </w14:textFill>
                    </w:rPr>
                  </w:pPr>
                  <w:r>
                    <w:rPr>
                      <w:rFonts w:hAnsi="宋体"/>
                      <w:color w:val="000000" w:themeColor="text1"/>
                      <w:kern w:val="0"/>
                      <w:sz w:val="21"/>
                      <w:szCs w:val="21"/>
                      <w14:textFill>
                        <w14:solidFill>
                          <w14:schemeClr w14:val="tx1"/>
                        </w14:solidFill>
                      </w14:textFill>
                    </w:rPr>
                    <w:t>含油</w:t>
                  </w:r>
                  <w:r>
                    <w:rPr>
                      <w:rFonts w:hint="eastAsia" w:hAnsi="宋体"/>
                      <w:color w:val="000000" w:themeColor="text1"/>
                      <w:kern w:val="0"/>
                      <w:sz w:val="21"/>
                      <w:szCs w:val="21"/>
                      <w14:textFill>
                        <w14:solidFill>
                          <w14:schemeClr w14:val="tx1"/>
                        </w14:solidFill>
                      </w14:textFill>
                    </w:rPr>
                    <w:t>手套、抹布、棉纱</w:t>
                  </w:r>
                </w:p>
              </w:tc>
              <w:tc>
                <w:tcPr>
                  <w:tcW w:w="1294" w:type="dxa"/>
                  <w:vMerge w:val="restart"/>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暂存于的危废暂存</w:t>
                  </w:r>
                  <w:r>
                    <w:rPr>
                      <w:rStyle w:val="36"/>
                      <w:rFonts w:hint="eastAsia"/>
                      <w:color w:val="000000" w:themeColor="text1"/>
                      <w14:textFill>
                        <w14:solidFill>
                          <w14:schemeClr w14:val="tx1"/>
                        </w14:solidFill>
                      </w14:textFill>
                    </w:rPr>
                    <w:t>间</w:t>
                  </w:r>
                  <w:r>
                    <w:rPr>
                      <w:rFonts w:hint="eastAsia" w:hAnsi="宋体"/>
                      <w:color w:val="000000" w:themeColor="text1"/>
                      <w:kern w:val="0"/>
                      <w:szCs w:val="21"/>
                      <w14:textFill>
                        <w14:solidFill>
                          <w14:schemeClr w14:val="tx1"/>
                        </w14:solidFill>
                      </w14:textFill>
                    </w:rPr>
                    <w:t>，交有资质单位处理</w:t>
                  </w: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0.005t/a</w:t>
                  </w:r>
                </w:p>
              </w:tc>
              <w:tc>
                <w:tcPr>
                  <w:tcW w:w="2268" w:type="dxa"/>
                  <w:vMerge w:val="restart"/>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GB18597－2001《危险废物贮存执行污染控制标准》及修改单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427" w:type="dxa"/>
                  <w:vMerge w:val="continue"/>
                  <w:vAlign w:val="center"/>
                </w:tcPr>
                <w:p>
                  <w:pPr>
                    <w:pStyle w:val="81"/>
                    <w:rPr>
                      <w:rFonts w:hAnsi="宋体"/>
                      <w:color w:val="000000" w:themeColor="text1"/>
                      <w:kern w:val="0"/>
                      <w:szCs w:val="21"/>
                      <w14:textFill>
                        <w14:solidFill>
                          <w14:schemeClr w14:val="tx1"/>
                        </w14:solidFill>
                      </w14:textFill>
                    </w:rPr>
                  </w:pPr>
                </w:p>
              </w:tc>
              <w:tc>
                <w:tcPr>
                  <w:tcW w:w="1108" w:type="dxa"/>
                  <w:vMerge w:val="continue"/>
                  <w:vAlign w:val="center"/>
                </w:tcPr>
                <w:p>
                  <w:pPr>
                    <w:pStyle w:val="81"/>
                    <w:rPr>
                      <w:rFonts w:hAnsi="宋体"/>
                      <w:color w:val="000000" w:themeColor="text1"/>
                      <w:kern w:val="0"/>
                      <w:szCs w:val="21"/>
                      <w14:textFill>
                        <w14:solidFill>
                          <w14:schemeClr w14:val="tx1"/>
                        </w14:solidFill>
                      </w14:textFill>
                    </w:rPr>
                  </w:pPr>
                </w:p>
              </w:tc>
              <w:tc>
                <w:tcPr>
                  <w:tcW w:w="994" w:type="dxa"/>
                  <w:vAlign w:val="center"/>
                </w:tcPr>
                <w:p>
                  <w:pPr>
                    <w:spacing w:line="320" w:lineRule="exact"/>
                    <w:ind w:firstLine="0" w:firstLineChars="0"/>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废活性炭</w:t>
                  </w:r>
                </w:p>
              </w:tc>
              <w:tc>
                <w:tcPr>
                  <w:tcW w:w="1294" w:type="dxa"/>
                  <w:vMerge w:val="continue"/>
                  <w:vAlign w:val="center"/>
                </w:tcPr>
                <w:p>
                  <w:pPr>
                    <w:pStyle w:val="81"/>
                    <w:rPr>
                      <w:rFonts w:hAnsi="宋体"/>
                      <w:color w:val="000000" w:themeColor="text1"/>
                      <w:kern w:val="0"/>
                      <w:szCs w:val="21"/>
                      <w14:textFill>
                        <w14:solidFill>
                          <w14:schemeClr w14:val="tx1"/>
                        </w14:solidFill>
                      </w14:textFill>
                    </w:rPr>
                  </w:pP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0.0</w:t>
                  </w:r>
                  <w:r>
                    <w:rPr>
                      <w:rFonts w:hint="eastAsia" w:hAnsi="宋体"/>
                      <w:color w:val="000000" w:themeColor="text1"/>
                      <w:kern w:val="0"/>
                      <w:szCs w:val="21"/>
                      <w:lang w:val="en-US" w:eastAsia="zh-CN"/>
                      <w14:textFill>
                        <w14:solidFill>
                          <w14:schemeClr w14:val="tx1"/>
                        </w14:solidFill>
                      </w14:textFill>
                    </w:rPr>
                    <w:t>20</w:t>
                  </w:r>
                  <w:r>
                    <w:rPr>
                      <w:rFonts w:hAnsi="宋体"/>
                      <w:color w:val="000000" w:themeColor="text1"/>
                      <w:kern w:val="0"/>
                      <w:szCs w:val="21"/>
                      <w14:textFill>
                        <w14:solidFill>
                          <w14:schemeClr w14:val="tx1"/>
                        </w14:solidFill>
                      </w14:textFill>
                    </w:rPr>
                    <w:t>t/a</w:t>
                  </w:r>
                </w:p>
              </w:tc>
              <w:tc>
                <w:tcPr>
                  <w:tcW w:w="2268" w:type="dxa"/>
                  <w:vMerge w:val="continue"/>
                  <w:vAlign w:val="center"/>
                </w:tcPr>
                <w:p>
                  <w:pPr>
                    <w:pStyle w:val="81"/>
                    <w:rPr>
                      <w:rFonts w:hAnsi="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427" w:type="dxa"/>
                  <w:vMerge w:val="continue"/>
                  <w:vAlign w:val="center"/>
                </w:tcPr>
                <w:p>
                  <w:pPr>
                    <w:pStyle w:val="81"/>
                    <w:rPr>
                      <w:rFonts w:hAnsi="宋体"/>
                      <w:color w:val="000000" w:themeColor="text1"/>
                      <w:kern w:val="0"/>
                      <w:szCs w:val="21"/>
                      <w14:textFill>
                        <w14:solidFill>
                          <w14:schemeClr w14:val="tx1"/>
                        </w14:solidFill>
                      </w14:textFill>
                    </w:rPr>
                  </w:pPr>
                </w:p>
              </w:tc>
              <w:tc>
                <w:tcPr>
                  <w:tcW w:w="1108" w:type="dxa"/>
                  <w:vMerge w:val="continue"/>
                  <w:vAlign w:val="center"/>
                </w:tcPr>
                <w:p>
                  <w:pPr>
                    <w:pStyle w:val="81"/>
                    <w:rPr>
                      <w:rFonts w:hAnsi="宋体"/>
                      <w:color w:val="000000" w:themeColor="text1"/>
                      <w:kern w:val="0"/>
                      <w:szCs w:val="21"/>
                      <w14:textFill>
                        <w14:solidFill>
                          <w14:schemeClr w14:val="tx1"/>
                        </w14:solidFill>
                      </w14:textFill>
                    </w:rPr>
                  </w:pPr>
                </w:p>
              </w:tc>
              <w:tc>
                <w:tcPr>
                  <w:tcW w:w="9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清罐废油、废渣</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交有资质单位处理</w:t>
                  </w: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2kg/次</w:t>
                  </w:r>
                </w:p>
              </w:tc>
              <w:tc>
                <w:tcPr>
                  <w:tcW w:w="2268" w:type="dxa"/>
                  <w:vMerge w:val="continue"/>
                  <w:vAlign w:val="center"/>
                </w:tcPr>
                <w:p>
                  <w:pPr>
                    <w:pStyle w:val="81"/>
                    <w:rPr>
                      <w:rFonts w:hAnsi="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427" w:type="dxa"/>
                  <w:vMerge w:val="restart"/>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噪声</w:t>
                  </w:r>
                </w:p>
              </w:tc>
              <w:tc>
                <w:tcPr>
                  <w:tcW w:w="110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污染源</w:t>
                  </w:r>
                </w:p>
              </w:tc>
              <w:tc>
                <w:tcPr>
                  <w:tcW w:w="994" w:type="dxa"/>
                  <w:vAlign w:val="center"/>
                </w:tcPr>
                <w:p>
                  <w:pPr>
                    <w:pStyle w:val="81"/>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污染物名称</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环保措施</w:t>
                  </w: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排放量</w:t>
                  </w:r>
                </w:p>
              </w:tc>
              <w:tc>
                <w:tcPr>
                  <w:tcW w:w="226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427" w:type="dxa"/>
                  <w:vMerge w:val="continue"/>
                  <w:vAlign w:val="center"/>
                </w:tcPr>
                <w:p>
                  <w:pPr>
                    <w:pStyle w:val="81"/>
                    <w:rPr>
                      <w:rFonts w:hAnsi="宋体"/>
                      <w:color w:val="000000" w:themeColor="text1"/>
                      <w:kern w:val="0"/>
                      <w:szCs w:val="21"/>
                      <w14:textFill>
                        <w14:solidFill>
                          <w14:schemeClr w14:val="tx1"/>
                        </w14:solidFill>
                      </w14:textFill>
                    </w:rPr>
                  </w:pPr>
                </w:p>
              </w:tc>
              <w:tc>
                <w:tcPr>
                  <w:tcW w:w="110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设备</w:t>
                  </w:r>
                </w:p>
              </w:tc>
              <w:tc>
                <w:tcPr>
                  <w:tcW w:w="9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噪声</w:t>
                  </w:r>
                </w:p>
              </w:tc>
              <w:tc>
                <w:tcPr>
                  <w:tcW w:w="1294"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合理布局；对设备定期维护</w:t>
                  </w:r>
                </w:p>
              </w:tc>
              <w:tc>
                <w:tcPr>
                  <w:tcW w:w="2268" w:type="dxa"/>
                  <w:gridSpan w:val="2"/>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厂界东侧昼间≤7</w:t>
                  </w:r>
                  <w:r>
                    <w:rPr>
                      <w:rFonts w:hAnsi="宋体"/>
                      <w:color w:val="000000" w:themeColor="text1"/>
                      <w:kern w:val="0"/>
                      <w:szCs w:val="21"/>
                      <w14:textFill>
                        <w14:solidFill>
                          <w14:schemeClr w14:val="tx1"/>
                        </w14:solidFill>
                      </w14:textFill>
                    </w:rPr>
                    <w:t>0 dB(A)</w:t>
                  </w:r>
                  <w:r>
                    <w:rPr>
                      <w:rFonts w:hint="eastAsia" w:hAnsi="宋体"/>
                      <w:color w:val="000000" w:themeColor="text1"/>
                      <w:kern w:val="0"/>
                      <w:szCs w:val="21"/>
                      <w14:textFill>
                        <w14:solidFill>
                          <w14:schemeClr w14:val="tx1"/>
                        </w14:solidFill>
                      </w14:textFill>
                    </w:rPr>
                    <w:t>，夜间≤</w:t>
                  </w:r>
                  <w:r>
                    <w:rPr>
                      <w:rFonts w:hAnsi="宋体"/>
                      <w:color w:val="000000" w:themeColor="text1"/>
                      <w:kern w:val="0"/>
                      <w:szCs w:val="21"/>
                      <w14:textFill>
                        <w14:solidFill>
                          <w14:schemeClr w14:val="tx1"/>
                        </w14:solidFill>
                      </w14:textFill>
                    </w:rPr>
                    <w:t>5</w:t>
                  </w:r>
                  <w:r>
                    <w:rPr>
                      <w:rFonts w:hint="eastAsia" w:hAnsi="宋体"/>
                      <w:color w:val="000000" w:themeColor="text1"/>
                      <w:kern w:val="0"/>
                      <w:szCs w:val="21"/>
                      <w14:textFill>
                        <w14:solidFill>
                          <w14:schemeClr w14:val="tx1"/>
                        </w14:solidFill>
                      </w14:textFill>
                    </w:rPr>
                    <w:t>5</w:t>
                  </w:r>
                  <w:r>
                    <w:rPr>
                      <w:rFonts w:hAnsi="宋体"/>
                      <w:color w:val="000000" w:themeColor="text1"/>
                      <w:kern w:val="0"/>
                      <w:szCs w:val="21"/>
                      <w14:textFill>
                        <w14:solidFill>
                          <w14:schemeClr w14:val="tx1"/>
                        </w14:solidFill>
                      </w14:textFill>
                    </w:rPr>
                    <w:t>dB(A)</w:t>
                  </w:r>
                  <w:r>
                    <w:rPr>
                      <w:rFonts w:hint="eastAsia" w:hAnsi="宋体"/>
                      <w:color w:val="000000" w:themeColor="text1"/>
                      <w:kern w:val="0"/>
                      <w:szCs w:val="21"/>
                      <w14:textFill>
                        <w14:solidFill>
                          <w14:schemeClr w14:val="tx1"/>
                        </w14:solidFill>
                      </w14:textFill>
                    </w:rPr>
                    <w:t>；</w:t>
                  </w:r>
                </w:p>
                <w:p>
                  <w:pPr>
                    <w:pStyle w:val="81"/>
                    <w:ind w:firstLine="420"/>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厂界北、西、南侧昼间≤60dB(A)，夜间≤50</w:t>
                  </w:r>
                  <w:r>
                    <w:rPr>
                      <w:rFonts w:hAnsi="宋体"/>
                      <w:color w:val="000000" w:themeColor="text1"/>
                      <w:kern w:val="0"/>
                      <w:szCs w:val="21"/>
                      <w14:textFill>
                        <w14:solidFill>
                          <w14:schemeClr w14:val="tx1"/>
                        </w14:solidFill>
                      </w14:textFill>
                    </w:rPr>
                    <w:t>dB(A)</w:t>
                  </w:r>
                </w:p>
              </w:tc>
              <w:tc>
                <w:tcPr>
                  <w:tcW w:w="2268" w:type="dxa"/>
                  <w:vAlign w:val="center"/>
                </w:tcPr>
                <w:p>
                  <w:pPr>
                    <w:pStyle w:val="81"/>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厂界东侧执行</w:t>
                  </w:r>
                  <w:r>
                    <w:rPr>
                      <w:rFonts w:hAnsi="宋体"/>
                      <w:color w:val="000000" w:themeColor="text1"/>
                      <w:kern w:val="0"/>
                      <w:szCs w:val="21"/>
                      <w14:textFill>
                        <w14:solidFill>
                          <w14:schemeClr w14:val="tx1"/>
                        </w14:solidFill>
                      </w14:textFill>
                    </w:rPr>
                    <w:t>GB12348-2008《工业企业厂界环境噪声排放标准》</w:t>
                  </w:r>
                  <w:r>
                    <w:rPr>
                      <w:rFonts w:hint="eastAsia" w:hAnsi="宋体"/>
                      <w:color w:val="000000" w:themeColor="text1"/>
                      <w:kern w:val="0"/>
                      <w:szCs w:val="21"/>
                      <w14:textFill>
                        <w14:solidFill>
                          <w14:schemeClr w14:val="tx1"/>
                        </w14:solidFill>
                      </w14:textFill>
                    </w:rPr>
                    <w:t>4</w:t>
                  </w:r>
                  <w:r>
                    <w:rPr>
                      <w:rFonts w:hAnsi="宋体"/>
                      <w:color w:val="000000" w:themeColor="text1"/>
                      <w:kern w:val="0"/>
                      <w:szCs w:val="21"/>
                      <w14:textFill>
                        <w14:solidFill>
                          <w14:schemeClr w14:val="tx1"/>
                        </w14:solidFill>
                      </w14:textFill>
                    </w:rPr>
                    <w:t>类区标准</w:t>
                  </w:r>
                  <w:r>
                    <w:rPr>
                      <w:rFonts w:hint="eastAsia" w:hAnsi="宋体"/>
                      <w:color w:val="000000" w:themeColor="text1"/>
                      <w:kern w:val="0"/>
                      <w:szCs w:val="21"/>
                      <w14:textFill>
                        <w14:solidFill>
                          <w14:schemeClr w14:val="tx1"/>
                        </w14:solidFill>
                      </w14:textFill>
                    </w:rPr>
                    <w:t>；厂界北、西、南侧执行GB12348-2008《工业企业厂界环境噪声排放标准》2类区标准</w:t>
                  </w:r>
                </w:p>
              </w:tc>
            </w:tr>
          </w:tbl>
          <w:p>
            <w:pPr>
              <w:numPr>
                <w:ilvl w:val="0"/>
                <w:numId w:val="3"/>
              </w:numPr>
              <w:ind w:firstLine="482"/>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环境风险评价</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（1）评价目的</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环境风险评价的目的是分析和预测建设项目存在的潜在危险、有害因素，建设项目建设和运行期间可能发生的突发性事件或事故（一般不包括人为破坏及自然灾害） 引起有毒有害和易燃易爆等物质泄漏，所造成的人身安全与环境影响和损害程度，提出合理可行的防范、应急与减缓措施，以使建设项目事故率、损失和环境影响达到可接受水平。本次环境风险评价仅涉及项目加油站风险事故，不包括油品运输过程事故</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（2）评价依据</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根据《建设项目环境风险评价技术导则》（HJ169-2018）的要求对项目生产过程中涉及的物质及生产设施进行风险识别。</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经检索《建设项目环境风险评价技术导则》（HJ169-2018）附录 B，本项目涉及的主要风险物质为汽油、柴油，临界量均为 2500t。环境风险评价工作级别判定结果见下表。</w:t>
            </w:r>
          </w:p>
          <w:p>
            <w:pPr>
              <w:pStyle w:val="75"/>
              <w:spacing w:before="72" w:line="240" w:lineRule="auto"/>
              <w:ind w:firstLine="422"/>
              <w:rPr>
                <w:rFonts w:hAnsi="宋体"/>
                <w:color w:val="000000" w:themeColor="text1"/>
                <w:kern w:val="0"/>
                <w:sz w:val="21"/>
                <w:szCs w:val="21"/>
                <w:lang w:val="en-US"/>
                <w14:textFill>
                  <w14:solidFill>
                    <w14:schemeClr w14:val="tx1"/>
                  </w14:solidFill>
                </w14:textFill>
              </w:rPr>
            </w:pPr>
            <w:r>
              <w:rPr>
                <w:rFonts w:hint="eastAsia" w:hAnsi="宋体"/>
                <w:color w:val="000000" w:themeColor="text1"/>
                <w:kern w:val="0"/>
                <w:sz w:val="21"/>
                <w:szCs w:val="21"/>
                <w:lang w:val="en-US"/>
                <w14:textFill>
                  <w14:solidFill>
                    <w14:schemeClr w14:val="tx1"/>
                  </w14:solidFill>
                </w14:textFill>
              </w:rPr>
              <w:t>表 8-1 环境风险物质识别</w:t>
            </w:r>
          </w:p>
          <w:tbl>
            <w:tblPr>
              <w:tblStyle w:val="28"/>
              <w:tblW w:w="851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1577"/>
              <w:gridCol w:w="1187"/>
              <w:gridCol w:w="1069"/>
              <w:gridCol w:w="1516"/>
              <w:gridCol w:w="1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32" w:type="dxa"/>
                  <w:tcBorders>
                    <w:tl2br w:val="nil"/>
                    <w:tr2bl w:val="nil"/>
                  </w:tcBorders>
                </w:tcPr>
                <w:p>
                  <w:pPr>
                    <w:pStyle w:val="88"/>
                    <w:spacing w:before="178"/>
                    <w:ind w:left="174" w:right="145"/>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名称</w:t>
                  </w:r>
                </w:p>
              </w:tc>
              <w:tc>
                <w:tcPr>
                  <w:tcW w:w="1577" w:type="dxa"/>
                  <w:tcBorders>
                    <w:tl2br w:val="nil"/>
                    <w:tr2bl w:val="nil"/>
                  </w:tcBorders>
                </w:tcPr>
                <w:p>
                  <w:pPr>
                    <w:pStyle w:val="88"/>
                    <w:spacing w:before="178"/>
                    <w:ind w:left="357" w:right="330"/>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储罐</w:t>
                  </w:r>
                </w:p>
              </w:tc>
              <w:tc>
                <w:tcPr>
                  <w:tcW w:w="1187" w:type="dxa"/>
                  <w:tcBorders>
                    <w:tl2br w:val="nil"/>
                    <w:tr2bl w:val="nil"/>
                  </w:tcBorders>
                </w:tcPr>
                <w:p>
                  <w:pPr>
                    <w:pStyle w:val="88"/>
                    <w:spacing w:before="178"/>
                    <w:ind w:left="344" w:right="317"/>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储量</w:t>
                  </w:r>
                </w:p>
              </w:tc>
              <w:tc>
                <w:tcPr>
                  <w:tcW w:w="1069" w:type="dxa"/>
                  <w:tcBorders>
                    <w:tl2br w:val="nil"/>
                    <w:tr2bl w:val="nil"/>
                  </w:tcBorders>
                </w:tcPr>
                <w:p>
                  <w:pPr>
                    <w:pStyle w:val="88"/>
                    <w:spacing w:before="22"/>
                    <w:ind w:left="227"/>
                    <w:rPr>
                      <w:b/>
                      <w:color w:val="000000" w:themeColor="text1"/>
                      <w:sz w:val="21"/>
                      <w14:textFill>
                        <w14:solidFill>
                          <w14:schemeClr w14:val="tx1"/>
                        </w14:solidFill>
                      </w14:textFill>
                    </w:rPr>
                  </w:pPr>
                  <w:r>
                    <w:rPr>
                      <w:b/>
                      <w:color w:val="000000" w:themeColor="text1"/>
                      <w:w w:val="95"/>
                      <w:sz w:val="21"/>
                      <w14:textFill>
                        <w14:solidFill>
                          <w14:schemeClr w14:val="tx1"/>
                        </w14:solidFill>
                      </w14:textFill>
                    </w:rPr>
                    <w:t>临界量</w:t>
                  </w:r>
                </w:p>
                <w:p>
                  <w:pPr>
                    <w:pStyle w:val="88"/>
                    <w:spacing w:before="43"/>
                    <w:ind w:left="198"/>
                    <w:rPr>
                      <w:b/>
                      <w:color w:val="000000" w:themeColor="text1"/>
                      <w:sz w:val="21"/>
                      <w14:textFill>
                        <w14:solidFill>
                          <w14:schemeClr w14:val="tx1"/>
                        </w14:solidFill>
                      </w14:textFill>
                    </w:rPr>
                  </w:pPr>
                  <w:r>
                    <w:rPr>
                      <w:b/>
                      <w:color w:val="000000" w:themeColor="text1"/>
                      <w:sz w:val="21"/>
                      <w14:textFill>
                        <w14:solidFill>
                          <w14:schemeClr w14:val="tx1"/>
                        </w14:solidFill>
                      </w14:textFill>
                    </w:rPr>
                    <w:t>（</w:t>
                  </w:r>
                  <w:r>
                    <w:rPr>
                      <w:rFonts w:ascii="Times New Roman" w:eastAsia="Times New Roman"/>
                      <w:b/>
                      <w:color w:val="000000" w:themeColor="text1"/>
                      <w:sz w:val="21"/>
                      <w14:textFill>
                        <w14:solidFill>
                          <w14:schemeClr w14:val="tx1"/>
                        </w14:solidFill>
                      </w14:textFill>
                    </w:rPr>
                    <w:t>Q1</w:t>
                  </w:r>
                  <w:r>
                    <w:rPr>
                      <w:b/>
                      <w:color w:val="000000" w:themeColor="text1"/>
                      <w:sz w:val="21"/>
                      <w14:textFill>
                        <w14:solidFill>
                          <w14:schemeClr w14:val="tx1"/>
                        </w14:solidFill>
                      </w14:textFill>
                    </w:rPr>
                    <w:t>）</w:t>
                  </w:r>
                </w:p>
              </w:tc>
              <w:tc>
                <w:tcPr>
                  <w:tcW w:w="1516" w:type="dxa"/>
                  <w:tcBorders>
                    <w:tl2br w:val="nil"/>
                    <w:tr2bl w:val="nil"/>
                  </w:tcBorders>
                </w:tcPr>
                <w:p>
                  <w:pPr>
                    <w:pStyle w:val="88"/>
                    <w:spacing w:before="178"/>
                    <w:ind w:left="181" w:right="151"/>
                    <w:jc w:val="center"/>
                    <w:rPr>
                      <w:b/>
                      <w:color w:val="000000" w:themeColor="text1"/>
                      <w:sz w:val="21"/>
                      <w14:textFill>
                        <w14:solidFill>
                          <w14:schemeClr w14:val="tx1"/>
                        </w14:solidFill>
                      </w14:textFill>
                    </w:rPr>
                  </w:pPr>
                  <w:r>
                    <w:rPr>
                      <w:rFonts w:ascii="Times New Roman" w:eastAsia="Times New Roman"/>
                      <w:b/>
                      <w:color w:val="000000" w:themeColor="text1"/>
                      <w:sz w:val="21"/>
                      <w14:textFill>
                        <w14:solidFill>
                          <w14:schemeClr w14:val="tx1"/>
                        </w14:solidFill>
                      </w14:textFill>
                    </w:rPr>
                    <w:t>Q</w:t>
                  </w:r>
                  <w:r>
                    <w:rPr>
                      <w:b/>
                      <w:color w:val="000000" w:themeColor="text1"/>
                      <w:sz w:val="21"/>
                      <w14:textFill>
                        <w14:solidFill>
                          <w14:schemeClr w14:val="tx1"/>
                        </w14:solidFill>
                      </w14:textFill>
                    </w:rPr>
                    <w:t>（</w:t>
                  </w:r>
                  <w:r>
                    <w:rPr>
                      <w:rFonts w:ascii="Times New Roman" w:eastAsia="Times New Roman"/>
                      <w:b/>
                      <w:color w:val="000000" w:themeColor="text1"/>
                      <w:sz w:val="21"/>
                      <w14:textFill>
                        <w14:solidFill>
                          <w14:schemeClr w14:val="tx1"/>
                        </w14:solidFill>
                      </w14:textFill>
                    </w:rPr>
                    <w:t>q1/Q1</w:t>
                  </w:r>
                  <w:r>
                    <w:rPr>
                      <w:b/>
                      <w:color w:val="000000" w:themeColor="text1"/>
                      <w:sz w:val="21"/>
                      <w14:textFill>
                        <w14:solidFill>
                          <w14:schemeClr w14:val="tx1"/>
                        </w14:solidFill>
                      </w14:textFill>
                    </w:rPr>
                    <w:t>）</w:t>
                  </w:r>
                </w:p>
              </w:tc>
              <w:tc>
                <w:tcPr>
                  <w:tcW w:w="1538" w:type="dxa"/>
                  <w:tcBorders>
                    <w:tl2br w:val="nil"/>
                    <w:tr2bl w:val="nil"/>
                  </w:tcBorders>
                </w:tcPr>
                <w:p>
                  <w:pPr>
                    <w:pStyle w:val="88"/>
                    <w:spacing w:before="191"/>
                    <w:ind w:right="526"/>
                    <w:jc w:val="right"/>
                    <w:rPr>
                      <w:rFonts w:eastAsia="宋体"/>
                      <w:b/>
                      <w:color w:val="000000" w:themeColor="text1"/>
                      <w:sz w:val="10"/>
                      <w:lang w:eastAsia="zh-CN"/>
                      <w14:textFill>
                        <w14:solidFill>
                          <w14:schemeClr w14:val="tx1"/>
                        </w14:solidFill>
                      </w14:textFill>
                    </w:rPr>
                  </w:pPr>
                  <w:r>
                    <w:rPr>
                      <w:rFonts w:ascii="Times New Roman" w:eastAsia="Times New Roman"/>
                      <w:b/>
                      <w:color w:val="000000" w:themeColor="text1"/>
                      <w:w w:val="105"/>
                      <w:position w:val="3"/>
                      <w:sz w:val="21"/>
                      <w14:textFill>
                        <w14:solidFill>
                          <w14:schemeClr w14:val="tx1"/>
                        </w14:solidFill>
                      </w14:textFill>
                    </w:rPr>
                    <w:t xml:space="preserve">Q </w:t>
                  </w:r>
                  <w:r>
                    <w:rPr>
                      <w:rFonts w:hint="eastAsia" w:ascii="Times New Roman"/>
                      <w:b/>
                      <w:color w:val="000000" w:themeColor="text1"/>
                      <w:w w:val="105"/>
                      <w:position w:val="3"/>
                      <w:sz w:val="21"/>
                      <w:vertAlign w:val="subscript"/>
                      <w:lang w:eastAsia="zh-CN"/>
                      <w14:textFill>
                        <w14:solidFill>
                          <w14:schemeClr w14:val="tx1"/>
                        </w14:solidFill>
                      </w14:textFill>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632" w:type="dxa"/>
                  <w:vMerge w:val="restart"/>
                  <w:tcBorders>
                    <w:tl2br w:val="nil"/>
                    <w:tr2bl w:val="nil"/>
                  </w:tcBorders>
                  <w:vAlign w:val="center"/>
                </w:tcPr>
                <w:p>
                  <w:pPr>
                    <w:pStyle w:val="88"/>
                    <w:spacing w:before="1"/>
                    <w:ind w:left="195"/>
                    <w:jc w:val="center"/>
                    <w:rPr>
                      <w:rFonts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世纪大道中段南加油站</w:t>
                  </w:r>
                </w:p>
              </w:tc>
              <w:tc>
                <w:tcPr>
                  <w:tcW w:w="1577" w:type="dxa"/>
                  <w:tcBorders>
                    <w:tl2br w:val="nil"/>
                    <w:tr2bl w:val="nil"/>
                  </w:tcBorders>
                </w:tcPr>
                <w:p>
                  <w:pPr>
                    <w:pStyle w:val="88"/>
                    <w:spacing w:before="91"/>
                    <w:ind w:left="357" w:right="330"/>
                    <w:jc w:val="center"/>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汽油储罐</w:t>
                  </w:r>
                </w:p>
              </w:tc>
              <w:tc>
                <w:tcPr>
                  <w:tcW w:w="1187" w:type="dxa"/>
                  <w:tcBorders>
                    <w:tl2br w:val="nil"/>
                    <w:tr2bl w:val="nil"/>
                  </w:tcBorders>
                </w:tcPr>
                <w:p>
                  <w:pPr>
                    <w:pStyle w:val="88"/>
                    <w:spacing w:before="107"/>
                    <w:ind w:left="346" w:right="317"/>
                    <w:jc w:val="center"/>
                    <w:rPr>
                      <w:rFonts w:asci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86.9</w:t>
                  </w:r>
                </w:p>
              </w:tc>
              <w:tc>
                <w:tcPr>
                  <w:tcW w:w="1069" w:type="dxa"/>
                  <w:tcBorders>
                    <w:tl2br w:val="nil"/>
                    <w:tr2bl w:val="nil"/>
                  </w:tcBorders>
                </w:tcPr>
                <w:p>
                  <w:pPr>
                    <w:pStyle w:val="88"/>
                    <w:spacing w:before="105"/>
                    <w:ind w:left="314" w:right="285"/>
                    <w:jc w:val="center"/>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2500</w:t>
                  </w:r>
                </w:p>
              </w:tc>
              <w:tc>
                <w:tcPr>
                  <w:tcW w:w="1516" w:type="dxa"/>
                  <w:tcBorders>
                    <w:tl2br w:val="nil"/>
                    <w:tr2bl w:val="nil"/>
                  </w:tcBorders>
                </w:tcPr>
                <w:p>
                  <w:pPr>
                    <w:pStyle w:val="88"/>
                    <w:spacing w:before="107"/>
                    <w:ind w:left="179" w:right="151"/>
                    <w:jc w:val="center"/>
                    <w:rPr>
                      <w:rFonts w:asci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0.03476</w:t>
                  </w:r>
                </w:p>
              </w:tc>
              <w:tc>
                <w:tcPr>
                  <w:tcW w:w="1538" w:type="dxa"/>
                  <w:vMerge w:val="restart"/>
                  <w:tcBorders>
                    <w:tl2br w:val="nil"/>
                    <w:tr2bl w:val="nil"/>
                  </w:tcBorders>
                  <w:vAlign w:val="center"/>
                </w:tcPr>
                <w:p>
                  <w:pPr>
                    <w:pStyle w:val="88"/>
                    <w:ind w:left="477"/>
                    <w:jc w:val="both"/>
                    <w:rPr>
                      <w:rFonts w:ascii="Times New Roman" w:eastAsia="宋体"/>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0.0</w:t>
                  </w:r>
                  <w:r>
                    <w:rPr>
                      <w:rFonts w:hint="eastAsia" w:ascii="Times New Roman"/>
                      <w:color w:val="000000" w:themeColor="text1"/>
                      <w:sz w:val="21"/>
                      <w:lang w:eastAsia="zh-CN"/>
                      <w14:textFill>
                        <w14:solidFill>
                          <w14:schemeClr w14:val="tx1"/>
                        </w14:solidFill>
                      </w14:textFill>
                    </w:rPr>
                    <w:t>4496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32" w:type="dxa"/>
                  <w:vMerge w:val="continue"/>
                  <w:tcBorders>
                    <w:tl2br w:val="nil"/>
                    <w:tr2bl w:val="nil"/>
                  </w:tcBorders>
                </w:tcPr>
                <w:p>
                  <w:pPr>
                    <w:ind w:firstLine="40"/>
                    <w:rPr>
                      <w:color w:val="000000" w:themeColor="text1"/>
                      <w:sz w:val="2"/>
                      <w:szCs w:val="2"/>
                      <w14:textFill>
                        <w14:solidFill>
                          <w14:schemeClr w14:val="tx1"/>
                        </w14:solidFill>
                      </w14:textFill>
                    </w:rPr>
                  </w:pPr>
                </w:p>
              </w:tc>
              <w:tc>
                <w:tcPr>
                  <w:tcW w:w="1577" w:type="dxa"/>
                  <w:tcBorders>
                    <w:tl2br w:val="nil"/>
                    <w:tr2bl w:val="nil"/>
                  </w:tcBorders>
                </w:tcPr>
                <w:p>
                  <w:pPr>
                    <w:pStyle w:val="88"/>
                    <w:spacing w:before="93"/>
                    <w:ind w:left="357" w:right="330"/>
                    <w:jc w:val="center"/>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柴油储罐</w:t>
                  </w:r>
                </w:p>
              </w:tc>
              <w:tc>
                <w:tcPr>
                  <w:tcW w:w="1187" w:type="dxa"/>
                  <w:tcBorders>
                    <w:tl2br w:val="nil"/>
                    <w:tr2bl w:val="nil"/>
                  </w:tcBorders>
                </w:tcPr>
                <w:p>
                  <w:pPr>
                    <w:pStyle w:val="88"/>
                    <w:spacing w:before="107"/>
                    <w:ind w:left="346" w:right="317"/>
                    <w:jc w:val="center"/>
                    <w:rPr>
                      <w:rFonts w:asci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25.5</w:t>
                  </w:r>
                </w:p>
              </w:tc>
              <w:tc>
                <w:tcPr>
                  <w:tcW w:w="1069" w:type="dxa"/>
                  <w:tcBorders>
                    <w:tl2br w:val="nil"/>
                    <w:tr2bl w:val="nil"/>
                  </w:tcBorders>
                </w:tcPr>
                <w:p>
                  <w:pPr>
                    <w:pStyle w:val="88"/>
                    <w:spacing w:before="107"/>
                    <w:ind w:left="314" w:right="285"/>
                    <w:jc w:val="center"/>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2500</w:t>
                  </w:r>
                </w:p>
              </w:tc>
              <w:tc>
                <w:tcPr>
                  <w:tcW w:w="1516" w:type="dxa"/>
                  <w:tcBorders>
                    <w:tl2br w:val="nil"/>
                    <w:tr2bl w:val="nil"/>
                  </w:tcBorders>
                </w:tcPr>
                <w:p>
                  <w:pPr>
                    <w:pStyle w:val="88"/>
                    <w:spacing w:before="107"/>
                    <w:ind w:left="179" w:right="151"/>
                    <w:jc w:val="center"/>
                    <w:rPr>
                      <w:rFonts w:ascii="Times New Roman" w:eastAsia="宋体"/>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0.0102</w:t>
                  </w:r>
                </w:p>
              </w:tc>
              <w:tc>
                <w:tcPr>
                  <w:tcW w:w="1538" w:type="dxa"/>
                  <w:vMerge w:val="continue"/>
                  <w:tcBorders>
                    <w:tl2br w:val="nil"/>
                    <w:tr2bl w:val="nil"/>
                  </w:tcBorders>
                </w:tcPr>
                <w:p>
                  <w:pPr>
                    <w:ind w:firstLine="40"/>
                    <w:rPr>
                      <w:color w:val="000000" w:themeColor="text1"/>
                      <w:sz w:val="2"/>
                      <w:szCs w:val="2"/>
                      <w14:textFill>
                        <w14:solidFill>
                          <w14:schemeClr w14:val="tx1"/>
                        </w14:solidFill>
                      </w14:textFill>
                    </w:rPr>
                  </w:pPr>
                </w:p>
              </w:tc>
            </w:tr>
          </w:tbl>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根据上表可以看出，危险物质存在量与临界量比值 Q&lt;1，本项目环境风险潜势为 I，据此判定风险评价工作等级为</w:t>
            </w:r>
            <w:r>
              <w:rPr>
                <w:rFonts w:hint="eastAsia" w:hAnsi="宋体"/>
                <w:b/>
                <w:bCs/>
                <w:color w:val="000000" w:themeColor="text1"/>
                <w:kern w:val="0"/>
                <w14:textFill>
                  <w14:solidFill>
                    <w14:schemeClr w14:val="tx1"/>
                  </w14:solidFill>
                </w14:textFill>
              </w:rPr>
              <w:t>简单分析</w:t>
            </w:r>
            <w:r>
              <w:rPr>
                <w:rFonts w:hint="eastAsia" w:hAnsi="宋体"/>
                <w:color w:val="000000" w:themeColor="text1"/>
                <w:kern w:val="0"/>
                <w14:textFill>
                  <w14:solidFill>
                    <w14:schemeClr w14:val="tx1"/>
                  </w14:solidFill>
                </w14:textFill>
              </w:rPr>
              <w:t>。</w:t>
            </w:r>
          </w:p>
          <w:p>
            <w:pPr>
              <w:numPr>
                <w:ilvl w:val="0"/>
                <w:numId w:val="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环境敏感目标调查</w:t>
            </w:r>
          </w:p>
          <w:p>
            <w:pPr>
              <w:pStyle w:val="75"/>
              <w:spacing w:before="72" w:line="240" w:lineRule="auto"/>
              <w:ind w:firstLine="422"/>
              <w:rPr>
                <w:rFonts w:hAnsi="宋体"/>
                <w:color w:val="000000" w:themeColor="text1"/>
                <w:kern w:val="0"/>
                <w:sz w:val="21"/>
                <w:szCs w:val="21"/>
                <w:lang w:val="en-US"/>
                <w14:textFill>
                  <w14:solidFill>
                    <w14:schemeClr w14:val="tx1"/>
                  </w14:solidFill>
                </w14:textFill>
              </w:rPr>
            </w:pPr>
            <w:r>
              <w:rPr>
                <w:rFonts w:hint="eastAsia" w:hAnsi="宋体"/>
                <w:color w:val="000000" w:themeColor="text1"/>
                <w:kern w:val="0"/>
                <w:sz w:val="21"/>
                <w:szCs w:val="21"/>
                <w:lang w:val="en-US"/>
                <w14:textFill>
                  <w14:solidFill>
                    <w14:schemeClr w14:val="tx1"/>
                  </w14:solidFill>
                </w14:textFill>
              </w:rPr>
              <w:t>表 8-2 环境风险保护目标</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923"/>
              <w:gridCol w:w="995"/>
              <w:gridCol w:w="1452"/>
              <w:gridCol w:w="141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3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环境类别</w:t>
                  </w: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保护对象</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相对厂址方位</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相对厂界距离</w:t>
                  </w:r>
                  <w:r>
                    <w:rPr>
                      <w:rFonts w:hint="eastAsia"/>
                      <w:bCs/>
                      <w:color w:val="000000" w:themeColor="text1"/>
                      <w:sz w:val="21"/>
                      <w:szCs w:val="21"/>
                      <w14:textFill>
                        <w14:solidFill>
                          <w14:schemeClr w14:val="tx1"/>
                        </w14:solidFill>
                      </w14:textFill>
                    </w:rPr>
                    <w:t>（m）</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规模</w:t>
                  </w:r>
                </w:p>
              </w:tc>
              <w:tc>
                <w:tcPr>
                  <w:tcW w:w="154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环境空气</w:t>
                  </w: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世纪锦城小区</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西</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35</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约1000人</w:t>
                  </w:r>
                </w:p>
              </w:tc>
              <w:tc>
                <w:tcPr>
                  <w:tcW w:w="1548" w:type="dxa"/>
                  <w:vMerge w:val="restart"/>
                  <w:vAlign w:val="center"/>
                </w:tcPr>
                <w:p>
                  <w:pPr>
                    <w:spacing w:line="240" w:lineRule="auto"/>
                    <w:ind w:firstLine="0" w:firstLineChars="0"/>
                    <w:rPr>
                      <w:bCs/>
                      <w:color w:val="000000" w:themeColor="text1"/>
                      <w:sz w:val="21"/>
                      <w:szCs w:val="21"/>
                      <w14:textFill>
                        <w14:solidFill>
                          <w14:schemeClr w14:val="tx1"/>
                        </w14:solidFill>
                      </w14:textFill>
                    </w:rPr>
                  </w:pPr>
                </w:p>
                <w:p>
                  <w:pPr>
                    <w:spacing w:line="240" w:lineRule="auto"/>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《环境空气质</w:t>
                  </w:r>
                </w:p>
                <w:p>
                  <w:pPr>
                    <w:spacing w:line="240" w:lineRule="auto"/>
                    <w:ind w:firstLine="0" w:firstLineChars="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量标准》</w:t>
                  </w:r>
                  <w:r>
                    <w:rPr>
                      <w:rFonts w:hint="eastAsia"/>
                      <w:bCs/>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GB3095-2012</w:t>
                  </w:r>
                  <w:r>
                    <w:rPr>
                      <w:rFonts w:hint="eastAsia"/>
                      <w:bCs/>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二级</w:t>
                  </w:r>
                  <w:r>
                    <w:rPr>
                      <w:rFonts w:hint="eastAsia"/>
                      <w:bCs/>
                      <w:color w:val="000000" w:themeColor="text1"/>
                      <w:sz w:val="21"/>
                      <w:szCs w:val="2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新新佳园小区</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西</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153</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约2000人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北槐村</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西南</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400</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约2000人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北仁义庄</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东</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734</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约1500人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南仁义庄</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东南</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775</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约1500人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沣景公寓</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西南</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810</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约1800人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陕西中医药大学</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西</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1670</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约8000人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沣东中学</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东</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1210</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约2000人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阳光城蔷薇溪谷小区</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东北</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p>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1290</w:t>
                  </w:r>
                </w:p>
              </w:tc>
              <w:tc>
                <w:tcPr>
                  <w:tcW w:w="1418"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约2300人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33"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c>
                <w:tcPr>
                  <w:tcW w:w="1923"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新新佳园小区</w:t>
                  </w:r>
                </w:p>
              </w:tc>
              <w:tc>
                <w:tcPr>
                  <w:tcW w:w="995"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西</w:t>
                  </w:r>
                </w:p>
              </w:tc>
              <w:tc>
                <w:tcPr>
                  <w:tcW w:w="1452" w:type="dxa"/>
                </w:tcPr>
                <w:p>
                  <w:pPr>
                    <w:spacing w:line="240" w:lineRule="auto"/>
                    <w:ind w:firstLine="0" w:firstLineChars="0"/>
                    <w:jc w:val="center"/>
                    <w:rPr>
                      <w:bCs/>
                      <w:color w:val="000000" w:themeColor="text1"/>
                      <w:sz w:val="21"/>
                      <w:szCs w:val="21"/>
                      <w14:textFill>
                        <w14:solidFill>
                          <w14:schemeClr w14:val="tx1"/>
                        </w14:solidFill>
                      </w14:textFill>
                    </w:rPr>
                  </w:pPr>
                </w:p>
                <w:p>
                  <w:pPr>
                    <w:spacing w:line="240" w:lineRule="auto"/>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153</w:t>
                  </w:r>
                </w:p>
              </w:tc>
              <w:tc>
                <w:tcPr>
                  <w:tcW w:w="141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约2000人</w:t>
                  </w:r>
                </w:p>
              </w:tc>
              <w:tc>
                <w:tcPr>
                  <w:tcW w:w="1548" w:type="dxa"/>
                  <w:vMerge w:val="continue"/>
                  <w:vAlign w:val="center"/>
                </w:tcPr>
                <w:p>
                  <w:pPr>
                    <w:spacing w:line="240" w:lineRule="auto"/>
                    <w:ind w:firstLine="0" w:firstLineChars="0"/>
                    <w:jc w:val="center"/>
                    <w:rPr>
                      <w:bCs/>
                      <w:color w:val="000000" w:themeColor="text1"/>
                      <w:sz w:val="21"/>
                      <w:szCs w:val="21"/>
                      <w14:textFill>
                        <w14:solidFill>
                          <w14:schemeClr w14:val="tx1"/>
                        </w14:solidFill>
                      </w14:textFill>
                    </w:rPr>
                  </w:pPr>
                </w:p>
              </w:tc>
            </w:tr>
          </w:tbl>
          <w:p>
            <w:pPr>
              <w:pStyle w:val="88"/>
              <w:spacing w:before="160"/>
              <w:ind w:left="493"/>
              <w:rPr>
                <w:color w:val="000000" w:themeColor="text1"/>
                <w:sz w:val="24"/>
                <w:lang w:eastAsia="zh-CN"/>
                <w14:textFill>
                  <w14:solidFill>
                    <w14:schemeClr w14:val="tx1"/>
                  </w14:solidFill>
                </w14:textFill>
              </w:rPr>
            </w:pPr>
          </w:p>
          <w:p>
            <w:pPr>
              <w:pStyle w:val="88"/>
              <w:spacing w:before="160"/>
              <w:ind w:left="493"/>
              <w:rPr>
                <w:color w:val="000000" w:themeColor="text1"/>
                <w:sz w:val="24"/>
                <w:lang w:eastAsia="zh-CN"/>
                <w14:textFill>
                  <w14:solidFill>
                    <w14:schemeClr w14:val="tx1"/>
                  </w14:solidFill>
                </w14:textFill>
              </w:rPr>
            </w:pPr>
            <w:r>
              <w:rPr>
                <w:color w:val="000000" w:themeColor="text1"/>
                <w:sz w:val="24"/>
                <w:lang w:eastAsia="zh-CN"/>
                <w14:textFill>
                  <w14:solidFill>
                    <w14:schemeClr w14:val="tx1"/>
                  </w14:solidFill>
                </w14:textFill>
              </w:rPr>
              <w:t>（</w:t>
            </w:r>
            <w:r>
              <w:rPr>
                <w:rFonts w:ascii="Times New Roman" w:eastAsia="Times New Roman"/>
                <w:color w:val="000000" w:themeColor="text1"/>
                <w:sz w:val="24"/>
                <w:lang w:eastAsia="zh-CN"/>
                <w14:textFill>
                  <w14:solidFill>
                    <w14:schemeClr w14:val="tx1"/>
                  </w14:solidFill>
                </w14:textFill>
              </w:rPr>
              <w:t>3</w:t>
            </w:r>
            <w:r>
              <w:rPr>
                <w:color w:val="000000" w:themeColor="text1"/>
                <w:sz w:val="24"/>
                <w:lang w:eastAsia="zh-CN"/>
                <w14:textFill>
                  <w14:solidFill>
                    <w14:schemeClr w14:val="tx1"/>
                  </w14:solidFill>
                </w14:textFill>
              </w:rPr>
              <w:t>）本项目环境风险简单分析情况</w:t>
            </w:r>
          </w:p>
          <w:p>
            <w:pPr>
              <w:pStyle w:val="75"/>
              <w:spacing w:before="72" w:line="240" w:lineRule="auto"/>
              <w:ind w:firstLine="422"/>
              <w:rPr>
                <w:color w:val="000000" w:themeColor="text1"/>
                <w14:textFill>
                  <w14:solidFill>
                    <w14:schemeClr w14:val="tx1"/>
                  </w14:solidFill>
                </w14:textFill>
              </w:rPr>
            </w:pPr>
            <w:r>
              <w:rPr>
                <w:rFonts w:hint="eastAsia" w:hAnsi="宋体"/>
                <w:color w:val="000000" w:themeColor="text1"/>
                <w:kern w:val="0"/>
                <w:sz w:val="21"/>
                <w:szCs w:val="21"/>
                <w:lang w:val="en-US"/>
                <w14:textFill>
                  <w14:solidFill>
                    <w14:schemeClr w14:val="tx1"/>
                  </w14:solidFill>
                </w14:textFill>
              </w:rPr>
              <w:t>表 8-3</w:t>
            </w:r>
            <w:r>
              <w:rPr>
                <w:rFonts w:hint="eastAsia" w:hAnsi="宋体"/>
                <w:color w:val="000000" w:themeColor="text1"/>
                <w:kern w:val="0"/>
                <w:sz w:val="21"/>
                <w:szCs w:val="21"/>
                <w:lang w:val="en-US"/>
                <w14:textFill>
                  <w14:solidFill>
                    <w14:schemeClr w14:val="tx1"/>
                  </w14:solidFill>
                </w14:textFill>
              </w:rPr>
              <w:tab/>
            </w:r>
            <w:r>
              <w:rPr>
                <w:rFonts w:hint="eastAsia" w:hAnsi="宋体"/>
                <w:color w:val="000000" w:themeColor="text1"/>
                <w:kern w:val="0"/>
                <w:sz w:val="21"/>
                <w:szCs w:val="21"/>
                <w:lang w:val="en-US"/>
                <w14:textFill>
                  <w14:solidFill>
                    <w14:schemeClr w14:val="tx1"/>
                  </w14:solidFill>
                </w14:textFill>
              </w:rPr>
              <w:t>建设项目环境风险简单分析内容表</w:t>
            </w:r>
          </w:p>
          <w:tbl>
            <w:tblPr>
              <w:tblStyle w:val="28"/>
              <w:tblW w:w="8499"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2"/>
              <w:gridCol w:w="1798"/>
              <w:gridCol w:w="1227"/>
              <w:gridCol w:w="1363"/>
              <w:gridCol w:w="1200"/>
              <w:gridCol w:w="16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252" w:type="dxa"/>
                  <w:tcBorders>
                    <w:tl2br w:val="nil"/>
                    <w:tr2bl w:val="nil"/>
                  </w:tcBorders>
                  <w:vAlign w:val="center"/>
                </w:tcPr>
                <w:p>
                  <w:pPr>
                    <w:pStyle w:val="88"/>
                    <w:spacing w:before="91"/>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建设项目名称</w:t>
                  </w:r>
                </w:p>
              </w:tc>
              <w:tc>
                <w:tcPr>
                  <w:tcW w:w="7247" w:type="dxa"/>
                  <w:gridSpan w:val="5"/>
                  <w:tcBorders>
                    <w:tl2br w:val="nil"/>
                    <w:tr2bl w:val="nil"/>
                  </w:tcBorders>
                  <w:vAlign w:val="center"/>
                </w:tcPr>
                <w:p>
                  <w:pPr>
                    <w:pStyle w:val="88"/>
                    <w:jc w:val="center"/>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咸阳世纪大道中段南加油站项目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1252" w:type="dxa"/>
                  <w:tcBorders>
                    <w:tl2br w:val="nil"/>
                    <w:tr2bl w:val="nil"/>
                  </w:tcBorders>
                </w:tcPr>
                <w:p>
                  <w:pPr>
                    <w:pStyle w:val="88"/>
                    <w:spacing w:before="91"/>
                    <w:ind w:left="282"/>
                    <w:rPr>
                      <w:color w:val="000000" w:themeColor="text1"/>
                      <w:sz w:val="21"/>
                      <w14:textFill>
                        <w14:solidFill>
                          <w14:schemeClr w14:val="tx1"/>
                        </w14:solidFill>
                      </w14:textFill>
                    </w:rPr>
                  </w:pPr>
                  <w:r>
                    <w:rPr>
                      <w:color w:val="000000" w:themeColor="text1"/>
                      <w:sz w:val="21"/>
                      <w14:textFill>
                        <w14:solidFill>
                          <w14:schemeClr w14:val="tx1"/>
                        </w14:solidFill>
                      </w14:textFill>
                    </w:rPr>
                    <w:t>建设地点</w:t>
                  </w:r>
                </w:p>
              </w:tc>
              <w:tc>
                <w:tcPr>
                  <w:tcW w:w="1798" w:type="dxa"/>
                  <w:tcBorders>
                    <w:tl2br w:val="nil"/>
                    <w:tr2bl w:val="nil"/>
                  </w:tcBorders>
                </w:tcPr>
                <w:p>
                  <w:pPr>
                    <w:pStyle w:val="88"/>
                    <w:spacing w:before="91"/>
                    <w:ind w:left="401"/>
                    <w:rPr>
                      <w:color w:val="000000" w:themeColor="text1"/>
                      <w:sz w:val="21"/>
                      <w14:textFill>
                        <w14:solidFill>
                          <w14:schemeClr w14:val="tx1"/>
                        </w14:solidFill>
                      </w14:textFill>
                    </w:rPr>
                  </w:pPr>
                  <w:r>
                    <w:rPr>
                      <w:color w:val="000000" w:themeColor="text1"/>
                      <w:sz w:val="21"/>
                      <w14:textFill>
                        <w14:solidFill>
                          <w14:schemeClr w14:val="tx1"/>
                        </w14:solidFill>
                      </w14:textFill>
                    </w:rPr>
                    <w:t>（陕西）省</w:t>
                  </w:r>
                </w:p>
              </w:tc>
              <w:tc>
                <w:tcPr>
                  <w:tcW w:w="1227" w:type="dxa"/>
                  <w:tcBorders>
                    <w:tl2br w:val="nil"/>
                    <w:tr2bl w:val="nil"/>
                  </w:tcBorders>
                </w:tcPr>
                <w:p>
                  <w:pPr>
                    <w:pStyle w:val="88"/>
                    <w:spacing w:before="91"/>
                    <w:ind w:left="319"/>
                    <w:rPr>
                      <w:color w:val="000000" w:themeColor="text1"/>
                      <w:sz w:val="21"/>
                      <w14:textFill>
                        <w14:solidFill>
                          <w14:schemeClr w14:val="tx1"/>
                        </w14:solidFill>
                      </w14:textFill>
                    </w:rPr>
                  </w:pPr>
                  <w:r>
                    <w:rPr>
                      <w:color w:val="000000" w:themeColor="text1"/>
                      <w:sz w:val="21"/>
                      <w14:textFill>
                        <w14:solidFill>
                          <w14:schemeClr w14:val="tx1"/>
                        </w14:solidFill>
                      </w14:textFill>
                    </w:rPr>
                    <w:t>（</w:t>
                  </w:r>
                  <w:r>
                    <w:rPr>
                      <w:rFonts w:asci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）市</w:t>
                  </w:r>
                </w:p>
              </w:tc>
              <w:tc>
                <w:tcPr>
                  <w:tcW w:w="1363" w:type="dxa"/>
                  <w:tcBorders>
                    <w:tl2br w:val="nil"/>
                    <w:tr2bl w:val="nil"/>
                  </w:tcBorders>
                </w:tcPr>
                <w:p>
                  <w:pPr>
                    <w:pStyle w:val="88"/>
                    <w:spacing w:before="91"/>
                    <w:ind w:left="121"/>
                    <w:rPr>
                      <w:color w:val="000000" w:themeColor="text1"/>
                      <w:sz w:val="21"/>
                      <w14:textFill>
                        <w14:solidFill>
                          <w14:schemeClr w14:val="tx1"/>
                        </w14:solidFill>
                      </w14:textFill>
                    </w:rPr>
                  </w:pPr>
                  <w:r>
                    <w:rPr>
                      <w:color w:val="000000" w:themeColor="text1"/>
                      <w:sz w:val="21"/>
                      <w14:textFill>
                        <w14:solidFill>
                          <w14:schemeClr w14:val="tx1"/>
                        </w14:solidFill>
                      </w14:textFill>
                    </w:rPr>
                    <w:t>（西咸新）区</w:t>
                  </w:r>
                </w:p>
              </w:tc>
              <w:tc>
                <w:tcPr>
                  <w:tcW w:w="1200" w:type="dxa"/>
                  <w:tcBorders>
                    <w:tl2br w:val="nil"/>
                    <w:tr2bl w:val="nil"/>
                  </w:tcBorders>
                </w:tcPr>
                <w:p>
                  <w:pPr>
                    <w:pStyle w:val="88"/>
                    <w:spacing w:before="91"/>
                    <w:ind w:left="245"/>
                    <w:rPr>
                      <w:color w:val="000000" w:themeColor="text1"/>
                      <w:sz w:val="21"/>
                      <w14:textFill>
                        <w14:solidFill>
                          <w14:schemeClr w14:val="tx1"/>
                        </w14:solidFill>
                      </w14:textFill>
                    </w:rPr>
                  </w:pPr>
                  <w:r>
                    <w:rPr>
                      <w:color w:val="000000" w:themeColor="text1"/>
                      <w:sz w:val="21"/>
                      <w14:textFill>
                        <w14:solidFill>
                          <w14:schemeClr w14:val="tx1"/>
                        </w14:solidFill>
                      </w14:textFill>
                    </w:rPr>
                    <w:t>沣东新城</w:t>
                  </w:r>
                </w:p>
              </w:tc>
              <w:tc>
                <w:tcPr>
                  <w:tcW w:w="1659" w:type="dxa"/>
                  <w:tcBorders>
                    <w:tl2br w:val="nil"/>
                    <w:tr2bl w:val="nil"/>
                  </w:tcBorders>
                </w:tcPr>
                <w:p>
                  <w:pPr>
                    <w:pStyle w:val="88"/>
                    <w:spacing w:before="105"/>
                    <w:ind w:left="41"/>
                    <w:jc w:val="center"/>
                    <w:rPr>
                      <w:rFonts w:ascii="Times New Roman"/>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沣东新城世纪大道中段南侧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52" w:type="dxa"/>
                  <w:tcBorders>
                    <w:tl2br w:val="nil"/>
                    <w:tr2bl w:val="nil"/>
                  </w:tcBorders>
                </w:tcPr>
                <w:p>
                  <w:pPr>
                    <w:pStyle w:val="88"/>
                    <w:spacing w:before="1"/>
                    <w:ind w:left="282"/>
                    <w:rPr>
                      <w:color w:val="000000" w:themeColor="text1"/>
                      <w:sz w:val="21"/>
                      <w14:textFill>
                        <w14:solidFill>
                          <w14:schemeClr w14:val="tx1"/>
                        </w14:solidFill>
                      </w14:textFill>
                    </w:rPr>
                  </w:pPr>
                  <w:r>
                    <w:rPr>
                      <w:color w:val="000000" w:themeColor="text1"/>
                      <w:sz w:val="21"/>
                      <w14:textFill>
                        <w14:solidFill>
                          <w14:schemeClr w14:val="tx1"/>
                        </w14:solidFill>
                      </w14:textFill>
                    </w:rPr>
                    <w:t>地理坐标</w:t>
                  </w:r>
                </w:p>
              </w:tc>
              <w:tc>
                <w:tcPr>
                  <w:tcW w:w="1798" w:type="dxa"/>
                  <w:tcBorders>
                    <w:tl2br w:val="nil"/>
                    <w:tr2bl w:val="nil"/>
                  </w:tcBorders>
                </w:tcPr>
                <w:p>
                  <w:pPr>
                    <w:pStyle w:val="88"/>
                    <w:spacing w:before="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加油站</w:t>
                  </w:r>
                </w:p>
              </w:tc>
              <w:tc>
                <w:tcPr>
                  <w:tcW w:w="1227" w:type="dxa"/>
                  <w:tcBorders>
                    <w:tl2br w:val="nil"/>
                    <w:tr2bl w:val="nil"/>
                  </w:tcBorders>
                </w:tcPr>
                <w:p>
                  <w:pPr>
                    <w:pStyle w:val="88"/>
                    <w:spacing w:before="1"/>
                    <w:ind w:left="451"/>
                    <w:rPr>
                      <w:color w:val="000000" w:themeColor="text1"/>
                      <w:sz w:val="21"/>
                      <w14:textFill>
                        <w14:solidFill>
                          <w14:schemeClr w14:val="tx1"/>
                        </w14:solidFill>
                      </w14:textFill>
                    </w:rPr>
                  </w:pPr>
                  <w:r>
                    <w:rPr>
                      <w:color w:val="000000" w:themeColor="text1"/>
                      <w:sz w:val="21"/>
                      <w14:textFill>
                        <w14:solidFill>
                          <w14:schemeClr w14:val="tx1"/>
                        </w14:solidFill>
                      </w14:textFill>
                    </w:rPr>
                    <w:t>经度</w:t>
                  </w:r>
                </w:p>
              </w:tc>
              <w:tc>
                <w:tcPr>
                  <w:tcW w:w="1363" w:type="dxa"/>
                  <w:tcBorders>
                    <w:tl2br w:val="nil"/>
                    <w:tr2bl w:val="nil"/>
                  </w:tcBorders>
                </w:tcPr>
                <w:p>
                  <w:pPr>
                    <w:pStyle w:val="88"/>
                    <w:spacing w:before="119"/>
                    <w:ind w:left="275"/>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108.834619</w:t>
                  </w:r>
                </w:p>
              </w:tc>
              <w:tc>
                <w:tcPr>
                  <w:tcW w:w="1200" w:type="dxa"/>
                  <w:tcBorders>
                    <w:tl2br w:val="nil"/>
                    <w:tr2bl w:val="nil"/>
                  </w:tcBorders>
                </w:tcPr>
                <w:p>
                  <w:pPr>
                    <w:pStyle w:val="88"/>
                    <w:spacing w:before="1"/>
                    <w:ind w:left="454"/>
                    <w:rPr>
                      <w:color w:val="000000" w:themeColor="text1"/>
                      <w:sz w:val="21"/>
                      <w14:textFill>
                        <w14:solidFill>
                          <w14:schemeClr w14:val="tx1"/>
                        </w14:solidFill>
                      </w14:textFill>
                    </w:rPr>
                  </w:pPr>
                  <w:r>
                    <w:rPr>
                      <w:color w:val="000000" w:themeColor="text1"/>
                      <w:sz w:val="21"/>
                      <w14:textFill>
                        <w14:solidFill>
                          <w14:schemeClr w14:val="tx1"/>
                        </w14:solidFill>
                      </w14:textFill>
                    </w:rPr>
                    <w:t>纬度</w:t>
                  </w:r>
                </w:p>
              </w:tc>
              <w:tc>
                <w:tcPr>
                  <w:tcW w:w="1659" w:type="dxa"/>
                  <w:tcBorders>
                    <w:tl2br w:val="nil"/>
                    <w:tr2bl w:val="nil"/>
                  </w:tcBorders>
                </w:tcPr>
                <w:p>
                  <w:pPr>
                    <w:pStyle w:val="88"/>
                    <w:spacing w:before="119"/>
                    <w:ind w:left="455"/>
                    <w:rPr>
                      <w:rFonts w:ascii="Times New Roman"/>
                      <w:color w:val="000000" w:themeColor="text1"/>
                      <w:sz w:val="20"/>
                      <w14:textFill>
                        <w14:solidFill>
                          <w14:schemeClr w14:val="tx1"/>
                        </w14:solidFill>
                      </w14:textFill>
                    </w:rPr>
                  </w:pPr>
                  <w:r>
                    <w:rPr>
                      <w:rFonts w:ascii="Times New Roman"/>
                      <w:color w:val="000000" w:themeColor="text1"/>
                      <w:sz w:val="20"/>
                      <w14:textFill>
                        <w14:solidFill>
                          <w14:schemeClr w14:val="tx1"/>
                        </w14:solidFill>
                      </w14:textFill>
                    </w:rPr>
                    <w:t>34.332921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252" w:type="dxa"/>
                  <w:tcBorders>
                    <w:tl2br w:val="nil"/>
                    <w:tr2bl w:val="nil"/>
                  </w:tcBorders>
                </w:tcPr>
                <w:p>
                  <w:pPr>
                    <w:pStyle w:val="8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主要危险物</w:t>
                  </w:r>
                </w:p>
                <w:p>
                  <w:pPr>
                    <w:pStyle w:val="8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质及分布</w:t>
                  </w:r>
                </w:p>
              </w:tc>
              <w:tc>
                <w:tcPr>
                  <w:tcW w:w="7247" w:type="dxa"/>
                  <w:gridSpan w:val="5"/>
                  <w:tcBorders>
                    <w:tl2br w:val="nil"/>
                    <w:tr2bl w:val="nil"/>
                  </w:tcBorders>
                </w:tcPr>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项目涉及的主要危险物质包括汽油、柴油，存放于加油站罐区，采用</w:t>
                  </w:r>
                  <w:r>
                    <w:rPr>
                      <w:rFonts w:ascii="Times New Roman" w:eastAsia="Times New Roman"/>
                      <w:color w:val="000000" w:themeColor="text1"/>
                      <w:sz w:val="21"/>
                      <w:lang w:eastAsia="zh-CN"/>
                      <w14:textFill>
                        <w14:solidFill>
                          <w14:schemeClr w14:val="tx1"/>
                        </w14:solidFill>
                      </w14:textFill>
                    </w:rPr>
                    <w:t>SF</w:t>
                  </w:r>
                  <w:r>
                    <w:rPr>
                      <w:color w:val="000000" w:themeColor="text1"/>
                      <w:sz w:val="21"/>
                      <w:lang w:eastAsia="zh-CN"/>
                      <w14:textFill>
                        <w14:solidFill>
                          <w14:schemeClr w14:val="tx1"/>
                        </w14:solidFill>
                      </w14:textFill>
                    </w:rPr>
                    <w:t>双层卧式埋地储罐。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7" w:hRule="atLeast"/>
              </w:trPr>
              <w:tc>
                <w:tcPr>
                  <w:tcW w:w="1252" w:type="dxa"/>
                  <w:tcBorders>
                    <w:tl2br w:val="nil"/>
                    <w:tr2bl w:val="nil"/>
                  </w:tcBorders>
                </w:tcPr>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spacing w:before="8"/>
                    <w:rPr>
                      <w:color w:val="000000" w:themeColor="text1"/>
                      <w:sz w:val="24"/>
                      <w:lang w:eastAsia="zh-CN"/>
                      <w14:textFill>
                        <w14:solidFill>
                          <w14:schemeClr w14:val="tx1"/>
                        </w14:solidFill>
                      </w14:textFill>
                    </w:rPr>
                  </w:pPr>
                </w:p>
                <w:p>
                  <w:pPr>
                    <w:pStyle w:val="88"/>
                    <w:spacing w:line="278" w:lineRule="auto"/>
                    <w:ind w:left="119" w:right="84" w:hanging="1"/>
                    <w:jc w:val="center"/>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环境影响途径及危害后</w:t>
                  </w:r>
                  <w:r>
                    <w:rPr>
                      <w:color w:val="000000" w:themeColor="text1"/>
                      <w:spacing w:val="-46"/>
                      <w:sz w:val="21"/>
                      <w:lang w:eastAsia="zh-CN"/>
                      <w14:textFill>
                        <w14:solidFill>
                          <w14:schemeClr w14:val="tx1"/>
                        </w14:solidFill>
                      </w14:textFill>
                    </w:rPr>
                    <w:t>果</w:t>
                  </w:r>
                  <w:r>
                    <w:rPr>
                      <w:color w:val="000000" w:themeColor="text1"/>
                      <w:sz w:val="21"/>
                      <w:lang w:eastAsia="zh-CN"/>
                      <w14:textFill>
                        <w14:solidFill>
                          <w14:schemeClr w14:val="tx1"/>
                        </w14:solidFill>
                      </w14:textFill>
                    </w:rPr>
                    <w:t>（</w:t>
                  </w:r>
                  <w:r>
                    <w:rPr>
                      <w:color w:val="000000" w:themeColor="text1"/>
                      <w:spacing w:val="-17"/>
                      <w:sz w:val="21"/>
                      <w:lang w:eastAsia="zh-CN"/>
                      <w14:textFill>
                        <w14:solidFill>
                          <w14:schemeClr w14:val="tx1"/>
                        </w14:solidFill>
                      </w14:textFill>
                    </w:rPr>
                    <w:t>大气、地</w:t>
                  </w:r>
                  <w:r>
                    <w:rPr>
                      <w:color w:val="000000" w:themeColor="text1"/>
                      <w:spacing w:val="-20"/>
                      <w:sz w:val="21"/>
                      <w:lang w:eastAsia="zh-CN"/>
                      <w14:textFill>
                        <w14:solidFill>
                          <w14:schemeClr w14:val="tx1"/>
                        </w14:solidFill>
                      </w14:textFill>
                    </w:rPr>
                    <w:t>表水、地下水</w:t>
                  </w:r>
                  <w:r>
                    <w:rPr>
                      <w:color w:val="000000" w:themeColor="text1"/>
                      <w:sz w:val="21"/>
                      <w:lang w:eastAsia="zh-CN"/>
                      <w14:textFill>
                        <w14:solidFill>
                          <w14:schemeClr w14:val="tx1"/>
                        </w14:solidFill>
                      </w14:textFill>
                    </w:rPr>
                    <w:t>等）</w:t>
                  </w:r>
                </w:p>
              </w:tc>
              <w:tc>
                <w:tcPr>
                  <w:tcW w:w="7247" w:type="dxa"/>
                  <w:gridSpan w:val="5"/>
                  <w:tcBorders>
                    <w:tl2br w:val="nil"/>
                    <w:tr2bl w:val="nil"/>
                  </w:tcBorders>
                </w:tcPr>
                <w:p>
                  <w:pPr>
                    <w:pStyle w:val="88"/>
                    <w:spacing w:before="19"/>
                    <w:ind w:left="123" w:firstLine="420" w:firstLineChars="200"/>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1）</w:t>
                  </w:r>
                  <w:r>
                    <w:rPr>
                      <w:color w:val="000000" w:themeColor="text1"/>
                      <w:sz w:val="21"/>
                      <w:lang w:eastAsia="zh-CN"/>
                      <w14:textFill>
                        <w14:solidFill>
                          <w14:schemeClr w14:val="tx1"/>
                        </w14:solidFill>
                      </w14:textFill>
                    </w:rPr>
                    <w:t>大气污染事故主要为物料在储运、使用过程的泄漏。据调查，厂外运输为</w:t>
                  </w:r>
                  <w:r>
                    <w:rPr>
                      <w:rFonts w:hint="eastAsia"/>
                      <w:color w:val="000000" w:themeColor="text1"/>
                      <w:sz w:val="21"/>
                      <w:lang w:eastAsia="zh-CN"/>
                      <w14:textFill>
                        <w14:solidFill>
                          <w14:schemeClr w14:val="tx1"/>
                        </w14:solidFill>
                      </w14:textFill>
                    </w:rPr>
                    <w:t>延长石油有限公司</w:t>
                  </w:r>
                  <w:r>
                    <w:rPr>
                      <w:color w:val="000000" w:themeColor="text1"/>
                      <w:sz w:val="21"/>
                      <w:lang w:eastAsia="zh-CN"/>
                      <w14:textFill>
                        <w14:solidFill>
                          <w14:schemeClr w14:val="tx1"/>
                        </w14:solidFill>
                      </w14:textFill>
                    </w:rPr>
                    <w:t>采用专用危化品运输车运至加油站，密闭卸油罐卸油至玻璃纤维增强塑料双层卧式埋地储罐内。</w:t>
                  </w:r>
                </w:p>
                <w:p>
                  <w:pPr>
                    <w:pStyle w:val="88"/>
                    <w:spacing w:before="19"/>
                    <w:ind w:left="123"/>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项目主要涉及风险为油品泄露。</w:t>
                  </w:r>
                </w:p>
                <w:p>
                  <w:pPr>
                    <w:pStyle w:val="88"/>
                    <w:spacing w:before="19"/>
                    <w:ind w:left="123" w:firstLine="420" w:firstLineChars="200"/>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2）</w:t>
                  </w:r>
                  <w:r>
                    <w:rPr>
                      <w:color w:val="000000" w:themeColor="text1"/>
                      <w:sz w:val="21"/>
                      <w:lang w:eastAsia="zh-CN"/>
                      <w14:textFill>
                        <w14:solidFill>
                          <w14:schemeClr w14:val="tx1"/>
                        </w14:solidFill>
                      </w14:textFill>
                    </w:rPr>
                    <w:t>生产设施危险性识别</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生产设施风险识别的范围为主要生产装置、贮运系统、公用工程系统、工程环保设施及辅助生产设施等。经分析本项目生产设施危险性识别为贮运系统的危险性识别。</w:t>
                  </w:r>
                </w:p>
                <w:tbl>
                  <w:tblPr>
                    <w:tblStyle w:val="28"/>
                    <w:tblW w:w="7326" w:type="dxa"/>
                    <w:tblInd w:w="2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747"/>
                    <w:gridCol w:w="1193"/>
                    <w:gridCol w:w="752"/>
                    <w:gridCol w:w="2614"/>
                    <w:gridCol w:w="202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64" w:hRule="atLeast"/>
                    </w:trPr>
                    <w:tc>
                      <w:tcPr>
                        <w:tcW w:w="1940" w:type="dxa"/>
                        <w:gridSpan w:val="2"/>
                        <w:tcBorders>
                          <w:top w:val="single" w:color="000000" w:sz="6" w:space="0"/>
                          <w:left w:val="single" w:color="000000" w:sz="8" w:space="0"/>
                          <w:bottom w:val="single" w:color="000000" w:sz="6" w:space="0"/>
                          <w:right w:val="single" w:color="000000" w:sz="6" w:space="0"/>
                        </w:tcBorders>
                      </w:tcPr>
                      <w:p>
                        <w:pPr>
                          <w:pStyle w:val="88"/>
                          <w:spacing w:before="40"/>
                          <w:ind w:left="558"/>
                          <w:rPr>
                            <w:b/>
                            <w:color w:val="000000" w:themeColor="text1"/>
                            <w:sz w:val="21"/>
                            <w14:textFill>
                              <w14:solidFill>
                                <w14:schemeClr w14:val="tx1"/>
                              </w14:solidFill>
                            </w14:textFill>
                          </w:rPr>
                        </w:pPr>
                        <w:r>
                          <w:rPr>
                            <w:b/>
                            <w:color w:val="000000" w:themeColor="text1"/>
                            <w:sz w:val="21"/>
                            <w14:textFill>
                              <w14:solidFill>
                                <w14:schemeClr w14:val="tx1"/>
                              </w14:solidFill>
                            </w14:textFill>
                          </w:rPr>
                          <w:t>风险装置</w:t>
                        </w:r>
                      </w:p>
                    </w:tc>
                    <w:tc>
                      <w:tcPr>
                        <w:tcW w:w="752" w:type="dxa"/>
                        <w:tcBorders>
                          <w:top w:val="single" w:color="000000" w:sz="6" w:space="0"/>
                          <w:left w:val="single" w:color="000000" w:sz="6" w:space="0"/>
                          <w:bottom w:val="single" w:color="000000" w:sz="6" w:space="0"/>
                          <w:right w:val="single" w:color="000000" w:sz="6" w:space="0"/>
                        </w:tcBorders>
                      </w:tcPr>
                      <w:p>
                        <w:pPr>
                          <w:pStyle w:val="88"/>
                          <w:spacing w:before="40"/>
                          <w:ind w:left="178"/>
                          <w:rPr>
                            <w:b/>
                            <w:color w:val="000000" w:themeColor="text1"/>
                            <w:sz w:val="21"/>
                            <w14:textFill>
                              <w14:solidFill>
                                <w14:schemeClr w14:val="tx1"/>
                              </w14:solidFill>
                            </w14:textFill>
                          </w:rPr>
                        </w:pPr>
                        <w:r>
                          <w:rPr>
                            <w:b/>
                            <w:color w:val="000000" w:themeColor="text1"/>
                            <w:sz w:val="21"/>
                            <w14:textFill>
                              <w14:solidFill>
                                <w14:schemeClr w14:val="tx1"/>
                              </w14:solidFill>
                            </w14:textFill>
                          </w:rPr>
                          <w:t>事故</w:t>
                        </w:r>
                      </w:p>
                    </w:tc>
                    <w:tc>
                      <w:tcPr>
                        <w:tcW w:w="2614" w:type="dxa"/>
                        <w:tcBorders>
                          <w:top w:val="single" w:color="000000" w:sz="6" w:space="0"/>
                          <w:left w:val="single" w:color="000000" w:sz="6" w:space="0"/>
                          <w:bottom w:val="single" w:color="000000" w:sz="6" w:space="0"/>
                          <w:right w:val="single" w:color="000000" w:sz="6" w:space="0"/>
                        </w:tcBorders>
                      </w:tcPr>
                      <w:p>
                        <w:pPr>
                          <w:pStyle w:val="88"/>
                          <w:spacing w:before="40"/>
                          <w:ind w:left="374"/>
                          <w:rPr>
                            <w:b/>
                            <w:color w:val="000000" w:themeColor="text1"/>
                            <w:sz w:val="21"/>
                            <w14:textFill>
                              <w14:solidFill>
                                <w14:schemeClr w14:val="tx1"/>
                              </w14:solidFill>
                            </w14:textFill>
                          </w:rPr>
                        </w:pPr>
                        <w:r>
                          <w:rPr>
                            <w:b/>
                            <w:color w:val="000000" w:themeColor="text1"/>
                            <w:sz w:val="21"/>
                            <w14:textFill>
                              <w14:solidFill>
                                <w14:schemeClr w14:val="tx1"/>
                              </w14:solidFill>
                            </w14:textFill>
                          </w:rPr>
                          <w:t>可能泄漏的危险物质</w:t>
                        </w:r>
                      </w:p>
                    </w:tc>
                    <w:tc>
                      <w:tcPr>
                        <w:tcW w:w="2020" w:type="dxa"/>
                        <w:tcBorders>
                          <w:top w:val="single" w:color="000000" w:sz="6" w:space="0"/>
                          <w:left w:val="single" w:color="000000" w:sz="6" w:space="0"/>
                          <w:bottom w:val="single" w:color="000000" w:sz="6" w:space="0"/>
                          <w:right w:val="single" w:color="000000" w:sz="8" w:space="0"/>
                        </w:tcBorders>
                      </w:tcPr>
                      <w:p>
                        <w:pPr>
                          <w:pStyle w:val="88"/>
                          <w:spacing w:before="40"/>
                          <w:ind w:left="602"/>
                          <w:rPr>
                            <w:b/>
                            <w:color w:val="000000" w:themeColor="text1"/>
                            <w:sz w:val="21"/>
                            <w14:textFill>
                              <w14:solidFill>
                                <w14:schemeClr w14:val="tx1"/>
                              </w14:solidFill>
                            </w14:textFill>
                          </w:rPr>
                        </w:pPr>
                        <w:r>
                          <w:rPr>
                            <w:b/>
                            <w:color w:val="000000" w:themeColor="text1"/>
                            <w:sz w:val="21"/>
                            <w14:textFill>
                              <w14:solidFill>
                                <w14:schemeClr w14:val="tx1"/>
                              </w14:solidFill>
                            </w14:textFill>
                          </w:rPr>
                          <w:t>风险类型</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99" w:hRule="atLeast"/>
                    </w:trPr>
                    <w:tc>
                      <w:tcPr>
                        <w:tcW w:w="747" w:type="dxa"/>
                        <w:vMerge w:val="restart"/>
                        <w:tcBorders>
                          <w:top w:val="single" w:color="000000" w:sz="6" w:space="0"/>
                          <w:left w:val="single" w:color="000000" w:sz="8" w:space="0"/>
                          <w:right w:val="single" w:color="000000" w:sz="6" w:space="0"/>
                        </w:tcBorders>
                      </w:tcPr>
                      <w:p>
                        <w:pPr>
                          <w:pStyle w:val="88"/>
                          <w:spacing w:before="54"/>
                          <w:ind w:left="171"/>
                          <w:rPr>
                            <w:color w:val="000000" w:themeColor="text1"/>
                            <w:sz w:val="21"/>
                            <w14:textFill>
                              <w14:solidFill>
                                <w14:schemeClr w14:val="tx1"/>
                              </w14:solidFill>
                            </w14:textFill>
                          </w:rPr>
                        </w:pPr>
                        <w:r>
                          <w:rPr>
                            <w:color w:val="000000" w:themeColor="text1"/>
                            <w:sz w:val="21"/>
                            <w14:textFill>
                              <w14:solidFill>
                                <w14:schemeClr w14:val="tx1"/>
                              </w14:solidFill>
                            </w14:textFill>
                          </w:rPr>
                          <w:t>贮运</w:t>
                        </w:r>
                      </w:p>
                      <w:p>
                        <w:pPr>
                          <w:pStyle w:val="88"/>
                          <w:spacing w:line="267" w:lineRule="exact"/>
                          <w:ind w:left="171"/>
                          <w:rPr>
                            <w:rFonts w:ascii="宋体" w:hAnsi="宋体" w:eastAsia="宋体" w:cs="宋体"/>
                            <w:color w:val="000000" w:themeColor="text1"/>
                            <w:sz w:val="21"/>
                            <w:lang w:val="zh-CN" w:eastAsia="zh-CN" w:bidi="zh-CN"/>
                            <w14:textFill>
                              <w14:solidFill>
                                <w14:schemeClr w14:val="tx1"/>
                              </w14:solidFill>
                            </w14:textFill>
                          </w:rPr>
                        </w:pPr>
                        <w:r>
                          <w:rPr>
                            <w:color w:val="000000" w:themeColor="text1"/>
                            <w:sz w:val="21"/>
                            <w14:textFill>
                              <w14:solidFill>
                                <w14:schemeClr w14:val="tx1"/>
                              </w14:solidFill>
                            </w14:textFill>
                          </w:rPr>
                          <w:t>系统</w:t>
                        </w:r>
                      </w:p>
                    </w:tc>
                    <w:tc>
                      <w:tcPr>
                        <w:tcW w:w="1193" w:type="dxa"/>
                        <w:tcBorders>
                          <w:top w:val="single" w:color="000000" w:sz="6" w:space="0"/>
                          <w:left w:val="single" w:color="000000" w:sz="6" w:space="0"/>
                          <w:bottom w:val="single" w:color="000000" w:sz="6" w:space="0"/>
                          <w:right w:val="single" w:color="000000" w:sz="6" w:space="0"/>
                        </w:tcBorders>
                      </w:tcPr>
                      <w:p>
                        <w:pPr>
                          <w:pStyle w:val="88"/>
                          <w:spacing w:before="54"/>
                          <w:ind w:left="397"/>
                          <w:rPr>
                            <w:color w:val="000000" w:themeColor="text1"/>
                            <w:sz w:val="21"/>
                            <w14:textFill>
                              <w14:solidFill>
                                <w14:schemeClr w14:val="tx1"/>
                              </w14:solidFill>
                            </w14:textFill>
                          </w:rPr>
                        </w:pPr>
                        <w:r>
                          <w:rPr>
                            <w:color w:val="000000" w:themeColor="text1"/>
                            <w:sz w:val="21"/>
                            <w14:textFill>
                              <w14:solidFill>
                                <w14:schemeClr w14:val="tx1"/>
                              </w14:solidFill>
                            </w14:textFill>
                          </w:rPr>
                          <w:t>储罐</w:t>
                        </w:r>
                      </w:p>
                    </w:tc>
                    <w:tc>
                      <w:tcPr>
                        <w:tcW w:w="752" w:type="dxa"/>
                        <w:tcBorders>
                          <w:top w:val="single" w:color="000000" w:sz="6" w:space="0"/>
                          <w:left w:val="single" w:color="000000" w:sz="6" w:space="0"/>
                          <w:bottom w:val="single" w:color="000000" w:sz="6" w:space="0"/>
                          <w:right w:val="single" w:color="000000" w:sz="6" w:space="0"/>
                        </w:tcBorders>
                      </w:tcPr>
                      <w:p>
                        <w:pPr>
                          <w:pStyle w:val="88"/>
                          <w:spacing w:before="54"/>
                          <w:ind w:left="178"/>
                          <w:rPr>
                            <w:color w:val="000000" w:themeColor="text1"/>
                            <w:sz w:val="21"/>
                            <w14:textFill>
                              <w14:solidFill>
                                <w14:schemeClr w14:val="tx1"/>
                              </w14:solidFill>
                            </w14:textFill>
                          </w:rPr>
                        </w:pPr>
                        <w:r>
                          <w:rPr>
                            <w:color w:val="000000" w:themeColor="text1"/>
                            <w:sz w:val="21"/>
                            <w14:textFill>
                              <w14:solidFill>
                                <w14:schemeClr w14:val="tx1"/>
                              </w14:solidFill>
                            </w14:textFill>
                          </w:rPr>
                          <w:t>泄漏</w:t>
                        </w:r>
                      </w:p>
                    </w:tc>
                    <w:tc>
                      <w:tcPr>
                        <w:tcW w:w="2614" w:type="dxa"/>
                        <w:tcBorders>
                          <w:top w:val="single" w:color="000000" w:sz="6" w:space="0"/>
                          <w:left w:val="single" w:color="000000" w:sz="6" w:space="0"/>
                          <w:bottom w:val="single" w:color="000000" w:sz="6" w:space="0"/>
                          <w:right w:val="single" w:color="000000" w:sz="6" w:space="0"/>
                        </w:tcBorders>
                      </w:tcPr>
                      <w:p>
                        <w:pPr>
                          <w:pStyle w:val="88"/>
                          <w:spacing w:before="54"/>
                          <w:ind w:left="268"/>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汽油、柴油、烃类气体</w:t>
                        </w:r>
                      </w:p>
                    </w:tc>
                    <w:tc>
                      <w:tcPr>
                        <w:tcW w:w="2020" w:type="dxa"/>
                        <w:tcBorders>
                          <w:top w:val="single" w:color="000000" w:sz="6" w:space="0"/>
                          <w:left w:val="single" w:color="000000" w:sz="6" w:space="0"/>
                          <w:bottom w:val="single" w:color="000000" w:sz="6" w:space="0"/>
                          <w:right w:val="single" w:color="000000" w:sz="8" w:space="0"/>
                        </w:tcBorders>
                      </w:tcPr>
                      <w:p>
                        <w:pPr>
                          <w:pStyle w:val="88"/>
                          <w:spacing w:before="54"/>
                          <w:ind w:left="182"/>
                          <w:rPr>
                            <w:color w:val="000000" w:themeColor="text1"/>
                            <w:sz w:val="21"/>
                            <w14:textFill>
                              <w14:solidFill>
                                <w14:schemeClr w14:val="tx1"/>
                              </w14:solidFill>
                            </w14:textFill>
                          </w:rPr>
                        </w:pPr>
                        <w:r>
                          <w:rPr>
                            <w:color w:val="000000" w:themeColor="text1"/>
                            <w:sz w:val="21"/>
                            <w14:textFill>
                              <w14:solidFill>
                                <w14:schemeClr w14:val="tx1"/>
                              </w14:solidFill>
                            </w14:textFill>
                          </w:rPr>
                          <w:t>火灾、泄漏、爆炸</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99" w:hRule="atLeast"/>
                    </w:trPr>
                    <w:tc>
                      <w:tcPr>
                        <w:tcW w:w="747" w:type="dxa"/>
                        <w:vMerge w:val="continue"/>
                        <w:tcBorders>
                          <w:left w:val="single" w:color="000000" w:sz="8" w:space="0"/>
                          <w:bottom w:val="single" w:color="000000" w:sz="6" w:space="0"/>
                          <w:right w:val="single" w:color="000000" w:sz="6" w:space="0"/>
                        </w:tcBorders>
                      </w:tcPr>
                      <w:p>
                        <w:pPr>
                          <w:pStyle w:val="88"/>
                          <w:spacing w:line="267" w:lineRule="exact"/>
                          <w:ind w:left="171"/>
                          <w:rPr>
                            <w:rFonts w:ascii="宋体" w:hAnsi="宋体" w:eastAsia="宋体" w:cs="宋体"/>
                            <w:color w:val="000000" w:themeColor="text1"/>
                            <w:sz w:val="21"/>
                            <w:lang w:val="zh-CN" w:eastAsia="zh-CN" w:bidi="zh-CN"/>
                            <w14:textFill>
                              <w14:solidFill>
                                <w14:schemeClr w14:val="tx1"/>
                              </w14:solidFill>
                            </w14:textFill>
                          </w:rPr>
                        </w:pPr>
                      </w:p>
                    </w:tc>
                    <w:tc>
                      <w:tcPr>
                        <w:tcW w:w="1193" w:type="dxa"/>
                        <w:tcBorders>
                          <w:top w:val="single" w:color="000000" w:sz="6" w:space="0"/>
                          <w:left w:val="single" w:color="000000" w:sz="6" w:space="0"/>
                          <w:bottom w:val="single" w:color="000000" w:sz="6" w:space="0"/>
                          <w:right w:val="single" w:color="000000" w:sz="6" w:space="0"/>
                        </w:tcBorders>
                      </w:tcPr>
                      <w:p>
                        <w:pPr>
                          <w:pStyle w:val="88"/>
                          <w:spacing w:before="69"/>
                          <w:ind w:left="188"/>
                          <w:rPr>
                            <w:rFonts w:ascii="宋体" w:hAnsi="宋体" w:eastAsia="宋体" w:cs="宋体"/>
                            <w:color w:val="000000" w:themeColor="text1"/>
                            <w:sz w:val="21"/>
                            <w:lang w:val="zh-CN" w:eastAsia="zh-CN" w:bidi="zh-CN"/>
                            <w14:textFill>
                              <w14:solidFill>
                                <w14:schemeClr w14:val="tx1"/>
                              </w14:solidFill>
                            </w14:textFill>
                          </w:rPr>
                        </w:pPr>
                        <w:r>
                          <w:rPr>
                            <w:color w:val="000000" w:themeColor="text1"/>
                            <w:sz w:val="21"/>
                            <w14:textFill>
                              <w14:solidFill>
                                <w14:schemeClr w14:val="tx1"/>
                              </w14:solidFill>
                            </w14:textFill>
                          </w:rPr>
                          <w:t>输油管线</w:t>
                        </w:r>
                      </w:p>
                    </w:tc>
                    <w:tc>
                      <w:tcPr>
                        <w:tcW w:w="752" w:type="dxa"/>
                        <w:tcBorders>
                          <w:top w:val="single" w:color="000000" w:sz="6" w:space="0"/>
                          <w:left w:val="single" w:color="000000" w:sz="6" w:space="0"/>
                          <w:bottom w:val="single" w:color="000000" w:sz="6" w:space="0"/>
                          <w:right w:val="single" w:color="000000" w:sz="6" w:space="0"/>
                        </w:tcBorders>
                        <w:vAlign w:val="center"/>
                      </w:tcPr>
                      <w:p>
                        <w:pPr>
                          <w:pStyle w:val="88"/>
                          <w:ind w:firstLine="210" w:firstLineChars="100"/>
                          <w:jc w:val="center"/>
                          <w:rPr>
                            <w:rFonts w:ascii="Times New Roman" w:hAnsi="宋体" w:eastAsia="宋体" w:cs="宋体"/>
                            <w:color w:val="000000" w:themeColor="text1"/>
                            <w:sz w:val="20"/>
                            <w:lang w:val="zh-CN" w:eastAsia="zh-CN" w:bidi="zh-CN"/>
                            <w14:textFill>
                              <w14:solidFill>
                                <w14:schemeClr w14:val="tx1"/>
                              </w14:solidFill>
                            </w14:textFill>
                          </w:rPr>
                        </w:pPr>
                        <w:r>
                          <w:rPr>
                            <w:rFonts w:hint="eastAsia"/>
                            <w:color w:val="000000" w:themeColor="text1"/>
                            <w:sz w:val="21"/>
                            <w:lang w:val="zh-CN" w:eastAsia="zh-CN"/>
                            <w14:textFill>
                              <w14:solidFill>
                                <w14:schemeClr w14:val="tx1"/>
                              </w14:solidFill>
                            </w14:textFill>
                          </w:rPr>
                          <w:t>泄漏</w:t>
                        </w:r>
                      </w:p>
                    </w:tc>
                    <w:tc>
                      <w:tcPr>
                        <w:tcW w:w="2614" w:type="dxa"/>
                        <w:tcBorders>
                          <w:top w:val="single" w:color="000000" w:sz="6" w:space="0"/>
                          <w:left w:val="single" w:color="000000" w:sz="6" w:space="0"/>
                          <w:bottom w:val="single" w:color="000000" w:sz="6" w:space="0"/>
                          <w:right w:val="single" w:color="000000" w:sz="6" w:space="0"/>
                        </w:tcBorders>
                        <w:vAlign w:val="center"/>
                      </w:tcPr>
                      <w:p>
                        <w:pPr>
                          <w:pStyle w:val="88"/>
                          <w:spacing w:before="69"/>
                          <w:ind w:left="268"/>
                          <w:jc w:val="center"/>
                          <w:rPr>
                            <w:rFonts w:ascii="宋体" w:hAnsi="宋体" w:eastAsia="宋体" w:cs="宋体"/>
                            <w:color w:val="000000" w:themeColor="text1"/>
                            <w:sz w:val="21"/>
                            <w:lang w:val="zh-CN" w:eastAsia="zh-CN" w:bidi="zh-CN"/>
                            <w14:textFill>
                              <w14:solidFill>
                                <w14:schemeClr w14:val="tx1"/>
                              </w14:solidFill>
                            </w14:textFill>
                          </w:rPr>
                        </w:pPr>
                        <w:r>
                          <w:rPr>
                            <w:color w:val="000000" w:themeColor="text1"/>
                            <w:sz w:val="21"/>
                            <w:lang w:eastAsia="zh-CN"/>
                            <w14:textFill>
                              <w14:solidFill>
                                <w14:schemeClr w14:val="tx1"/>
                              </w14:solidFill>
                            </w14:textFill>
                          </w:rPr>
                          <w:t>汽油、柴油、烃类气体</w:t>
                        </w:r>
                      </w:p>
                    </w:tc>
                    <w:tc>
                      <w:tcPr>
                        <w:tcW w:w="2020" w:type="dxa"/>
                        <w:tcBorders>
                          <w:top w:val="single" w:color="000000" w:sz="6" w:space="0"/>
                          <w:left w:val="single" w:color="000000" w:sz="6" w:space="0"/>
                          <w:bottom w:val="single" w:color="000000" w:sz="6" w:space="0"/>
                          <w:right w:val="single" w:color="000000" w:sz="8" w:space="0"/>
                        </w:tcBorders>
                      </w:tcPr>
                      <w:p>
                        <w:pPr>
                          <w:pStyle w:val="88"/>
                          <w:spacing w:before="69"/>
                          <w:ind w:left="182"/>
                          <w:rPr>
                            <w:rFonts w:ascii="宋体" w:hAnsi="宋体" w:eastAsia="宋体" w:cs="宋体"/>
                            <w:color w:val="000000" w:themeColor="text1"/>
                            <w:sz w:val="21"/>
                            <w:lang w:val="zh-CN" w:eastAsia="zh-CN" w:bidi="zh-CN"/>
                            <w14:textFill>
                              <w14:solidFill>
                                <w14:schemeClr w14:val="tx1"/>
                              </w14:solidFill>
                            </w14:textFill>
                          </w:rPr>
                        </w:pPr>
                        <w:r>
                          <w:rPr>
                            <w:color w:val="000000" w:themeColor="text1"/>
                            <w:sz w:val="21"/>
                            <w:lang w:eastAsia="zh-CN"/>
                            <w14:textFill>
                              <w14:solidFill>
                                <w14:schemeClr w14:val="tx1"/>
                              </w14:solidFill>
                            </w14:textFill>
                          </w:rPr>
                          <w:t>火灾、泄漏、爆炸</w:t>
                        </w:r>
                      </w:p>
                    </w:tc>
                  </w:tr>
                </w:tbl>
                <w:p>
                  <w:pPr>
                    <w:pStyle w:val="88"/>
                    <w:spacing w:before="19"/>
                    <w:ind w:left="123"/>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3）风险识别结果</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本项目的功能主要是对各种油品进行储存及加油，工艺流程包括汽车卸油、储存、加油等。根据工程的特点并调研同类型项目的事故类型，本项目主要事故类型可以分为火灾与爆炸、溢出与泄漏两大类。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6" w:hRule="atLeast"/>
              </w:trPr>
              <w:tc>
                <w:tcPr>
                  <w:tcW w:w="1252" w:type="dxa"/>
                  <w:tcBorders>
                    <w:tl2br w:val="nil"/>
                    <w:tr2bl w:val="nil"/>
                  </w:tcBorders>
                </w:tcPr>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rPr>
                      <w:color w:val="000000" w:themeColor="text1"/>
                      <w:sz w:val="20"/>
                      <w:lang w:eastAsia="zh-CN"/>
                      <w14:textFill>
                        <w14:solidFill>
                          <w14:schemeClr w14:val="tx1"/>
                        </w14:solidFill>
                      </w14:textFill>
                    </w:rPr>
                  </w:pPr>
                </w:p>
                <w:p>
                  <w:pPr>
                    <w:pStyle w:val="88"/>
                    <w:spacing w:before="7"/>
                    <w:rPr>
                      <w:color w:val="000000" w:themeColor="text1"/>
                      <w:sz w:val="15"/>
                      <w:lang w:eastAsia="zh-CN"/>
                      <w14:textFill>
                        <w14:solidFill>
                          <w14:schemeClr w14:val="tx1"/>
                        </w14:solidFill>
                      </w14:textFill>
                    </w:rPr>
                  </w:pPr>
                </w:p>
                <w:p>
                  <w:pPr>
                    <w:pStyle w:val="88"/>
                    <w:spacing w:line="278" w:lineRule="auto"/>
                    <w:ind w:left="176" w:right="140"/>
                    <w:rPr>
                      <w:rFonts w:ascii="宋体" w:hAnsi="宋体" w:eastAsia="宋体" w:cs="宋体"/>
                      <w:color w:val="000000" w:themeColor="text1"/>
                      <w:sz w:val="21"/>
                      <w:lang w:val="zh-CN" w:eastAsia="zh-CN" w:bidi="zh-CN"/>
                      <w14:textFill>
                        <w14:solidFill>
                          <w14:schemeClr w14:val="tx1"/>
                        </w14:solidFill>
                      </w14:textFill>
                    </w:rPr>
                  </w:pPr>
                  <w:r>
                    <w:rPr>
                      <w:color w:val="000000" w:themeColor="text1"/>
                      <w:sz w:val="21"/>
                      <w:lang w:eastAsia="zh-CN"/>
                      <w14:textFill>
                        <w14:solidFill>
                          <w14:schemeClr w14:val="tx1"/>
                        </w14:solidFill>
                      </w14:textFill>
                    </w:rPr>
                    <w:t>环境风险防范措施要求</w:t>
                  </w:r>
                </w:p>
              </w:tc>
              <w:tc>
                <w:tcPr>
                  <w:tcW w:w="7247" w:type="dxa"/>
                  <w:gridSpan w:val="5"/>
                  <w:tcBorders>
                    <w:tl2br w:val="nil"/>
                    <w:tr2bl w:val="nil"/>
                  </w:tcBorders>
                </w:tcPr>
                <w:p>
                  <w:pPr>
                    <w:pStyle w:val="88"/>
                    <w:numPr>
                      <w:ilvl w:val="0"/>
                      <w:numId w:val="5"/>
                    </w:numPr>
                    <w:tabs>
                      <w:tab w:val="left" w:pos="857"/>
                    </w:tabs>
                    <w:rPr>
                      <w:color w:val="000000" w:themeColor="text1"/>
                      <w:sz w:val="21"/>
                      <w14:textFill>
                        <w14:solidFill>
                          <w14:schemeClr w14:val="tx1"/>
                        </w14:solidFill>
                      </w14:textFill>
                    </w:rPr>
                  </w:pPr>
                  <w:r>
                    <w:rPr>
                      <w:color w:val="000000" w:themeColor="text1"/>
                      <w:sz w:val="21"/>
                      <w14:textFill>
                        <w14:solidFill>
                          <w14:schemeClr w14:val="tx1"/>
                        </w14:solidFill>
                      </w14:textFill>
                    </w:rPr>
                    <w:t>风险防范措施</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本项目为防止事故的发生，严格按照《汽车加油加气站设计与施工规范》</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（GB50156-2012，2014 年版）进行了设计与施工，采取了防止措施，其中主要包括：</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①总图布置严格按照规范的要求进行设计，选择相对最优位置，严格控制各  建、构筑物的安全防护距离；</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②按有关规范设计设置了有效的消防系统，做到以防为主，安全可靠；</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③工艺设备、运输设施及工艺系统选用了高质、高效可靠性的产品。加油站  防爆区电气设备、器材的选型、设计安装及维护均符合 GB50058-2014《爆炸危险环境电力装置设计规范》的规定，根据安评报告主要包括以下内容：油罐车卸油  采用密闭方式；加油机不得设置在室内；汽油罐与柴油罐通气管分开设置，管口高出地面4m，通气管直径大50mm，且通气管应安装阻火器；油罐均地埋；油罐顶部覆土大于0.5m，油罐周围沙土填实，厚度大于 0.5m；油罐采取防渗扩散保护措施、防满溢措施等。</w:t>
                  </w:r>
                </w:p>
                <w:p>
                  <w:pPr>
                    <w:pStyle w:val="88"/>
                    <w:spacing w:before="4"/>
                    <w:ind w:left="543"/>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④油罐区卸油口设置静电接地报警装置；</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⑤在管沟敷设油品管道的始端、末端和分支处，设置防静电和防雷感应的联  合接地装置；</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⑥本项目的土建结构设计单位在进行结构设计时，采取较大的抗震结构保险系数，增加了加油站的抗震能力；</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⑦减少管线接口，油罐的进出口管道采用金属软管连接等。</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⑧油罐采用双层储罐，输油管线采用双层管线，且设有漏油检测仪。</w:t>
                  </w:r>
                </w:p>
                <w:p>
                  <w:pPr>
                    <w:pStyle w:val="88"/>
                    <w:spacing w:before="19"/>
                    <w:ind w:left="123" w:firstLine="420" w:firstLineChars="200"/>
                    <w:rPr>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2）</w:t>
                  </w:r>
                  <w:r>
                    <w:rPr>
                      <w:color w:val="000000" w:themeColor="text1"/>
                      <w:sz w:val="21"/>
                      <w:lang w:eastAsia="zh-CN"/>
                      <w14:textFill>
                        <w14:solidFill>
                          <w14:schemeClr w14:val="tx1"/>
                        </w14:solidFill>
                      </w14:textFill>
                    </w:rPr>
                    <w:t>管理要求</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各类事故及非正常生产情况的发生大多数与操作管理不当有直接关系，因此必须建立健全一整套严格的管理制度。管理制度应在以下几个方面予以关注：</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①加强油罐与管道系统的管理与维修，使整个油品储存系统处于密闭化，严  格防止跑、冒、滴、漏现象发生。</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②明确每个工作人员在业务上、工作上与消防安全管理上的职责、责任。</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③对各类贮存容器、机电装置、安全设施、消防器材等，进行各种日常的、  定期的、专业的防火安全检查，并将发现的问题落实到人、限期落实整改。</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④建立夜间值班巡查制度、火险报告制度、安全奖惩制度等。</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⑤本项目区域内禁止吸烟和使用手机等无线电设施。</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事故应急处理措施</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本项目事故类型主要为泄漏引起的石油烃在大气中扩散以及火灾，为降低事  故持续时间和事故危害，其事故应急处置措施如下：</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A、油品泄漏应急处理措施</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对发生泄漏的储罐，尽量将发生泄漏的储罐内的物料转移，在此基础上堵漏。  若泵发生泄漏，可采取关闭进料阀门、停止作业、改变流程、局部循环、转移物料等方式，在切断物料来源后堵漏。</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同时需要迅速撤离泄漏污染区人员至安全区，并进行隔离，严格限制出入。  切断火源。建议应急处理人员戴自给正压式呼吸器，需穿防静电工作服，戴防苯耐油手套。若小量泄漏则用砂土或其它惰性材料吸收。若大量泄漏，用防爆泵转移至槽车或专用收集器内回收。</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B、火灾应急处理措施</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①首先应切断火势蔓延的途径，冷却和疏散受火势威胁的密闭容器和可燃  物，控制燃烧范围，并积极抢救受伤和被困人员。</w:t>
                  </w:r>
                </w:p>
                <w:p>
                  <w:pPr>
                    <w:pStyle w:val="88"/>
                    <w:spacing w:line="267" w:lineRule="exact"/>
                    <w:ind w:left="543"/>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②灭火剂可采用泡沫、干粉、二氧化碳，用水灭火无效。</w:t>
                  </w:r>
                </w:p>
                <w:p>
                  <w:pPr>
                    <w:pStyle w:val="88"/>
                    <w:spacing w:before="4"/>
                    <w:ind w:left="543"/>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③喷水冷却容器，可能的话将容器从火场移至空旷处。</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④必须注意油品是否有沸溢、喷溅的征兆。一旦现场指挥发现危险征兆时应  迅即作出准确判断，及时下达撤退命令，避免造成人员伤亡和装备损失。扑救人员看到或听到统一撤退信号后，应立即撤至安全地带。</w:t>
                  </w:r>
                </w:p>
                <w:p>
                  <w:pPr>
                    <w:pStyle w:val="88"/>
                    <w:spacing w:before="19"/>
                    <w:ind w:left="123" w:firstLine="420" w:firstLineChars="200"/>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⑤迅速准备好堵漏材料，然后先用泡沫、干粉、二氧化碳或雾状水等扑灭地上的流淌火焰，为堵漏扫清障碍，其次再扑灭泄漏口的火焰，并迅速采取堵漏措施，堵住液体流淌和控制好周围着火源。</w:t>
                  </w:r>
                </w:p>
                <w:p>
                  <w:pPr>
                    <w:pStyle w:val="88"/>
                    <w:spacing w:before="19"/>
                    <w:ind w:left="123" w:firstLine="420" w:firstLineChars="200"/>
                    <w:rPr>
                      <w:color w:val="000000" w:themeColor="text1"/>
                      <w:sz w:val="21"/>
                      <w:lang w:val="zh-CN" w:eastAsia="zh-CN"/>
                      <w14:textFill>
                        <w14:solidFill>
                          <w14:schemeClr w14:val="tx1"/>
                        </w14:solidFill>
                      </w14:textFill>
                    </w:rPr>
                  </w:pPr>
                  <w:r>
                    <w:rPr>
                      <w:color w:val="000000" w:themeColor="text1"/>
                      <w:sz w:val="21"/>
                      <w:lang w:eastAsia="zh-CN"/>
                      <w14:textFill>
                        <w14:solidFill>
                          <w14:schemeClr w14:val="tx1"/>
                        </w14:solidFill>
                      </w14:textFill>
                    </w:rPr>
                    <w:t>⑥泄漏、火灾等事故发生后，应立即向有关环境管理部门汇报情况，请求环境管理部门应急监测工作组进行应急监测；环境管理部门应急监测工作组应根据污染物的扩散速度和事件发生地的气象和地域特点，确定污染物扩散范围。根据监测结果，综合分析突发环境事件污染变化趋势，预测并报告突发污染事故的发展情况和污染物的变化情况，作为突发环境事件应急决策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8499" w:type="dxa"/>
                  <w:gridSpan w:val="6"/>
                  <w:tcBorders>
                    <w:tl2br w:val="nil"/>
                    <w:tr2bl w:val="nil"/>
                  </w:tcBorders>
                </w:tcPr>
                <w:p>
                  <w:pPr>
                    <w:pStyle w:val="88"/>
                    <w:spacing w:before="21"/>
                    <w:ind w:left="124"/>
                    <w:rPr>
                      <w:color w:val="000000" w:themeColor="text1"/>
                      <w:sz w:val="21"/>
                      <w:lang w:eastAsia="zh-CN"/>
                      <w14:textFill>
                        <w14:solidFill>
                          <w14:schemeClr w14:val="tx1"/>
                        </w14:solidFill>
                      </w14:textFill>
                    </w:rPr>
                  </w:pPr>
                  <w:r>
                    <w:rPr>
                      <w:color w:val="000000" w:themeColor="text1"/>
                      <w:sz w:val="21"/>
                      <w:lang w:eastAsia="zh-CN"/>
                      <w14:textFill>
                        <w14:solidFill>
                          <w14:schemeClr w14:val="tx1"/>
                        </w14:solidFill>
                      </w14:textFill>
                    </w:rPr>
                    <w:t>填表说明（列出相关信息及评价说明）</w:t>
                  </w:r>
                </w:p>
                <w:p>
                  <w:pPr>
                    <w:pStyle w:val="88"/>
                    <w:spacing w:before="21" w:line="270" w:lineRule="atLeast"/>
                    <w:ind w:left="124" w:right="85" w:firstLine="420"/>
                    <w:rPr>
                      <w:rFonts w:ascii="宋体" w:hAnsi="宋体" w:eastAsia="宋体" w:cs="宋体"/>
                      <w:color w:val="000000" w:themeColor="text1"/>
                      <w:sz w:val="21"/>
                      <w:lang w:val="zh-CN" w:eastAsia="zh-CN" w:bidi="zh-CN"/>
                      <w14:textFill>
                        <w14:solidFill>
                          <w14:schemeClr w14:val="tx1"/>
                        </w14:solidFill>
                      </w14:textFill>
                    </w:rPr>
                  </w:pPr>
                  <w:r>
                    <w:rPr>
                      <w:color w:val="000000" w:themeColor="text1"/>
                      <w:spacing w:val="-4"/>
                      <w:sz w:val="21"/>
                      <w:lang w:eastAsia="zh-CN"/>
                      <w14:textFill>
                        <w14:solidFill>
                          <w14:schemeClr w14:val="tx1"/>
                        </w14:solidFill>
                      </w14:textFill>
                    </w:rPr>
                    <w:t>本项目汽油、柴油在</w:t>
                  </w:r>
                  <w:r>
                    <w:rPr>
                      <w:rFonts w:hint="eastAsia"/>
                      <w:color w:val="000000" w:themeColor="text1"/>
                      <w:spacing w:val="-4"/>
                      <w:sz w:val="21"/>
                      <w:lang w:eastAsia="zh-CN"/>
                      <w14:textFill>
                        <w14:solidFill>
                          <w14:schemeClr w14:val="tx1"/>
                        </w14:solidFill>
                      </w14:textFill>
                    </w:rPr>
                    <w:t>站区内</w:t>
                  </w:r>
                  <w:r>
                    <w:rPr>
                      <w:color w:val="000000" w:themeColor="text1"/>
                      <w:spacing w:val="-4"/>
                      <w:sz w:val="21"/>
                      <w:lang w:eastAsia="zh-CN"/>
                      <w14:textFill>
                        <w14:solidFill>
                          <w14:schemeClr w14:val="tx1"/>
                        </w14:solidFill>
                      </w14:textFill>
                    </w:rPr>
                    <w:t>的最大储存量分别为</w:t>
                  </w:r>
                  <w:r>
                    <w:rPr>
                      <w:rFonts w:hint="eastAsia" w:ascii="Times New Roman"/>
                      <w:color w:val="000000" w:themeColor="text1"/>
                      <w:sz w:val="21"/>
                      <w:lang w:eastAsia="zh-CN"/>
                      <w14:textFill>
                        <w14:solidFill>
                          <w14:schemeClr w14:val="tx1"/>
                        </w14:solidFill>
                      </w14:textFill>
                    </w:rPr>
                    <w:t>86.9</w:t>
                  </w:r>
                  <w:r>
                    <w:rPr>
                      <w:rFonts w:ascii="Times New Roman" w:eastAsia="Times New Roman"/>
                      <w:color w:val="000000" w:themeColor="text1"/>
                      <w:sz w:val="21"/>
                      <w:lang w:eastAsia="zh-CN"/>
                      <w14:textFill>
                        <w14:solidFill>
                          <w14:schemeClr w14:val="tx1"/>
                        </w14:solidFill>
                      </w14:textFill>
                    </w:rPr>
                    <w:t>t</w:t>
                  </w:r>
                  <w:r>
                    <w:rPr>
                      <w:color w:val="000000" w:themeColor="text1"/>
                      <w:spacing w:val="-3"/>
                      <w:sz w:val="21"/>
                      <w:lang w:eastAsia="zh-CN"/>
                      <w14:textFill>
                        <w14:solidFill>
                          <w14:schemeClr w14:val="tx1"/>
                        </w14:solidFill>
                      </w14:textFill>
                    </w:rPr>
                    <w:t>、</w:t>
                  </w:r>
                  <w:r>
                    <w:rPr>
                      <w:rFonts w:hint="eastAsia" w:ascii="Times New Roman"/>
                      <w:color w:val="000000" w:themeColor="text1"/>
                      <w:sz w:val="21"/>
                      <w:lang w:eastAsia="zh-CN"/>
                      <w14:textFill>
                        <w14:solidFill>
                          <w14:schemeClr w14:val="tx1"/>
                        </w14:solidFill>
                      </w14:textFill>
                    </w:rPr>
                    <w:t>25.5</w:t>
                  </w:r>
                  <w:r>
                    <w:rPr>
                      <w:rFonts w:ascii="Times New Roman" w:eastAsia="Times New Roman"/>
                      <w:color w:val="000000" w:themeColor="text1"/>
                      <w:sz w:val="21"/>
                      <w:lang w:eastAsia="zh-CN"/>
                      <w14:textFill>
                        <w14:solidFill>
                          <w14:schemeClr w14:val="tx1"/>
                        </w14:solidFill>
                      </w14:textFill>
                    </w:rPr>
                    <w:t>t</w:t>
                  </w:r>
                  <w:r>
                    <w:rPr>
                      <w:color w:val="000000" w:themeColor="text1"/>
                      <w:spacing w:val="-7"/>
                      <w:sz w:val="21"/>
                      <w:lang w:eastAsia="zh-CN"/>
                      <w14:textFill>
                        <w14:solidFill>
                          <w14:schemeClr w14:val="tx1"/>
                        </w14:solidFill>
                      </w14:textFill>
                    </w:rPr>
                    <w:t xml:space="preserve">，环境风险潜势为 </w:t>
                  </w:r>
                  <w:r>
                    <w:rPr>
                      <w:rFonts w:ascii="Times New Roman" w:eastAsia="Times New Roman"/>
                      <w:color w:val="000000" w:themeColor="text1"/>
                      <w:sz w:val="21"/>
                      <w:lang w:eastAsia="zh-CN"/>
                      <w14:textFill>
                        <w14:solidFill>
                          <w14:schemeClr w14:val="tx1"/>
                        </w14:solidFill>
                      </w14:textFill>
                    </w:rPr>
                    <w:t xml:space="preserve">I </w:t>
                  </w:r>
                  <w:r>
                    <w:rPr>
                      <w:color w:val="000000" w:themeColor="text1"/>
                      <w:spacing w:val="-2"/>
                      <w:sz w:val="21"/>
                      <w:lang w:eastAsia="zh-CN"/>
                      <w14:textFill>
                        <w14:solidFill>
                          <w14:schemeClr w14:val="tx1"/>
                        </w14:solidFill>
                      </w14:textFill>
                    </w:rPr>
                    <w:t>级，在各项环境风险防范措施落实到位的情况下，将可大大降低建设项目的环境风险。</w:t>
                  </w:r>
                </w:p>
              </w:tc>
            </w:tr>
          </w:tbl>
          <w:p>
            <w:pPr>
              <w:pStyle w:val="88"/>
              <w:spacing w:before="3"/>
              <w:ind w:left="499"/>
              <w:rPr>
                <w:color w:val="000000" w:themeColor="text1"/>
                <w:sz w:val="24"/>
                <w:lang w:eastAsia="zh-CN"/>
                <w14:textFill>
                  <w14:solidFill>
                    <w14:schemeClr w14:val="tx1"/>
                  </w14:solidFill>
                </w14:textFill>
              </w:rPr>
            </w:pPr>
          </w:p>
          <w:p>
            <w:pPr>
              <w:pStyle w:val="88"/>
              <w:spacing w:before="3"/>
              <w:ind w:left="499"/>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（3）</w:t>
            </w:r>
            <w:r>
              <w:rPr>
                <w:color w:val="000000" w:themeColor="text1"/>
                <w:sz w:val="24"/>
                <w:lang w:eastAsia="zh-CN"/>
                <w14:textFill>
                  <w14:solidFill>
                    <w14:schemeClr w14:val="tx1"/>
                  </w14:solidFill>
                </w14:textFill>
              </w:rPr>
              <w:t>风险管理</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制定</w:t>
            </w:r>
            <w:r>
              <w:rPr>
                <w:rFonts w:hint="eastAsia" w:hAnsi="宋体"/>
                <w:color w:val="000000" w:themeColor="text1"/>
                <w:kern w:val="0"/>
                <w14:textFill>
                  <w14:solidFill>
                    <w14:schemeClr w14:val="tx1"/>
                  </w14:solidFill>
                </w14:textFill>
              </w:rPr>
              <w:t>突发</w:t>
            </w:r>
            <w:r>
              <w:rPr>
                <w:rFonts w:hAnsi="宋体"/>
                <w:color w:val="000000" w:themeColor="text1"/>
                <w:kern w:val="0"/>
                <w14:textFill>
                  <w14:solidFill>
                    <w14:schemeClr w14:val="tx1"/>
                  </w14:solidFill>
                </w14:textFill>
              </w:rPr>
              <w:t>环境</w:t>
            </w:r>
            <w:r>
              <w:rPr>
                <w:rFonts w:hint="eastAsia" w:hAnsi="宋体"/>
                <w:color w:val="000000" w:themeColor="text1"/>
                <w:kern w:val="0"/>
                <w14:textFill>
                  <w14:solidFill>
                    <w14:schemeClr w14:val="tx1"/>
                  </w14:solidFill>
                </w14:textFill>
              </w:rPr>
              <w:t>事件</w:t>
            </w:r>
            <w:r>
              <w:rPr>
                <w:rFonts w:hAnsi="宋体"/>
                <w:color w:val="000000" w:themeColor="text1"/>
                <w:kern w:val="0"/>
                <w14:textFill>
                  <w14:solidFill>
                    <w14:schemeClr w14:val="tx1"/>
                  </w14:solidFill>
                </w14:textFill>
              </w:rPr>
              <w:t>应急预案</w:t>
            </w:r>
            <w:r>
              <w:rPr>
                <w:rFonts w:hint="eastAsia" w:hAnsi="宋体"/>
                <w:color w:val="000000" w:themeColor="text1"/>
                <w:kern w:val="0"/>
                <w14:textFill>
                  <w14:solidFill>
                    <w14:schemeClr w14:val="tx1"/>
                  </w14:solidFill>
                </w14:textFill>
              </w:rPr>
              <w:t>，</w:t>
            </w:r>
            <w:r>
              <w:rPr>
                <w:rFonts w:hAnsi="宋体"/>
                <w:color w:val="000000" w:themeColor="text1"/>
                <w:kern w:val="0"/>
                <w14:textFill>
                  <w14:solidFill>
                    <w14:schemeClr w14:val="tx1"/>
                  </w14:solidFill>
                </w14:textFill>
              </w:rPr>
              <w:t>并在陕西省西咸新区沣东新城生态环境局取得《企业事业单位突发环境事件应急预案备案表》，</w:t>
            </w:r>
            <w:r>
              <w:rPr>
                <w:rFonts w:hint="eastAsia" w:hAnsi="宋体"/>
                <w:color w:val="000000" w:themeColor="text1"/>
                <w:kern w:val="0"/>
                <w14:textFill>
                  <w14:solidFill>
                    <w14:schemeClr w14:val="tx1"/>
                  </w14:solidFill>
                </w14:textFill>
              </w:rPr>
              <w:t>预案应</w:t>
            </w:r>
            <w:r>
              <w:rPr>
                <w:rFonts w:hAnsi="宋体"/>
                <w:color w:val="000000" w:themeColor="text1"/>
                <w:kern w:val="0"/>
                <w14:textFill>
                  <w14:solidFill>
                    <w14:schemeClr w14:val="tx1"/>
                  </w14:solidFill>
                </w14:textFill>
              </w:rPr>
              <w:t>满足《国家突发环境事件应急预案》（国办函〔2014〕119 号）、《陕西省环境保护厅办公室关于进一步加强突发环境事件应急预案工作的通知》（陕环办发[2012]126 号）、《企业突发环境事件风险分级方法》（HJ 941-2018）等要求。</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（4）环境风险评价结论及建议</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本环评报告提出了环境风险防范措施及对策建议，这些措施的实施有利于进一步降低工程风险性，在此基础上工程的环境风险性能够降低。建设单位按照《汽车加油站设计与施工规范》（GB50156-2012，2014 年版）及相关规范中对加油站建设及相关安全配套设施的要求，建设了规范化、形象化加油站。</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环评建议：工程项目运营过程中要加强管理，遵守相应的规章制度。同时运营期严格杜绝汽油、柴油的跑、冒、滴、漏现象的发生，要防火、防爆、防雷击，注意安全，杜绝一切不安全因素造成的对周围环境的影响。</w:t>
            </w:r>
          </w:p>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9</w:t>
            </w:r>
            <w:r>
              <w:rPr>
                <w:rFonts w:hAnsi="宋体"/>
                <w:b/>
                <w:color w:val="000000" w:themeColor="text1"/>
                <w:kern w:val="0"/>
                <w14:textFill>
                  <w14:solidFill>
                    <w14:schemeClr w14:val="tx1"/>
                  </w14:solidFill>
                </w14:textFill>
              </w:rPr>
              <w:t>、环境管理及监测计划</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该项目运行期应设兼职环保管理人员，对各项环保设施的运行情况进行管理检查，主要环境管理内容应包括：</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w:t>
            </w:r>
            <w:r>
              <w:rPr>
                <w:rFonts w:hAnsi="宋体"/>
                <w:color w:val="000000" w:themeColor="text1"/>
                <w:kern w:val="0"/>
                <w14:textFill>
                  <w14:solidFill>
                    <w14:schemeClr w14:val="tx1"/>
                  </w14:solidFill>
                </w14:textFill>
              </w:rPr>
              <w:t>定期监测污染物排放浓度和排放量是否符合国家、省、市和行业规定的排放标准，确保污染物排放总量控制在允许的环境容量内。</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w:t>
            </w:r>
            <w:r>
              <w:rPr>
                <w:rFonts w:hAnsi="宋体"/>
                <w:color w:val="000000" w:themeColor="text1"/>
                <w:kern w:val="0"/>
                <w14:textFill>
                  <w14:solidFill>
                    <w14:schemeClr w14:val="tx1"/>
                  </w14:solidFill>
                </w14:textFill>
              </w:rPr>
              <w:t>分析所排污染物的变化规律和环境影响程度，为控制污染提供依据，加强污染物处理装置的日常维护使用，提高科学管理水平。</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（3）</w:t>
            </w:r>
            <w:r>
              <w:rPr>
                <w:rFonts w:hAnsi="宋体"/>
                <w:color w:val="000000" w:themeColor="text1"/>
                <w:kern w:val="0"/>
                <w14:textFill>
                  <w14:solidFill>
                    <w14:schemeClr w14:val="tx1"/>
                  </w14:solidFill>
                </w14:textFill>
              </w:rPr>
              <w:t>协助环境保护行政主管部门对风险事故的监测、分析和报告。</w:t>
            </w:r>
          </w:p>
          <w:p>
            <w:pPr>
              <w:autoSpaceDE w:val="0"/>
              <w:autoSpaceDN w:val="0"/>
              <w:adjustRightInd w:val="0"/>
              <w:spacing w:line="240" w:lineRule="auto"/>
              <w:ind w:firstLine="0" w:firstLineChars="0"/>
              <w:jc w:val="center"/>
              <w:rPr>
                <w:rFonts w:hAnsi="宋体"/>
                <w:b/>
                <w:color w:val="000000" w:themeColor="text1"/>
                <w:kern w:val="0"/>
                <w:sz w:val="21"/>
                <w:szCs w:val="21"/>
                <w14:textFill>
                  <w14:solidFill>
                    <w14:schemeClr w14:val="tx1"/>
                  </w14:solidFill>
                </w14:textFill>
              </w:rPr>
            </w:pPr>
            <w:r>
              <w:rPr>
                <w:rFonts w:hint="eastAsia" w:hAnsi="宋体"/>
                <w:b/>
                <w:color w:val="000000" w:themeColor="text1"/>
                <w:kern w:val="0"/>
                <w:sz w:val="21"/>
                <w:szCs w:val="21"/>
                <w14:textFill>
                  <w14:solidFill>
                    <w14:schemeClr w14:val="tx1"/>
                  </w14:solidFill>
                </w14:textFill>
              </w:rPr>
              <w:t>表7-21   运营期环境监测计划</w:t>
            </w:r>
          </w:p>
          <w:tbl>
            <w:tblPr>
              <w:tblStyle w:val="29"/>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9"/>
              <w:gridCol w:w="1850"/>
              <w:gridCol w:w="2562"/>
              <w:gridCol w:w="1099"/>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850" w:type="dxa"/>
                  <w:gridSpan w:val="2"/>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污染源名称</w:t>
                  </w:r>
                </w:p>
              </w:tc>
              <w:tc>
                <w:tcPr>
                  <w:tcW w:w="1850"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监测项目</w:t>
                  </w:r>
                </w:p>
              </w:tc>
              <w:tc>
                <w:tcPr>
                  <w:tcW w:w="2562"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监测点位置</w:t>
                  </w:r>
                </w:p>
              </w:tc>
              <w:tc>
                <w:tcPr>
                  <w:tcW w:w="10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监测点数</w:t>
                  </w:r>
                </w:p>
              </w:tc>
              <w:tc>
                <w:tcPr>
                  <w:tcW w:w="1133"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51" w:type="dxa"/>
                  <w:vMerge w:val="restart"/>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大气</w:t>
                  </w:r>
                </w:p>
              </w:tc>
              <w:tc>
                <w:tcPr>
                  <w:tcW w:w="9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无组织</w:t>
                  </w:r>
                </w:p>
              </w:tc>
              <w:tc>
                <w:tcPr>
                  <w:tcW w:w="1850"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非甲烷总烃</w:t>
                  </w:r>
                </w:p>
              </w:tc>
              <w:tc>
                <w:tcPr>
                  <w:tcW w:w="2562"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项目所在地上风向、下风向</w:t>
                  </w:r>
                </w:p>
              </w:tc>
              <w:tc>
                <w:tcPr>
                  <w:tcW w:w="10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4</w:t>
                  </w:r>
                  <w:r>
                    <w:rPr>
                      <w:rFonts w:hAnsi="宋体"/>
                      <w:color w:val="000000" w:themeColor="text1"/>
                      <w:kern w:val="0"/>
                      <w:sz w:val="21"/>
                      <w14:textFill>
                        <w14:solidFill>
                          <w14:schemeClr w14:val="tx1"/>
                        </w14:solidFill>
                      </w14:textFill>
                    </w:rPr>
                    <w:t>个</w:t>
                  </w:r>
                </w:p>
              </w:tc>
              <w:tc>
                <w:tcPr>
                  <w:tcW w:w="1133"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一</w:t>
                  </w:r>
                  <w:r>
                    <w:rPr>
                      <w:rFonts w:hAnsi="宋体"/>
                      <w:color w:val="000000" w:themeColor="text1"/>
                      <w:kern w:val="0"/>
                      <w:sz w:val="21"/>
                      <w14:textFill>
                        <w14:solidFill>
                          <w14:schemeClr w14:val="tx1"/>
                        </w14:solidFill>
                      </w14:textFill>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51" w:type="dxa"/>
                  <w:vMerge w:val="continue"/>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p>
              </w:tc>
              <w:tc>
                <w:tcPr>
                  <w:tcW w:w="9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有组织</w:t>
                  </w:r>
                </w:p>
              </w:tc>
              <w:tc>
                <w:tcPr>
                  <w:tcW w:w="1850"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非甲烷总烃</w:t>
                  </w:r>
                </w:p>
              </w:tc>
              <w:tc>
                <w:tcPr>
                  <w:tcW w:w="2562"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通气管管口、加油枪</w:t>
                  </w:r>
                </w:p>
              </w:tc>
              <w:tc>
                <w:tcPr>
                  <w:tcW w:w="10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各1个</w:t>
                  </w:r>
                </w:p>
              </w:tc>
              <w:tc>
                <w:tcPr>
                  <w:tcW w:w="1133"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一</w:t>
                  </w:r>
                  <w:r>
                    <w:rPr>
                      <w:rFonts w:hAnsi="宋体"/>
                      <w:color w:val="000000" w:themeColor="text1"/>
                      <w:kern w:val="0"/>
                      <w:sz w:val="21"/>
                      <w14:textFill>
                        <w14:solidFill>
                          <w14:schemeClr w14:val="tx1"/>
                        </w14:solidFill>
                      </w14:textFill>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51"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14:textFill>
                        <w14:solidFill>
                          <w14:schemeClr w14:val="tx1"/>
                        </w14:solidFill>
                      </w14:textFill>
                    </w:rPr>
                    <w:t>噪声</w:t>
                  </w:r>
                </w:p>
              </w:tc>
              <w:tc>
                <w:tcPr>
                  <w:tcW w:w="9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环境噪声</w:t>
                  </w:r>
                </w:p>
              </w:tc>
              <w:tc>
                <w:tcPr>
                  <w:tcW w:w="1850"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Leq(A)</w:t>
                  </w:r>
                </w:p>
              </w:tc>
              <w:tc>
                <w:tcPr>
                  <w:tcW w:w="2562"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项目四周边界</w:t>
                  </w:r>
                </w:p>
              </w:tc>
              <w:tc>
                <w:tcPr>
                  <w:tcW w:w="1099"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Ansi="宋体"/>
                      <w:color w:val="000000" w:themeColor="text1"/>
                      <w:kern w:val="0"/>
                      <w:sz w:val="21"/>
                      <w14:textFill>
                        <w14:solidFill>
                          <w14:schemeClr w14:val="tx1"/>
                        </w14:solidFill>
                      </w14:textFill>
                    </w:rPr>
                    <w:t>厂界四周</w:t>
                  </w:r>
                </w:p>
              </w:tc>
              <w:tc>
                <w:tcPr>
                  <w:tcW w:w="1133" w:type="dxa"/>
                  <w:vAlign w:val="center"/>
                </w:tcPr>
                <w:p>
                  <w:pPr>
                    <w:autoSpaceDE w:val="0"/>
                    <w:autoSpaceDN w:val="0"/>
                    <w:adjustRightInd w:val="0"/>
                    <w:spacing w:line="240" w:lineRule="auto"/>
                    <w:ind w:firstLine="0" w:firstLineChars="0"/>
                    <w:jc w:val="center"/>
                    <w:rPr>
                      <w:rFonts w:hAnsi="宋体"/>
                      <w:color w:val="000000" w:themeColor="text1"/>
                      <w:kern w:val="0"/>
                      <w:sz w:val="21"/>
                      <w14:textFill>
                        <w14:solidFill>
                          <w14:schemeClr w14:val="tx1"/>
                        </w14:solidFill>
                      </w14:textFill>
                    </w:rPr>
                  </w:pPr>
                  <w:r>
                    <w:rPr>
                      <w:rFonts w:hint="eastAsia" w:hAnsi="宋体"/>
                      <w:color w:val="000000" w:themeColor="text1"/>
                      <w:kern w:val="0"/>
                      <w:sz w:val="21"/>
                      <w:lang w:val="en-US" w:eastAsia="zh-CN"/>
                      <w14:textFill>
                        <w14:solidFill>
                          <w14:schemeClr w14:val="tx1"/>
                        </w14:solidFill>
                      </w14:textFill>
                    </w:rPr>
                    <w:t>一季度</w:t>
                  </w:r>
                  <w:r>
                    <w:rPr>
                      <w:rFonts w:hAnsi="宋体"/>
                      <w:color w:val="000000" w:themeColor="text1"/>
                      <w:kern w:val="0"/>
                      <w:sz w:val="21"/>
                      <w14:textFill>
                        <w14:solidFill>
                          <w14:schemeClr w14:val="tx1"/>
                        </w14:solidFill>
                      </w14:textFill>
                    </w:rPr>
                    <w:t>一次</w:t>
                  </w:r>
                </w:p>
              </w:tc>
            </w:tr>
          </w:tbl>
          <w:p>
            <w:pPr>
              <w:autoSpaceDE w:val="0"/>
              <w:autoSpaceDN w:val="0"/>
              <w:adjustRightInd w:val="0"/>
              <w:ind w:firstLine="482"/>
              <w:jc w:val="left"/>
              <w:rPr>
                <w:rFonts w:hAnsi="宋体"/>
                <w:b/>
                <w:color w:val="000000" w:themeColor="text1"/>
                <w:kern w:val="0"/>
                <w14:textFill>
                  <w14:solidFill>
                    <w14:schemeClr w14:val="tx1"/>
                  </w14:solidFill>
                </w14:textFill>
              </w:rPr>
            </w:pPr>
            <w:r>
              <w:rPr>
                <w:rFonts w:hint="eastAsia" w:hAnsi="宋体"/>
                <w:b/>
                <w:color w:val="000000" w:themeColor="text1"/>
                <w:kern w:val="0"/>
                <w14:textFill>
                  <w14:solidFill>
                    <w14:schemeClr w14:val="tx1"/>
                  </w14:solidFill>
                </w14:textFill>
              </w:rPr>
              <w:t>10、环保投资及竣工环保验收</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（1）环保投资</w:t>
            </w:r>
          </w:p>
          <w:p>
            <w:pPr>
              <w:ind w:firstLine="480"/>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本项目总投资为210.7万元，环保投资为31万元，占总投资比例的14.71%，</w:t>
            </w:r>
            <w:r>
              <w:rPr>
                <w:rFonts w:hint="eastAsia" w:hAnsi="宋体"/>
                <w:color w:val="000000" w:themeColor="text1"/>
                <w:kern w:val="0"/>
                <w14:textFill>
                  <w14:solidFill>
                    <w14:schemeClr w14:val="tx1"/>
                  </w14:solidFill>
                </w14:textFill>
              </w:rPr>
              <w:t>各环保设施组成及投资估算见表7-22。</w:t>
            </w:r>
          </w:p>
          <w:p>
            <w:pPr>
              <w:pStyle w:val="58"/>
              <w:spacing w:line="240" w:lineRule="auto"/>
              <w:ind w:firstLine="422"/>
              <w:rPr>
                <w:rFonts w:hAnsi="宋体"/>
                <w:color w:val="000000" w:themeColor="text1"/>
                <w:kern w:val="0"/>
                <w:sz w:val="21"/>
                <w:szCs w:val="21"/>
                <w14:textFill>
                  <w14:solidFill>
                    <w14:schemeClr w14:val="tx1"/>
                  </w14:solidFill>
                </w14:textFill>
              </w:rPr>
            </w:pPr>
            <w:r>
              <w:rPr>
                <w:rFonts w:hint="eastAsia" w:hAnsi="宋体"/>
                <w:color w:val="000000" w:themeColor="text1"/>
                <w:kern w:val="0"/>
                <w:sz w:val="21"/>
                <w:szCs w:val="21"/>
                <w14:textFill>
                  <w14:solidFill>
                    <w14:schemeClr w14:val="tx1"/>
                  </w14:solidFill>
                </w14:textFill>
              </w:rPr>
              <w:t xml:space="preserve">表7-22    </w:t>
            </w:r>
            <w:r>
              <w:rPr>
                <w:rFonts w:hAnsi="宋体"/>
                <w:color w:val="000000" w:themeColor="text1"/>
                <w:kern w:val="0"/>
                <w:sz w:val="21"/>
                <w:szCs w:val="21"/>
                <w14:textFill>
                  <w14:solidFill>
                    <w14:schemeClr w14:val="tx1"/>
                  </w14:solidFill>
                </w14:textFill>
              </w:rPr>
              <w:t>环保</w:t>
            </w:r>
            <w:r>
              <w:rPr>
                <w:rFonts w:hint="eastAsia" w:hAnsi="宋体"/>
                <w:color w:val="000000" w:themeColor="text1"/>
                <w:kern w:val="0"/>
                <w:sz w:val="21"/>
                <w:szCs w:val="21"/>
                <w14:textFill>
                  <w14:solidFill>
                    <w14:schemeClr w14:val="tx1"/>
                  </w14:solidFill>
                </w14:textFill>
              </w:rPr>
              <w:t>设施组成及投资估算</w:t>
            </w:r>
          </w:p>
          <w:tbl>
            <w:tblPr>
              <w:tblStyle w:val="28"/>
              <w:tblW w:w="83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129"/>
              <w:gridCol w:w="4098"/>
              <w:gridCol w:w="1274"/>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1" w:type="dxa"/>
                  <w:gridSpan w:val="2"/>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类别</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处理措施</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规模</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费用（万元）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821" w:type="dxa"/>
                  <w:gridSpan w:val="2"/>
                  <w:vMerge w:val="restart"/>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地下水</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双层油罐</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4个</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821" w:type="dxa"/>
                  <w:gridSpan w:val="2"/>
                  <w:vMerge w:val="continue"/>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双层管线</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92" w:type="dxa"/>
                  <w:vMerge w:val="restart"/>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废气</w:t>
                  </w:r>
                </w:p>
              </w:tc>
              <w:tc>
                <w:tcPr>
                  <w:tcW w:w="1129" w:type="dxa"/>
                  <w:vMerge w:val="restart"/>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油罐区</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一次油气回收系统</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1套</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92" w:type="dxa"/>
                  <w:vMerge w:val="continue"/>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p>
              </w:tc>
              <w:tc>
                <w:tcPr>
                  <w:tcW w:w="1129" w:type="dxa"/>
                  <w:vMerge w:val="continue"/>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三次储油油气回收系统</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1套</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2" w:type="dxa"/>
                  <w:vMerge w:val="continue"/>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p>
              </w:tc>
              <w:tc>
                <w:tcPr>
                  <w:tcW w:w="1129"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加油区</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二次油气回收系统</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1套</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92" w:type="dxa"/>
                  <w:vMerge w:val="restart"/>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固体废物</w:t>
                  </w:r>
                </w:p>
              </w:tc>
              <w:tc>
                <w:tcPr>
                  <w:tcW w:w="1129"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生活垃圾</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设垃圾桶收集，后交由环卫部门处理</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92" w:type="dxa"/>
                  <w:vMerge w:val="continue"/>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p>
              </w:tc>
              <w:tc>
                <w:tcPr>
                  <w:tcW w:w="1129"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危险废物</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设置危废贮存间分类收集、交由有资质单位进行无害化处置</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92"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噪声</w:t>
                  </w:r>
                </w:p>
              </w:tc>
              <w:tc>
                <w:tcPr>
                  <w:tcW w:w="1129"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加油机、泵</w:t>
                  </w:r>
                </w:p>
              </w:tc>
              <w:tc>
                <w:tcPr>
                  <w:tcW w:w="4098"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针对不同设备采取隔声、基础减振等</w:t>
                  </w:r>
                </w:p>
              </w:tc>
              <w:tc>
                <w:tcPr>
                  <w:tcW w:w="1274"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193" w:type="dxa"/>
                  <w:gridSpan w:val="4"/>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14:textFill>
                        <w14:solidFill>
                          <w14:schemeClr w14:val="tx1"/>
                        </w14:solidFill>
                      </w14:textFill>
                    </w:rPr>
                    <w:t>合计</w:t>
                  </w:r>
                </w:p>
              </w:tc>
              <w:tc>
                <w:tcPr>
                  <w:tcW w:w="1146" w:type="dxa"/>
                  <w:vAlign w:val="center"/>
                </w:tcPr>
                <w:p>
                  <w:pPr>
                    <w:pStyle w:val="49"/>
                    <w:spacing w:line="240" w:lineRule="auto"/>
                    <w:ind w:firstLine="0" w:firstLineChars="0"/>
                    <w:rPr>
                      <w:rFonts w:hAnsi="宋体" w:cs="Times New Roman"/>
                      <w:color w:val="000000" w:themeColor="text1"/>
                      <w:kern w:val="0"/>
                      <w:sz w:val="22"/>
                      <w:szCs w:val="24"/>
                      <w14:textFill>
                        <w14:solidFill>
                          <w14:schemeClr w14:val="tx1"/>
                        </w14:solidFill>
                      </w14:textFill>
                    </w:rPr>
                  </w:pPr>
                  <w:r>
                    <w:rPr>
                      <w:rFonts w:hint="eastAsia" w:hAnsi="宋体" w:cs="Times New Roman"/>
                      <w:color w:val="000000" w:themeColor="text1"/>
                      <w:kern w:val="0"/>
                      <w:sz w:val="22"/>
                      <w:szCs w:val="24"/>
                      <w:lang w:val="en-US" w:eastAsia="zh-CN"/>
                      <w14:textFill>
                        <w14:solidFill>
                          <w14:schemeClr w14:val="tx1"/>
                        </w14:solidFill>
                      </w14:textFill>
                    </w:rPr>
                    <w:t>31</w:t>
                  </w:r>
                  <w:r>
                    <w:rPr>
                      <w:rFonts w:hint="eastAsia" w:hAnsi="宋体" w:cs="Times New Roman"/>
                      <w:color w:val="000000" w:themeColor="text1"/>
                      <w:kern w:val="0"/>
                      <w:sz w:val="22"/>
                      <w:szCs w:val="24"/>
                      <w14:textFill>
                        <w14:solidFill>
                          <w14:schemeClr w14:val="tx1"/>
                        </w14:solidFill>
                      </w14:textFill>
                    </w:rPr>
                    <w:t>.0</w:t>
                  </w:r>
                </w:p>
              </w:tc>
            </w:tr>
          </w:tbl>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（2）环保设施竣工验收</w:t>
            </w:r>
          </w:p>
          <w:p>
            <w:pPr>
              <w:pStyle w:val="58"/>
              <w:spacing w:line="240" w:lineRule="auto"/>
              <w:ind w:firstLine="422"/>
              <w:rPr>
                <w:rFonts w:hAnsi="宋体"/>
                <w:color w:val="000000" w:themeColor="text1"/>
                <w:kern w:val="0"/>
                <w14:textFill>
                  <w14:solidFill>
                    <w14:schemeClr w14:val="tx1"/>
                  </w14:solidFill>
                </w14:textFill>
              </w:rPr>
            </w:pPr>
            <w:r>
              <w:rPr>
                <w:rFonts w:hint="eastAsia" w:hAnsi="宋体"/>
                <w:color w:val="000000" w:themeColor="text1"/>
                <w:kern w:val="0"/>
                <w:sz w:val="21"/>
                <w:szCs w:val="21"/>
                <w14:textFill>
                  <w14:solidFill>
                    <w14:schemeClr w14:val="tx1"/>
                  </w14:solidFill>
                </w14:textFill>
              </w:rPr>
              <w:t>表7-23  环保设施竣工验收清单</w:t>
            </w:r>
          </w:p>
          <w:tbl>
            <w:tblPr>
              <w:tblStyle w:val="28"/>
              <w:tblW w:w="83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32"/>
              <w:gridCol w:w="2850"/>
              <w:gridCol w:w="713"/>
              <w:gridCol w:w="3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6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类别</w:t>
                  </w: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污染源</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污染防治措施</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数量</w:t>
                  </w:r>
                </w:p>
              </w:tc>
              <w:tc>
                <w:tcPr>
                  <w:tcW w:w="3081"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62" w:type="dxa"/>
                  <w:vMerge w:val="restart"/>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废气</w:t>
                  </w:r>
                </w:p>
              </w:tc>
              <w:tc>
                <w:tcPr>
                  <w:tcW w:w="1032" w:type="dxa"/>
                  <w:vMerge w:val="restart"/>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油品储罐区</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采用密闭卸油方式，设置一次油气回收系统：卸油油气回收系统</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1套</w:t>
                  </w:r>
                </w:p>
              </w:tc>
              <w:tc>
                <w:tcPr>
                  <w:tcW w:w="3081" w:type="dxa"/>
                  <w:vMerge w:val="restart"/>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满足《加油站大气污染排放标准》（GB20952-2007）及《大气污染物综合排放标准》（GB16297-1996）二级排放标准以及《汽车加油加气站设计与施工规范》（GB50156-2012）及（2014修订版）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62"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c>
                <w:tcPr>
                  <w:tcW w:w="1032" w:type="dxa"/>
                  <w:vMerge w:val="continue"/>
                  <w:tcBorders>
                    <w:bottom w:val="single" w:color="auto" w:sz="4" w:space="0"/>
                  </w:tcBorders>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汽油密闭储存方式，设置三次储油油气回收系统：储油油气回收系统</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1套</w:t>
                  </w:r>
                </w:p>
              </w:tc>
              <w:tc>
                <w:tcPr>
                  <w:tcW w:w="3081"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62"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加油区</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二次油气回收系统：加油油气回收系统</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1套</w:t>
                  </w:r>
                </w:p>
              </w:tc>
              <w:tc>
                <w:tcPr>
                  <w:tcW w:w="3081"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62" w:type="dxa"/>
                  <w:vMerge w:val="restart"/>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水环境</w:t>
                  </w: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Ansi="宋体" w:cs="Times New Roman"/>
                      <w:color w:val="000000" w:themeColor="text1"/>
                      <w:kern w:val="0"/>
                      <w:sz w:val="21"/>
                      <w:szCs w:val="24"/>
                      <w14:textFill>
                        <w14:solidFill>
                          <w14:schemeClr w14:val="tx1"/>
                        </w14:solidFill>
                      </w14:textFill>
                    </w:rPr>
                    <w:t>生活</w:t>
                  </w:r>
                </w:p>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Ansi="宋体" w:cs="Times New Roman"/>
                      <w:color w:val="000000" w:themeColor="text1"/>
                      <w:kern w:val="0"/>
                      <w:sz w:val="21"/>
                      <w:szCs w:val="24"/>
                      <w14:textFill>
                        <w14:solidFill>
                          <w14:schemeClr w14:val="tx1"/>
                        </w14:solidFill>
                      </w14:textFill>
                    </w:rPr>
                    <w:t>污水</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Ansi="宋体" w:cs="Times New Roman"/>
                      <w:color w:val="000000" w:themeColor="text1"/>
                      <w:kern w:val="0"/>
                      <w:sz w:val="21"/>
                      <w:szCs w:val="24"/>
                      <w14:textFill>
                        <w14:solidFill>
                          <w14:schemeClr w14:val="tx1"/>
                        </w14:solidFill>
                      </w14:textFill>
                    </w:rPr>
                    <w:t>化粪池</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1</w:t>
                  </w:r>
                </w:p>
              </w:tc>
              <w:tc>
                <w:tcPr>
                  <w:tcW w:w="3081" w:type="dxa"/>
                  <w:vAlign w:val="center"/>
                </w:tcPr>
                <w:p>
                  <w:pPr>
                    <w:pStyle w:val="49"/>
                    <w:spacing w:line="240" w:lineRule="auto"/>
                    <w:ind w:firstLine="420"/>
                    <w:jc w:val="both"/>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662"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地下水</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双层埋地油罐</w:t>
                  </w:r>
                </w:p>
              </w:tc>
              <w:tc>
                <w:tcPr>
                  <w:tcW w:w="713" w:type="dxa"/>
                  <w:vAlign w:val="center"/>
                </w:tcPr>
                <w:p>
                  <w:pPr>
                    <w:pStyle w:val="49"/>
                    <w:spacing w:line="240" w:lineRule="auto"/>
                    <w:ind w:firstLine="199" w:firstLineChars="95"/>
                    <w:jc w:val="both"/>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w:t>
                  </w:r>
                </w:p>
              </w:tc>
              <w:tc>
                <w:tcPr>
                  <w:tcW w:w="3081" w:type="dxa"/>
                  <w:vAlign w:val="center"/>
                </w:tcPr>
                <w:p>
                  <w:pPr>
                    <w:pStyle w:val="49"/>
                    <w:spacing w:line="240" w:lineRule="auto"/>
                    <w:ind w:firstLine="42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《汽车加油加气站设计与施工规范》（GB50156-2012）及（2014修订版）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62" w:type="dxa"/>
                  <w:vMerge w:val="restart"/>
                  <w:tcBorders>
                    <w:top w:val="single" w:color="auto" w:sz="4" w:space="0"/>
                  </w:tcBorders>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固体废物</w:t>
                  </w: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一般固废</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分类收集、交由环卫部门集中处理</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若干</w:t>
                  </w:r>
                </w:p>
              </w:tc>
              <w:tc>
                <w:tcPr>
                  <w:tcW w:w="3081"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《一般工业固体废物贮存、处置场污染控制标准》（GB16889-2008）及其修改单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662"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危险废物</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专用容器分类收集，交由有资质单位处置</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3个</w:t>
                  </w:r>
                </w:p>
              </w:tc>
              <w:tc>
                <w:tcPr>
                  <w:tcW w:w="3081"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《危险废物贮存污染控制标准》（GB18597-2001）及其修改单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62" w:type="dxa"/>
                  <w:vMerge w:val="restart"/>
                  <w:vAlign w:val="center"/>
                </w:tcPr>
                <w:p>
                  <w:pPr>
                    <w:pStyle w:val="49"/>
                    <w:spacing w:line="240" w:lineRule="auto"/>
                    <w:ind w:firstLine="0" w:firstLineChars="0"/>
                    <w:jc w:val="both"/>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噪声</w:t>
                  </w:r>
                </w:p>
              </w:tc>
              <w:tc>
                <w:tcPr>
                  <w:tcW w:w="1032" w:type="dxa"/>
                  <w:vAlign w:val="center"/>
                </w:tcPr>
                <w:p>
                  <w:pPr>
                    <w:pStyle w:val="49"/>
                    <w:spacing w:line="240" w:lineRule="auto"/>
                    <w:ind w:firstLine="0" w:firstLineChars="0"/>
                    <w:jc w:val="both"/>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潜油泵</w:t>
                  </w:r>
                </w:p>
              </w:tc>
              <w:tc>
                <w:tcPr>
                  <w:tcW w:w="2850" w:type="dxa"/>
                  <w:vAlign w:val="center"/>
                </w:tcPr>
                <w:p>
                  <w:pPr>
                    <w:pStyle w:val="49"/>
                    <w:spacing w:line="240" w:lineRule="auto"/>
                    <w:ind w:firstLine="420"/>
                    <w:jc w:val="both"/>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选用低噪声设备</w:t>
                  </w:r>
                </w:p>
              </w:tc>
              <w:tc>
                <w:tcPr>
                  <w:tcW w:w="713" w:type="dxa"/>
                  <w:vAlign w:val="center"/>
                </w:tcPr>
                <w:p>
                  <w:pPr>
                    <w:pStyle w:val="49"/>
                    <w:spacing w:line="240" w:lineRule="auto"/>
                    <w:ind w:firstLine="199" w:firstLineChars="95"/>
                    <w:jc w:val="both"/>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w:t>
                  </w:r>
                </w:p>
              </w:tc>
              <w:tc>
                <w:tcPr>
                  <w:tcW w:w="3081" w:type="dxa"/>
                  <w:vMerge w:val="restart"/>
                  <w:vAlign w:val="center"/>
                </w:tcPr>
                <w:p>
                  <w:pPr>
                    <w:pStyle w:val="49"/>
                    <w:spacing w:line="240" w:lineRule="auto"/>
                    <w:ind w:firstLine="42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《工业企业厂界环境噪声排放标准》（</w:t>
                  </w:r>
                  <w:r>
                    <w:rPr>
                      <w:rFonts w:hAnsi="宋体" w:cs="Times New Roman"/>
                      <w:color w:val="000000" w:themeColor="text1"/>
                      <w:kern w:val="0"/>
                      <w:sz w:val="21"/>
                      <w:szCs w:val="24"/>
                      <w14:textFill>
                        <w14:solidFill>
                          <w14:schemeClr w14:val="tx1"/>
                        </w14:solidFill>
                      </w14:textFill>
                    </w:rPr>
                    <w:t>GB12348-2008</w:t>
                  </w:r>
                  <w:r>
                    <w:rPr>
                      <w:rFonts w:hint="eastAsia" w:hAnsi="宋体" w:cs="Times New Roman"/>
                      <w:color w:val="000000" w:themeColor="text1"/>
                      <w:kern w:val="0"/>
                      <w:sz w:val="21"/>
                      <w:szCs w:val="24"/>
                      <w14:textFill>
                        <w14:solidFill>
                          <w14:schemeClr w14:val="tx1"/>
                        </w14:solidFill>
                      </w14:textFill>
                    </w:rPr>
                    <w:t>）</w:t>
                  </w:r>
                  <w:r>
                    <w:rPr>
                      <w:rFonts w:hAnsi="宋体" w:cs="Times New Roman"/>
                      <w:color w:val="000000" w:themeColor="text1"/>
                      <w:kern w:val="0"/>
                      <w:sz w:val="21"/>
                      <w:szCs w:val="24"/>
                      <w14:textFill>
                        <w14:solidFill>
                          <w14:schemeClr w14:val="tx1"/>
                        </w14:solidFill>
                      </w14:textFill>
                    </w:rPr>
                    <w:t>4</w:t>
                  </w:r>
                  <w:r>
                    <w:rPr>
                      <w:rFonts w:hint="eastAsia" w:hAnsi="宋体" w:cs="Times New Roman"/>
                      <w:color w:val="000000" w:themeColor="text1"/>
                      <w:kern w:val="0"/>
                      <w:sz w:val="21"/>
                      <w:szCs w:val="24"/>
                      <w14:textFill>
                        <w14:solidFill>
                          <w14:schemeClr w14:val="tx1"/>
                        </w14:solidFill>
                      </w14:textFill>
                    </w:rPr>
                    <w:t>类、2类标准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62"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c>
                <w:tcPr>
                  <w:tcW w:w="1032"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站区内车辆行驶</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控制车速、加强管理、禁止鸣笛</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w:t>
                  </w:r>
                </w:p>
              </w:tc>
              <w:tc>
                <w:tcPr>
                  <w:tcW w:w="3081" w:type="dxa"/>
                  <w:vMerge w:val="continue"/>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94" w:type="dxa"/>
                  <w:gridSpan w:val="2"/>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环境风险</w:t>
                  </w:r>
                </w:p>
              </w:tc>
              <w:tc>
                <w:tcPr>
                  <w:tcW w:w="2850"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编制突发环境事故应急预案，进行员工培训和应急演练</w:t>
                  </w:r>
                </w:p>
              </w:tc>
              <w:tc>
                <w:tcPr>
                  <w:tcW w:w="713"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w:t>
                  </w:r>
                </w:p>
              </w:tc>
              <w:tc>
                <w:tcPr>
                  <w:tcW w:w="3081" w:type="dxa"/>
                  <w:vAlign w:val="center"/>
                </w:tcPr>
                <w:p>
                  <w:pPr>
                    <w:pStyle w:val="49"/>
                    <w:spacing w:line="240" w:lineRule="auto"/>
                    <w:ind w:firstLine="0" w:firstLineChars="0"/>
                    <w:rPr>
                      <w:rFonts w:hAnsi="宋体" w:cs="Times New Roman"/>
                      <w:color w:val="000000" w:themeColor="text1"/>
                      <w:kern w:val="0"/>
                      <w:sz w:val="21"/>
                      <w:szCs w:val="24"/>
                      <w14:textFill>
                        <w14:solidFill>
                          <w14:schemeClr w14:val="tx1"/>
                        </w14:solidFill>
                      </w14:textFill>
                    </w:rPr>
                  </w:pPr>
                  <w:r>
                    <w:rPr>
                      <w:rFonts w:hint="eastAsia" w:hAnsi="宋体" w:cs="Times New Roman"/>
                      <w:color w:val="000000" w:themeColor="text1"/>
                      <w:kern w:val="0"/>
                      <w:sz w:val="21"/>
                      <w:szCs w:val="24"/>
                      <w14:textFill>
                        <w14:solidFill>
                          <w14:schemeClr w14:val="tx1"/>
                        </w14:solidFill>
                      </w14:textFill>
                    </w:rPr>
                    <w:t>-</w:t>
                  </w:r>
                </w:p>
              </w:tc>
            </w:tr>
          </w:tbl>
          <w:p>
            <w:pPr>
              <w:snapToGrid w:val="0"/>
              <w:ind w:firstLine="480"/>
              <w:rPr>
                <w:rFonts w:hAnsi="宋体"/>
                <w:color w:val="000000" w:themeColor="text1"/>
                <w:kern w:val="0"/>
                <w14:textFill>
                  <w14:solidFill>
                    <w14:schemeClr w14:val="tx1"/>
                  </w14:solidFill>
                </w14:textFill>
              </w:rPr>
            </w:pPr>
          </w:p>
        </w:tc>
      </w:tr>
    </w:tbl>
    <w:p>
      <w:pPr>
        <w:pStyle w:val="6"/>
        <w:ind w:firstLine="602"/>
        <w:rPr>
          <w:color w:val="000000" w:themeColor="text1"/>
          <w14:textFill>
            <w14:solidFill>
              <w14:schemeClr w14:val="tx1"/>
            </w14:solidFill>
          </w14:textFill>
        </w:rPr>
        <w:sectPr>
          <w:pgSz w:w="11906" w:h="16838"/>
          <w:pgMar w:top="1440" w:right="1701" w:bottom="1440" w:left="1701" w:header="851" w:footer="992" w:gutter="0"/>
          <w:cols w:space="720" w:num="1"/>
          <w:docGrid w:type="lines" w:linePitch="312" w:charSpace="0"/>
        </w:sectPr>
      </w:pPr>
    </w:p>
    <w:p>
      <w:pPr>
        <w:pStyle w:val="6"/>
        <w:rPr>
          <w:color w:val="000000" w:themeColor="text1"/>
          <w14:textFill>
            <w14:solidFill>
              <w14:schemeClr w14:val="tx1"/>
            </w14:solidFill>
          </w14:textFill>
        </w:rPr>
      </w:pPr>
      <w:r>
        <w:rPr>
          <w:color w:val="000000" w:themeColor="text1"/>
          <w14:textFill>
            <w14:solidFill>
              <w14:schemeClr w14:val="tx1"/>
            </w14:solidFill>
          </w14:textFill>
        </w:rPr>
        <w:t>建设项目拟采取的防治措施及预期治理效果</w:t>
      </w:r>
    </w:p>
    <w:tbl>
      <w:tblPr>
        <w:tblStyle w:val="2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89"/>
        <w:gridCol w:w="992"/>
        <w:gridCol w:w="198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46" w:type="dxa"/>
            <w:tcBorders>
              <w:top w:val="single" w:color="auto" w:sz="12" w:space="0"/>
              <w:left w:val="single" w:color="auto" w:sz="12" w:space="0"/>
              <w:tl2br w:val="single" w:color="auto" w:sz="4" w:space="0"/>
            </w:tcBorders>
            <w:vAlign w:val="center"/>
          </w:tcPr>
          <w:p>
            <w:pPr>
              <w:ind w:firstLine="0" w:firstLineChars="0"/>
              <w:jc w:val="right"/>
              <w:rPr>
                <w:color w:val="000000" w:themeColor="text1"/>
                <w14:textFill>
                  <w14:solidFill>
                    <w14:schemeClr w14:val="tx1"/>
                  </w14:solidFill>
                </w14:textFill>
              </w:rPr>
            </w:pPr>
            <w:r>
              <w:rPr>
                <w:color w:val="000000" w:themeColor="text1"/>
                <w14:textFill>
                  <w14:solidFill>
                    <w14:schemeClr w14:val="tx1"/>
                  </w14:solidFill>
                </w14:textFill>
              </w:rPr>
              <w:t>内容</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类型</w:t>
            </w:r>
          </w:p>
        </w:tc>
        <w:tc>
          <w:tcPr>
            <w:tcW w:w="1389" w:type="dxa"/>
            <w:tcBorders>
              <w:top w:val="single" w:color="auto" w:sz="12" w:space="0"/>
            </w:tcBorders>
            <w:vAlign w:val="center"/>
          </w:tcPr>
          <w:p>
            <w:pPr>
              <w:pStyle w:val="49"/>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排放源</w:t>
            </w:r>
          </w:p>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编号</w:t>
            </w:r>
            <w:r>
              <w:rPr>
                <w:rFonts w:hint="eastAsia"/>
                <w:color w:val="000000" w:themeColor="text1"/>
                <w14:textFill>
                  <w14:solidFill>
                    <w14:schemeClr w14:val="tx1"/>
                  </w14:solidFill>
                </w14:textFill>
              </w:rPr>
              <w:t>）</w:t>
            </w:r>
          </w:p>
        </w:tc>
        <w:tc>
          <w:tcPr>
            <w:tcW w:w="992" w:type="dxa"/>
            <w:tcBorders>
              <w:top w:val="single" w:color="auto" w:sz="12"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984" w:type="dxa"/>
            <w:tcBorders>
              <w:top w:val="single" w:color="auto" w:sz="12" w:space="0"/>
            </w:tcBorders>
            <w:vAlign w:val="center"/>
          </w:tcPr>
          <w:p>
            <w:pPr>
              <w:pStyle w:val="49"/>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防治措施</w:t>
            </w:r>
          </w:p>
        </w:tc>
        <w:tc>
          <w:tcPr>
            <w:tcW w:w="3402" w:type="dxa"/>
            <w:tcBorders>
              <w:top w:val="single" w:color="auto" w:sz="12" w:space="0"/>
              <w:right w:val="single" w:color="auto" w:sz="12" w:space="0"/>
            </w:tcBorders>
            <w:vAlign w:val="center"/>
          </w:tcPr>
          <w:p>
            <w:pPr>
              <w:pStyle w:val="49"/>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7" w:hRule="atLeast"/>
        </w:trPr>
        <w:tc>
          <w:tcPr>
            <w:tcW w:w="846" w:type="dxa"/>
            <w:tcBorders>
              <w:left w:val="single" w:color="auto" w:sz="12" w:space="0"/>
            </w:tcBorders>
            <w:textDirection w:val="tbRlV"/>
            <w:vAlign w:val="center"/>
          </w:tcPr>
          <w:p>
            <w:pPr>
              <w:ind w:firstLine="0" w:firstLineChars="0"/>
              <w:jc w:val="center"/>
              <w:rPr>
                <w:color w:val="000000" w:themeColor="text1"/>
                <w14:textFill>
                  <w14:solidFill>
                    <w14:schemeClr w14:val="tx1"/>
                  </w14:solidFill>
                </w14:textFill>
              </w:rPr>
            </w:pPr>
            <w:r>
              <w:rPr>
                <w:color w:val="000000" w:themeColor="text1"/>
                <w:spacing w:val="20"/>
                <w14:textFill>
                  <w14:solidFill>
                    <w14:schemeClr w14:val="tx1"/>
                  </w14:solidFill>
                </w14:textFill>
              </w:rPr>
              <w:t>大气污染物</w:t>
            </w:r>
          </w:p>
        </w:tc>
        <w:tc>
          <w:tcPr>
            <w:tcW w:w="1389" w:type="dxa"/>
            <w:vAlign w:val="center"/>
          </w:tcPr>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加油站</w:t>
            </w:r>
          </w:p>
        </w:tc>
        <w:tc>
          <w:tcPr>
            <w:tcW w:w="992" w:type="dxa"/>
            <w:vAlign w:val="center"/>
          </w:tcPr>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984" w:type="dxa"/>
            <w:vAlign w:val="center"/>
          </w:tcPr>
          <w:p>
            <w:pPr>
              <w:adjustRightInd w:val="0"/>
              <w:snapToGrid w:val="0"/>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卸油、加油、储油油气回收装置</w:t>
            </w:r>
          </w:p>
        </w:tc>
        <w:tc>
          <w:tcPr>
            <w:tcW w:w="3402" w:type="dxa"/>
            <w:tcBorders>
              <w:right w:val="single" w:color="auto" w:sz="12" w:space="0"/>
            </w:tcBorders>
            <w:vAlign w:val="center"/>
          </w:tcPr>
          <w:p>
            <w:pPr>
              <w:pStyle w:val="49"/>
              <w:spacing w:line="400" w:lineRule="exact"/>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《加油站大气污染物排放标准》(GB20952-2007)中卸油、储油、加油油气排放要求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846" w:type="dxa"/>
            <w:vMerge w:val="restart"/>
            <w:tcBorders>
              <w:left w:val="single" w:color="auto" w:sz="12" w:space="0"/>
            </w:tcBorders>
            <w:textDirection w:val="tbRlV"/>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389" w:type="dxa"/>
            <w:vAlign w:val="center"/>
          </w:tcPr>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顾客、职工</w:t>
            </w:r>
          </w:p>
        </w:tc>
        <w:tc>
          <w:tcPr>
            <w:tcW w:w="992" w:type="dxa"/>
            <w:vAlign w:val="center"/>
          </w:tcPr>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984" w:type="dxa"/>
            <w:vAlign w:val="center"/>
          </w:tcPr>
          <w:p>
            <w:pPr>
              <w:adjustRightInd w:val="0"/>
              <w:snapToGrid w:val="0"/>
              <w:spacing w:line="400" w:lineRule="exac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分类收集，交由环卫部门统一处理</w:t>
            </w:r>
          </w:p>
        </w:tc>
        <w:tc>
          <w:tcPr>
            <w:tcW w:w="3402" w:type="dxa"/>
            <w:vMerge w:val="restart"/>
            <w:tcBorders>
              <w:right w:val="single" w:color="auto" w:sz="12" w:space="0"/>
            </w:tcBorders>
            <w:vAlign w:val="center"/>
          </w:tcPr>
          <w:p>
            <w:pPr>
              <w:adjustRightInd w:val="0"/>
              <w:snapToGrid w:val="0"/>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846" w:type="dxa"/>
            <w:vMerge w:val="continue"/>
            <w:tcBorders>
              <w:left w:val="single" w:color="auto" w:sz="12" w:space="0"/>
            </w:tcBorders>
            <w:textDirection w:val="tbRlV"/>
            <w:vAlign w:val="center"/>
          </w:tcPr>
          <w:p>
            <w:pPr>
              <w:ind w:firstLine="0" w:firstLineChars="0"/>
              <w:jc w:val="center"/>
              <w:rPr>
                <w:color w:val="000000" w:themeColor="text1"/>
                <w14:textFill>
                  <w14:solidFill>
                    <w14:schemeClr w14:val="tx1"/>
                  </w14:solidFill>
                </w14:textFill>
              </w:rPr>
            </w:pPr>
          </w:p>
        </w:tc>
        <w:tc>
          <w:tcPr>
            <w:tcW w:w="1389"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清罐废油、废渣、含油手套、抹布、棉纱等</w:t>
            </w:r>
          </w:p>
        </w:tc>
        <w:tc>
          <w:tcPr>
            <w:tcW w:w="992"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984" w:type="dxa"/>
            <w:vAlign w:val="center"/>
          </w:tcPr>
          <w:p>
            <w:pPr>
              <w:spacing w:line="400" w:lineRule="exac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专用容器贮存，由有资质单位回收处理</w:t>
            </w:r>
          </w:p>
        </w:tc>
        <w:tc>
          <w:tcPr>
            <w:tcW w:w="3402" w:type="dxa"/>
            <w:vMerge w:val="continue"/>
            <w:tcBorders>
              <w:right w:val="single" w:color="auto" w:sz="12" w:space="0"/>
            </w:tcBorders>
            <w:vAlign w:val="center"/>
          </w:tcPr>
          <w:p>
            <w:pPr>
              <w:adjustRightInd w:val="0"/>
              <w:snapToGrid w:val="0"/>
              <w:ind w:firstLine="0" w:firstLineChars="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846" w:type="dxa"/>
            <w:tcBorders>
              <w:left w:val="single" w:color="auto" w:sz="12" w:space="0"/>
            </w:tcBorders>
            <w:textDirection w:val="tbRlV"/>
            <w:vAlign w:val="center"/>
          </w:tcPr>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7767" w:type="dxa"/>
            <w:gridSpan w:val="4"/>
            <w:tcBorders>
              <w:right w:val="single" w:color="auto" w:sz="12" w:space="0"/>
            </w:tcBorders>
            <w:vAlign w:val="center"/>
          </w:tcPr>
          <w:p>
            <w:pPr>
              <w:autoSpaceDE w:val="0"/>
              <w:autoSpaceDN w:val="0"/>
              <w:adjustRightInd w:val="0"/>
              <w:ind w:firstLine="480"/>
              <w:rPr>
                <w:color w:val="000000" w:themeColor="text1"/>
                <w14:textFill>
                  <w14:solidFill>
                    <w14:schemeClr w14:val="tx1"/>
                  </w14:solidFill>
                </w14:textFill>
              </w:rPr>
            </w:pPr>
            <w:r>
              <w:rPr>
                <w:rFonts w:hint="eastAsia" w:hAnsi="宋体"/>
                <w:color w:val="000000" w:themeColor="text1"/>
                <w:kern w:val="0"/>
                <w14:textFill>
                  <w14:solidFill>
                    <w14:schemeClr w14:val="tx1"/>
                  </w14:solidFill>
                </w14:textFill>
              </w:rPr>
              <w:t>项目运营期主要的噪声源为加油机，正常运行时噪声源强约为60-90dB(A)。设备噪声通过相应的减振、隔振，再经距离衰减后，厂界东 侧噪声能够满足《工业企业厂界环境噪声排放标准》中4类标准，厂界北、西、南侧能满足GB12348-2008《工业企业厂界环境噪声排放标准》2类区标准。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846" w:type="dxa"/>
            <w:tcBorders>
              <w:left w:val="single" w:color="auto" w:sz="12" w:space="0"/>
            </w:tcBorders>
            <w:textDirection w:val="tbRlV"/>
            <w:vAlign w:val="center"/>
          </w:tcPr>
          <w:p>
            <w:pPr>
              <w:pStyle w:val="49"/>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7767" w:type="dxa"/>
            <w:gridSpan w:val="4"/>
            <w:tcBorders>
              <w:right w:val="single" w:color="auto" w:sz="12" w:space="0"/>
            </w:tcBorders>
            <w:vAlign w:val="center"/>
          </w:tcPr>
          <w:p>
            <w:pPr>
              <w:autoSpaceDE w:val="0"/>
              <w:autoSpaceDN w:val="0"/>
              <w:adjustRightInd w:val="0"/>
              <w:spacing w:line="240" w:lineRule="auto"/>
              <w:ind w:firstLine="480"/>
              <w:jc w:val="left"/>
              <w:rPr>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存在</w:t>
            </w:r>
            <w:r>
              <w:rPr>
                <w:rFonts w:hint="eastAsia" w:hAnsi="宋体"/>
                <w:color w:val="000000" w:themeColor="text1"/>
                <w:kern w:val="0"/>
                <w14:textFill>
                  <w14:solidFill>
                    <w14:schemeClr w14:val="tx1"/>
                  </w14:solidFill>
                </w14:textFill>
              </w:rPr>
              <w:t>泄露、</w:t>
            </w:r>
            <w:r>
              <w:rPr>
                <w:rFonts w:hAnsi="宋体"/>
                <w:color w:val="000000" w:themeColor="text1"/>
                <w:kern w:val="0"/>
                <w14:textFill>
                  <w14:solidFill>
                    <w14:schemeClr w14:val="tx1"/>
                  </w14:solidFill>
                </w14:textFill>
              </w:rPr>
              <w:t>火灾、爆炸等风险。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gridSpan w:val="5"/>
            <w:tcBorders>
              <w:left w:val="single" w:color="auto" w:sz="12" w:space="0"/>
              <w:bottom w:val="single" w:color="auto" w:sz="12" w:space="0"/>
              <w:right w:val="single" w:color="auto" w:sz="12" w:space="0"/>
            </w:tcBorders>
            <w:vAlign w:val="center"/>
          </w:tcPr>
          <w:p>
            <w:pPr>
              <w:adjustRightInd w:val="0"/>
              <w:snapToGrid w:val="0"/>
              <w:ind w:firstLine="0"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生态保护措施及预期效果：</w:t>
            </w:r>
          </w:p>
          <w:p>
            <w:pPr>
              <w:autoSpaceDE w:val="0"/>
              <w:autoSpaceDN w:val="0"/>
              <w:adjustRightInd w:val="0"/>
              <w:ind w:firstLine="480"/>
              <w:jc w:val="left"/>
              <w:rPr>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本项目占地面积</w:t>
            </w:r>
            <w:r>
              <w:rPr>
                <w:rFonts w:hint="eastAsia" w:hAnsi="宋体"/>
                <w:color w:val="000000" w:themeColor="text1"/>
                <w:kern w:val="0"/>
                <w14:textFill>
                  <w14:solidFill>
                    <w14:schemeClr w14:val="tx1"/>
                  </w14:solidFill>
                </w14:textFill>
              </w:rPr>
              <w:t>9.55亩</w:t>
            </w:r>
            <w:r>
              <w:rPr>
                <w:rFonts w:hAnsi="宋体"/>
                <w:color w:val="000000" w:themeColor="text1"/>
                <w:kern w:val="0"/>
                <w14:textFill>
                  <w14:solidFill>
                    <w14:schemeClr w14:val="tx1"/>
                  </w14:solidFill>
                </w14:textFill>
              </w:rPr>
              <w:t>，施工期对植被的影响应属可以接受的程度。项目营运期对周围生态系统影响轻微，且项目绿化面积</w:t>
            </w:r>
            <w:r>
              <w:rPr>
                <w:rFonts w:hint="eastAsia" w:hAnsi="宋体"/>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50</w:t>
            </w:r>
            <w:r>
              <w:rPr>
                <w:color w:val="000000" w:themeColor="text1"/>
                <w:kern w:val="0"/>
                <w14:textFill>
                  <w14:solidFill>
                    <w14:schemeClr w14:val="tx1"/>
                  </w14:solidFill>
                </w14:textFill>
              </w:rPr>
              <w:t>m</w:t>
            </w:r>
            <w:r>
              <w:rPr>
                <w:color w:val="000000" w:themeColor="text1"/>
                <w:kern w:val="0"/>
                <w:vertAlign w:val="superscript"/>
                <w14:textFill>
                  <w14:solidFill>
                    <w14:schemeClr w14:val="tx1"/>
                  </w14:solidFill>
                </w14:textFill>
              </w:rPr>
              <w:t>2</w:t>
            </w:r>
            <w:r>
              <w:rPr>
                <w:rFonts w:hAnsi="宋体"/>
                <w:color w:val="000000" w:themeColor="text1"/>
                <w:kern w:val="0"/>
                <w14:textFill>
                  <w14:solidFill>
                    <w14:schemeClr w14:val="tx1"/>
                  </w14:solidFill>
                </w14:textFill>
              </w:rPr>
              <w:t>，可在一定程度上提高植被覆盖，起到生态补偿作用。</w:t>
            </w:r>
          </w:p>
          <w:p>
            <w:pPr>
              <w:autoSpaceDE w:val="0"/>
              <w:autoSpaceDN w:val="0"/>
              <w:adjustRightInd w:val="0"/>
              <w:ind w:firstLine="480"/>
              <w:jc w:val="left"/>
              <w:rPr>
                <w:bCs/>
                <w:color w:val="000000" w:themeColor="text1"/>
                <w14:textFill>
                  <w14:solidFill>
                    <w14:schemeClr w14:val="tx1"/>
                  </w14:solidFill>
                </w14:textFill>
              </w:rPr>
            </w:pPr>
            <w:r>
              <w:rPr>
                <w:rFonts w:hAnsi="宋体"/>
                <w:color w:val="000000" w:themeColor="text1"/>
                <w:kern w:val="0"/>
                <w14:textFill>
                  <w14:solidFill>
                    <w14:schemeClr w14:val="tx1"/>
                  </w14:solidFill>
                </w14:textFill>
              </w:rPr>
              <w:t>建议建设单位根据实际情况制定绿化方案，重视绿化养护，增加绿色空间，扩大绿化面积，进一步优化站区生态环境。</w:t>
            </w:r>
          </w:p>
        </w:tc>
      </w:tr>
    </w:tbl>
    <w:p>
      <w:pPr>
        <w:pStyle w:val="51"/>
        <w:spacing w:after="0" w:line="500" w:lineRule="exact"/>
        <w:ind w:firstLine="0" w:firstLineChars="0"/>
        <w:outlineLvl w:val="0"/>
        <w:rPr>
          <w:b/>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51"/>
        <w:spacing w:after="0" w:line="500" w:lineRule="exact"/>
        <w:ind w:firstLine="0" w:firstLineChars="0"/>
        <w:outlineLvl w:val="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结论与建议</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5" w:hRule="atLeast"/>
          <w:jc w:val="center"/>
        </w:trPr>
        <w:tc>
          <w:tcPr>
            <w:tcW w:w="8522" w:type="dxa"/>
            <w:tcBorders>
              <w:top w:val="single" w:color="auto" w:sz="12" w:space="0"/>
              <w:left w:val="single" w:color="auto" w:sz="12" w:space="0"/>
              <w:bottom w:val="single" w:color="auto" w:sz="12" w:space="0"/>
              <w:right w:val="single" w:color="auto" w:sz="12" w:space="0"/>
            </w:tcBorders>
          </w:tcPr>
          <w:p>
            <w:pPr>
              <w:ind w:firstLine="472" w:firstLineChars="196"/>
              <w:rPr>
                <w:b/>
                <w:color w:val="000000" w:themeColor="text1"/>
                <w14:textFill>
                  <w14:solidFill>
                    <w14:schemeClr w14:val="tx1"/>
                  </w14:solidFill>
                </w14:textFill>
              </w:rPr>
            </w:pPr>
            <w:r>
              <w:rPr>
                <w:b/>
                <w:color w:val="000000" w:themeColor="text1"/>
                <w14:textFill>
                  <w14:solidFill>
                    <w14:schemeClr w14:val="tx1"/>
                  </w14:solidFill>
                </w14:textFill>
              </w:rPr>
              <w:t>一、结论</w:t>
            </w:r>
          </w:p>
          <w:p>
            <w:pPr>
              <w:pStyle w:val="12"/>
              <w:ind w:firstLine="482"/>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1、项目概况</w:t>
            </w:r>
          </w:p>
          <w:p>
            <w:pPr>
              <w:ind w:firstLine="470" w:firstLineChars="196"/>
              <w:rPr>
                <w:color w:val="000000" w:themeColor="text1"/>
                <w14:textFill>
                  <w14:solidFill>
                    <w14:schemeClr w14:val="tx1"/>
                  </w14:solidFill>
                </w14:textFill>
              </w:rPr>
            </w:pPr>
            <w:r>
              <w:rPr>
                <w:rFonts w:hint="eastAsia"/>
                <w:color w:val="000000" w:themeColor="text1"/>
                <w14:textFill>
                  <w14:solidFill>
                    <w14:schemeClr w14:val="tx1"/>
                  </w14:solidFill>
                </w14:textFill>
              </w:rPr>
              <w:t>延长壳牌石油有限公司位于陕西省西咸新区沣东新城沣东镇北槐村，对站内单层油罐全部更换为内钢外玻璃纤维增强双层油罐。改造后设置2个40m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双层汽油储罐，1个30m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双层汽油储罐，1个30m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双层柴油储罐，总容积125m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（柴油容积折半计）；加油机为5台双枪加油机，主要设施有站房、罩棚及附属设备设施，新设置三次（储油）油气回收设备。本项目总投资为210.7万元，环保投资为31万元，占总投资比例的14.71%。</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产业政策符合性</w:t>
            </w:r>
          </w:p>
          <w:p>
            <w:pPr>
              <w:autoSpaceDE w:val="0"/>
              <w:autoSpaceDN w:val="0"/>
              <w:adjustRightInd w:val="0"/>
              <w:ind w:firstLine="480"/>
              <w:jc w:val="left"/>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本项目不属于中华人民共和国国家发展和改革委员会第</w:t>
            </w:r>
            <w:r>
              <w:rPr>
                <w:color w:val="000000" w:themeColor="text1"/>
                <w:kern w:val="0"/>
                <w14:textFill>
                  <w14:solidFill>
                    <w14:schemeClr w14:val="tx1"/>
                  </w14:solidFill>
                </w14:textFill>
              </w:rPr>
              <w:t>21</w:t>
            </w:r>
            <w:r>
              <w:rPr>
                <w:rFonts w:hAnsi="宋体"/>
                <w:color w:val="000000" w:themeColor="text1"/>
                <w:kern w:val="0"/>
                <w14:textFill>
                  <w14:solidFill>
                    <w14:schemeClr w14:val="tx1"/>
                  </w14:solidFill>
                </w14:textFill>
              </w:rPr>
              <w:t>号令《产业结构调整指导目录（</w:t>
            </w:r>
            <w:r>
              <w:rPr>
                <w:rFonts w:hint="eastAsia"/>
                <w:color w:val="000000" w:themeColor="text1"/>
                <w:kern w:val="0"/>
                <w14:textFill>
                  <w14:solidFill>
                    <w14:schemeClr w14:val="tx1"/>
                  </w14:solidFill>
                </w14:textFill>
              </w:rPr>
              <w:t>2019版</w:t>
            </w:r>
            <w:r>
              <w:rPr>
                <w:rFonts w:hAnsi="宋体"/>
                <w:color w:val="000000" w:themeColor="text1"/>
                <w:kern w:val="0"/>
                <w14:textFill>
                  <w14:solidFill>
                    <w14:schemeClr w14:val="tx1"/>
                  </w14:solidFill>
                </w14:textFill>
              </w:rPr>
              <w:t>）》中限制和淘汰项目，亦不属于其它相关法律法规要求淘汰和限制的产业。</w:t>
            </w:r>
            <w:r>
              <w:rPr>
                <w:rFonts w:hint="eastAsia" w:hAnsi="宋体"/>
                <w:color w:val="000000" w:themeColor="text1"/>
                <w:kern w:val="0"/>
                <w14:textFill>
                  <w14:solidFill>
                    <w14:schemeClr w14:val="tx1"/>
                  </w14:solidFill>
                </w14:textFill>
              </w:rPr>
              <w:t>符合国家和地方产业政策。</w:t>
            </w:r>
          </w:p>
          <w:p>
            <w:pPr>
              <w:numPr>
                <w:ilvl w:val="0"/>
                <w:numId w:val="6"/>
              </w:num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选址合理性</w:t>
            </w:r>
          </w:p>
          <w:p>
            <w:pPr>
              <w:ind w:firstLine="480"/>
              <w:rPr>
                <w:rFonts w:hAnsi="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本加油站位于陕西省西咸新区沣东新城沣东镇北槐村，北侧正对世纪大道，西侧为世纪锦城小区，东侧为洗车店，北侧为汽车修理厂，南侧为三类民居。加油站周围200m范围内无饮用水源保护区、风景名胜区、自然保护区等环境敏感点，外环境关系简单。</w:t>
            </w:r>
            <w:r>
              <w:rPr>
                <w:rFonts w:hint="eastAsia" w:hAnsi="宋体"/>
                <w:color w:val="000000" w:themeColor="text1"/>
                <w:kern w:val="0"/>
                <w14:textFill>
                  <w14:solidFill>
                    <w14:schemeClr w14:val="tx1"/>
                  </w14:solidFill>
                </w14:textFill>
              </w:rPr>
              <w:t>因此项目选址可行。</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4、环境质量现状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（1）环境空气质量现状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环境空气基本污染物监测项目中，SO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年均浓度值、CO24小时平均第95百分位数的浓度、O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日最大8h平均第90百分位浓度低于《环境空气质量标准》（GB3095-2012）中的二级标准要求；NO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年均浓度值均高于《环境空气质量标准》（GB3095-2012）中的二级标准要求。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因此，建设项目地为大气环境质量非达标区。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（2）声环境质量现状</w:t>
            </w:r>
          </w:p>
          <w:p>
            <w:pPr>
              <w:tabs>
                <w:tab w:val="left" w:pos="410"/>
              </w:tabs>
              <w:ind w:firstLine="600"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项目东厂界昼间、夜间声环境满足《声环境质量标准》(GB3096-2008)中的4a类区标准；项目北、西、南厂界昼间、夜间声环境均满足《声环境质量标准》(GB3096-2008)中的2类区标准。</w:t>
            </w:r>
          </w:p>
          <w:p>
            <w:pPr>
              <w:spacing w:line="30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（3）地下水环境质量现状</w:t>
            </w:r>
          </w:p>
          <w:p>
            <w:pPr>
              <w:spacing w:line="30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项目周边地下水水质均满足《地下水质量标准》(GB/14848-2017)Ⅲ类标准。</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5、环境影响分析及环保措施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（1）大气环境影响</w:t>
            </w:r>
          </w:p>
          <w:p>
            <w:pPr>
              <w:autoSpaceDE w:val="0"/>
              <w:autoSpaceDN w:val="0"/>
              <w:adjustRightInd w:val="0"/>
              <w:ind w:firstLine="480"/>
              <w:jc w:val="left"/>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安装油气回收装置后可对无组织排放的油气进行有效回收，</w:t>
            </w:r>
            <w:r>
              <w:rPr>
                <w:rFonts w:hint="eastAsia"/>
                <w:color w:val="000000" w:themeColor="text1"/>
                <w14:textFill>
                  <w14:solidFill>
                    <w14:schemeClr w14:val="tx1"/>
                  </w14:solidFill>
                </w14:textFill>
              </w:rPr>
              <w:t>经计算，安装油气回收装置后油气排放量为</w:t>
            </w:r>
            <w:r>
              <w:rPr>
                <w:rFonts w:hint="eastAsia"/>
                <w:color w:val="000000" w:themeColor="text1"/>
                <w:lang w:val="en-US" w:eastAsia="zh-CN"/>
                <w14:textFill>
                  <w14:solidFill>
                    <w14:schemeClr w14:val="tx1"/>
                  </w14:solidFill>
                </w14:textFill>
              </w:rPr>
              <w:t>2.01</w:t>
            </w:r>
            <w:r>
              <w:rPr>
                <w:rFonts w:hint="eastAsia"/>
                <w:color w:val="000000" w:themeColor="text1"/>
                <w14:textFill>
                  <w14:solidFill>
                    <w14:schemeClr w14:val="tx1"/>
                  </w14:solidFill>
                </w14:textFill>
              </w:rPr>
              <w:t>t/a。</w:t>
            </w:r>
            <w:r>
              <w:rPr>
                <w:rFonts w:hAnsi="宋体"/>
                <w:color w:val="000000" w:themeColor="text1"/>
                <w:kern w:val="0"/>
                <w14:textFill>
                  <w14:solidFill>
                    <w14:schemeClr w14:val="tx1"/>
                  </w14:solidFill>
                </w14:textFill>
              </w:rPr>
              <w:t>符合《大气污染物综合排放标准》（</w:t>
            </w:r>
            <w:r>
              <w:rPr>
                <w:color w:val="000000" w:themeColor="text1"/>
                <w:kern w:val="0"/>
                <w14:textFill>
                  <w14:solidFill>
                    <w14:schemeClr w14:val="tx1"/>
                  </w14:solidFill>
                </w14:textFill>
              </w:rPr>
              <w:t>GB16297-1996</w:t>
            </w:r>
            <w:r>
              <w:rPr>
                <w:rFonts w:hAnsi="宋体"/>
                <w:color w:val="000000" w:themeColor="text1"/>
                <w:kern w:val="0"/>
                <w14:textFill>
                  <w14:solidFill>
                    <w14:schemeClr w14:val="tx1"/>
                  </w14:solidFill>
                </w14:textFill>
              </w:rPr>
              <w:t>）表</w:t>
            </w:r>
            <w:r>
              <w:rPr>
                <w:color w:val="000000" w:themeColor="text1"/>
                <w:kern w:val="0"/>
                <w14:textFill>
                  <w14:solidFill>
                    <w14:schemeClr w14:val="tx1"/>
                  </w14:solidFill>
                </w14:textFill>
              </w:rPr>
              <w:t>2“</w:t>
            </w:r>
            <w:r>
              <w:rPr>
                <w:rFonts w:hAnsi="宋体"/>
                <w:color w:val="000000" w:themeColor="text1"/>
                <w:kern w:val="0"/>
                <w14:textFill>
                  <w14:solidFill>
                    <w14:schemeClr w14:val="tx1"/>
                  </w14:solidFill>
                </w14:textFill>
              </w:rPr>
              <w:t>无组织排放监控浓度限值</w:t>
            </w:r>
            <w:r>
              <w:rPr>
                <w:color w:val="000000" w:themeColor="text1"/>
                <w:kern w:val="0"/>
                <w14:textFill>
                  <w14:solidFill>
                    <w14:schemeClr w14:val="tx1"/>
                  </w14:solidFill>
                </w14:textFill>
              </w:rPr>
              <w:t>”</w:t>
            </w:r>
            <w:r>
              <w:rPr>
                <w:rFonts w:hAnsi="宋体"/>
                <w:color w:val="000000" w:themeColor="text1"/>
                <w:kern w:val="0"/>
                <w14:textFill>
                  <w14:solidFill>
                    <w14:schemeClr w14:val="tx1"/>
                  </w14:solidFill>
                </w14:textFill>
              </w:rPr>
              <w:t>要求，因此该项目正常营运情况下对周围环境空气影响不大。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（2）地表水环境影响分析</w:t>
            </w:r>
          </w:p>
          <w:p>
            <w:pPr>
              <w:ind w:firstLine="480"/>
              <w:rPr>
                <w:color w:val="000000" w:themeColor="text1"/>
                <w:highlight w:val="yellow"/>
                <w14:textFill>
                  <w14:solidFill>
                    <w14:schemeClr w14:val="tx1"/>
                  </w14:solidFill>
                </w14:textFill>
              </w:rPr>
            </w:pPr>
            <w:r>
              <w:rPr>
                <w:color w:val="000000" w:themeColor="text1"/>
                <w14:textFill>
                  <w14:solidFill>
                    <w14:schemeClr w14:val="tx1"/>
                  </w14:solidFill>
                </w14:textFill>
              </w:rPr>
              <w:t>项目建成后，</w:t>
            </w:r>
            <w:r>
              <w:rPr>
                <w:rFonts w:hint="eastAsia"/>
                <w:color w:val="000000" w:themeColor="text1"/>
                <w14:textFill>
                  <w14:solidFill>
                    <w14:schemeClr w14:val="tx1"/>
                  </w14:solidFill>
                </w14:textFill>
              </w:rPr>
              <w:t>采用雨污分流系统，雨水散排，营运期</w:t>
            </w:r>
            <w:r>
              <w:rPr>
                <w:color w:val="000000" w:themeColor="text1"/>
                <w14:textFill>
                  <w14:solidFill>
                    <w14:schemeClr w14:val="tx1"/>
                  </w14:solidFill>
                </w14:textFill>
              </w:rPr>
              <w:t>废水主要为站内生活污水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本项目生活污水主要由站内工作人员和往来加油旅客产生</w:t>
            </w:r>
            <w:r>
              <w:rPr>
                <w:rFonts w:hint="eastAsia"/>
                <w:color w:val="000000" w:themeColor="text1"/>
                <w14:textFill>
                  <w14:solidFill>
                    <w14:schemeClr w14:val="tx1"/>
                  </w14:solidFill>
                </w14:textFill>
              </w:rPr>
              <w:t>。生活污水进入化粪池，经</w:t>
            </w:r>
            <w:r>
              <w:rPr>
                <w:rStyle w:val="71"/>
                <w:rFonts w:hint="eastAsia"/>
                <w:i w:val="0"/>
                <w:color w:val="000000" w:themeColor="text1"/>
                <w14:textFill>
                  <w14:solidFill>
                    <w14:schemeClr w14:val="tx1"/>
                  </w14:solidFill>
                </w14:textFill>
              </w:rPr>
              <w:t>由化粪池预处理后，定期清掏，不外排</w:t>
            </w:r>
            <w:r>
              <w:rPr>
                <w:rFonts w:hint="eastAsia"/>
                <w:color w:val="000000" w:themeColor="text1"/>
                <w14:textFill>
                  <w14:solidFill>
                    <w14:schemeClr w14:val="tx1"/>
                  </w14:solidFill>
                </w14:textFill>
              </w:rPr>
              <w:t>。</w:t>
            </w:r>
          </w:p>
          <w:p>
            <w:pPr>
              <w:ind w:firstLine="480"/>
              <w:rPr>
                <w:bCs/>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bCs/>
                <w:color w:val="000000" w:themeColor="text1"/>
                <w14:textFill>
                  <w14:solidFill>
                    <w14:schemeClr w14:val="tx1"/>
                  </w14:solidFill>
                </w14:textFill>
              </w:rPr>
              <w:t>地下水</w:t>
            </w:r>
            <w:r>
              <w:rPr>
                <w:rFonts w:hint="eastAsia"/>
                <w:bCs/>
                <w:color w:val="000000" w:themeColor="text1"/>
                <w14:textFill>
                  <w14:solidFill>
                    <w14:schemeClr w14:val="tx1"/>
                  </w14:solidFill>
                </w14:textFill>
              </w:rPr>
              <w:t>环境</w:t>
            </w:r>
            <w:r>
              <w:rPr>
                <w:bCs/>
                <w:color w:val="000000" w:themeColor="text1"/>
                <w14:textFill>
                  <w14:solidFill>
                    <w14:schemeClr w14:val="tx1"/>
                  </w14:solidFill>
                </w14:textFill>
              </w:rPr>
              <w:t>影响</w:t>
            </w:r>
            <w:r>
              <w:rPr>
                <w:rFonts w:hint="eastAsia"/>
                <w:bCs/>
                <w:color w:val="000000" w:themeColor="text1"/>
                <w14:textFill>
                  <w14:solidFill>
                    <w14:schemeClr w14:val="tx1"/>
                  </w14:solidFill>
                </w14:textFill>
              </w:rPr>
              <w:t>分析</w:t>
            </w:r>
          </w:p>
          <w:p>
            <w:pPr>
              <w:autoSpaceDE w:val="0"/>
              <w:autoSpaceDN w:val="0"/>
              <w:adjustRightIn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为有效规避地下水环境污染的风险，应做好地下水污染预防措施，应按照“源头控制、分区控制、污染监控、应急响应”的主动与被动防渗相结合的防渗原则。</w:t>
            </w:r>
          </w:p>
          <w:p>
            <w:pPr>
              <w:autoSpaceDE w:val="0"/>
              <w:autoSpaceDN w:val="0"/>
              <w:adjustRightIn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重点防渗区包括：储油罐区。</w:t>
            </w:r>
          </w:p>
          <w:p>
            <w:pPr>
              <w:autoSpaceDE w:val="0"/>
              <w:autoSpaceDN w:val="0"/>
              <w:adjustRightIn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一般防渗区包括：</w:t>
            </w:r>
            <w:r>
              <w:rPr>
                <w:rFonts w:hint="eastAsia"/>
                <w:color w:val="000000" w:themeColor="text1"/>
                <w:kern w:val="0"/>
                <w14:textFill>
                  <w14:solidFill>
                    <w14:schemeClr w14:val="tx1"/>
                  </w14:solidFill>
                </w14:textFill>
              </w:rPr>
              <w:t>加油区</w:t>
            </w:r>
            <w:r>
              <w:rPr>
                <w:color w:val="000000" w:themeColor="text1"/>
                <w:kern w:val="0"/>
                <w14:textFill>
                  <w14:solidFill>
                    <w14:schemeClr w14:val="tx1"/>
                  </w14:solidFill>
                </w14:textFill>
              </w:rPr>
              <w:t>。</w:t>
            </w:r>
          </w:p>
          <w:p>
            <w:pPr>
              <w:autoSpaceDE w:val="0"/>
              <w:autoSpaceDN w:val="0"/>
              <w:adjustRightInd w:val="0"/>
              <w:ind w:firstLine="48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非防渗区包括：站房、</w:t>
            </w:r>
            <w:r>
              <w:rPr>
                <w:rFonts w:hint="eastAsia"/>
                <w:color w:val="000000" w:themeColor="text1"/>
                <w:kern w:val="0"/>
                <w14:textFill>
                  <w14:solidFill>
                    <w14:schemeClr w14:val="tx1"/>
                  </w14:solidFill>
                </w14:textFill>
              </w:rPr>
              <w:t>站内道路</w:t>
            </w:r>
            <w:r>
              <w:rPr>
                <w:color w:val="000000" w:themeColor="text1"/>
                <w:kern w:val="0"/>
                <w14:textFill>
                  <w14:solidFill>
                    <w14:schemeClr w14:val="tx1"/>
                  </w14:solidFill>
                </w14:textFill>
              </w:rPr>
              <w:t>。</w:t>
            </w:r>
          </w:p>
          <w:p>
            <w:pPr>
              <w:autoSpaceDE w:val="0"/>
              <w:autoSpaceDN w:val="0"/>
              <w:adjustRightInd w:val="0"/>
              <w:ind w:firstLine="48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为防止埋地油罐破裂或泄漏污染地下水，储油罐采用卧式內钢外玻璃纤维增强塑料双层油罐，油罐区设置高液位报警装置等措施，项目运营后不会对地下水水质造成影响。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（4）声环境影响分析</w:t>
            </w:r>
          </w:p>
          <w:p>
            <w:pPr>
              <w:ind w:firstLine="480"/>
              <w:rPr>
                <w:rFonts w:hAnsi="宋体"/>
                <w:color w:val="000000" w:themeColor="text1"/>
                <w:kern w:val="0"/>
                <w14:textFill>
                  <w14:solidFill>
                    <w14:schemeClr w14:val="tx1"/>
                  </w14:solidFill>
                </w14:textFill>
              </w:rPr>
            </w:pPr>
            <w:r>
              <w:rPr>
                <w:rFonts w:hAnsi="宋体"/>
                <w:color w:val="000000" w:themeColor="text1"/>
                <w:kern w:val="0"/>
                <w14:textFill>
                  <w14:solidFill>
                    <w14:schemeClr w14:val="tx1"/>
                  </w14:solidFill>
                </w14:textFill>
              </w:rPr>
              <w:t>在营运期内，本项目噪声主要以加油机、来往车辆等产生的噪声，加油机及来往车辆噪声源强约为</w:t>
            </w:r>
            <w:r>
              <w:rPr>
                <w:rFonts w:hint="eastAsia"/>
                <w:color w:val="000000" w:themeColor="text1"/>
                <w:kern w:val="0"/>
                <w14:textFill>
                  <w14:solidFill>
                    <w14:schemeClr w14:val="tx1"/>
                  </w14:solidFill>
                </w14:textFill>
              </w:rPr>
              <w:t>60~90</w:t>
            </w:r>
            <w:r>
              <w:rPr>
                <w:color w:val="000000" w:themeColor="text1"/>
                <w:kern w:val="0"/>
                <w14:textFill>
                  <w14:solidFill>
                    <w14:schemeClr w14:val="tx1"/>
                  </w14:solidFill>
                </w14:textFill>
              </w:rPr>
              <w:t>dB(A)</w:t>
            </w:r>
            <w:r>
              <w:rPr>
                <w:rFonts w:hint="eastAsia" w:hAnsi="宋体"/>
                <w:color w:val="000000" w:themeColor="text1"/>
                <w:kern w:val="0"/>
                <w14:textFill>
                  <w14:solidFill>
                    <w14:schemeClr w14:val="tx1"/>
                  </w14:solidFill>
                </w14:textFill>
              </w:rPr>
              <w:t>，在采取一系列降噪措施后，可有效减少项目运行设备的噪声源强，对周边声环境影响较小。</w:t>
            </w:r>
          </w:p>
          <w:p>
            <w:pPr>
              <w:ind w:firstLine="480"/>
              <w:rPr>
                <w:rFonts w:hAnsi="宋体"/>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（5）土壤环境影响</w:t>
            </w:r>
          </w:p>
          <w:p>
            <w:pPr>
              <w:ind w:firstLine="480"/>
              <w:rPr>
                <w:color w:val="000000" w:themeColor="text1"/>
                <w14:textFill>
                  <w14:solidFill>
                    <w14:schemeClr w14:val="tx1"/>
                  </w14:solidFill>
                </w14:textFill>
              </w:rPr>
            </w:pPr>
            <w:r>
              <w:rPr>
                <w:rFonts w:hint="eastAsia" w:hAnsi="宋体"/>
                <w:color w:val="000000" w:themeColor="text1"/>
                <w:kern w:val="0"/>
                <w14:textFill>
                  <w14:solidFill>
                    <w14:schemeClr w14:val="tx1"/>
                  </w14:solidFill>
                </w14:textFill>
              </w:rPr>
              <w:t>本项目选用內钢外玻璃纤维增强塑料双层储罐，双层油罐内壁和外壁设置贯通间隙，设置渗漏检测立管；化粪池采取防渗措施，固体废物设置带盖垃圾桶，垃圾收集点地面进行硬化处理，生活垃圾日产日清，由市环卫部门统一处理，在采取这些措施后，本项目营运期对土壤环境影响较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（6）固体废物</w:t>
            </w:r>
          </w:p>
          <w:p>
            <w:pPr>
              <w:ind w:firstLine="480"/>
              <w:rPr>
                <w:rFonts w:hAnsi="宋体"/>
                <w:color w:val="000000" w:themeColor="text1"/>
                <w:kern w:val="0"/>
                <w14:textFill>
                  <w14:solidFill>
                    <w14:schemeClr w14:val="tx1"/>
                  </w14:solidFill>
                </w14:textFill>
              </w:rPr>
            </w:pPr>
            <w:r>
              <w:rPr>
                <w:bCs/>
                <w:color w:val="000000" w:themeColor="text1"/>
                <w14:textFill>
                  <w14:solidFill>
                    <w14:schemeClr w14:val="tx1"/>
                  </w14:solidFill>
                </w14:textFill>
              </w:rPr>
              <w:t>建设单位拟设立垃圾桶，对生活垃圾进行</w:t>
            </w:r>
            <w:r>
              <w:rPr>
                <w:color w:val="000000" w:themeColor="text1"/>
                <w14:textFill>
                  <w14:solidFill>
                    <w14:schemeClr w14:val="tx1"/>
                  </w14:solidFill>
                </w14:textFill>
              </w:rPr>
              <w:t>分类收集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由环卫部门定期清运处理</w:t>
            </w:r>
            <w:r>
              <w:rPr>
                <w:rFonts w:hint="eastAsia"/>
                <w:color w:val="000000" w:themeColor="text1"/>
                <w14:textFill>
                  <w14:solidFill>
                    <w14:schemeClr w14:val="tx1"/>
                  </w14:solidFill>
                </w14:textFill>
              </w:rPr>
              <w:t>，不会对外界环境造成二次污染</w:t>
            </w:r>
            <w:r>
              <w:rPr>
                <w:color w:val="000000" w:themeColor="text1"/>
                <w14:textFill>
                  <w14:solidFill>
                    <w14:schemeClr w14:val="tx1"/>
                  </w14:solidFill>
                </w14:textFill>
              </w:rPr>
              <w:t>。</w:t>
            </w:r>
            <w:r>
              <w:rPr>
                <w:rFonts w:hint="eastAsia"/>
                <w:bCs/>
                <w:color w:val="000000" w:themeColor="text1"/>
                <w14:textFill>
                  <w14:solidFill>
                    <w14:schemeClr w14:val="tx1"/>
                  </w14:solidFill>
                </w14:textFill>
              </w:rPr>
              <w:t>企业拟单独设置危险废物暂存间，定期</w:t>
            </w:r>
            <w:r>
              <w:rPr>
                <w:bCs/>
                <w:color w:val="000000" w:themeColor="text1"/>
                <w14:textFill>
                  <w14:solidFill>
                    <w14:schemeClr w14:val="tx1"/>
                  </w14:solidFill>
                </w14:textFill>
              </w:rPr>
              <w:t>委托有危险废物处理资质的单位代为处理</w:t>
            </w:r>
            <w:r>
              <w:rPr>
                <w:rFonts w:hint="eastAsia"/>
                <w:bCs/>
                <w:color w:val="000000" w:themeColor="text1"/>
                <w14:textFill>
                  <w14:solidFill>
                    <w14:schemeClr w14:val="tx1"/>
                  </w14:solidFill>
                </w14:textFill>
              </w:rPr>
              <w:t>。</w:t>
            </w:r>
          </w:p>
          <w:p>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固体废物均得到合理处置，对环境影响较小。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（7）环境风险</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销售汽油、柴油，未构成重大危险源，项目的环境风险主要来源于因汽油泄漏引起的火灾、爆炸对周围环境及人群带来的伤害，通过加强操作管理，对具体设备进行防爆防雷防静电设计，设置消防器材等一系列消防和风险防护措施予以防治，同时制定了环境风险管理和应急预案后，其发生事故的概率降低，其环境危害也是较小的，环境风险达到可以接受水平，因而从风险角度分析本项目是可行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（8）总量控制</w:t>
            </w:r>
          </w:p>
          <w:p>
            <w:pPr>
              <w:ind w:firstLine="480"/>
              <w:rPr>
                <w:rFonts w:hint="eastAsia" w:eastAsia="宋体"/>
                <w:color w:val="000000" w:themeColor="text1"/>
                <w:lang w:eastAsia="zh-CN"/>
                <w14:textFill>
                  <w14:solidFill>
                    <w14:schemeClr w14:val="tx1"/>
                  </w14:solidFill>
                </w14:textFill>
              </w:rPr>
            </w:pPr>
            <w:r>
              <w:rPr>
                <w:color w:val="000000" w:themeColor="text1"/>
                <w:lang w:val="en-GB"/>
                <w14:textFill>
                  <w14:solidFill>
                    <w14:schemeClr w14:val="tx1"/>
                  </w14:solidFill>
                </w14:textFill>
              </w:rPr>
              <w:t>项目产生的生活污水</w:t>
            </w:r>
            <w:r>
              <w:rPr>
                <w:rFonts w:hint="eastAsia"/>
                <w:color w:val="000000" w:themeColor="text1"/>
                <w:lang w:val="en-GB"/>
                <w14:textFill>
                  <w14:solidFill>
                    <w14:schemeClr w14:val="tx1"/>
                  </w14:solidFill>
                </w14:textFill>
              </w:rPr>
              <w:t>排入</w:t>
            </w:r>
            <w:r>
              <w:rPr>
                <w:color w:val="000000" w:themeColor="text1"/>
                <w:lang w:val="en-GB"/>
                <w14:textFill>
                  <w14:solidFill>
                    <w14:schemeClr w14:val="tx1"/>
                  </w14:solidFill>
                </w14:textFill>
              </w:rPr>
              <w:t>化粪池，</w:t>
            </w:r>
            <w:r>
              <w:rPr>
                <w:rFonts w:hint="eastAsia"/>
                <w:color w:val="000000" w:themeColor="text1"/>
                <w:lang w:val="en-GB"/>
                <w14:textFill>
                  <w14:solidFill>
                    <w14:schemeClr w14:val="tx1"/>
                  </w14:solidFill>
                </w14:textFill>
              </w:rPr>
              <w:t>定期清掏，不外排</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t>根据“十三五”相关规定，</w:t>
            </w:r>
            <w:r>
              <w:rPr>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不涉及</w:t>
            </w:r>
            <w:r>
              <w:rPr>
                <w:color w:val="000000" w:themeColor="text1"/>
                <w14:textFill>
                  <w14:solidFill>
                    <w14:schemeClr w14:val="tx1"/>
                  </w14:solidFill>
                </w14:textFill>
              </w:rPr>
              <w:t>总量指标</w:t>
            </w:r>
            <w:r>
              <w:rPr>
                <w:rFonts w:hint="eastAsia"/>
                <w:color w:val="000000" w:themeColor="text1"/>
                <w:lang w:eastAsia="zh-CN"/>
                <w14:textFill>
                  <w14:solidFill>
                    <w14:schemeClr w14:val="tx1"/>
                  </w14:solidFill>
                </w14:textFill>
              </w:rPr>
              <w:t>。</w:t>
            </w:r>
          </w:p>
          <w:p>
            <w:pPr>
              <w:ind w:firstLine="482"/>
              <w:rPr>
                <w:b/>
                <w:color w:val="000000" w:themeColor="text1"/>
                <w14:textFill>
                  <w14:solidFill>
                    <w14:schemeClr w14:val="tx1"/>
                  </w14:solidFill>
                </w14:textFill>
              </w:rPr>
            </w:pPr>
            <w:r>
              <w:rPr>
                <w:b/>
                <w:color w:val="000000" w:themeColor="text1"/>
                <w14:textFill>
                  <w14:solidFill>
                    <w14:schemeClr w14:val="tx1"/>
                  </w14:solidFill>
                </w14:textFill>
              </w:rPr>
              <w:t>综上所述，</w:t>
            </w:r>
            <w:r>
              <w:rPr>
                <w:rFonts w:hint="eastAsia"/>
                <w:b/>
                <w:color w:val="000000" w:themeColor="text1"/>
                <w14:textFill>
                  <w14:solidFill>
                    <w14:schemeClr w14:val="tx1"/>
                  </w14:solidFill>
                </w14:textFill>
              </w:rPr>
              <w:t>延长壳牌石油有限公司咸阳世纪大道中段南加油站项目</w:t>
            </w:r>
            <w:r>
              <w:rPr>
                <w:b/>
                <w:color w:val="000000" w:themeColor="text1"/>
                <w14:textFill>
                  <w14:solidFill>
                    <w14:schemeClr w14:val="tx1"/>
                  </w14:solidFill>
                </w14:textFill>
              </w:rPr>
              <w:t>符合</w:t>
            </w:r>
            <w:r>
              <w:rPr>
                <w:rFonts w:hint="eastAsia"/>
                <w:b/>
                <w:color w:val="000000" w:themeColor="text1"/>
                <w14:textFill>
                  <w14:solidFill>
                    <w14:schemeClr w14:val="tx1"/>
                  </w14:solidFill>
                </w14:textFill>
              </w:rPr>
              <w:t>国家产业政策和陕西省相关</w:t>
            </w:r>
            <w:r>
              <w:rPr>
                <w:b/>
                <w:color w:val="000000" w:themeColor="text1"/>
                <w14:textFill>
                  <w14:solidFill>
                    <w14:schemeClr w14:val="tx1"/>
                  </w14:solidFill>
                </w14:textFill>
              </w:rPr>
              <w:t>规划要求</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项目运营期对环境的影响较小，在认真落实本报告</w:t>
            </w:r>
            <w:r>
              <w:rPr>
                <w:rFonts w:hint="eastAsia"/>
                <w:b/>
                <w:color w:val="000000" w:themeColor="text1"/>
                <w14:textFill>
                  <w14:solidFill>
                    <w14:schemeClr w14:val="tx1"/>
                  </w14:solidFill>
                </w14:textFill>
              </w:rPr>
              <w:t>表提</w:t>
            </w:r>
            <w:r>
              <w:rPr>
                <w:b/>
                <w:color w:val="000000" w:themeColor="text1"/>
                <w14:textFill>
                  <w14:solidFill>
                    <w14:schemeClr w14:val="tx1"/>
                  </w14:solidFill>
                </w14:textFill>
              </w:rPr>
              <w:t>出的各项污染防治措施</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加强风险管理的前提下，从环境保护角度分析，</w:t>
            </w:r>
            <w:r>
              <w:rPr>
                <w:rFonts w:hint="eastAsia"/>
                <w:b/>
                <w:color w:val="000000" w:themeColor="text1"/>
                <w14:textFill>
                  <w14:solidFill>
                    <w14:schemeClr w14:val="tx1"/>
                  </w14:solidFill>
                </w14:textFill>
              </w:rPr>
              <w:t>本项目建设可行</w:t>
            </w:r>
            <w:r>
              <w:rPr>
                <w:b/>
                <w:color w:val="000000" w:themeColor="text1"/>
                <w14:textFill>
                  <w14:solidFill>
                    <w14:schemeClr w14:val="tx1"/>
                  </w14:solidFill>
                </w14:textFill>
              </w:rPr>
              <w:t>。</w:t>
            </w:r>
          </w:p>
          <w:p>
            <w:pPr>
              <w:ind w:firstLine="562"/>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二、要求与建议</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（1）</w:t>
            </w:r>
            <w:r>
              <w:rPr>
                <w:color w:val="000000" w:themeColor="text1"/>
                <w:kern w:val="0"/>
                <w14:textFill>
                  <w14:solidFill>
                    <w14:schemeClr w14:val="tx1"/>
                  </w14:solidFill>
                </w14:textFill>
              </w:rPr>
              <w:t>切实落实油气回收装置的安装使用，运行中加强管理，并做好维护工作保证设备正常运行，提高净化效率；</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（2）</w:t>
            </w:r>
            <w:r>
              <w:rPr>
                <w:color w:val="000000" w:themeColor="text1"/>
                <w:kern w:val="0"/>
                <w14:textFill>
                  <w14:solidFill>
                    <w14:schemeClr w14:val="tx1"/>
                  </w14:solidFill>
                </w14:textFill>
              </w:rPr>
              <w:t>油罐区应做好防渗措施，防止渗漏造成地下水污染；</w:t>
            </w:r>
          </w:p>
          <w:p>
            <w:pPr>
              <w:autoSpaceDE w:val="0"/>
              <w:autoSpaceDN w:val="0"/>
              <w:adjustRightInd w:val="0"/>
              <w:ind w:firstLine="480"/>
              <w:jc w:val="left"/>
              <w:rPr>
                <w:color w:val="000000" w:themeColor="text1"/>
                <w:kern w:val="0"/>
                <w14:textFill>
                  <w14:solidFill>
                    <w14:schemeClr w14:val="tx1"/>
                  </w14:solidFill>
                </w14:textFill>
              </w:rPr>
            </w:pPr>
            <w:r>
              <w:rPr>
                <w:rFonts w:hint="eastAsia" w:hAnsi="宋体"/>
                <w:color w:val="000000" w:themeColor="text1"/>
                <w:kern w:val="0"/>
                <w14:textFill>
                  <w14:solidFill>
                    <w14:schemeClr w14:val="tx1"/>
                  </w14:solidFill>
                </w14:textFill>
              </w:rPr>
              <w:t>（3）</w:t>
            </w:r>
            <w:r>
              <w:rPr>
                <w:color w:val="000000" w:themeColor="text1"/>
                <w:kern w:val="0"/>
                <w14:textFill>
                  <w14:solidFill>
                    <w14:schemeClr w14:val="tx1"/>
                  </w14:solidFill>
                </w14:textFill>
              </w:rPr>
              <w:t>建设单位应在生产运营中加强防风险安全生产管理，并将环境风险应急预案报当地环保部门备案；</w:t>
            </w:r>
          </w:p>
          <w:p>
            <w:pPr>
              <w:autoSpaceDE w:val="0"/>
              <w:autoSpaceDN w:val="0"/>
              <w:adjustRightInd w:val="0"/>
              <w:ind w:firstLine="480"/>
              <w:jc w:val="left"/>
              <w:rPr>
                <w:color w:val="000000" w:themeColor="text1"/>
                <w14:textFill>
                  <w14:solidFill>
                    <w14:schemeClr w14:val="tx1"/>
                  </w14:solidFill>
                </w14:textFill>
              </w:rPr>
            </w:pPr>
            <w:r>
              <w:rPr>
                <w:rFonts w:hint="eastAsia" w:hAnsi="宋体"/>
                <w:color w:val="000000" w:themeColor="text1"/>
                <w:kern w:val="0"/>
                <w14:textFill>
                  <w14:solidFill>
                    <w14:schemeClr w14:val="tx1"/>
                  </w14:solidFill>
                </w14:textFill>
              </w:rPr>
              <w:t>（4）</w:t>
            </w:r>
            <w:r>
              <w:rPr>
                <w:color w:val="000000" w:themeColor="text1"/>
                <w:kern w:val="0"/>
                <w14:textFill>
                  <w14:solidFill>
                    <w14:schemeClr w14:val="tx1"/>
                  </w14:solidFill>
                </w14:textFill>
              </w:rPr>
              <w:t>对于进出场车辆加强引导与管理，使来往车辆在减速、少鸣笛的状态行进，降低噪声及扬尘对环境的污染。</w:t>
            </w:r>
          </w:p>
        </w:tc>
      </w:tr>
    </w:tbl>
    <w:p>
      <w:pPr>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tbl>
      <w:tblPr>
        <w:tblStyle w:val="28"/>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0" w:hRule="atLeast"/>
        </w:trPr>
        <w:tc>
          <w:tcPr>
            <w:tcW w:w="8568" w:type="dxa"/>
            <w:tcBorders>
              <w:top w:val="single" w:color="auto" w:sz="12" w:space="0"/>
              <w:left w:val="single" w:color="auto" w:sz="12" w:space="0"/>
              <w:bottom w:val="single" w:color="auto" w:sz="4" w:space="0"/>
              <w:right w:val="single" w:color="auto" w:sz="12" w:space="0"/>
            </w:tcBorders>
          </w:tcPr>
          <w:p>
            <w:pPr>
              <w:ind w:firstLine="241" w:firstLineChars="100"/>
              <w:rPr>
                <w:b/>
                <w:bCs/>
                <w:color w:val="000000" w:themeColor="text1"/>
                <w14:textFill>
                  <w14:solidFill>
                    <w14:schemeClr w14:val="tx1"/>
                  </w14:solidFill>
                </w14:textFill>
              </w:rPr>
            </w:pPr>
            <w:r>
              <w:rPr>
                <w:b/>
                <w:bCs/>
                <w:color w:val="000000" w:themeColor="text1"/>
                <w14:textFill>
                  <w14:solidFill>
                    <w14:schemeClr w14:val="tx1"/>
                  </w14:solidFill>
                </w14:textFill>
              </w:rPr>
              <w:t>预审意见：</w:t>
            </w: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1" w:firstLineChars="100"/>
              <w:rPr>
                <w:color w:val="000000" w:themeColor="text1"/>
                <w14:textFill>
                  <w14:solidFill>
                    <w14:schemeClr w14:val="tx1"/>
                  </w14:solidFill>
                </w14:textFill>
              </w:rPr>
            </w:pPr>
            <w:r>
              <w:rPr>
                <w:b/>
                <w:bCs/>
                <w:color w:val="000000" w:themeColor="text1"/>
                <w14:textFill>
                  <w14:solidFill>
                    <w14:schemeClr w14:val="tx1"/>
                  </w14:solidFill>
                </w14:textFill>
              </w:rPr>
              <w:t xml:space="preserve">                                                    </w:t>
            </w:r>
            <w:r>
              <w:rPr>
                <w:color w:val="000000" w:themeColor="text1"/>
                <w14:textFill>
                  <w14:solidFill>
                    <w14:schemeClr w14:val="tx1"/>
                  </w14:solidFill>
                </w14:textFill>
              </w:rPr>
              <w:t>公   章</w:t>
            </w:r>
          </w:p>
          <w:p>
            <w:pPr>
              <w:ind w:firstLine="241" w:firstLineChars="100"/>
              <w:rPr>
                <w:b/>
                <w:bCs/>
                <w:color w:val="000000" w:themeColor="text1"/>
                <w14:textFill>
                  <w14:solidFill>
                    <w14:schemeClr w14:val="tx1"/>
                  </w14:solidFill>
                </w14:textFill>
              </w:rPr>
            </w:pPr>
          </w:p>
          <w:p>
            <w:pPr>
              <w:ind w:firstLine="241" w:firstLineChars="100"/>
              <w:rPr>
                <w:b/>
                <w:bCs/>
                <w:color w:val="000000" w:themeColor="text1"/>
                <w14:textFill>
                  <w14:solidFill>
                    <w14:schemeClr w14:val="tx1"/>
                  </w14:solidFill>
                </w14:textFill>
              </w:rPr>
            </w:pPr>
          </w:p>
          <w:p>
            <w:pPr>
              <w:ind w:firstLine="241" w:firstLineChars="100"/>
              <w:rPr>
                <w:color w:val="000000" w:themeColor="text1"/>
                <w14:textFill>
                  <w14:solidFill>
                    <w14:schemeClr w14:val="tx1"/>
                  </w14:solidFill>
                </w14:textFill>
              </w:rPr>
            </w:pPr>
            <w:r>
              <w:rPr>
                <w:b/>
                <w:bCs/>
                <w:color w:val="000000" w:themeColor="text1"/>
                <w14:textFill>
                  <w14:solidFill>
                    <w14:schemeClr w14:val="tx1"/>
                  </w14:solidFill>
                </w14:textFill>
              </w:rPr>
              <w:t xml:space="preserve">经办人：                                  </w:t>
            </w:r>
            <w:r>
              <w:rPr>
                <w:color w:val="000000" w:themeColor="text1"/>
                <w14:textFill>
                  <w14:solidFill>
                    <w14:schemeClr w14:val="tx1"/>
                  </w14:solidFill>
                </w14:textFill>
              </w:rPr>
              <w:t xml:space="preserve">       年    月    日</w:t>
            </w:r>
          </w:p>
          <w:p>
            <w:pPr>
              <w:ind w:firstLine="241" w:firstLineChars="100"/>
              <w:rPr>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8" w:hRule="atLeast"/>
        </w:trPr>
        <w:tc>
          <w:tcPr>
            <w:tcW w:w="8568" w:type="dxa"/>
            <w:tcBorders>
              <w:left w:val="single" w:color="auto" w:sz="12" w:space="0"/>
              <w:bottom w:val="single" w:color="auto" w:sz="12" w:space="0"/>
              <w:right w:val="single" w:color="auto" w:sz="12" w:space="0"/>
            </w:tcBorders>
          </w:tcPr>
          <w:p>
            <w:pPr>
              <w:ind w:firstLine="241" w:firstLineChars="100"/>
              <w:rPr>
                <w:b/>
                <w:bCs/>
                <w:color w:val="000000" w:themeColor="text1"/>
                <w14:textFill>
                  <w14:solidFill>
                    <w14:schemeClr w14:val="tx1"/>
                  </w14:solidFill>
                </w14:textFill>
              </w:rPr>
            </w:pPr>
            <w:r>
              <w:rPr>
                <w:b/>
                <w:bCs/>
                <w:color w:val="000000" w:themeColor="text1"/>
                <w14:textFill>
                  <w14:solidFill>
                    <w14:schemeClr w14:val="tx1"/>
                  </w14:solidFill>
                </w14:textFill>
              </w:rPr>
              <w:t>下一级环境保护行政主管部门审查意见：</w:t>
            </w: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1" w:firstLineChars="100"/>
              <w:rPr>
                <w:color w:val="000000" w:themeColor="text1"/>
                <w14:textFill>
                  <w14:solidFill>
                    <w14:schemeClr w14:val="tx1"/>
                  </w14:solidFill>
                </w14:textFill>
              </w:rPr>
            </w:pPr>
            <w:r>
              <w:rPr>
                <w:b/>
                <w:bCs/>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公   章</w:t>
            </w:r>
          </w:p>
          <w:p>
            <w:pPr>
              <w:ind w:firstLine="241" w:firstLineChars="100"/>
              <w:rPr>
                <w:b/>
                <w:bCs/>
                <w:color w:val="000000" w:themeColor="text1"/>
                <w14:textFill>
                  <w14:solidFill>
                    <w14:schemeClr w14:val="tx1"/>
                  </w14:solidFill>
                </w14:textFill>
              </w:rPr>
            </w:pPr>
          </w:p>
          <w:p>
            <w:pPr>
              <w:ind w:firstLine="241" w:firstLineChars="100"/>
              <w:rPr>
                <w:b/>
                <w:bCs/>
                <w:color w:val="000000" w:themeColor="text1"/>
                <w14:textFill>
                  <w14:solidFill>
                    <w14:schemeClr w14:val="tx1"/>
                  </w14:solidFill>
                </w14:textFill>
              </w:rPr>
            </w:pPr>
          </w:p>
          <w:p>
            <w:pPr>
              <w:ind w:firstLine="241" w:firstLineChars="100"/>
              <w:rPr>
                <w:color w:val="000000" w:themeColor="text1"/>
                <w14:textFill>
                  <w14:solidFill>
                    <w14:schemeClr w14:val="tx1"/>
                  </w14:solidFill>
                </w14:textFill>
              </w:rPr>
            </w:pPr>
            <w:r>
              <w:rPr>
                <w:b/>
                <w:bCs/>
                <w:color w:val="000000" w:themeColor="text1"/>
                <w14:textFill>
                  <w14:solidFill>
                    <w14:schemeClr w14:val="tx1"/>
                  </w14:solidFill>
                </w14:textFill>
              </w:rPr>
              <w:t xml:space="preserve">经办人：                                  </w:t>
            </w:r>
            <w:r>
              <w:rPr>
                <w:color w:val="000000" w:themeColor="text1"/>
                <w14:textFill>
                  <w14:solidFill>
                    <w14:schemeClr w14:val="tx1"/>
                  </w14:solidFill>
                </w14:textFill>
              </w:rPr>
              <w:t xml:space="preserve">        年    月    日</w:t>
            </w:r>
          </w:p>
          <w:p>
            <w:pPr>
              <w:ind w:firstLine="482"/>
              <w:jc w:val="left"/>
              <w:rPr>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95" w:hRule="atLeast"/>
        </w:trPr>
        <w:tc>
          <w:tcPr>
            <w:tcW w:w="8568" w:type="dxa"/>
            <w:tcBorders>
              <w:top w:val="single" w:color="auto" w:sz="12" w:space="0"/>
              <w:left w:val="single" w:color="auto" w:sz="12" w:space="0"/>
              <w:bottom w:val="single" w:color="auto" w:sz="12" w:space="0"/>
              <w:right w:val="single" w:color="auto" w:sz="12" w:space="0"/>
            </w:tcBorders>
          </w:tcPr>
          <w:p>
            <w:pPr>
              <w:ind w:firstLine="241" w:firstLineChars="100"/>
              <w:rPr>
                <w:b/>
                <w:bCs/>
                <w:color w:val="000000" w:themeColor="text1"/>
                <w14:textFill>
                  <w14:solidFill>
                    <w14:schemeClr w14:val="tx1"/>
                  </w14:solidFill>
                </w14:textFill>
              </w:rPr>
            </w:pPr>
            <w:r>
              <w:rPr>
                <w:b/>
                <w:bCs/>
                <w:color w:val="000000" w:themeColor="text1"/>
                <w14:textFill>
                  <w14:solidFill>
                    <w14:schemeClr w14:val="tx1"/>
                  </w14:solidFill>
                </w14:textFill>
              </w:rPr>
              <w:t>审批意见：</w:t>
            </w: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0" w:firstLineChars="100"/>
              <w:rPr>
                <w:color w:val="000000" w:themeColor="text1"/>
                <w14:textFill>
                  <w14:solidFill>
                    <w14:schemeClr w14:val="tx1"/>
                  </w14:solidFill>
                </w14:textFill>
              </w:rPr>
            </w:pPr>
          </w:p>
          <w:p>
            <w:pPr>
              <w:ind w:firstLine="241" w:firstLineChars="100"/>
              <w:rPr>
                <w:b/>
                <w:bCs/>
                <w:color w:val="000000" w:themeColor="text1"/>
                <w14:textFill>
                  <w14:solidFill>
                    <w14:schemeClr w14:val="tx1"/>
                  </w14:solidFill>
                </w14:textFill>
              </w:rPr>
            </w:pPr>
          </w:p>
          <w:p>
            <w:pPr>
              <w:ind w:firstLine="241" w:firstLineChars="100"/>
              <w:rPr>
                <w:color w:val="000000" w:themeColor="text1"/>
                <w14:textFill>
                  <w14:solidFill>
                    <w14:schemeClr w14:val="tx1"/>
                  </w14:solidFill>
                </w14:textFill>
              </w:rPr>
            </w:pPr>
            <w:r>
              <w:rPr>
                <w:b/>
                <w:bCs/>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公    章</w:t>
            </w:r>
          </w:p>
          <w:p>
            <w:pPr>
              <w:ind w:firstLine="241" w:firstLineChars="100"/>
              <w:rPr>
                <w:b/>
                <w:bCs/>
                <w:color w:val="000000" w:themeColor="text1"/>
                <w14:textFill>
                  <w14:solidFill>
                    <w14:schemeClr w14:val="tx1"/>
                  </w14:solidFill>
                </w14:textFill>
              </w:rPr>
            </w:pPr>
          </w:p>
          <w:p>
            <w:pPr>
              <w:ind w:firstLine="241" w:firstLineChars="100"/>
              <w:rPr>
                <w:b/>
                <w:bCs/>
                <w:color w:val="000000" w:themeColor="text1"/>
                <w14:textFill>
                  <w14:solidFill>
                    <w14:schemeClr w14:val="tx1"/>
                  </w14:solidFill>
                </w14:textFill>
              </w:rPr>
            </w:pPr>
          </w:p>
          <w:p>
            <w:pPr>
              <w:ind w:firstLine="241" w:firstLineChars="100"/>
              <w:rPr>
                <w:color w:val="000000" w:themeColor="text1"/>
                <w14:textFill>
                  <w14:solidFill>
                    <w14:schemeClr w14:val="tx1"/>
                  </w14:solidFill>
                </w14:textFill>
              </w:rPr>
            </w:pPr>
            <w:r>
              <w:rPr>
                <w:b/>
                <w:bCs/>
                <w:color w:val="000000" w:themeColor="text1"/>
                <w14:textFill>
                  <w14:solidFill>
                    <w14:schemeClr w14:val="tx1"/>
                  </w14:solidFill>
                </w14:textFill>
              </w:rPr>
              <w:t xml:space="preserve">经办人：                                  </w:t>
            </w:r>
            <w:r>
              <w:rPr>
                <w:color w:val="000000" w:themeColor="text1"/>
                <w14:textFill>
                  <w14:solidFill>
                    <w14:schemeClr w14:val="tx1"/>
                  </w14:solidFill>
                </w14:textFill>
              </w:rPr>
              <w:t xml:space="preserve">        年    月    日</w:t>
            </w:r>
          </w:p>
          <w:p>
            <w:pPr>
              <w:ind w:firstLine="482"/>
              <w:jc w:val="left"/>
              <w:rPr>
                <w:b/>
                <w:bCs/>
                <w:color w:val="000000" w:themeColor="text1"/>
                <w14:textFill>
                  <w14:solidFill>
                    <w14:schemeClr w14:val="tx1"/>
                  </w14:solidFill>
                </w14:textFill>
              </w:rPr>
            </w:pPr>
          </w:p>
        </w:tc>
      </w:tr>
    </w:tbl>
    <w:p>
      <w:pPr>
        <w:ind w:firstLine="480"/>
        <w:rPr>
          <w:color w:val="000000" w:themeColor="text1"/>
          <w14:textFill>
            <w14:solidFill>
              <w14:schemeClr w14:val="tx1"/>
            </w14:solidFill>
          </w14:textFill>
        </w:rPr>
      </w:pPr>
    </w:p>
    <w:sectPr>
      <w:footerReference r:id="rId1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MS Gothic"/>
    <w:panose1 w:val="00000000000000000000"/>
    <w:charset w:val="80"/>
    <w:family w:val="auto"/>
    <w:pitch w:val="default"/>
    <w:sig w:usb0="00000000" w:usb1="00000000" w:usb2="00000010" w:usb3="00000000" w:csb0="00060000" w:csb1="00000000"/>
  </w:font>
  <w:font w:name="Wingdings 2">
    <w:altName w:val="Wingdings"/>
    <w:panose1 w:val="05020102010507070707"/>
    <w:charset w:val="02"/>
    <w:family w:val="roman"/>
    <w:pitch w:val="default"/>
    <w:sig w:usb0="00000000" w:usb1="00000000" w:usb2="00000000" w:usb3="00000000" w:csb0="80000000"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ind w:firstLine="360"/>
      <w:rPr>
        <w:rStyle w:val="32"/>
      </w:rPr>
    </w:pPr>
    <w:r>
      <w:fldChar w:fldCharType="begin"/>
    </w:r>
    <w:r>
      <w:rPr>
        <w:rStyle w:val="32"/>
      </w:rPr>
      <w:instrText xml:space="preserve">PAGE  </w:instrText>
    </w:r>
    <w:r>
      <w:fldChar w:fldCharType="separate"/>
    </w:r>
    <w:r>
      <w:rPr>
        <w:rStyle w:val="32"/>
      </w:rPr>
      <w:t>42</w:t>
    </w:r>
    <w:r>
      <w:fldChar w:fldCharType="end"/>
    </w:r>
  </w:p>
  <w:p>
    <w:pPr>
      <w:pStyle w:val="1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shd w:val="clear" w:color="FFFFFF" w:fill="FFFFFF"/>
      <w:ind w:firstLine="0" w:firstLineChars="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41B004"/>
    <w:multiLevelType w:val="singleLevel"/>
    <w:tmpl w:val="A541B004"/>
    <w:lvl w:ilvl="0" w:tentative="0">
      <w:start w:val="3"/>
      <w:numFmt w:val="decimal"/>
      <w:suff w:val="nothing"/>
      <w:lvlText w:val="（%1）"/>
      <w:lvlJc w:val="left"/>
    </w:lvl>
  </w:abstractNum>
  <w:abstractNum w:abstractNumId="1">
    <w:nsid w:val="C8584388"/>
    <w:multiLevelType w:val="singleLevel"/>
    <w:tmpl w:val="C8584388"/>
    <w:lvl w:ilvl="0" w:tentative="0">
      <w:start w:val="3"/>
      <w:numFmt w:val="decimal"/>
      <w:suff w:val="nothing"/>
      <w:lvlText w:val="%1、"/>
      <w:lvlJc w:val="left"/>
    </w:lvl>
  </w:abstractNum>
  <w:abstractNum w:abstractNumId="2">
    <w:nsid w:val="E77782AA"/>
    <w:multiLevelType w:val="singleLevel"/>
    <w:tmpl w:val="E77782AA"/>
    <w:lvl w:ilvl="0" w:tentative="0">
      <w:start w:val="4"/>
      <w:numFmt w:val="decimal"/>
      <w:suff w:val="nothing"/>
      <w:lvlText w:val="%1、"/>
      <w:lvlJc w:val="left"/>
    </w:lvl>
  </w:abstractNum>
  <w:abstractNum w:abstractNumId="3">
    <w:nsid w:val="0092154C"/>
    <w:multiLevelType w:val="multilevel"/>
    <w:tmpl w:val="0092154C"/>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4C1BAE26"/>
    <w:multiLevelType w:val="multilevel"/>
    <w:tmpl w:val="4C1BAE26"/>
    <w:lvl w:ilvl="0" w:tentative="0">
      <w:start w:val="1"/>
      <w:numFmt w:val="decimal"/>
      <w:lvlText w:val="%1）"/>
      <w:lvlJc w:val="left"/>
      <w:pPr>
        <w:ind w:left="856" w:hanging="314"/>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529" w:hanging="314"/>
      </w:pPr>
      <w:rPr>
        <w:rFonts w:hint="default"/>
        <w:lang w:val="zh-CN" w:eastAsia="zh-CN" w:bidi="zh-CN"/>
      </w:rPr>
    </w:lvl>
    <w:lvl w:ilvl="2" w:tentative="0">
      <w:start w:val="0"/>
      <w:numFmt w:val="bullet"/>
      <w:lvlText w:val="•"/>
      <w:lvlJc w:val="left"/>
      <w:pPr>
        <w:ind w:left="2198" w:hanging="314"/>
      </w:pPr>
      <w:rPr>
        <w:rFonts w:hint="default"/>
        <w:lang w:val="zh-CN" w:eastAsia="zh-CN" w:bidi="zh-CN"/>
      </w:rPr>
    </w:lvl>
    <w:lvl w:ilvl="3" w:tentative="0">
      <w:start w:val="0"/>
      <w:numFmt w:val="bullet"/>
      <w:lvlText w:val="•"/>
      <w:lvlJc w:val="left"/>
      <w:pPr>
        <w:ind w:left="2868" w:hanging="314"/>
      </w:pPr>
      <w:rPr>
        <w:rFonts w:hint="default"/>
        <w:lang w:val="zh-CN" w:eastAsia="zh-CN" w:bidi="zh-CN"/>
      </w:rPr>
    </w:lvl>
    <w:lvl w:ilvl="4" w:tentative="0">
      <w:start w:val="0"/>
      <w:numFmt w:val="bullet"/>
      <w:lvlText w:val="•"/>
      <w:lvlJc w:val="left"/>
      <w:pPr>
        <w:ind w:left="3537" w:hanging="314"/>
      </w:pPr>
      <w:rPr>
        <w:rFonts w:hint="default"/>
        <w:lang w:val="zh-CN" w:eastAsia="zh-CN" w:bidi="zh-CN"/>
      </w:rPr>
    </w:lvl>
    <w:lvl w:ilvl="5" w:tentative="0">
      <w:start w:val="0"/>
      <w:numFmt w:val="bullet"/>
      <w:lvlText w:val="•"/>
      <w:lvlJc w:val="left"/>
      <w:pPr>
        <w:ind w:left="4206" w:hanging="314"/>
      </w:pPr>
      <w:rPr>
        <w:rFonts w:hint="default"/>
        <w:lang w:val="zh-CN" w:eastAsia="zh-CN" w:bidi="zh-CN"/>
      </w:rPr>
    </w:lvl>
    <w:lvl w:ilvl="6" w:tentative="0">
      <w:start w:val="0"/>
      <w:numFmt w:val="bullet"/>
      <w:lvlText w:val="•"/>
      <w:lvlJc w:val="left"/>
      <w:pPr>
        <w:ind w:left="4876" w:hanging="314"/>
      </w:pPr>
      <w:rPr>
        <w:rFonts w:hint="default"/>
        <w:lang w:val="zh-CN" w:eastAsia="zh-CN" w:bidi="zh-CN"/>
      </w:rPr>
    </w:lvl>
    <w:lvl w:ilvl="7" w:tentative="0">
      <w:start w:val="0"/>
      <w:numFmt w:val="bullet"/>
      <w:lvlText w:val="•"/>
      <w:lvlJc w:val="left"/>
      <w:pPr>
        <w:ind w:left="5545" w:hanging="314"/>
      </w:pPr>
      <w:rPr>
        <w:rFonts w:hint="default"/>
        <w:lang w:val="zh-CN" w:eastAsia="zh-CN" w:bidi="zh-CN"/>
      </w:rPr>
    </w:lvl>
    <w:lvl w:ilvl="8" w:tentative="0">
      <w:start w:val="0"/>
      <w:numFmt w:val="bullet"/>
      <w:lvlText w:val="•"/>
      <w:lvlJc w:val="left"/>
      <w:pPr>
        <w:ind w:left="6214" w:hanging="314"/>
      </w:pPr>
      <w:rPr>
        <w:rFonts w:hint="default"/>
        <w:lang w:val="zh-CN" w:eastAsia="zh-CN" w:bidi="zh-CN"/>
      </w:rPr>
    </w:lvl>
  </w:abstractNum>
  <w:abstractNum w:abstractNumId="5">
    <w:nsid w:val="76A77E4B"/>
    <w:multiLevelType w:val="singleLevel"/>
    <w:tmpl w:val="76A77E4B"/>
    <w:lvl w:ilvl="0" w:tentative="0">
      <w:start w:val="8"/>
      <w:numFmt w:val="decimal"/>
      <w:suff w:val="nothing"/>
      <w:lvlText w:val="%1、"/>
      <w:lvlJc w:val="left"/>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15299"/>
    <w:rsid w:val="00001852"/>
    <w:rsid w:val="00001954"/>
    <w:rsid w:val="00001D2E"/>
    <w:rsid w:val="000027AC"/>
    <w:rsid w:val="00002CBD"/>
    <w:rsid w:val="0000312E"/>
    <w:rsid w:val="00003648"/>
    <w:rsid w:val="00004CC5"/>
    <w:rsid w:val="0000558A"/>
    <w:rsid w:val="00007783"/>
    <w:rsid w:val="00010031"/>
    <w:rsid w:val="0001019F"/>
    <w:rsid w:val="00010232"/>
    <w:rsid w:val="000115B0"/>
    <w:rsid w:val="00012FB4"/>
    <w:rsid w:val="00014040"/>
    <w:rsid w:val="00014360"/>
    <w:rsid w:val="000148F2"/>
    <w:rsid w:val="00015D87"/>
    <w:rsid w:val="0001608D"/>
    <w:rsid w:val="00016A94"/>
    <w:rsid w:val="00016B1F"/>
    <w:rsid w:val="00016C22"/>
    <w:rsid w:val="00016FE0"/>
    <w:rsid w:val="00017BDF"/>
    <w:rsid w:val="00017C78"/>
    <w:rsid w:val="00017CE9"/>
    <w:rsid w:val="000211E7"/>
    <w:rsid w:val="000212F1"/>
    <w:rsid w:val="000214DC"/>
    <w:rsid w:val="00022328"/>
    <w:rsid w:val="00022761"/>
    <w:rsid w:val="00022A28"/>
    <w:rsid w:val="000236EC"/>
    <w:rsid w:val="00023F24"/>
    <w:rsid w:val="0002450E"/>
    <w:rsid w:val="000248DE"/>
    <w:rsid w:val="00024EEC"/>
    <w:rsid w:val="00024F34"/>
    <w:rsid w:val="0002615E"/>
    <w:rsid w:val="00026850"/>
    <w:rsid w:val="00026A9C"/>
    <w:rsid w:val="00026C8C"/>
    <w:rsid w:val="00026EBD"/>
    <w:rsid w:val="000300CA"/>
    <w:rsid w:val="00030639"/>
    <w:rsid w:val="000308AE"/>
    <w:rsid w:val="00030FCC"/>
    <w:rsid w:val="00031203"/>
    <w:rsid w:val="00031A34"/>
    <w:rsid w:val="000322E0"/>
    <w:rsid w:val="00032672"/>
    <w:rsid w:val="000329EF"/>
    <w:rsid w:val="00032FED"/>
    <w:rsid w:val="0003324F"/>
    <w:rsid w:val="000339EB"/>
    <w:rsid w:val="000345CC"/>
    <w:rsid w:val="00034F4A"/>
    <w:rsid w:val="00035007"/>
    <w:rsid w:val="00035779"/>
    <w:rsid w:val="000359CF"/>
    <w:rsid w:val="0003650B"/>
    <w:rsid w:val="000370E5"/>
    <w:rsid w:val="0003774F"/>
    <w:rsid w:val="00037C9F"/>
    <w:rsid w:val="00037FC9"/>
    <w:rsid w:val="0004024B"/>
    <w:rsid w:val="0004024C"/>
    <w:rsid w:val="0004036C"/>
    <w:rsid w:val="00040822"/>
    <w:rsid w:val="00040BC5"/>
    <w:rsid w:val="00040F26"/>
    <w:rsid w:val="0004145A"/>
    <w:rsid w:val="00041BA6"/>
    <w:rsid w:val="00042284"/>
    <w:rsid w:val="000422F4"/>
    <w:rsid w:val="00042D6F"/>
    <w:rsid w:val="00042FA1"/>
    <w:rsid w:val="0004382A"/>
    <w:rsid w:val="00043E92"/>
    <w:rsid w:val="00043ED5"/>
    <w:rsid w:val="000440D3"/>
    <w:rsid w:val="000440E7"/>
    <w:rsid w:val="00044657"/>
    <w:rsid w:val="00044E4C"/>
    <w:rsid w:val="00045953"/>
    <w:rsid w:val="000460C9"/>
    <w:rsid w:val="00046421"/>
    <w:rsid w:val="00046916"/>
    <w:rsid w:val="000470B2"/>
    <w:rsid w:val="000475F4"/>
    <w:rsid w:val="000477A0"/>
    <w:rsid w:val="00050089"/>
    <w:rsid w:val="0005008E"/>
    <w:rsid w:val="00050570"/>
    <w:rsid w:val="0005082F"/>
    <w:rsid w:val="0005160B"/>
    <w:rsid w:val="000516DF"/>
    <w:rsid w:val="00051F83"/>
    <w:rsid w:val="00052057"/>
    <w:rsid w:val="000521ED"/>
    <w:rsid w:val="000526E0"/>
    <w:rsid w:val="00052CB2"/>
    <w:rsid w:val="00053305"/>
    <w:rsid w:val="00053958"/>
    <w:rsid w:val="00054568"/>
    <w:rsid w:val="0005571B"/>
    <w:rsid w:val="00055BA4"/>
    <w:rsid w:val="00056A9C"/>
    <w:rsid w:val="00056D46"/>
    <w:rsid w:val="00056E02"/>
    <w:rsid w:val="0005775E"/>
    <w:rsid w:val="00060486"/>
    <w:rsid w:val="00060C29"/>
    <w:rsid w:val="000617C2"/>
    <w:rsid w:val="00061C00"/>
    <w:rsid w:val="0006218D"/>
    <w:rsid w:val="000624CC"/>
    <w:rsid w:val="000626FE"/>
    <w:rsid w:val="000636AB"/>
    <w:rsid w:val="0006389F"/>
    <w:rsid w:val="000657A8"/>
    <w:rsid w:val="00066251"/>
    <w:rsid w:val="00066ADC"/>
    <w:rsid w:val="00067300"/>
    <w:rsid w:val="000700CC"/>
    <w:rsid w:val="0007122B"/>
    <w:rsid w:val="0007224F"/>
    <w:rsid w:val="00073FD8"/>
    <w:rsid w:val="00074468"/>
    <w:rsid w:val="00074510"/>
    <w:rsid w:val="000750C5"/>
    <w:rsid w:val="00075335"/>
    <w:rsid w:val="00075416"/>
    <w:rsid w:val="000754E4"/>
    <w:rsid w:val="00076ED7"/>
    <w:rsid w:val="00077DE2"/>
    <w:rsid w:val="000825BB"/>
    <w:rsid w:val="00082919"/>
    <w:rsid w:val="00082BB8"/>
    <w:rsid w:val="00082D28"/>
    <w:rsid w:val="00082DB4"/>
    <w:rsid w:val="00083FE7"/>
    <w:rsid w:val="00083FF5"/>
    <w:rsid w:val="00084E9F"/>
    <w:rsid w:val="00084F69"/>
    <w:rsid w:val="000850CE"/>
    <w:rsid w:val="00085231"/>
    <w:rsid w:val="0008526B"/>
    <w:rsid w:val="000858EE"/>
    <w:rsid w:val="00085F60"/>
    <w:rsid w:val="000865FB"/>
    <w:rsid w:val="00087773"/>
    <w:rsid w:val="00087F58"/>
    <w:rsid w:val="00090B57"/>
    <w:rsid w:val="00091106"/>
    <w:rsid w:val="00091B4A"/>
    <w:rsid w:val="00091F39"/>
    <w:rsid w:val="00092368"/>
    <w:rsid w:val="00092FDE"/>
    <w:rsid w:val="000933E2"/>
    <w:rsid w:val="00093A4B"/>
    <w:rsid w:val="000950D2"/>
    <w:rsid w:val="00095527"/>
    <w:rsid w:val="000957E9"/>
    <w:rsid w:val="00095E12"/>
    <w:rsid w:val="000A01C0"/>
    <w:rsid w:val="000A0225"/>
    <w:rsid w:val="000A0554"/>
    <w:rsid w:val="000A0AED"/>
    <w:rsid w:val="000A11B1"/>
    <w:rsid w:val="000A18EA"/>
    <w:rsid w:val="000A26F5"/>
    <w:rsid w:val="000A2776"/>
    <w:rsid w:val="000A27A3"/>
    <w:rsid w:val="000A32EF"/>
    <w:rsid w:val="000A37DD"/>
    <w:rsid w:val="000A3ADF"/>
    <w:rsid w:val="000A5A4D"/>
    <w:rsid w:val="000A5EC0"/>
    <w:rsid w:val="000A7297"/>
    <w:rsid w:val="000A7AF6"/>
    <w:rsid w:val="000A7FF8"/>
    <w:rsid w:val="000B098A"/>
    <w:rsid w:val="000B0F8C"/>
    <w:rsid w:val="000B1006"/>
    <w:rsid w:val="000B1AF4"/>
    <w:rsid w:val="000B1BA0"/>
    <w:rsid w:val="000B1ED0"/>
    <w:rsid w:val="000B247E"/>
    <w:rsid w:val="000B2F2C"/>
    <w:rsid w:val="000B38DF"/>
    <w:rsid w:val="000B3B03"/>
    <w:rsid w:val="000B3C72"/>
    <w:rsid w:val="000B4804"/>
    <w:rsid w:val="000B4CD3"/>
    <w:rsid w:val="000B67BE"/>
    <w:rsid w:val="000B7193"/>
    <w:rsid w:val="000B739F"/>
    <w:rsid w:val="000C01DC"/>
    <w:rsid w:val="000C07B1"/>
    <w:rsid w:val="000C08D6"/>
    <w:rsid w:val="000C0B59"/>
    <w:rsid w:val="000C12C6"/>
    <w:rsid w:val="000C189E"/>
    <w:rsid w:val="000C1C6F"/>
    <w:rsid w:val="000C1D2E"/>
    <w:rsid w:val="000C1D4E"/>
    <w:rsid w:val="000C1FD9"/>
    <w:rsid w:val="000C3163"/>
    <w:rsid w:val="000C3639"/>
    <w:rsid w:val="000C37B5"/>
    <w:rsid w:val="000C397B"/>
    <w:rsid w:val="000C3F57"/>
    <w:rsid w:val="000C441D"/>
    <w:rsid w:val="000C49FE"/>
    <w:rsid w:val="000C4B15"/>
    <w:rsid w:val="000C5C25"/>
    <w:rsid w:val="000C5C2B"/>
    <w:rsid w:val="000C60B2"/>
    <w:rsid w:val="000C6A6D"/>
    <w:rsid w:val="000C7817"/>
    <w:rsid w:val="000C7854"/>
    <w:rsid w:val="000C79CD"/>
    <w:rsid w:val="000D00C8"/>
    <w:rsid w:val="000D0642"/>
    <w:rsid w:val="000D06EA"/>
    <w:rsid w:val="000D0A0E"/>
    <w:rsid w:val="000D0B70"/>
    <w:rsid w:val="000D1840"/>
    <w:rsid w:val="000D2EFB"/>
    <w:rsid w:val="000D3571"/>
    <w:rsid w:val="000D387F"/>
    <w:rsid w:val="000D42A2"/>
    <w:rsid w:val="000D5690"/>
    <w:rsid w:val="000D5A0E"/>
    <w:rsid w:val="000D6115"/>
    <w:rsid w:val="000D731C"/>
    <w:rsid w:val="000D7CF7"/>
    <w:rsid w:val="000E021A"/>
    <w:rsid w:val="000E0D93"/>
    <w:rsid w:val="000E0ED1"/>
    <w:rsid w:val="000E1109"/>
    <w:rsid w:val="000E1702"/>
    <w:rsid w:val="000E1891"/>
    <w:rsid w:val="000E1CB5"/>
    <w:rsid w:val="000E292A"/>
    <w:rsid w:val="000E2B0E"/>
    <w:rsid w:val="000E2F8A"/>
    <w:rsid w:val="000E3A22"/>
    <w:rsid w:val="000E3D5F"/>
    <w:rsid w:val="000E3E21"/>
    <w:rsid w:val="000E3F2B"/>
    <w:rsid w:val="000E415E"/>
    <w:rsid w:val="000E4952"/>
    <w:rsid w:val="000E4D0B"/>
    <w:rsid w:val="000E4FFA"/>
    <w:rsid w:val="000E597E"/>
    <w:rsid w:val="000E66E2"/>
    <w:rsid w:val="000E7715"/>
    <w:rsid w:val="000E77FE"/>
    <w:rsid w:val="000E7BD1"/>
    <w:rsid w:val="000F0268"/>
    <w:rsid w:val="000F0278"/>
    <w:rsid w:val="000F0316"/>
    <w:rsid w:val="000F0C5F"/>
    <w:rsid w:val="000F1473"/>
    <w:rsid w:val="000F14F8"/>
    <w:rsid w:val="000F1907"/>
    <w:rsid w:val="000F1B9F"/>
    <w:rsid w:val="000F1C18"/>
    <w:rsid w:val="000F2621"/>
    <w:rsid w:val="000F3037"/>
    <w:rsid w:val="000F36B3"/>
    <w:rsid w:val="000F4242"/>
    <w:rsid w:val="000F4503"/>
    <w:rsid w:val="000F4B52"/>
    <w:rsid w:val="000F4BD4"/>
    <w:rsid w:val="000F4E7A"/>
    <w:rsid w:val="000F5233"/>
    <w:rsid w:val="000F5C34"/>
    <w:rsid w:val="000F5CFF"/>
    <w:rsid w:val="000F5D35"/>
    <w:rsid w:val="000F6D86"/>
    <w:rsid w:val="000F7E7B"/>
    <w:rsid w:val="001000C7"/>
    <w:rsid w:val="00100134"/>
    <w:rsid w:val="001004FA"/>
    <w:rsid w:val="00100689"/>
    <w:rsid w:val="00101013"/>
    <w:rsid w:val="00101104"/>
    <w:rsid w:val="001014CF"/>
    <w:rsid w:val="0010230E"/>
    <w:rsid w:val="00102A18"/>
    <w:rsid w:val="00102BE7"/>
    <w:rsid w:val="0010434A"/>
    <w:rsid w:val="00105277"/>
    <w:rsid w:val="00105F03"/>
    <w:rsid w:val="00106162"/>
    <w:rsid w:val="001065E7"/>
    <w:rsid w:val="001068F5"/>
    <w:rsid w:val="001069AD"/>
    <w:rsid w:val="00106A76"/>
    <w:rsid w:val="00106D5D"/>
    <w:rsid w:val="001070AD"/>
    <w:rsid w:val="001073BD"/>
    <w:rsid w:val="00107D12"/>
    <w:rsid w:val="00110DBC"/>
    <w:rsid w:val="001112C7"/>
    <w:rsid w:val="00111E8F"/>
    <w:rsid w:val="001129B9"/>
    <w:rsid w:val="00112EBD"/>
    <w:rsid w:val="0011372F"/>
    <w:rsid w:val="00113C89"/>
    <w:rsid w:val="001147C9"/>
    <w:rsid w:val="00114930"/>
    <w:rsid w:val="00115046"/>
    <w:rsid w:val="0011531E"/>
    <w:rsid w:val="001167EC"/>
    <w:rsid w:val="00116D67"/>
    <w:rsid w:val="00116E46"/>
    <w:rsid w:val="00116FA8"/>
    <w:rsid w:val="00120723"/>
    <w:rsid w:val="00121BE3"/>
    <w:rsid w:val="00121E61"/>
    <w:rsid w:val="00122A69"/>
    <w:rsid w:val="00122C23"/>
    <w:rsid w:val="00122DA0"/>
    <w:rsid w:val="0012465C"/>
    <w:rsid w:val="00124889"/>
    <w:rsid w:val="00124E86"/>
    <w:rsid w:val="00127512"/>
    <w:rsid w:val="00130380"/>
    <w:rsid w:val="0013091D"/>
    <w:rsid w:val="00131A86"/>
    <w:rsid w:val="00131EBD"/>
    <w:rsid w:val="001328C1"/>
    <w:rsid w:val="00133FDB"/>
    <w:rsid w:val="00134B61"/>
    <w:rsid w:val="00134E2C"/>
    <w:rsid w:val="00135955"/>
    <w:rsid w:val="00136466"/>
    <w:rsid w:val="001365EA"/>
    <w:rsid w:val="001367AD"/>
    <w:rsid w:val="0013691D"/>
    <w:rsid w:val="00136F84"/>
    <w:rsid w:val="00137BE7"/>
    <w:rsid w:val="00137E34"/>
    <w:rsid w:val="001403FD"/>
    <w:rsid w:val="0014070C"/>
    <w:rsid w:val="00140D30"/>
    <w:rsid w:val="00140DD5"/>
    <w:rsid w:val="00141988"/>
    <w:rsid w:val="00141F22"/>
    <w:rsid w:val="001422E1"/>
    <w:rsid w:val="00142A22"/>
    <w:rsid w:val="00143773"/>
    <w:rsid w:val="00143E64"/>
    <w:rsid w:val="00144D1E"/>
    <w:rsid w:val="00145C8D"/>
    <w:rsid w:val="00145CB2"/>
    <w:rsid w:val="00145CFA"/>
    <w:rsid w:val="00146346"/>
    <w:rsid w:val="00146CDE"/>
    <w:rsid w:val="00147053"/>
    <w:rsid w:val="0014710C"/>
    <w:rsid w:val="00147944"/>
    <w:rsid w:val="00147FF1"/>
    <w:rsid w:val="001501C5"/>
    <w:rsid w:val="00150A58"/>
    <w:rsid w:val="00150AB0"/>
    <w:rsid w:val="00150F57"/>
    <w:rsid w:val="00151732"/>
    <w:rsid w:val="00152264"/>
    <w:rsid w:val="00152853"/>
    <w:rsid w:val="001528AA"/>
    <w:rsid w:val="001528ED"/>
    <w:rsid w:val="00153140"/>
    <w:rsid w:val="00153CF5"/>
    <w:rsid w:val="001553D4"/>
    <w:rsid w:val="00155A49"/>
    <w:rsid w:val="00155D21"/>
    <w:rsid w:val="00156862"/>
    <w:rsid w:val="00156884"/>
    <w:rsid w:val="00156BAB"/>
    <w:rsid w:val="001574B2"/>
    <w:rsid w:val="001603CE"/>
    <w:rsid w:val="001614C3"/>
    <w:rsid w:val="00162043"/>
    <w:rsid w:val="001633DD"/>
    <w:rsid w:val="00163AB4"/>
    <w:rsid w:val="0016465C"/>
    <w:rsid w:val="00164B68"/>
    <w:rsid w:val="0016547C"/>
    <w:rsid w:val="00167246"/>
    <w:rsid w:val="001672C3"/>
    <w:rsid w:val="00167769"/>
    <w:rsid w:val="00167EF3"/>
    <w:rsid w:val="00170A73"/>
    <w:rsid w:val="00171385"/>
    <w:rsid w:val="00171C5A"/>
    <w:rsid w:val="00171E58"/>
    <w:rsid w:val="00171F05"/>
    <w:rsid w:val="001726DD"/>
    <w:rsid w:val="0017384A"/>
    <w:rsid w:val="00173C5F"/>
    <w:rsid w:val="00173DE3"/>
    <w:rsid w:val="001746D3"/>
    <w:rsid w:val="00174ECF"/>
    <w:rsid w:val="00174FF2"/>
    <w:rsid w:val="00175756"/>
    <w:rsid w:val="00175B3B"/>
    <w:rsid w:val="00176A79"/>
    <w:rsid w:val="00177650"/>
    <w:rsid w:val="00177F41"/>
    <w:rsid w:val="0018003D"/>
    <w:rsid w:val="001806DD"/>
    <w:rsid w:val="001809D7"/>
    <w:rsid w:val="0018137F"/>
    <w:rsid w:val="00181B14"/>
    <w:rsid w:val="00182239"/>
    <w:rsid w:val="0018228B"/>
    <w:rsid w:val="00182D1A"/>
    <w:rsid w:val="00182E98"/>
    <w:rsid w:val="00183119"/>
    <w:rsid w:val="00184008"/>
    <w:rsid w:val="001840D7"/>
    <w:rsid w:val="00184957"/>
    <w:rsid w:val="00184D89"/>
    <w:rsid w:val="001855F9"/>
    <w:rsid w:val="00185CD4"/>
    <w:rsid w:val="001863D0"/>
    <w:rsid w:val="00186454"/>
    <w:rsid w:val="00186B26"/>
    <w:rsid w:val="00187E16"/>
    <w:rsid w:val="0019085F"/>
    <w:rsid w:val="00190D7B"/>
    <w:rsid w:val="00190F43"/>
    <w:rsid w:val="00191065"/>
    <w:rsid w:val="001913A5"/>
    <w:rsid w:val="00192D37"/>
    <w:rsid w:val="0019326F"/>
    <w:rsid w:val="00193A1D"/>
    <w:rsid w:val="00193C2B"/>
    <w:rsid w:val="00193C32"/>
    <w:rsid w:val="001940F2"/>
    <w:rsid w:val="001942DA"/>
    <w:rsid w:val="001948B7"/>
    <w:rsid w:val="00195B3B"/>
    <w:rsid w:val="00195B5B"/>
    <w:rsid w:val="00195C2C"/>
    <w:rsid w:val="001961D4"/>
    <w:rsid w:val="00196368"/>
    <w:rsid w:val="00196543"/>
    <w:rsid w:val="00196759"/>
    <w:rsid w:val="00196D83"/>
    <w:rsid w:val="00197819"/>
    <w:rsid w:val="001A0451"/>
    <w:rsid w:val="001A2608"/>
    <w:rsid w:val="001A302B"/>
    <w:rsid w:val="001A3621"/>
    <w:rsid w:val="001A480C"/>
    <w:rsid w:val="001A4E5F"/>
    <w:rsid w:val="001A512F"/>
    <w:rsid w:val="001A5B6A"/>
    <w:rsid w:val="001A685F"/>
    <w:rsid w:val="001B0209"/>
    <w:rsid w:val="001B0BB8"/>
    <w:rsid w:val="001B154E"/>
    <w:rsid w:val="001B1D88"/>
    <w:rsid w:val="001B1E50"/>
    <w:rsid w:val="001B2C90"/>
    <w:rsid w:val="001B41B4"/>
    <w:rsid w:val="001B4EA6"/>
    <w:rsid w:val="001B65D5"/>
    <w:rsid w:val="001B75E7"/>
    <w:rsid w:val="001B7977"/>
    <w:rsid w:val="001C007C"/>
    <w:rsid w:val="001C00B5"/>
    <w:rsid w:val="001C03F6"/>
    <w:rsid w:val="001C0C55"/>
    <w:rsid w:val="001C2695"/>
    <w:rsid w:val="001C2AE8"/>
    <w:rsid w:val="001C2CAC"/>
    <w:rsid w:val="001C2D1B"/>
    <w:rsid w:val="001C2DFB"/>
    <w:rsid w:val="001C3525"/>
    <w:rsid w:val="001C3872"/>
    <w:rsid w:val="001C39B2"/>
    <w:rsid w:val="001C3BE7"/>
    <w:rsid w:val="001C3EA7"/>
    <w:rsid w:val="001C44A1"/>
    <w:rsid w:val="001C458C"/>
    <w:rsid w:val="001C4FA4"/>
    <w:rsid w:val="001C5014"/>
    <w:rsid w:val="001C5712"/>
    <w:rsid w:val="001C5878"/>
    <w:rsid w:val="001C5E1E"/>
    <w:rsid w:val="001C5E2B"/>
    <w:rsid w:val="001C69D0"/>
    <w:rsid w:val="001C74D8"/>
    <w:rsid w:val="001C7DE6"/>
    <w:rsid w:val="001D005D"/>
    <w:rsid w:val="001D00E7"/>
    <w:rsid w:val="001D00FB"/>
    <w:rsid w:val="001D0DBA"/>
    <w:rsid w:val="001D0FBD"/>
    <w:rsid w:val="001D1B1A"/>
    <w:rsid w:val="001D3EB8"/>
    <w:rsid w:val="001D4211"/>
    <w:rsid w:val="001D53CB"/>
    <w:rsid w:val="001D58C1"/>
    <w:rsid w:val="001D68F0"/>
    <w:rsid w:val="001D6DEC"/>
    <w:rsid w:val="001D6E17"/>
    <w:rsid w:val="001E04B1"/>
    <w:rsid w:val="001E08F6"/>
    <w:rsid w:val="001E0DDB"/>
    <w:rsid w:val="001E1A5E"/>
    <w:rsid w:val="001E1CEE"/>
    <w:rsid w:val="001E1E44"/>
    <w:rsid w:val="001E248C"/>
    <w:rsid w:val="001E2BE9"/>
    <w:rsid w:val="001E424A"/>
    <w:rsid w:val="001E49A8"/>
    <w:rsid w:val="001E4A4A"/>
    <w:rsid w:val="001E4DAD"/>
    <w:rsid w:val="001E55A9"/>
    <w:rsid w:val="001E576C"/>
    <w:rsid w:val="001E5B1B"/>
    <w:rsid w:val="001E63FC"/>
    <w:rsid w:val="001E64ED"/>
    <w:rsid w:val="001E787F"/>
    <w:rsid w:val="001E7AFF"/>
    <w:rsid w:val="001F0524"/>
    <w:rsid w:val="001F0743"/>
    <w:rsid w:val="001F0BF1"/>
    <w:rsid w:val="001F18BD"/>
    <w:rsid w:val="001F1B13"/>
    <w:rsid w:val="001F1B73"/>
    <w:rsid w:val="001F1C3E"/>
    <w:rsid w:val="001F1CDE"/>
    <w:rsid w:val="001F1D61"/>
    <w:rsid w:val="001F20B1"/>
    <w:rsid w:val="001F20B3"/>
    <w:rsid w:val="001F2560"/>
    <w:rsid w:val="001F2879"/>
    <w:rsid w:val="001F2C65"/>
    <w:rsid w:val="001F2CAB"/>
    <w:rsid w:val="001F3027"/>
    <w:rsid w:val="001F3CE8"/>
    <w:rsid w:val="001F3DF9"/>
    <w:rsid w:val="001F3E61"/>
    <w:rsid w:val="001F3FCE"/>
    <w:rsid w:val="001F4F7C"/>
    <w:rsid w:val="001F5588"/>
    <w:rsid w:val="001F57C4"/>
    <w:rsid w:val="001F57FA"/>
    <w:rsid w:val="001F7760"/>
    <w:rsid w:val="001F7C31"/>
    <w:rsid w:val="0020020F"/>
    <w:rsid w:val="002005D6"/>
    <w:rsid w:val="00200722"/>
    <w:rsid w:val="002009A7"/>
    <w:rsid w:val="00201BEF"/>
    <w:rsid w:val="00202C95"/>
    <w:rsid w:val="002034CD"/>
    <w:rsid w:val="00203D28"/>
    <w:rsid w:val="00204214"/>
    <w:rsid w:val="002053DA"/>
    <w:rsid w:val="00206EB4"/>
    <w:rsid w:val="002071A2"/>
    <w:rsid w:val="00207FE8"/>
    <w:rsid w:val="002100C2"/>
    <w:rsid w:val="00210854"/>
    <w:rsid w:val="00211AE3"/>
    <w:rsid w:val="00212974"/>
    <w:rsid w:val="00212FB4"/>
    <w:rsid w:val="00213189"/>
    <w:rsid w:val="00213BE1"/>
    <w:rsid w:val="00213E0A"/>
    <w:rsid w:val="002142CC"/>
    <w:rsid w:val="00215346"/>
    <w:rsid w:val="002153CD"/>
    <w:rsid w:val="00215E0C"/>
    <w:rsid w:val="00216276"/>
    <w:rsid w:val="00216C59"/>
    <w:rsid w:val="00217108"/>
    <w:rsid w:val="002175E1"/>
    <w:rsid w:val="00217B77"/>
    <w:rsid w:val="00220E96"/>
    <w:rsid w:val="00220F23"/>
    <w:rsid w:val="00221FC4"/>
    <w:rsid w:val="00223E88"/>
    <w:rsid w:val="00224441"/>
    <w:rsid w:val="00224A91"/>
    <w:rsid w:val="00225034"/>
    <w:rsid w:val="00225890"/>
    <w:rsid w:val="00226251"/>
    <w:rsid w:val="00226C42"/>
    <w:rsid w:val="00226D17"/>
    <w:rsid w:val="00226DA4"/>
    <w:rsid w:val="00227CCC"/>
    <w:rsid w:val="00227E18"/>
    <w:rsid w:val="00227ED8"/>
    <w:rsid w:val="00230CE6"/>
    <w:rsid w:val="00231219"/>
    <w:rsid w:val="00231277"/>
    <w:rsid w:val="00231A8D"/>
    <w:rsid w:val="00231B30"/>
    <w:rsid w:val="00231C67"/>
    <w:rsid w:val="002325F3"/>
    <w:rsid w:val="00232634"/>
    <w:rsid w:val="00232FBC"/>
    <w:rsid w:val="00232FFA"/>
    <w:rsid w:val="00233BAC"/>
    <w:rsid w:val="0023401C"/>
    <w:rsid w:val="002348BA"/>
    <w:rsid w:val="002350F3"/>
    <w:rsid w:val="00235534"/>
    <w:rsid w:val="00235EAD"/>
    <w:rsid w:val="00236069"/>
    <w:rsid w:val="00236838"/>
    <w:rsid w:val="00236B4D"/>
    <w:rsid w:val="002374BE"/>
    <w:rsid w:val="002403F3"/>
    <w:rsid w:val="00241376"/>
    <w:rsid w:val="002419B2"/>
    <w:rsid w:val="00241A8B"/>
    <w:rsid w:val="00241D50"/>
    <w:rsid w:val="00241F6A"/>
    <w:rsid w:val="0024275E"/>
    <w:rsid w:val="002427DD"/>
    <w:rsid w:val="00242C73"/>
    <w:rsid w:val="0024325A"/>
    <w:rsid w:val="00243D3D"/>
    <w:rsid w:val="002444FC"/>
    <w:rsid w:val="002446F4"/>
    <w:rsid w:val="002448A1"/>
    <w:rsid w:val="00245ABA"/>
    <w:rsid w:val="00246CB7"/>
    <w:rsid w:val="00246DBC"/>
    <w:rsid w:val="00247973"/>
    <w:rsid w:val="00247B79"/>
    <w:rsid w:val="00247E08"/>
    <w:rsid w:val="002506EE"/>
    <w:rsid w:val="002525AE"/>
    <w:rsid w:val="00253458"/>
    <w:rsid w:val="002538C0"/>
    <w:rsid w:val="00253C2D"/>
    <w:rsid w:val="00253C40"/>
    <w:rsid w:val="0025616E"/>
    <w:rsid w:val="00256236"/>
    <w:rsid w:val="002565DC"/>
    <w:rsid w:val="002567A6"/>
    <w:rsid w:val="0025695C"/>
    <w:rsid w:val="002576C3"/>
    <w:rsid w:val="0025797D"/>
    <w:rsid w:val="00261314"/>
    <w:rsid w:val="00262A7F"/>
    <w:rsid w:val="00263295"/>
    <w:rsid w:val="002656BA"/>
    <w:rsid w:val="0026572A"/>
    <w:rsid w:val="00266457"/>
    <w:rsid w:val="00266A3B"/>
    <w:rsid w:val="00266E14"/>
    <w:rsid w:val="002674EF"/>
    <w:rsid w:val="002676AF"/>
    <w:rsid w:val="00271630"/>
    <w:rsid w:val="00271682"/>
    <w:rsid w:val="00271C34"/>
    <w:rsid w:val="00272114"/>
    <w:rsid w:val="00272328"/>
    <w:rsid w:val="00272646"/>
    <w:rsid w:val="002746B7"/>
    <w:rsid w:val="0027549B"/>
    <w:rsid w:val="002762AC"/>
    <w:rsid w:val="00277375"/>
    <w:rsid w:val="00277432"/>
    <w:rsid w:val="0028025F"/>
    <w:rsid w:val="00280280"/>
    <w:rsid w:val="00280286"/>
    <w:rsid w:val="00280626"/>
    <w:rsid w:val="002810C8"/>
    <w:rsid w:val="00281214"/>
    <w:rsid w:val="00281292"/>
    <w:rsid w:val="002818CF"/>
    <w:rsid w:val="00281FD5"/>
    <w:rsid w:val="00282A99"/>
    <w:rsid w:val="00282BB8"/>
    <w:rsid w:val="002844D7"/>
    <w:rsid w:val="00285294"/>
    <w:rsid w:val="00285A53"/>
    <w:rsid w:val="00285B13"/>
    <w:rsid w:val="00286C56"/>
    <w:rsid w:val="002875BC"/>
    <w:rsid w:val="00287ACE"/>
    <w:rsid w:val="00287BB3"/>
    <w:rsid w:val="00287EDC"/>
    <w:rsid w:val="0029010D"/>
    <w:rsid w:val="0029045B"/>
    <w:rsid w:val="002906A0"/>
    <w:rsid w:val="00291724"/>
    <w:rsid w:val="00293891"/>
    <w:rsid w:val="00293C45"/>
    <w:rsid w:val="002942EB"/>
    <w:rsid w:val="00294708"/>
    <w:rsid w:val="002947A5"/>
    <w:rsid w:val="002947C5"/>
    <w:rsid w:val="002954B4"/>
    <w:rsid w:val="002956A8"/>
    <w:rsid w:val="00295793"/>
    <w:rsid w:val="00295992"/>
    <w:rsid w:val="00295E23"/>
    <w:rsid w:val="002966E1"/>
    <w:rsid w:val="00296DAE"/>
    <w:rsid w:val="002A1774"/>
    <w:rsid w:val="002A186F"/>
    <w:rsid w:val="002A1C9B"/>
    <w:rsid w:val="002A23A9"/>
    <w:rsid w:val="002A2CDB"/>
    <w:rsid w:val="002A2E6F"/>
    <w:rsid w:val="002A32E4"/>
    <w:rsid w:val="002A39B2"/>
    <w:rsid w:val="002A3A90"/>
    <w:rsid w:val="002A480B"/>
    <w:rsid w:val="002A4817"/>
    <w:rsid w:val="002A4B1E"/>
    <w:rsid w:val="002A55F9"/>
    <w:rsid w:val="002A5C65"/>
    <w:rsid w:val="002A5D9D"/>
    <w:rsid w:val="002A7550"/>
    <w:rsid w:val="002A77F0"/>
    <w:rsid w:val="002B04D3"/>
    <w:rsid w:val="002B052B"/>
    <w:rsid w:val="002B05C2"/>
    <w:rsid w:val="002B0DED"/>
    <w:rsid w:val="002B108F"/>
    <w:rsid w:val="002B127A"/>
    <w:rsid w:val="002B2FA7"/>
    <w:rsid w:val="002B31A6"/>
    <w:rsid w:val="002B33D6"/>
    <w:rsid w:val="002B3FE6"/>
    <w:rsid w:val="002B47FC"/>
    <w:rsid w:val="002B484E"/>
    <w:rsid w:val="002B4E79"/>
    <w:rsid w:val="002B4F27"/>
    <w:rsid w:val="002B58F5"/>
    <w:rsid w:val="002B5C59"/>
    <w:rsid w:val="002B6A54"/>
    <w:rsid w:val="002B6D32"/>
    <w:rsid w:val="002B6ED1"/>
    <w:rsid w:val="002B7521"/>
    <w:rsid w:val="002B7830"/>
    <w:rsid w:val="002B78BB"/>
    <w:rsid w:val="002B7953"/>
    <w:rsid w:val="002C0419"/>
    <w:rsid w:val="002C05FB"/>
    <w:rsid w:val="002C11B0"/>
    <w:rsid w:val="002C1263"/>
    <w:rsid w:val="002C1A69"/>
    <w:rsid w:val="002C2220"/>
    <w:rsid w:val="002C245B"/>
    <w:rsid w:val="002C24D7"/>
    <w:rsid w:val="002C2B9F"/>
    <w:rsid w:val="002C48A6"/>
    <w:rsid w:val="002C4BE2"/>
    <w:rsid w:val="002C4E23"/>
    <w:rsid w:val="002C54AD"/>
    <w:rsid w:val="002C5987"/>
    <w:rsid w:val="002C5BB9"/>
    <w:rsid w:val="002C5DFF"/>
    <w:rsid w:val="002C6C41"/>
    <w:rsid w:val="002C7175"/>
    <w:rsid w:val="002C73B1"/>
    <w:rsid w:val="002C76B1"/>
    <w:rsid w:val="002C77EE"/>
    <w:rsid w:val="002C7F24"/>
    <w:rsid w:val="002D08A4"/>
    <w:rsid w:val="002D0CA9"/>
    <w:rsid w:val="002D1E93"/>
    <w:rsid w:val="002D33E0"/>
    <w:rsid w:val="002D3474"/>
    <w:rsid w:val="002D356D"/>
    <w:rsid w:val="002D386A"/>
    <w:rsid w:val="002D3A25"/>
    <w:rsid w:val="002D43FF"/>
    <w:rsid w:val="002D48D4"/>
    <w:rsid w:val="002D4CFC"/>
    <w:rsid w:val="002D6B86"/>
    <w:rsid w:val="002D7E5F"/>
    <w:rsid w:val="002D7EB0"/>
    <w:rsid w:val="002E007B"/>
    <w:rsid w:val="002E09DC"/>
    <w:rsid w:val="002E0DD0"/>
    <w:rsid w:val="002E173C"/>
    <w:rsid w:val="002E2879"/>
    <w:rsid w:val="002E2CDD"/>
    <w:rsid w:val="002E3D4F"/>
    <w:rsid w:val="002E4021"/>
    <w:rsid w:val="002E42C7"/>
    <w:rsid w:val="002E514D"/>
    <w:rsid w:val="002E5225"/>
    <w:rsid w:val="002E5DB9"/>
    <w:rsid w:val="002E6C2B"/>
    <w:rsid w:val="002E6CAE"/>
    <w:rsid w:val="002E7980"/>
    <w:rsid w:val="002E7D1E"/>
    <w:rsid w:val="002E7E99"/>
    <w:rsid w:val="002F066A"/>
    <w:rsid w:val="002F07CD"/>
    <w:rsid w:val="002F1398"/>
    <w:rsid w:val="002F1610"/>
    <w:rsid w:val="002F1B6B"/>
    <w:rsid w:val="002F2491"/>
    <w:rsid w:val="002F273D"/>
    <w:rsid w:val="002F3905"/>
    <w:rsid w:val="002F4632"/>
    <w:rsid w:val="002F6F5A"/>
    <w:rsid w:val="00301289"/>
    <w:rsid w:val="00301E26"/>
    <w:rsid w:val="00302D1D"/>
    <w:rsid w:val="003044A0"/>
    <w:rsid w:val="003045BB"/>
    <w:rsid w:val="00304C19"/>
    <w:rsid w:val="00304D3A"/>
    <w:rsid w:val="00305A48"/>
    <w:rsid w:val="00305BEE"/>
    <w:rsid w:val="0030661A"/>
    <w:rsid w:val="00306D47"/>
    <w:rsid w:val="00306EDB"/>
    <w:rsid w:val="00307AC8"/>
    <w:rsid w:val="00310A9C"/>
    <w:rsid w:val="0031149A"/>
    <w:rsid w:val="00311822"/>
    <w:rsid w:val="00313027"/>
    <w:rsid w:val="00313100"/>
    <w:rsid w:val="00313470"/>
    <w:rsid w:val="00313BEC"/>
    <w:rsid w:val="00314514"/>
    <w:rsid w:val="003146F6"/>
    <w:rsid w:val="00314A16"/>
    <w:rsid w:val="0031527E"/>
    <w:rsid w:val="00315581"/>
    <w:rsid w:val="00315F15"/>
    <w:rsid w:val="0031662E"/>
    <w:rsid w:val="00316A3B"/>
    <w:rsid w:val="00316E39"/>
    <w:rsid w:val="0031730B"/>
    <w:rsid w:val="003178D0"/>
    <w:rsid w:val="00317992"/>
    <w:rsid w:val="00317B4F"/>
    <w:rsid w:val="00320433"/>
    <w:rsid w:val="00320F83"/>
    <w:rsid w:val="00320FF2"/>
    <w:rsid w:val="0032167A"/>
    <w:rsid w:val="003221A7"/>
    <w:rsid w:val="003239A0"/>
    <w:rsid w:val="00324A54"/>
    <w:rsid w:val="00324CA3"/>
    <w:rsid w:val="00325DAF"/>
    <w:rsid w:val="00325DE3"/>
    <w:rsid w:val="0032678E"/>
    <w:rsid w:val="00326CEF"/>
    <w:rsid w:val="00326E55"/>
    <w:rsid w:val="00327805"/>
    <w:rsid w:val="00330503"/>
    <w:rsid w:val="00330D8C"/>
    <w:rsid w:val="003320DF"/>
    <w:rsid w:val="00332312"/>
    <w:rsid w:val="00332C6E"/>
    <w:rsid w:val="00333045"/>
    <w:rsid w:val="00333212"/>
    <w:rsid w:val="003337A1"/>
    <w:rsid w:val="00334485"/>
    <w:rsid w:val="00334ACE"/>
    <w:rsid w:val="00334BCF"/>
    <w:rsid w:val="00334D3E"/>
    <w:rsid w:val="0033514E"/>
    <w:rsid w:val="0033532B"/>
    <w:rsid w:val="00335D3B"/>
    <w:rsid w:val="00336579"/>
    <w:rsid w:val="00336785"/>
    <w:rsid w:val="00336797"/>
    <w:rsid w:val="00336DF6"/>
    <w:rsid w:val="003409E3"/>
    <w:rsid w:val="003415CC"/>
    <w:rsid w:val="00341865"/>
    <w:rsid w:val="00341AB9"/>
    <w:rsid w:val="00343366"/>
    <w:rsid w:val="00344D6D"/>
    <w:rsid w:val="003451C2"/>
    <w:rsid w:val="00345947"/>
    <w:rsid w:val="00346939"/>
    <w:rsid w:val="00347383"/>
    <w:rsid w:val="003474AC"/>
    <w:rsid w:val="0034776D"/>
    <w:rsid w:val="00347C63"/>
    <w:rsid w:val="00350829"/>
    <w:rsid w:val="00350CD7"/>
    <w:rsid w:val="00350E99"/>
    <w:rsid w:val="00350EDD"/>
    <w:rsid w:val="00351D58"/>
    <w:rsid w:val="0035245E"/>
    <w:rsid w:val="00353286"/>
    <w:rsid w:val="00353DD3"/>
    <w:rsid w:val="0035524D"/>
    <w:rsid w:val="0035654A"/>
    <w:rsid w:val="00356C73"/>
    <w:rsid w:val="00357BB3"/>
    <w:rsid w:val="003607E9"/>
    <w:rsid w:val="003613E4"/>
    <w:rsid w:val="00361AC2"/>
    <w:rsid w:val="00363F94"/>
    <w:rsid w:val="00364069"/>
    <w:rsid w:val="00364201"/>
    <w:rsid w:val="0036440B"/>
    <w:rsid w:val="00364ADE"/>
    <w:rsid w:val="0036555A"/>
    <w:rsid w:val="00365C73"/>
    <w:rsid w:val="00365CC7"/>
    <w:rsid w:val="003662B3"/>
    <w:rsid w:val="00366BDE"/>
    <w:rsid w:val="003672FA"/>
    <w:rsid w:val="00367BFF"/>
    <w:rsid w:val="00367E16"/>
    <w:rsid w:val="003700CE"/>
    <w:rsid w:val="003702E1"/>
    <w:rsid w:val="00370F7A"/>
    <w:rsid w:val="0037112A"/>
    <w:rsid w:val="003713BB"/>
    <w:rsid w:val="00372095"/>
    <w:rsid w:val="00372488"/>
    <w:rsid w:val="00372B2B"/>
    <w:rsid w:val="003731F3"/>
    <w:rsid w:val="00373DE9"/>
    <w:rsid w:val="00374C7E"/>
    <w:rsid w:val="003752C1"/>
    <w:rsid w:val="0037562B"/>
    <w:rsid w:val="00376B07"/>
    <w:rsid w:val="00377121"/>
    <w:rsid w:val="003779CA"/>
    <w:rsid w:val="00377B81"/>
    <w:rsid w:val="00380289"/>
    <w:rsid w:val="00380485"/>
    <w:rsid w:val="00380711"/>
    <w:rsid w:val="00380DA2"/>
    <w:rsid w:val="00380E07"/>
    <w:rsid w:val="00382F04"/>
    <w:rsid w:val="00382F58"/>
    <w:rsid w:val="00383048"/>
    <w:rsid w:val="00383086"/>
    <w:rsid w:val="003843A7"/>
    <w:rsid w:val="00385239"/>
    <w:rsid w:val="00385720"/>
    <w:rsid w:val="00385947"/>
    <w:rsid w:val="00385B55"/>
    <w:rsid w:val="00386F6B"/>
    <w:rsid w:val="003871AB"/>
    <w:rsid w:val="00387962"/>
    <w:rsid w:val="003912EF"/>
    <w:rsid w:val="0039132A"/>
    <w:rsid w:val="00391339"/>
    <w:rsid w:val="003913D3"/>
    <w:rsid w:val="00391614"/>
    <w:rsid w:val="0039186A"/>
    <w:rsid w:val="00391E0A"/>
    <w:rsid w:val="0039275D"/>
    <w:rsid w:val="00392FDE"/>
    <w:rsid w:val="00393ADB"/>
    <w:rsid w:val="00393FA4"/>
    <w:rsid w:val="00394054"/>
    <w:rsid w:val="0039489E"/>
    <w:rsid w:val="0039517C"/>
    <w:rsid w:val="003958FA"/>
    <w:rsid w:val="00395FC3"/>
    <w:rsid w:val="0039757D"/>
    <w:rsid w:val="00397C67"/>
    <w:rsid w:val="003A0CFC"/>
    <w:rsid w:val="003A186D"/>
    <w:rsid w:val="003A1D0E"/>
    <w:rsid w:val="003A38A2"/>
    <w:rsid w:val="003A3E6C"/>
    <w:rsid w:val="003A40A5"/>
    <w:rsid w:val="003A4883"/>
    <w:rsid w:val="003A4BD4"/>
    <w:rsid w:val="003A6419"/>
    <w:rsid w:val="003A7ACF"/>
    <w:rsid w:val="003B073B"/>
    <w:rsid w:val="003B17A7"/>
    <w:rsid w:val="003B1ED5"/>
    <w:rsid w:val="003B2094"/>
    <w:rsid w:val="003B29DC"/>
    <w:rsid w:val="003B2A3A"/>
    <w:rsid w:val="003B2FE3"/>
    <w:rsid w:val="003B317C"/>
    <w:rsid w:val="003B3336"/>
    <w:rsid w:val="003B4514"/>
    <w:rsid w:val="003B4A3A"/>
    <w:rsid w:val="003B601A"/>
    <w:rsid w:val="003B6977"/>
    <w:rsid w:val="003B6A2E"/>
    <w:rsid w:val="003B6F9B"/>
    <w:rsid w:val="003B7FBF"/>
    <w:rsid w:val="003C04C8"/>
    <w:rsid w:val="003C06B0"/>
    <w:rsid w:val="003C3734"/>
    <w:rsid w:val="003C4929"/>
    <w:rsid w:val="003C577F"/>
    <w:rsid w:val="003C6C3F"/>
    <w:rsid w:val="003C6F42"/>
    <w:rsid w:val="003C72D6"/>
    <w:rsid w:val="003C7F2E"/>
    <w:rsid w:val="003D0059"/>
    <w:rsid w:val="003D0A23"/>
    <w:rsid w:val="003D0AB5"/>
    <w:rsid w:val="003D0AF0"/>
    <w:rsid w:val="003D1AB7"/>
    <w:rsid w:val="003D1B66"/>
    <w:rsid w:val="003D23B5"/>
    <w:rsid w:val="003D25D4"/>
    <w:rsid w:val="003D2E02"/>
    <w:rsid w:val="003D30BE"/>
    <w:rsid w:val="003D4360"/>
    <w:rsid w:val="003D50B8"/>
    <w:rsid w:val="003D5212"/>
    <w:rsid w:val="003D5ED5"/>
    <w:rsid w:val="003D6119"/>
    <w:rsid w:val="003D6456"/>
    <w:rsid w:val="003D66A0"/>
    <w:rsid w:val="003D6CA4"/>
    <w:rsid w:val="003D6EF4"/>
    <w:rsid w:val="003D7DC5"/>
    <w:rsid w:val="003E01C6"/>
    <w:rsid w:val="003E23D8"/>
    <w:rsid w:val="003E2A39"/>
    <w:rsid w:val="003E2F19"/>
    <w:rsid w:val="003E3F6F"/>
    <w:rsid w:val="003E4936"/>
    <w:rsid w:val="003E4FDA"/>
    <w:rsid w:val="003E50DE"/>
    <w:rsid w:val="003E6629"/>
    <w:rsid w:val="003E6A74"/>
    <w:rsid w:val="003E7037"/>
    <w:rsid w:val="003E7054"/>
    <w:rsid w:val="003E74A5"/>
    <w:rsid w:val="003E7E8E"/>
    <w:rsid w:val="003F059F"/>
    <w:rsid w:val="003F150A"/>
    <w:rsid w:val="003F2101"/>
    <w:rsid w:val="003F2789"/>
    <w:rsid w:val="003F30BC"/>
    <w:rsid w:val="003F34B2"/>
    <w:rsid w:val="003F4E52"/>
    <w:rsid w:val="003F507E"/>
    <w:rsid w:val="003F5080"/>
    <w:rsid w:val="003F5290"/>
    <w:rsid w:val="003F5524"/>
    <w:rsid w:val="003F556E"/>
    <w:rsid w:val="003F55C3"/>
    <w:rsid w:val="003F5C0C"/>
    <w:rsid w:val="003F5ED7"/>
    <w:rsid w:val="003F6BD4"/>
    <w:rsid w:val="003F72DF"/>
    <w:rsid w:val="003F72F5"/>
    <w:rsid w:val="003F795D"/>
    <w:rsid w:val="00400D2C"/>
    <w:rsid w:val="004018AE"/>
    <w:rsid w:val="00401DCE"/>
    <w:rsid w:val="00402623"/>
    <w:rsid w:val="004028D1"/>
    <w:rsid w:val="00403FFC"/>
    <w:rsid w:val="0040443D"/>
    <w:rsid w:val="00404A90"/>
    <w:rsid w:val="00404D18"/>
    <w:rsid w:val="00405777"/>
    <w:rsid w:val="00405A01"/>
    <w:rsid w:val="004063CD"/>
    <w:rsid w:val="0040696F"/>
    <w:rsid w:val="004069AD"/>
    <w:rsid w:val="00406EE7"/>
    <w:rsid w:val="00406FDB"/>
    <w:rsid w:val="0041033D"/>
    <w:rsid w:val="00410AAC"/>
    <w:rsid w:val="00410E57"/>
    <w:rsid w:val="00411476"/>
    <w:rsid w:val="00411708"/>
    <w:rsid w:val="0041186B"/>
    <w:rsid w:val="00411A4E"/>
    <w:rsid w:val="00411C4B"/>
    <w:rsid w:val="004122B9"/>
    <w:rsid w:val="0041357B"/>
    <w:rsid w:val="00415363"/>
    <w:rsid w:val="004168BF"/>
    <w:rsid w:val="00417264"/>
    <w:rsid w:val="004201FE"/>
    <w:rsid w:val="0042047A"/>
    <w:rsid w:val="00420E05"/>
    <w:rsid w:val="0042129F"/>
    <w:rsid w:val="00421402"/>
    <w:rsid w:val="00421516"/>
    <w:rsid w:val="004217ED"/>
    <w:rsid w:val="004223A4"/>
    <w:rsid w:val="004223E6"/>
    <w:rsid w:val="004235D2"/>
    <w:rsid w:val="00423675"/>
    <w:rsid w:val="0042373C"/>
    <w:rsid w:val="004238D0"/>
    <w:rsid w:val="00423E7D"/>
    <w:rsid w:val="0042560B"/>
    <w:rsid w:val="00425793"/>
    <w:rsid w:val="00425EB6"/>
    <w:rsid w:val="00425EE4"/>
    <w:rsid w:val="00426A51"/>
    <w:rsid w:val="00426E91"/>
    <w:rsid w:val="00427018"/>
    <w:rsid w:val="004273F6"/>
    <w:rsid w:val="00427E02"/>
    <w:rsid w:val="00427E90"/>
    <w:rsid w:val="004300A7"/>
    <w:rsid w:val="00430840"/>
    <w:rsid w:val="0043189F"/>
    <w:rsid w:val="00431A52"/>
    <w:rsid w:val="00431C24"/>
    <w:rsid w:val="004328CD"/>
    <w:rsid w:val="00432D5F"/>
    <w:rsid w:val="00433196"/>
    <w:rsid w:val="00433495"/>
    <w:rsid w:val="004335D5"/>
    <w:rsid w:val="00433921"/>
    <w:rsid w:val="004345D3"/>
    <w:rsid w:val="0043574F"/>
    <w:rsid w:val="004358C7"/>
    <w:rsid w:val="004358EB"/>
    <w:rsid w:val="00435D3E"/>
    <w:rsid w:val="00436A2A"/>
    <w:rsid w:val="00436A3B"/>
    <w:rsid w:val="004370BA"/>
    <w:rsid w:val="0043729B"/>
    <w:rsid w:val="004372BC"/>
    <w:rsid w:val="00437960"/>
    <w:rsid w:val="004401B5"/>
    <w:rsid w:val="0044068E"/>
    <w:rsid w:val="00440B3A"/>
    <w:rsid w:val="00440F95"/>
    <w:rsid w:val="004410C9"/>
    <w:rsid w:val="00441A8D"/>
    <w:rsid w:val="004427C3"/>
    <w:rsid w:val="00442895"/>
    <w:rsid w:val="00443A38"/>
    <w:rsid w:val="00444684"/>
    <w:rsid w:val="004454E1"/>
    <w:rsid w:val="00445A7A"/>
    <w:rsid w:val="0044645F"/>
    <w:rsid w:val="004466D8"/>
    <w:rsid w:val="00446A74"/>
    <w:rsid w:val="004472EE"/>
    <w:rsid w:val="00447933"/>
    <w:rsid w:val="00447AD4"/>
    <w:rsid w:val="00447D49"/>
    <w:rsid w:val="00447E94"/>
    <w:rsid w:val="004500D9"/>
    <w:rsid w:val="00450183"/>
    <w:rsid w:val="00450C3D"/>
    <w:rsid w:val="00452BDA"/>
    <w:rsid w:val="0045316E"/>
    <w:rsid w:val="004532F4"/>
    <w:rsid w:val="00453A18"/>
    <w:rsid w:val="00453C46"/>
    <w:rsid w:val="00453CA6"/>
    <w:rsid w:val="00454A7F"/>
    <w:rsid w:val="00454C81"/>
    <w:rsid w:val="004552D5"/>
    <w:rsid w:val="00455450"/>
    <w:rsid w:val="004566E5"/>
    <w:rsid w:val="00456A25"/>
    <w:rsid w:val="00456D64"/>
    <w:rsid w:val="004601DD"/>
    <w:rsid w:val="0046033F"/>
    <w:rsid w:val="00460901"/>
    <w:rsid w:val="00460E28"/>
    <w:rsid w:val="00460EF1"/>
    <w:rsid w:val="004610AF"/>
    <w:rsid w:val="004616F2"/>
    <w:rsid w:val="004616FE"/>
    <w:rsid w:val="00461D6D"/>
    <w:rsid w:val="00461E30"/>
    <w:rsid w:val="0046250F"/>
    <w:rsid w:val="0046275A"/>
    <w:rsid w:val="00463368"/>
    <w:rsid w:val="004640FF"/>
    <w:rsid w:val="004648B3"/>
    <w:rsid w:val="0046544C"/>
    <w:rsid w:val="00466175"/>
    <w:rsid w:val="00466194"/>
    <w:rsid w:val="00466453"/>
    <w:rsid w:val="004664A7"/>
    <w:rsid w:val="00470102"/>
    <w:rsid w:val="00470723"/>
    <w:rsid w:val="00470BCF"/>
    <w:rsid w:val="00470E49"/>
    <w:rsid w:val="004714B0"/>
    <w:rsid w:val="00473145"/>
    <w:rsid w:val="004743D6"/>
    <w:rsid w:val="00474ECE"/>
    <w:rsid w:val="004759DB"/>
    <w:rsid w:val="00476EFA"/>
    <w:rsid w:val="00477CD5"/>
    <w:rsid w:val="00480207"/>
    <w:rsid w:val="00481A7A"/>
    <w:rsid w:val="0048249F"/>
    <w:rsid w:val="00482723"/>
    <w:rsid w:val="004827B3"/>
    <w:rsid w:val="00482853"/>
    <w:rsid w:val="00482B30"/>
    <w:rsid w:val="0048348A"/>
    <w:rsid w:val="00483BBA"/>
    <w:rsid w:val="00483FE8"/>
    <w:rsid w:val="00484698"/>
    <w:rsid w:val="004846A9"/>
    <w:rsid w:val="004849F3"/>
    <w:rsid w:val="00484CAB"/>
    <w:rsid w:val="00485629"/>
    <w:rsid w:val="00485D10"/>
    <w:rsid w:val="004865F2"/>
    <w:rsid w:val="0048671C"/>
    <w:rsid w:val="00486F6B"/>
    <w:rsid w:val="00487CB2"/>
    <w:rsid w:val="0049012B"/>
    <w:rsid w:val="00490570"/>
    <w:rsid w:val="004907A1"/>
    <w:rsid w:val="00490D0A"/>
    <w:rsid w:val="0049182D"/>
    <w:rsid w:val="00493069"/>
    <w:rsid w:val="004933DA"/>
    <w:rsid w:val="0049364C"/>
    <w:rsid w:val="00493759"/>
    <w:rsid w:val="00493DDC"/>
    <w:rsid w:val="00494656"/>
    <w:rsid w:val="004948D3"/>
    <w:rsid w:val="00494AFC"/>
    <w:rsid w:val="00495786"/>
    <w:rsid w:val="004963F5"/>
    <w:rsid w:val="00497132"/>
    <w:rsid w:val="0049785C"/>
    <w:rsid w:val="00497986"/>
    <w:rsid w:val="004A0367"/>
    <w:rsid w:val="004A0483"/>
    <w:rsid w:val="004A101B"/>
    <w:rsid w:val="004A153A"/>
    <w:rsid w:val="004A19CE"/>
    <w:rsid w:val="004A24CB"/>
    <w:rsid w:val="004A2D27"/>
    <w:rsid w:val="004A3258"/>
    <w:rsid w:val="004A38E9"/>
    <w:rsid w:val="004A559C"/>
    <w:rsid w:val="004A588B"/>
    <w:rsid w:val="004A5CD9"/>
    <w:rsid w:val="004A6F2F"/>
    <w:rsid w:val="004A7186"/>
    <w:rsid w:val="004A7BE2"/>
    <w:rsid w:val="004B13AB"/>
    <w:rsid w:val="004B16CE"/>
    <w:rsid w:val="004B20C7"/>
    <w:rsid w:val="004B37ED"/>
    <w:rsid w:val="004B388E"/>
    <w:rsid w:val="004B3A0B"/>
    <w:rsid w:val="004B3B8E"/>
    <w:rsid w:val="004B5C50"/>
    <w:rsid w:val="004B5CC3"/>
    <w:rsid w:val="004B65EB"/>
    <w:rsid w:val="004B67FB"/>
    <w:rsid w:val="004B6B20"/>
    <w:rsid w:val="004B78BE"/>
    <w:rsid w:val="004B7DBB"/>
    <w:rsid w:val="004B7F4C"/>
    <w:rsid w:val="004C0017"/>
    <w:rsid w:val="004C04ED"/>
    <w:rsid w:val="004C1295"/>
    <w:rsid w:val="004C145F"/>
    <w:rsid w:val="004C2580"/>
    <w:rsid w:val="004C2ED6"/>
    <w:rsid w:val="004C3D5E"/>
    <w:rsid w:val="004C3F99"/>
    <w:rsid w:val="004C448B"/>
    <w:rsid w:val="004C4735"/>
    <w:rsid w:val="004C5AA9"/>
    <w:rsid w:val="004C7524"/>
    <w:rsid w:val="004D02CA"/>
    <w:rsid w:val="004D05D4"/>
    <w:rsid w:val="004D05E3"/>
    <w:rsid w:val="004D1832"/>
    <w:rsid w:val="004D1CAF"/>
    <w:rsid w:val="004D2708"/>
    <w:rsid w:val="004D3F6C"/>
    <w:rsid w:val="004D6EA2"/>
    <w:rsid w:val="004D6EAF"/>
    <w:rsid w:val="004D7DA6"/>
    <w:rsid w:val="004E0EFB"/>
    <w:rsid w:val="004E11DA"/>
    <w:rsid w:val="004E1C4D"/>
    <w:rsid w:val="004E2324"/>
    <w:rsid w:val="004E2495"/>
    <w:rsid w:val="004E2883"/>
    <w:rsid w:val="004E2CB9"/>
    <w:rsid w:val="004E41CA"/>
    <w:rsid w:val="004E4405"/>
    <w:rsid w:val="004E49B7"/>
    <w:rsid w:val="004E4FA5"/>
    <w:rsid w:val="004E521F"/>
    <w:rsid w:val="004E547F"/>
    <w:rsid w:val="004E597F"/>
    <w:rsid w:val="004E61F2"/>
    <w:rsid w:val="004E69D3"/>
    <w:rsid w:val="004E6C9D"/>
    <w:rsid w:val="004E7B64"/>
    <w:rsid w:val="004E7E1D"/>
    <w:rsid w:val="004F0667"/>
    <w:rsid w:val="004F1C8A"/>
    <w:rsid w:val="004F20F5"/>
    <w:rsid w:val="004F2174"/>
    <w:rsid w:val="004F263A"/>
    <w:rsid w:val="004F3053"/>
    <w:rsid w:val="004F4F6C"/>
    <w:rsid w:val="004F50BB"/>
    <w:rsid w:val="004F547C"/>
    <w:rsid w:val="004F5573"/>
    <w:rsid w:val="004F5FD2"/>
    <w:rsid w:val="004F67D3"/>
    <w:rsid w:val="004F6862"/>
    <w:rsid w:val="004F6B65"/>
    <w:rsid w:val="004F742B"/>
    <w:rsid w:val="004F7CE4"/>
    <w:rsid w:val="004F7DFB"/>
    <w:rsid w:val="004F7FF6"/>
    <w:rsid w:val="00500458"/>
    <w:rsid w:val="00500B0F"/>
    <w:rsid w:val="00500D38"/>
    <w:rsid w:val="005011E2"/>
    <w:rsid w:val="00502057"/>
    <w:rsid w:val="00502135"/>
    <w:rsid w:val="00502AC9"/>
    <w:rsid w:val="00502E3F"/>
    <w:rsid w:val="0050319C"/>
    <w:rsid w:val="00503A1D"/>
    <w:rsid w:val="00504546"/>
    <w:rsid w:val="0050630F"/>
    <w:rsid w:val="00506416"/>
    <w:rsid w:val="00506D7F"/>
    <w:rsid w:val="0050759A"/>
    <w:rsid w:val="00507796"/>
    <w:rsid w:val="00507E4D"/>
    <w:rsid w:val="00510FC3"/>
    <w:rsid w:val="0051199B"/>
    <w:rsid w:val="00511CBC"/>
    <w:rsid w:val="0051259C"/>
    <w:rsid w:val="00513D2A"/>
    <w:rsid w:val="00513E53"/>
    <w:rsid w:val="005142F9"/>
    <w:rsid w:val="00514884"/>
    <w:rsid w:val="00514E97"/>
    <w:rsid w:val="0051548C"/>
    <w:rsid w:val="00515E15"/>
    <w:rsid w:val="00515E22"/>
    <w:rsid w:val="00515F49"/>
    <w:rsid w:val="0051618F"/>
    <w:rsid w:val="005179EB"/>
    <w:rsid w:val="00520346"/>
    <w:rsid w:val="0052153C"/>
    <w:rsid w:val="00522047"/>
    <w:rsid w:val="00523711"/>
    <w:rsid w:val="00523819"/>
    <w:rsid w:val="005239C7"/>
    <w:rsid w:val="00523E16"/>
    <w:rsid w:val="00524291"/>
    <w:rsid w:val="00524444"/>
    <w:rsid w:val="005244A0"/>
    <w:rsid w:val="00524B80"/>
    <w:rsid w:val="00524FAB"/>
    <w:rsid w:val="005264BE"/>
    <w:rsid w:val="00526B48"/>
    <w:rsid w:val="00526D19"/>
    <w:rsid w:val="00526F1D"/>
    <w:rsid w:val="005274F2"/>
    <w:rsid w:val="005275E6"/>
    <w:rsid w:val="00530708"/>
    <w:rsid w:val="00531CE4"/>
    <w:rsid w:val="005324B5"/>
    <w:rsid w:val="00532E08"/>
    <w:rsid w:val="00533AB0"/>
    <w:rsid w:val="00534004"/>
    <w:rsid w:val="00534239"/>
    <w:rsid w:val="005343BA"/>
    <w:rsid w:val="00536241"/>
    <w:rsid w:val="005368DB"/>
    <w:rsid w:val="00536A3B"/>
    <w:rsid w:val="005373F1"/>
    <w:rsid w:val="0054027D"/>
    <w:rsid w:val="005402DC"/>
    <w:rsid w:val="00540358"/>
    <w:rsid w:val="00540A32"/>
    <w:rsid w:val="00541276"/>
    <w:rsid w:val="00541D8C"/>
    <w:rsid w:val="005421E2"/>
    <w:rsid w:val="00542D2A"/>
    <w:rsid w:val="005438C0"/>
    <w:rsid w:val="005439EB"/>
    <w:rsid w:val="0054412E"/>
    <w:rsid w:val="005442A9"/>
    <w:rsid w:val="005443A4"/>
    <w:rsid w:val="00544C12"/>
    <w:rsid w:val="00545B4E"/>
    <w:rsid w:val="00545CC6"/>
    <w:rsid w:val="00546614"/>
    <w:rsid w:val="005467BD"/>
    <w:rsid w:val="005470A6"/>
    <w:rsid w:val="00547273"/>
    <w:rsid w:val="005474E1"/>
    <w:rsid w:val="0054753C"/>
    <w:rsid w:val="0055088D"/>
    <w:rsid w:val="00550ADD"/>
    <w:rsid w:val="00551543"/>
    <w:rsid w:val="00552B2F"/>
    <w:rsid w:val="00552B71"/>
    <w:rsid w:val="00554A1C"/>
    <w:rsid w:val="005551BE"/>
    <w:rsid w:val="0055603E"/>
    <w:rsid w:val="005572E5"/>
    <w:rsid w:val="00557377"/>
    <w:rsid w:val="005576B8"/>
    <w:rsid w:val="00557F03"/>
    <w:rsid w:val="0056095B"/>
    <w:rsid w:val="0056120D"/>
    <w:rsid w:val="005619BF"/>
    <w:rsid w:val="00561DC8"/>
    <w:rsid w:val="00562258"/>
    <w:rsid w:val="005632EE"/>
    <w:rsid w:val="00563573"/>
    <w:rsid w:val="00564F47"/>
    <w:rsid w:val="00565040"/>
    <w:rsid w:val="00565285"/>
    <w:rsid w:val="005663A1"/>
    <w:rsid w:val="00567018"/>
    <w:rsid w:val="00567E72"/>
    <w:rsid w:val="00570712"/>
    <w:rsid w:val="00570AD1"/>
    <w:rsid w:val="00570B3E"/>
    <w:rsid w:val="005719C5"/>
    <w:rsid w:val="00571E14"/>
    <w:rsid w:val="005725FA"/>
    <w:rsid w:val="00572E83"/>
    <w:rsid w:val="00573048"/>
    <w:rsid w:val="005733EC"/>
    <w:rsid w:val="0057362B"/>
    <w:rsid w:val="00573637"/>
    <w:rsid w:val="0057365D"/>
    <w:rsid w:val="005737F5"/>
    <w:rsid w:val="00573F30"/>
    <w:rsid w:val="00574476"/>
    <w:rsid w:val="005744A2"/>
    <w:rsid w:val="0057470F"/>
    <w:rsid w:val="005749C7"/>
    <w:rsid w:val="00575847"/>
    <w:rsid w:val="005762B0"/>
    <w:rsid w:val="0057699E"/>
    <w:rsid w:val="00577C0F"/>
    <w:rsid w:val="00580E1D"/>
    <w:rsid w:val="00580ED2"/>
    <w:rsid w:val="00581125"/>
    <w:rsid w:val="00582351"/>
    <w:rsid w:val="00582F6A"/>
    <w:rsid w:val="005836CA"/>
    <w:rsid w:val="00583CB5"/>
    <w:rsid w:val="00583DDA"/>
    <w:rsid w:val="00583F73"/>
    <w:rsid w:val="00584D71"/>
    <w:rsid w:val="00585955"/>
    <w:rsid w:val="005859CC"/>
    <w:rsid w:val="0058677E"/>
    <w:rsid w:val="00586D36"/>
    <w:rsid w:val="00587761"/>
    <w:rsid w:val="00587A48"/>
    <w:rsid w:val="00587D95"/>
    <w:rsid w:val="00587DA5"/>
    <w:rsid w:val="00587F4B"/>
    <w:rsid w:val="00590FB3"/>
    <w:rsid w:val="00591405"/>
    <w:rsid w:val="00591944"/>
    <w:rsid w:val="00591B6C"/>
    <w:rsid w:val="00591E30"/>
    <w:rsid w:val="005925BA"/>
    <w:rsid w:val="00592B19"/>
    <w:rsid w:val="005933F9"/>
    <w:rsid w:val="005942C3"/>
    <w:rsid w:val="00594393"/>
    <w:rsid w:val="00594DE6"/>
    <w:rsid w:val="005951C3"/>
    <w:rsid w:val="005956DE"/>
    <w:rsid w:val="00595846"/>
    <w:rsid w:val="005959B2"/>
    <w:rsid w:val="005960A5"/>
    <w:rsid w:val="00596117"/>
    <w:rsid w:val="00596954"/>
    <w:rsid w:val="00596CFD"/>
    <w:rsid w:val="0059703C"/>
    <w:rsid w:val="00597360"/>
    <w:rsid w:val="005974B9"/>
    <w:rsid w:val="00597786"/>
    <w:rsid w:val="00597EBE"/>
    <w:rsid w:val="00597EEB"/>
    <w:rsid w:val="005A040B"/>
    <w:rsid w:val="005A16FF"/>
    <w:rsid w:val="005A2475"/>
    <w:rsid w:val="005A294A"/>
    <w:rsid w:val="005A3117"/>
    <w:rsid w:val="005A3994"/>
    <w:rsid w:val="005A47D9"/>
    <w:rsid w:val="005A524F"/>
    <w:rsid w:val="005A52B1"/>
    <w:rsid w:val="005A52E4"/>
    <w:rsid w:val="005A55FE"/>
    <w:rsid w:val="005A74AD"/>
    <w:rsid w:val="005A74D2"/>
    <w:rsid w:val="005A7552"/>
    <w:rsid w:val="005B00A9"/>
    <w:rsid w:val="005B1853"/>
    <w:rsid w:val="005B22F8"/>
    <w:rsid w:val="005B2842"/>
    <w:rsid w:val="005B3A07"/>
    <w:rsid w:val="005B48D4"/>
    <w:rsid w:val="005B4E34"/>
    <w:rsid w:val="005B55B9"/>
    <w:rsid w:val="005B5BEC"/>
    <w:rsid w:val="005B6DB2"/>
    <w:rsid w:val="005B71C9"/>
    <w:rsid w:val="005B782B"/>
    <w:rsid w:val="005C01C0"/>
    <w:rsid w:val="005C0D8F"/>
    <w:rsid w:val="005C1637"/>
    <w:rsid w:val="005C44AB"/>
    <w:rsid w:val="005C49A0"/>
    <w:rsid w:val="005C4C8A"/>
    <w:rsid w:val="005C55D6"/>
    <w:rsid w:val="005C5E15"/>
    <w:rsid w:val="005C6081"/>
    <w:rsid w:val="005C6934"/>
    <w:rsid w:val="005C69F8"/>
    <w:rsid w:val="005C71B2"/>
    <w:rsid w:val="005C766A"/>
    <w:rsid w:val="005D035D"/>
    <w:rsid w:val="005D1194"/>
    <w:rsid w:val="005D14B6"/>
    <w:rsid w:val="005D1653"/>
    <w:rsid w:val="005D1878"/>
    <w:rsid w:val="005D2528"/>
    <w:rsid w:val="005D2FAA"/>
    <w:rsid w:val="005D3489"/>
    <w:rsid w:val="005D36DD"/>
    <w:rsid w:val="005D3A44"/>
    <w:rsid w:val="005D3B31"/>
    <w:rsid w:val="005D3C44"/>
    <w:rsid w:val="005D415D"/>
    <w:rsid w:val="005D4448"/>
    <w:rsid w:val="005D479B"/>
    <w:rsid w:val="005D4802"/>
    <w:rsid w:val="005D4BDE"/>
    <w:rsid w:val="005D550F"/>
    <w:rsid w:val="005D5E2F"/>
    <w:rsid w:val="005D5FCD"/>
    <w:rsid w:val="005D64EA"/>
    <w:rsid w:val="005D67D3"/>
    <w:rsid w:val="005D6F5B"/>
    <w:rsid w:val="005D7077"/>
    <w:rsid w:val="005D71C4"/>
    <w:rsid w:val="005D74B4"/>
    <w:rsid w:val="005D78B1"/>
    <w:rsid w:val="005D7BD3"/>
    <w:rsid w:val="005D7E02"/>
    <w:rsid w:val="005E0481"/>
    <w:rsid w:val="005E0492"/>
    <w:rsid w:val="005E0D16"/>
    <w:rsid w:val="005E11CC"/>
    <w:rsid w:val="005E151E"/>
    <w:rsid w:val="005E2540"/>
    <w:rsid w:val="005E2A2E"/>
    <w:rsid w:val="005E33E9"/>
    <w:rsid w:val="005E3649"/>
    <w:rsid w:val="005E38C5"/>
    <w:rsid w:val="005E3AAB"/>
    <w:rsid w:val="005E3FD2"/>
    <w:rsid w:val="005E4586"/>
    <w:rsid w:val="005E4824"/>
    <w:rsid w:val="005E4D35"/>
    <w:rsid w:val="005E6C12"/>
    <w:rsid w:val="005E6C65"/>
    <w:rsid w:val="005E71CA"/>
    <w:rsid w:val="005E71F4"/>
    <w:rsid w:val="005E75FE"/>
    <w:rsid w:val="005E78B3"/>
    <w:rsid w:val="005F14C6"/>
    <w:rsid w:val="005F1A0B"/>
    <w:rsid w:val="005F251B"/>
    <w:rsid w:val="005F2E9A"/>
    <w:rsid w:val="005F3348"/>
    <w:rsid w:val="005F4649"/>
    <w:rsid w:val="005F59A7"/>
    <w:rsid w:val="005F6218"/>
    <w:rsid w:val="005F636B"/>
    <w:rsid w:val="005F72DC"/>
    <w:rsid w:val="00600FED"/>
    <w:rsid w:val="00602791"/>
    <w:rsid w:val="00602CED"/>
    <w:rsid w:val="00602DA9"/>
    <w:rsid w:val="00602EE4"/>
    <w:rsid w:val="00603071"/>
    <w:rsid w:val="0060314B"/>
    <w:rsid w:val="006037DF"/>
    <w:rsid w:val="00603815"/>
    <w:rsid w:val="00603F60"/>
    <w:rsid w:val="00604492"/>
    <w:rsid w:val="0060470E"/>
    <w:rsid w:val="0060475C"/>
    <w:rsid w:val="00604D8D"/>
    <w:rsid w:val="00605943"/>
    <w:rsid w:val="0060635D"/>
    <w:rsid w:val="00606C8B"/>
    <w:rsid w:val="00606D25"/>
    <w:rsid w:val="00606E34"/>
    <w:rsid w:val="00607730"/>
    <w:rsid w:val="006115F0"/>
    <w:rsid w:val="0061227F"/>
    <w:rsid w:val="0061287F"/>
    <w:rsid w:val="0061307E"/>
    <w:rsid w:val="00613485"/>
    <w:rsid w:val="00614497"/>
    <w:rsid w:val="00614D27"/>
    <w:rsid w:val="00615265"/>
    <w:rsid w:val="00615299"/>
    <w:rsid w:val="00615991"/>
    <w:rsid w:val="00615C79"/>
    <w:rsid w:val="006170A4"/>
    <w:rsid w:val="006174FB"/>
    <w:rsid w:val="00617E4D"/>
    <w:rsid w:val="00620708"/>
    <w:rsid w:val="006208CB"/>
    <w:rsid w:val="00620997"/>
    <w:rsid w:val="00620DE5"/>
    <w:rsid w:val="0062134B"/>
    <w:rsid w:val="006213A9"/>
    <w:rsid w:val="006217DB"/>
    <w:rsid w:val="00621D0D"/>
    <w:rsid w:val="00621D10"/>
    <w:rsid w:val="00621F55"/>
    <w:rsid w:val="006229A9"/>
    <w:rsid w:val="006229BF"/>
    <w:rsid w:val="0062335F"/>
    <w:rsid w:val="006234F3"/>
    <w:rsid w:val="00623551"/>
    <w:rsid w:val="00623BEE"/>
    <w:rsid w:val="00624401"/>
    <w:rsid w:val="00624600"/>
    <w:rsid w:val="00624634"/>
    <w:rsid w:val="00624670"/>
    <w:rsid w:val="00625052"/>
    <w:rsid w:val="0062547E"/>
    <w:rsid w:val="006257C1"/>
    <w:rsid w:val="00625975"/>
    <w:rsid w:val="006259AA"/>
    <w:rsid w:val="00625BF8"/>
    <w:rsid w:val="00625F14"/>
    <w:rsid w:val="00625F7D"/>
    <w:rsid w:val="0062683B"/>
    <w:rsid w:val="00626CA3"/>
    <w:rsid w:val="00626D6A"/>
    <w:rsid w:val="00626F67"/>
    <w:rsid w:val="00627B64"/>
    <w:rsid w:val="00630ECC"/>
    <w:rsid w:val="00631004"/>
    <w:rsid w:val="00632184"/>
    <w:rsid w:val="0063276D"/>
    <w:rsid w:val="00633713"/>
    <w:rsid w:val="00634F3C"/>
    <w:rsid w:val="0063533B"/>
    <w:rsid w:val="006356B0"/>
    <w:rsid w:val="0063629D"/>
    <w:rsid w:val="0063679D"/>
    <w:rsid w:val="00636971"/>
    <w:rsid w:val="00637716"/>
    <w:rsid w:val="00637F0D"/>
    <w:rsid w:val="00640493"/>
    <w:rsid w:val="00640BFB"/>
    <w:rsid w:val="0064109C"/>
    <w:rsid w:val="00642858"/>
    <w:rsid w:val="00642C9C"/>
    <w:rsid w:val="00642D13"/>
    <w:rsid w:val="00642F6B"/>
    <w:rsid w:val="00644128"/>
    <w:rsid w:val="006443C9"/>
    <w:rsid w:val="00644D8B"/>
    <w:rsid w:val="00644EBB"/>
    <w:rsid w:val="00644ECE"/>
    <w:rsid w:val="00646A7C"/>
    <w:rsid w:val="00646BF6"/>
    <w:rsid w:val="00646FC2"/>
    <w:rsid w:val="00647080"/>
    <w:rsid w:val="0065075F"/>
    <w:rsid w:val="0065156C"/>
    <w:rsid w:val="00651E1A"/>
    <w:rsid w:val="006528BC"/>
    <w:rsid w:val="0065318B"/>
    <w:rsid w:val="006531EA"/>
    <w:rsid w:val="00654057"/>
    <w:rsid w:val="00654660"/>
    <w:rsid w:val="00654DD7"/>
    <w:rsid w:val="0065538F"/>
    <w:rsid w:val="006553CA"/>
    <w:rsid w:val="00655597"/>
    <w:rsid w:val="00655942"/>
    <w:rsid w:val="006565C4"/>
    <w:rsid w:val="006571C5"/>
    <w:rsid w:val="00660590"/>
    <w:rsid w:val="006625D5"/>
    <w:rsid w:val="0066310E"/>
    <w:rsid w:val="00664E01"/>
    <w:rsid w:val="00665BEE"/>
    <w:rsid w:val="00665EB2"/>
    <w:rsid w:val="006662EA"/>
    <w:rsid w:val="006666D6"/>
    <w:rsid w:val="0066730D"/>
    <w:rsid w:val="00667486"/>
    <w:rsid w:val="00667930"/>
    <w:rsid w:val="00667E65"/>
    <w:rsid w:val="00670E7D"/>
    <w:rsid w:val="00671115"/>
    <w:rsid w:val="00671246"/>
    <w:rsid w:val="0067175B"/>
    <w:rsid w:val="00671C49"/>
    <w:rsid w:val="006731F0"/>
    <w:rsid w:val="0067389B"/>
    <w:rsid w:val="00673A36"/>
    <w:rsid w:val="00673B39"/>
    <w:rsid w:val="006741C7"/>
    <w:rsid w:val="00674A52"/>
    <w:rsid w:val="00674DA1"/>
    <w:rsid w:val="00674FE1"/>
    <w:rsid w:val="00675B69"/>
    <w:rsid w:val="00676207"/>
    <w:rsid w:val="006765CC"/>
    <w:rsid w:val="00676B01"/>
    <w:rsid w:val="00676DB2"/>
    <w:rsid w:val="00676E15"/>
    <w:rsid w:val="006779E8"/>
    <w:rsid w:val="00677AE1"/>
    <w:rsid w:val="006802BB"/>
    <w:rsid w:val="006803DF"/>
    <w:rsid w:val="00680C6F"/>
    <w:rsid w:val="006811E0"/>
    <w:rsid w:val="00681A7B"/>
    <w:rsid w:val="00681B83"/>
    <w:rsid w:val="00681EC7"/>
    <w:rsid w:val="00682D8D"/>
    <w:rsid w:val="00683F9D"/>
    <w:rsid w:val="006843A4"/>
    <w:rsid w:val="00684412"/>
    <w:rsid w:val="0068543F"/>
    <w:rsid w:val="0068562B"/>
    <w:rsid w:val="00685E13"/>
    <w:rsid w:val="00686DD8"/>
    <w:rsid w:val="006873B7"/>
    <w:rsid w:val="00687434"/>
    <w:rsid w:val="0068743D"/>
    <w:rsid w:val="00690591"/>
    <w:rsid w:val="00691630"/>
    <w:rsid w:val="0069192C"/>
    <w:rsid w:val="00692A31"/>
    <w:rsid w:val="00692D3C"/>
    <w:rsid w:val="00692EC1"/>
    <w:rsid w:val="00694295"/>
    <w:rsid w:val="00694DB6"/>
    <w:rsid w:val="00695FC9"/>
    <w:rsid w:val="006966C7"/>
    <w:rsid w:val="00697774"/>
    <w:rsid w:val="00697F4D"/>
    <w:rsid w:val="00697F64"/>
    <w:rsid w:val="006A016C"/>
    <w:rsid w:val="006A01FC"/>
    <w:rsid w:val="006A0BE3"/>
    <w:rsid w:val="006A1EAF"/>
    <w:rsid w:val="006A372A"/>
    <w:rsid w:val="006A3D8A"/>
    <w:rsid w:val="006A4D4C"/>
    <w:rsid w:val="006A4E68"/>
    <w:rsid w:val="006A5AFF"/>
    <w:rsid w:val="006A5BE0"/>
    <w:rsid w:val="006A5F50"/>
    <w:rsid w:val="006A5F51"/>
    <w:rsid w:val="006A697D"/>
    <w:rsid w:val="006B0031"/>
    <w:rsid w:val="006B073D"/>
    <w:rsid w:val="006B0F77"/>
    <w:rsid w:val="006B1389"/>
    <w:rsid w:val="006B1CC8"/>
    <w:rsid w:val="006B1F3D"/>
    <w:rsid w:val="006B23A4"/>
    <w:rsid w:val="006B28C3"/>
    <w:rsid w:val="006B3B85"/>
    <w:rsid w:val="006B4FB1"/>
    <w:rsid w:val="006B5171"/>
    <w:rsid w:val="006B5FBA"/>
    <w:rsid w:val="006B601D"/>
    <w:rsid w:val="006B6E76"/>
    <w:rsid w:val="006B7D26"/>
    <w:rsid w:val="006B7D5E"/>
    <w:rsid w:val="006C0198"/>
    <w:rsid w:val="006C0291"/>
    <w:rsid w:val="006C03EA"/>
    <w:rsid w:val="006C04EF"/>
    <w:rsid w:val="006C0AC8"/>
    <w:rsid w:val="006C0BCB"/>
    <w:rsid w:val="006C0C92"/>
    <w:rsid w:val="006C0F57"/>
    <w:rsid w:val="006C0FE0"/>
    <w:rsid w:val="006C1801"/>
    <w:rsid w:val="006C1804"/>
    <w:rsid w:val="006C1E19"/>
    <w:rsid w:val="006C213C"/>
    <w:rsid w:val="006C2176"/>
    <w:rsid w:val="006C2357"/>
    <w:rsid w:val="006C285F"/>
    <w:rsid w:val="006C357A"/>
    <w:rsid w:val="006C3752"/>
    <w:rsid w:val="006C39B7"/>
    <w:rsid w:val="006C3B55"/>
    <w:rsid w:val="006C4673"/>
    <w:rsid w:val="006C4E6F"/>
    <w:rsid w:val="006C5046"/>
    <w:rsid w:val="006C5C90"/>
    <w:rsid w:val="006C649A"/>
    <w:rsid w:val="006C6BF6"/>
    <w:rsid w:val="006C7201"/>
    <w:rsid w:val="006C7D23"/>
    <w:rsid w:val="006D0619"/>
    <w:rsid w:val="006D1219"/>
    <w:rsid w:val="006D166E"/>
    <w:rsid w:val="006D1EAA"/>
    <w:rsid w:val="006D2195"/>
    <w:rsid w:val="006D2484"/>
    <w:rsid w:val="006D3450"/>
    <w:rsid w:val="006D37FC"/>
    <w:rsid w:val="006D38A5"/>
    <w:rsid w:val="006D3903"/>
    <w:rsid w:val="006D4E16"/>
    <w:rsid w:val="006D5D29"/>
    <w:rsid w:val="006D62D6"/>
    <w:rsid w:val="006D67FB"/>
    <w:rsid w:val="006D79EC"/>
    <w:rsid w:val="006D7C6A"/>
    <w:rsid w:val="006E0367"/>
    <w:rsid w:val="006E03C6"/>
    <w:rsid w:val="006E0700"/>
    <w:rsid w:val="006E0D69"/>
    <w:rsid w:val="006E0F5A"/>
    <w:rsid w:val="006E1148"/>
    <w:rsid w:val="006E1D96"/>
    <w:rsid w:val="006E1DAD"/>
    <w:rsid w:val="006E2B43"/>
    <w:rsid w:val="006E31DA"/>
    <w:rsid w:val="006E4857"/>
    <w:rsid w:val="006E4E31"/>
    <w:rsid w:val="006E51DC"/>
    <w:rsid w:val="006E60A5"/>
    <w:rsid w:val="006E66E6"/>
    <w:rsid w:val="006E6E8A"/>
    <w:rsid w:val="006E7059"/>
    <w:rsid w:val="006E7759"/>
    <w:rsid w:val="006F06D1"/>
    <w:rsid w:val="006F0796"/>
    <w:rsid w:val="006F09AC"/>
    <w:rsid w:val="006F16FD"/>
    <w:rsid w:val="006F1903"/>
    <w:rsid w:val="006F1A13"/>
    <w:rsid w:val="006F1A8E"/>
    <w:rsid w:val="006F1BC2"/>
    <w:rsid w:val="006F1CA6"/>
    <w:rsid w:val="006F2280"/>
    <w:rsid w:val="006F2D1B"/>
    <w:rsid w:val="006F393A"/>
    <w:rsid w:val="006F4524"/>
    <w:rsid w:val="006F4DDA"/>
    <w:rsid w:val="006F5231"/>
    <w:rsid w:val="006F6573"/>
    <w:rsid w:val="006F7F20"/>
    <w:rsid w:val="00700145"/>
    <w:rsid w:val="00700695"/>
    <w:rsid w:val="00700BB8"/>
    <w:rsid w:val="00700CB4"/>
    <w:rsid w:val="00700CFE"/>
    <w:rsid w:val="00701BEC"/>
    <w:rsid w:val="00702AF5"/>
    <w:rsid w:val="00702B02"/>
    <w:rsid w:val="00702CEC"/>
    <w:rsid w:val="0070381B"/>
    <w:rsid w:val="00703FB4"/>
    <w:rsid w:val="00704448"/>
    <w:rsid w:val="007045B8"/>
    <w:rsid w:val="0070547C"/>
    <w:rsid w:val="007059BE"/>
    <w:rsid w:val="00705B72"/>
    <w:rsid w:val="007068C9"/>
    <w:rsid w:val="00707709"/>
    <w:rsid w:val="0071047C"/>
    <w:rsid w:val="007104F7"/>
    <w:rsid w:val="007109C4"/>
    <w:rsid w:val="00710CD3"/>
    <w:rsid w:val="0071183B"/>
    <w:rsid w:val="0071185A"/>
    <w:rsid w:val="00712698"/>
    <w:rsid w:val="0071285C"/>
    <w:rsid w:val="007128FE"/>
    <w:rsid w:val="00713806"/>
    <w:rsid w:val="0071382A"/>
    <w:rsid w:val="0071547E"/>
    <w:rsid w:val="007162B6"/>
    <w:rsid w:val="00717228"/>
    <w:rsid w:val="00720F88"/>
    <w:rsid w:val="007211A8"/>
    <w:rsid w:val="007214B3"/>
    <w:rsid w:val="00721B3B"/>
    <w:rsid w:val="00721D76"/>
    <w:rsid w:val="00722070"/>
    <w:rsid w:val="007227EA"/>
    <w:rsid w:val="00723934"/>
    <w:rsid w:val="0072478C"/>
    <w:rsid w:val="007249CB"/>
    <w:rsid w:val="00725B6F"/>
    <w:rsid w:val="00725FBD"/>
    <w:rsid w:val="007265A5"/>
    <w:rsid w:val="00726652"/>
    <w:rsid w:val="007268C3"/>
    <w:rsid w:val="00727B0C"/>
    <w:rsid w:val="0073102B"/>
    <w:rsid w:val="00731524"/>
    <w:rsid w:val="0073190D"/>
    <w:rsid w:val="00732582"/>
    <w:rsid w:val="007330CC"/>
    <w:rsid w:val="00733884"/>
    <w:rsid w:val="0073418E"/>
    <w:rsid w:val="0073463C"/>
    <w:rsid w:val="00734B58"/>
    <w:rsid w:val="00734DE8"/>
    <w:rsid w:val="00735989"/>
    <w:rsid w:val="00735BDC"/>
    <w:rsid w:val="00735EBF"/>
    <w:rsid w:val="00736B34"/>
    <w:rsid w:val="00736BBB"/>
    <w:rsid w:val="007373BF"/>
    <w:rsid w:val="0073764F"/>
    <w:rsid w:val="007379ED"/>
    <w:rsid w:val="00737A04"/>
    <w:rsid w:val="00737B7E"/>
    <w:rsid w:val="00737C25"/>
    <w:rsid w:val="00740B9D"/>
    <w:rsid w:val="00740F15"/>
    <w:rsid w:val="0074153E"/>
    <w:rsid w:val="007426A5"/>
    <w:rsid w:val="00742D73"/>
    <w:rsid w:val="007432F9"/>
    <w:rsid w:val="00743A12"/>
    <w:rsid w:val="00743D09"/>
    <w:rsid w:val="00745E1A"/>
    <w:rsid w:val="00746177"/>
    <w:rsid w:val="007465CF"/>
    <w:rsid w:val="00746C61"/>
    <w:rsid w:val="00747037"/>
    <w:rsid w:val="00747B21"/>
    <w:rsid w:val="007501E7"/>
    <w:rsid w:val="00750A11"/>
    <w:rsid w:val="00751C4E"/>
    <w:rsid w:val="00751EEE"/>
    <w:rsid w:val="007530EE"/>
    <w:rsid w:val="00753A0A"/>
    <w:rsid w:val="00753A45"/>
    <w:rsid w:val="0075448D"/>
    <w:rsid w:val="00754D78"/>
    <w:rsid w:val="00755171"/>
    <w:rsid w:val="00755777"/>
    <w:rsid w:val="007558FD"/>
    <w:rsid w:val="00755AF8"/>
    <w:rsid w:val="00756824"/>
    <w:rsid w:val="00756A90"/>
    <w:rsid w:val="00757211"/>
    <w:rsid w:val="0075732A"/>
    <w:rsid w:val="007577D6"/>
    <w:rsid w:val="00760216"/>
    <w:rsid w:val="007604B3"/>
    <w:rsid w:val="00760CA7"/>
    <w:rsid w:val="00760CCC"/>
    <w:rsid w:val="00760E07"/>
    <w:rsid w:val="00761B05"/>
    <w:rsid w:val="00761FAD"/>
    <w:rsid w:val="007628CC"/>
    <w:rsid w:val="007637DB"/>
    <w:rsid w:val="007641EA"/>
    <w:rsid w:val="00764A3C"/>
    <w:rsid w:val="0076511F"/>
    <w:rsid w:val="00765F34"/>
    <w:rsid w:val="00766C52"/>
    <w:rsid w:val="0076703F"/>
    <w:rsid w:val="007676FB"/>
    <w:rsid w:val="00767714"/>
    <w:rsid w:val="00770A2E"/>
    <w:rsid w:val="00771958"/>
    <w:rsid w:val="0077229A"/>
    <w:rsid w:val="00772519"/>
    <w:rsid w:val="00772574"/>
    <w:rsid w:val="007741B3"/>
    <w:rsid w:val="007756A7"/>
    <w:rsid w:val="00775CE2"/>
    <w:rsid w:val="00777215"/>
    <w:rsid w:val="00777ACB"/>
    <w:rsid w:val="00780094"/>
    <w:rsid w:val="007802C7"/>
    <w:rsid w:val="00780545"/>
    <w:rsid w:val="007806F8"/>
    <w:rsid w:val="00780DF9"/>
    <w:rsid w:val="007814F1"/>
    <w:rsid w:val="0078166C"/>
    <w:rsid w:val="00781C73"/>
    <w:rsid w:val="00783A6D"/>
    <w:rsid w:val="0078565C"/>
    <w:rsid w:val="007858F0"/>
    <w:rsid w:val="00785A0A"/>
    <w:rsid w:val="00785E68"/>
    <w:rsid w:val="0078685C"/>
    <w:rsid w:val="00786E3E"/>
    <w:rsid w:val="00786F1E"/>
    <w:rsid w:val="007870D7"/>
    <w:rsid w:val="00787983"/>
    <w:rsid w:val="0079135D"/>
    <w:rsid w:val="0079155A"/>
    <w:rsid w:val="00791A0F"/>
    <w:rsid w:val="00792DAC"/>
    <w:rsid w:val="007939B6"/>
    <w:rsid w:val="00794095"/>
    <w:rsid w:val="00795D13"/>
    <w:rsid w:val="0079627C"/>
    <w:rsid w:val="007A042C"/>
    <w:rsid w:val="007A07AB"/>
    <w:rsid w:val="007A18F4"/>
    <w:rsid w:val="007A2DDA"/>
    <w:rsid w:val="007A33B5"/>
    <w:rsid w:val="007A4E2E"/>
    <w:rsid w:val="007A4FF1"/>
    <w:rsid w:val="007A5268"/>
    <w:rsid w:val="007A552E"/>
    <w:rsid w:val="007A55F1"/>
    <w:rsid w:val="007A5937"/>
    <w:rsid w:val="007A5DE3"/>
    <w:rsid w:val="007A65A6"/>
    <w:rsid w:val="007A7105"/>
    <w:rsid w:val="007A772C"/>
    <w:rsid w:val="007A7C9C"/>
    <w:rsid w:val="007B1F95"/>
    <w:rsid w:val="007B2B5B"/>
    <w:rsid w:val="007B2C46"/>
    <w:rsid w:val="007B2C93"/>
    <w:rsid w:val="007B3D2A"/>
    <w:rsid w:val="007B43F1"/>
    <w:rsid w:val="007B4A2F"/>
    <w:rsid w:val="007B4BE4"/>
    <w:rsid w:val="007B586A"/>
    <w:rsid w:val="007B5C37"/>
    <w:rsid w:val="007B5CD4"/>
    <w:rsid w:val="007B6149"/>
    <w:rsid w:val="007B667C"/>
    <w:rsid w:val="007B670F"/>
    <w:rsid w:val="007B6993"/>
    <w:rsid w:val="007B6A34"/>
    <w:rsid w:val="007B71D3"/>
    <w:rsid w:val="007B739D"/>
    <w:rsid w:val="007B750D"/>
    <w:rsid w:val="007B76E9"/>
    <w:rsid w:val="007B78CC"/>
    <w:rsid w:val="007B7AAA"/>
    <w:rsid w:val="007B7FE1"/>
    <w:rsid w:val="007C08F2"/>
    <w:rsid w:val="007C09A8"/>
    <w:rsid w:val="007C0C1D"/>
    <w:rsid w:val="007C0EDE"/>
    <w:rsid w:val="007C18E2"/>
    <w:rsid w:val="007C1EDB"/>
    <w:rsid w:val="007C2BEE"/>
    <w:rsid w:val="007C39A6"/>
    <w:rsid w:val="007C409B"/>
    <w:rsid w:val="007C50E2"/>
    <w:rsid w:val="007C51D0"/>
    <w:rsid w:val="007C5706"/>
    <w:rsid w:val="007C5EA5"/>
    <w:rsid w:val="007C6306"/>
    <w:rsid w:val="007C7824"/>
    <w:rsid w:val="007C78E2"/>
    <w:rsid w:val="007D08DA"/>
    <w:rsid w:val="007D0B3C"/>
    <w:rsid w:val="007D1EF3"/>
    <w:rsid w:val="007D1F41"/>
    <w:rsid w:val="007D224B"/>
    <w:rsid w:val="007D2383"/>
    <w:rsid w:val="007D2A3B"/>
    <w:rsid w:val="007D2A7B"/>
    <w:rsid w:val="007D3285"/>
    <w:rsid w:val="007D3DF8"/>
    <w:rsid w:val="007D4DD5"/>
    <w:rsid w:val="007D5247"/>
    <w:rsid w:val="007D543A"/>
    <w:rsid w:val="007D5505"/>
    <w:rsid w:val="007D5515"/>
    <w:rsid w:val="007D5D98"/>
    <w:rsid w:val="007D7563"/>
    <w:rsid w:val="007E06BD"/>
    <w:rsid w:val="007E22E0"/>
    <w:rsid w:val="007E2C54"/>
    <w:rsid w:val="007E3722"/>
    <w:rsid w:val="007E39A0"/>
    <w:rsid w:val="007E4939"/>
    <w:rsid w:val="007E5085"/>
    <w:rsid w:val="007E50AC"/>
    <w:rsid w:val="007E52BA"/>
    <w:rsid w:val="007E543E"/>
    <w:rsid w:val="007E56E4"/>
    <w:rsid w:val="007E5F02"/>
    <w:rsid w:val="007E60E7"/>
    <w:rsid w:val="007E615D"/>
    <w:rsid w:val="007E62DD"/>
    <w:rsid w:val="007E6A5D"/>
    <w:rsid w:val="007E6B44"/>
    <w:rsid w:val="007E6BBE"/>
    <w:rsid w:val="007E7825"/>
    <w:rsid w:val="007E7CC6"/>
    <w:rsid w:val="007E7E46"/>
    <w:rsid w:val="007E7EAE"/>
    <w:rsid w:val="007E7F0F"/>
    <w:rsid w:val="007F0007"/>
    <w:rsid w:val="007F005C"/>
    <w:rsid w:val="007F0070"/>
    <w:rsid w:val="007F0397"/>
    <w:rsid w:val="007F0B60"/>
    <w:rsid w:val="007F1652"/>
    <w:rsid w:val="007F1B69"/>
    <w:rsid w:val="007F1D29"/>
    <w:rsid w:val="007F1DCA"/>
    <w:rsid w:val="007F2EB0"/>
    <w:rsid w:val="007F3E62"/>
    <w:rsid w:val="007F52AD"/>
    <w:rsid w:val="007F58ED"/>
    <w:rsid w:val="007F5FAF"/>
    <w:rsid w:val="007F7095"/>
    <w:rsid w:val="007F7537"/>
    <w:rsid w:val="007F7AB9"/>
    <w:rsid w:val="007F7BC1"/>
    <w:rsid w:val="007F7EA2"/>
    <w:rsid w:val="008016B1"/>
    <w:rsid w:val="00801D44"/>
    <w:rsid w:val="008020F0"/>
    <w:rsid w:val="00802FBE"/>
    <w:rsid w:val="008045DD"/>
    <w:rsid w:val="00804825"/>
    <w:rsid w:val="00804D66"/>
    <w:rsid w:val="00805096"/>
    <w:rsid w:val="00805708"/>
    <w:rsid w:val="00805BC8"/>
    <w:rsid w:val="00807391"/>
    <w:rsid w:val="008078A5"/>
    <w:rsid w:val="008101E9"/>
    <w:rsid w:val="00810555"/>
    <w:rsid w:val="00811358"/>
    <w:rsid w:val="008114E8"/>
    <w:rsid w:val="00813FAD"/>
    <w:rsid w:val="0081456C"/>
    <w:rsid w:val="00815286"/>
    <w:rsid w:val="0081558C"/>
    <w:rsid w:val="00816494"/>
    <w:rsid w:val="00817D04"/>
    <w:rsid w:val="00817DEE"/>
    <w:rsid w:val="00820468"/>
    <w:rsid w:val="00820BB0"/>
    <w:rsid w:val="00820C74"/>
    <w:rsid w:val="00820D90"/>
    <w:rsid w:val="00821638"/>
    <w:rsid w:val="00821B1D"/>
    <w:rsid w:val="00821D93"/>
    <w:rsid w:val="008223E5"/>
    <w:rsid w:val="00822541"/>
    <w:rsid w:val="008232A9"/>
    <w:rsid w:val="00823756"/>
    <w:rsid w:val="0082485B"/>
    <w:rsid w:val="00824E14"/>
    <w:rsid w:val="00825D64"/>
    <w:rsid w:val="008269D6"/>
    <w:rsid w:val="00826FBF"/>
    <w:rsid w:val="0082794E"/>
    <w:rsid w:val="008303CD"/>
    <w:rsid w:val="00831601"/>
    <w:rsid w:val="0083201D"/>
    <w:rsid w:val="00833A8B"/>
    <w:rsid w:val="00833D5D"/>
    <w:rsid w:val="00834DDF"/>
    <w:rsid w:val="00835F1B"/>
    <w:rsid w:val="00836655"/>
    <w:rsid w:val="008375C3"/>
    <w:rsid w:val="008378E7"/>
    <w:rsid w:val="00837969"/>
    <w:rsid w:val="00837D46"/>
    <w:rsid w:val="00837D66"/>
    <w:rsid w:val="008401EA"/>
    <w:rsid w:val="00841EA4"/>
    <w:rsid w:val="008425CC"/>
    <w:rsid w:val="008430E3"/>
    <w:rsid w:val="008431F4"/>
    <w:rsid w:val="00843CFC"/>
    <w:rsid w:val="00844222"/>
    <w:rsid w:val="00844838"/>
    <w:rsid w:val="00845114"/>
    <w:rsid w:val="00845CBD"/>
    <w:rsid w:val="00845E68"/>
    <w:rsid w:val="00846687"/>
    <w:rsid w:val="00846C10"/>
    <w:rsid w:val="00846E2E"/>
    <w:rsid w:val="00850274"/>
    <w:rsid w:val="00850371"/>
    <w:rsid w:val="00850E0B"/>
    <w:rsid w:val="00852B32"/>
    <w:rsid w:val="00852E58"/>
    <w:rsid w:val="00853611"/>
    <w:rsid w:val="00854D1E"/>
    <w:rsid w:val="0085609A"/>
    <w:rsid w:val="008563A1"/>
    <w:rsid w:val="00856952"/>
    <w:rsid w:val="00857325"/>
    <w:rsid w:val="00857464"/>
    <w:rsid w:val="00857652"/>
    <w:rsid w:val="0085780D"/>
    <w:rsid w:val="0086044A"/>
    <w:rsid w:val="00860C89"/>
    <w:rsid w:val="00860DEA"/>
    <w:rsid w:val="00861F17"/>
    <w:rsid w:val="0086232E"/>
    <w:rsid w:val="00863E85"/>
    <w:rsid w:val="00863FAF"/>
    <w:rsid w:val="00864265"/>
    <w:rsid w:val="008648B5"/>
    <w:rsid w:val="00867264"/>
    <w:rsid w:val="00867668"/>
    <w:rsid w:val="008677D4"/>
    <w:rsid w:val="00867891"/>
    <w:rsid w:val="00870178"/>
    <w:rsid w:val="008701E8"/>
    <w:rsid w:val="0087026D"/>
    <w:rsid w:val="00870A4A"/>
    <w:rsid w:val="00870D41"/>
    <w:rsid w:val="00870F6D"/>
    <w:rsid w:val="0087131C"/>
    <w:rsid w:val="00871B34"/>
    <w:rsid w:val="00871E0A"/>
    <w:rsid w:val="008725CD"/>
    <w:rsid w:val="00872ACD"/>
    <w:rsid w:val="00872E1C"/>
    <w:rsid w:val="0087364E"/>
    <w:rsid w:val="0087382F"/>
    <w:rsid w:val="00874694"/>
    <w:rsid w:val="00874722"/>
    <w:rsid w:val="00874C94"/>
    <w:rsid w:val="00875DD2"/>
    <w:rsid w:val="008767EC"/>
    <w:rsid w:val="0087719A"/>
    <w:rsid w:val="008774A8"/>
    <w:rsid w:val="00877A83"/>
    <w:rsid w:val="00877D75"/>
    <w:rsid w:val="00881219"/>
    <w:rsid w:val="0088181A"/>
    <w:rsid w:val="00881A29"/>
    <w:rsid w:val="00882193"/>
    <w:rsid w:val="00883347"/>
    <w:rsid w:val="00883FDD"/>
    <w:rsid w:val="0088403F"/>
    <w:rsid w:val="00884051"/>
    <w:rsid w:val="0088426B"/>
    <w:rsid w:val="00884892"/>
    <w:rsid w:val="008848FB"/>
    <w:rsid w:val="00885718"/>
    <w:rsid w:val="008863F8"/>
    <w:rsid w:val="00886746"/>
    <w:rsid w:val="008870E0"/>
    <w:rsid w:val="008875EB"/>
    <w:rsid w:val="00887839"/>
    <w:rsid w:val="00890B01"/>
    <w:rsid w:val="00890EE7"/>
    <w:rsid w:val="00891133"/>
    <w:rsid w:val="008918D0"/>
    <w:rsid w:val="00892361"/>
    <w:rsid w:val="008923EC"/>
    <w:rsid w:val="008939F0"/>
    <w:rsid w:val="00893BDF"/>
    <w:rsid w:val="00894194"/>
    <w:rsid w:val="008941A3"/>
    <w:rsid w:val="008944EE"/>
    <w:rsid w:val="00894738"/>
    <w:rsid w:val="00895547"/>
    <w:rsid w:val="00895C4C"/>
    <w:rsid w:val="008966A5"/>
    <w:rsid w:val="008969C4"/>
    <w:rsid w:val="00896D15"/>
    <w:rsid w:val="00897464"/>
    <w:rsid w:val="008977BA"/>
    <w:rsid w:val="00897A90"/>
    <w:rsid w:val="00897DD1"/>
    <w:rsid w:val="00897E3C"/>
    <w:rsid w:val="008A0276"/>
    <w:rsid w:val="008A0364"/>
    <w:rsid w:val="008A0F0C"/>
    <w:rsid w:val="008A124E"/>
    <w:rsid w:val="008A2190"/>
    <w:rsid w:val="008A22F5"/>
    <w:rsid w:val="008A2644"/>
    <w:rsid w:val="008A2B2B"/>
    <w:rsid w:val="008A2FEA"/>
    <w:rsid w:val="008A35B2"/>
    <w:rsid w:val="008A3BD0"/>
    <w:rsid w:val="008A4894"/>
    <w:rsid w:val="008A48B3"/>
    <w:rsid w:val="008A4946"/>
    <w:rsid w:val="008A503A"/>
    <w:rsid w:val="008A5CD3"/>
    <w:rsid w:val="008A76D1"/>
    <w:rsid w:val="008B0471"/>
    <w:rsid w:val="008B05FF"/>
    <w:rsid w:val="008B0902"/>
    <w:rsid w:val="008B0E5A"/>
    <w:rsid w:val="008B12BA"/>
    <w:rsid w:val="008B1741"/>
    <w:rsid w:val="008B1C24"/>
    <w:rsid w:val="008B3342"/>
    <w:rsid w:val="008B3380"/>
    <w:rsid w:val="008B33E4"/>
    <w:rsid w:val="008B376F"/>
    <w:rsid w:val="008B3809"/>
    <w:rsid w:val="008B3FE9"/>
    <w:rsid w:val="008B46F9"/>
    <w:rsid w:val="008B486A"/>
    <w:rsid w:val="008B4B63"/>
    <w:rsid w:val="008B4C56"/>
    <w:rsid w:val="008B4FEB"/>
    <w:rsid w:val="008B5529"/>
    <w:rsid w:val="008B555D"/>
    <w:rsid w:val="008B6D27"/>
    <w:rsid w:val="008B7364"/>
    <w:rsid w:val="008B74BE"/>
    <w:rsid w:val="008C0D8B"/>
    <w:rsid w:val="008C13BD"/>
    <w:rsid w:val="008C1A10"/>
    <w:rsid w:val="008C221D"/>
    <w:rsid w:val="008C25ED"/>
    <w:rsid w:val="008C26D8"/>
    <w:rsid w:val="008C3167"/>
    <w:rsid w:val="008C3EF4"/>
    <w:rsid w:val="008C42C7"/>
    <w:rsid w:val="008C4D94"/>
    <w:rsid w:val="008C53BA"/>
    <w:rsid w:val="008C567F"/>
    <w:rsid w:val="008C5E3B"/>
    <w:rsid w:val="008C61AA"/>
    <w:rsid w:val="008C6743"/>
    <w:rsid w:val="008C72C0"/>
    <w:rsid w:val="008C7A0E"/>
    <w:rsid w:val="008D32F3"/>
    <w:rsid w:val="008D3597"/>
    <w:rsid w:val="008D379E"/>
    <w:rsid w:val="008D43A1"/>
    <w:rsid w:val="008D4E48"/>
    <w:rsid w:val="008D514A"/>
    <w:rsid w:val="008E0033"/>
    <w:rsid w:val="008E04DD"/>
    <w:rsid w:val="008E0D2F"/>
    <w:rsid w:val="008E1259"/>
    <w:rsid w:val="008E1969"/>
    <w:rsid w:val="008E1A93"/>
    <w:rsid w:val="008E1AB8"/>
    <w:rsid w:val="008E2B96"/>
    <w:rsid w:val="008E362D"/>
    <w:rsid w:val="008E45CB"/>
    <w:rsid w:val="008E5B0F"/>
    <w:rsid w:val="008E5DC6"/>
    <w:rsid w:val="008E6716"/>
    <w:rsid w:val="008E70D6"/>
    <w:rsid w:val="008F0875"/>
    <w:rsid w:val="008F09CF"/>
    <w:rsid w:val="008F1410"/>
    <w:rsid w:val="008F1607"/>
    <w:rsid w:val="008F1798"/>
    <w:rsid w:val="008F1A11"/>
    <w:rsid w:val="008F1F0C"/>
    <w:rsid w:val="008F1FF8"/>
    <w:rsid w:val="008F2E37"/>
    <w:rsid w:val="008F2F15"/>
    <w:rsid w:val="008F32C2"/>
    <w:rsid w:val="008F3D72"/>
    <w:rsid w:val="008F41F5"/>
    <w:rsid w:val="008F48EB"/>
    <w:rsid w:val="008F584E"/>
    <w:rsid w:val="008F5BB7"/>
    <w:rsid w:val="008F5FF3"/>
    <w:rsid w:val="008F61FA"/>
    <w:rsid w:val="008F769B"/>
    <w:rsid w:val="008F78CA"/>
    <w:rsid w:val="008F7A2B"/>
    <w:rsid w:val="009007FD"/>
    <w:rsid w:val="00901A9B"/>
    <w:rsid w:val="00902D07"/>
    <w:rsid w:val="00902D21"/>
    <w:rsid w:val="0090342D"/>
    <w:rsid w:val="009044E9"/>
    <w:rsid w:val="0090497F"/>
    <w:rsid w:val="00904FB6"/>
    <w:rsid w:val="009054DC"/>
    <w:rsid w:val="00905A43"/>
    <w:rsid w:val="00905D08"/>
    <w:rsid w:val="00906329"/>
    <w:rsid w:val="009063FF"/>
    <w:rsid w:val="00906756"/>
    <w:rsid w:val="00907F89"/>
    <w:rsid w:val="009102DF"/>
    <w:rsid w:val="00910BD9"/>
    <w:rsid w:val="00912EEE"/>
    <w:rsid w:val="009131AC"/>
    <w:rsid w:val="0091480E"/>
    <w:rsid w:val="00914B11"/>
    <w:rsid w:val="00914CCA"/>
    <w:rsid w:val="009154AA"/>
    <w:rsid w:val="00915C17"/>
    <w:rsid w:val="00916A7D"/>
    <w:rsid w:val="009178AE"/>
    <w:rsid w:val="00920357"/>
    <w:rsid w:val="00920556"/>
    <w:rsid w:val="00920833"/>
    <w:rsid w:val="00921E9B"/>
    <w:rsid w:val="00922BD5"/>
    <w:rsid w:val="00923512"/>
    <w:rsid w:val="009242B0"/>
    <w:rsid w:val="00924A37"/>
    <w:rsid w:val="0092737C"/>
    <w:rsid w:val="0092797D"/>
    <w:rsid w:val="00927B51"/>
    <w:rsid w:val="0093036E"/>
    <w:rsid w:val="00930480"/>
    <w:rsid w:val="00931A09"/>
    <w:rsid w:val="00931CA7"/>
    <w:rsid w:val="009329D4"/>
    <w:rsid w:val="009336A9"/>
    <w:rsid w:val="00933BAE"/>
    <w:rsid w:val="0093411E"/>
    <w:rsid w:val="009342CC"/>
    <w:rsid w:val="009343EC"/>
    <w:rsid w:val="00934500"/>
    <w:rsid w:val="00934E75"/>
    <w:rsid w:val="009354F1"/>
    <w:rsid w:val="00935772"/>
    <w:rsid w:val="00935C57"/>
    <w:rsid w:val="00936B7D"/>
    <w:rsid w:val="00941DC8"/>
    <w:rsid w:val="0094271C"/>
    <w:rsid w:val="00942FDC"/>
    <w:rsid w:val="00943096"/>
    <w:rsid w:val="00943B8D"/>
    <w:rsid w:val="00944DA5"/>
    <w:rsid w:val="009454DB"/>
    <w:rsid w:val="00945C09"/>
    <w:rsid w:val="009464AE"/>
    <w:rsid w:val="00946BED"/>
    <w:rsid w:val="00947344"/>
    <w:rsid w:val="00947B05"/>
    <w:rsid w:val="00950211"/>
    <w:rsid w:val="00950C4F"/>
    <w:rsid w:val="0095180A"/>
    <w:rsid w:val="00952080"/>
    <w:rsid w:val="00952705"/>
    <w:rsid w:val="0095302F"/>
    <w:rsid w:val="00953D55"/>
    <w:rsid w:val="00954F02"/>
    <w:rsid w:val="00954FFD"/>
    <w:rsid w:val="0095530C"/>
    <w:rsid w:val="0095550D"/>
    <w:rsid w:val="00955FA1"/>
    <w:rsid w:val="0095720E"/>
    <w:rsid w:val="0095747D"/>
    <w:rsid w:val="009575D8"/>
    <w:rsid w:val="0095771E"/>
    <w:rsid w:val="009602E7"/>
    <w:rsid w:val="00960CA7"/>
    <w:rsid w:val="00961131"/>
    <w:rsid w:val="00961CE4"/>
    <w:rsid w:val="00961DF1"/>
    <w:rsid w:val="00961EDE"/>
    <w:rsid w:val="009622BE"/>
    <w:rsid w:val="009623DF"/>
    <w:rsid w:val="0096292D"/>
    <w:rsid w:val="00962CE9"/>
    <w:rsid w:val="00962D54"/>
    <w:rsid w:val="00963263"/>
    <w:rsid w:val="009634B9"/>
    <w:rsid w:val="0096446E"/>
    <w:rsid w:val="009645B0"/>
    <w:rsid w:val="0096480F"/>
    <w:rsid w:val="00964FB1"/>
    <w:rsid w:val="0096547D"/>
    <w:rsid w:val="00965BFC"/>
    <w:rsid w:val="00965D94"/>
    <w:rsid w:val="009661C7"/>
    <w:rsid w:val="00966326"/>
    <w:rsid w:val="0096694C"/>
    <w:rsid w:val="00966E76"/>
    <w:rsid w:val="009707A6"/>
    <w:rsid w:val="00970971"/>
    <w:rsid w:val="00970E6D"/>
    <w:rsid w:val="00970EFB"/>
    <w:rsid w:val="00970F53"/>
    <w:rsid w:val="009716E1"/>
    <w:rsid w:val="009720B0"/>
    <w:rsid w:val="00972D95"/>
    <w:rsid w:val="00973E54"/>
    <w:rsid w:val="009742AB"/>
    <w:rsid w:val="0097481F"/>
    <w:rsid w:val="009749DA"/>
    <w:rsid w:val="00974CDE"/>
    <w:rsid w:val="00975685"/>
    <w:rsid w:val="00975CD9"/>
    <w:rsid w:val="009778EC"/>
    <w:rsid w:val="00977B66"/>
    <w:rsid w:val="009808DF"/>
    <w:rsid w:val="00980E16"/>
    <w:rsid w:val="009813C4"/>
    <w:rsid w:val="00981EB5"/>
    <w:rsid w:val="00982C94"/>
    <w:rsid w:val="00983F96"/>
    <w:rsid w:val="00984BAF"/>
    <w:rsid w:val="009854A5"/>
    <w:rsid w:val="0098653F"/>
    <w:rsid w:val="00986A57"/>
    <w:rsid w:val="00986FA3"/>
    <w:rsid w:val="00987B06"/>
    <w:rsid w:val="009901C5"/>
    <w:rsid w:val="00990545"/>
    <w:rsid w:val="00990558"/>
    <w:rsid w:val="009909CC"/>
    <w:rsid w:val="00990CCE"/>
    <w:rsid w:val="00990E0D"/>
    <w:rsid w:val="009913B9"/>
    <w:rsid w:val="00991943"/>
    <w:rsid w:val="00991D81"/>
    <w:rsid w:val="00992C94"/>
    <w:rsid w:val="00992DD3"/>
    <w:rsid w:val="00992F7D"/>
    <w:rsid w:val="009936CB"/>
    <w:rsid w:val="00993770"/>
    <w:rsid w:val="00994087"/>
    <w:rsid w:val="00994236"/>
    <w:rsid w:val="00994E05"/>
    <w:rsid w:val="00995654"/>
    <w:rsid w:val="00995899"/>
    <w:rsid w:val="00996253"/>
    <w:rsid w:val="00996573"/>
    <w:rsid w:val="0099713B"/>
    <w:rsid w:val="009973DF"/>
    <w:rsid w:val="009A09E4"/>
    <w:rsid w:val="009A0E07"/>
    <w:rsid w:val="009A2CE9"/>
    <w:rsid w:val="009A2F88"/>
    <w:rsid w:val="009A300B"/>
    <w:rsid w:val="009A3A36"/>
    <w:rsid w:val="009A3F3E"/>
    <w:rsid w:val="009A4781"/>
    <w:rsid w:val="009A4F94"/>
    <w:rsid w:val="009A530F"/>
    <w:rsid w:val="009A6657"/>
    <w:rsid w:val="009A7049"/>
    <w:rsid w:val="009A7EFA"/>
    <w:rsid w:val="009B02B1"/>
    <w:rsid w:val="009B2312"/>
    <w:rsid w:val="009B238A"/>
    <w:rsid w:val="009B23CE"/>
    <w:rsid w:val="009B29C1"/>
    <w:rsid w:val="009B29FF"/>
    <w:rsid w:val="009B3139"/>
    <w:rsid w:val="009B3317"/>
    <w:rsid w:val="009B3850"/>
    <w:rsid w:val="009B4B7C"/>
    <w:rsid w:val="009B5D89"/>
    <w:rsid w:val="009B5E3B"/>
    <w:rsid w:val="009B5E92"/>
    <w:rsid w:val="009B6114"/>
    <w:rsid w:val="009B6320"/>
    <w:rsid w:val="009B68DB"/>
    <w:rsid w:val="009C023A"/>
    <w:rsid w:val="009C03C3"/>
    <w:rsid w:val="009C249E"/>
    <w:rsid w:val="009C2F3F"/>
    <w:rsid w:val="009C2FA2"/>
    <w:rsid w:val="009C30EE"/>
    <w:rsid w:val="009C5299"/>
    <w:rsid w:val="009C58DD"/>
    <w:rsid w:val="009C5C9C"/>
    <w:rsid w:val="009C7008"/>
    <w:rsid w:val="009C7619"/>
    <w:rsid w:val="009D0778"/>
    <w:rsid w:val="009D129F"/>
    <w:rsid w:val="009D1478"/>
    <w:rsid w:val="009D189B"/>
    <w:rsid w:val="009D189E"/>
    <w:rsid w:val="009D1BC7"/>
    <w:rsid w:val="009D1D28"/>
    <w:rsid w:val="009D2EBB"/>
    <w:rsid w:val="009D36E3"/>
    <w:rsid w:val="009D3A7D"/>
    <w:rsid w:val="009D442E"/>
    <w:rsid w:val="009D6A05"/>
    <w:rsid w:val="009D6DC8"/>
    <w:rsid w:val="009D7B2A"/>
    <w:rsid w:val="009D7E94"/>
    <w:rsid w:val="009E098B"/>
    <w:rsid w:val="009E1084"/>
    <w:rsid w:val="009E1139"/>
    <w:rsid w:val="009E135C"/>
    <w:rsid w:val="009E19B2"/>
    <w:rsid w:val="009E19C4"/>
    <w:rsid w:val="009E1D24"/>
    <w:rsid w:val="009E1DCD"/>
    <w:rsid w:val="009E1E7D"/>
    <w:rsid w:val="009E1FA5"/>
    <w:rsid w:val="009E23FB"/>
    <w:rsid w:val="009E2BFE"/>
    <w:rsid w:val="009E311C"/>
    <w:rsid w:val="009E3B2D"/>
    <w:rsid w:val="009E49EC"/>
    <w:rsid w:val="009E4C96"/>
    <w:rsid w:val="009E4D79"/>
    <w:rsid w:val="009E510D"/>
    <w:rsid w:val="009E5215"/>
    <w:rsid w:val="009E52BE"/>
    <w:rsid w:val="009E678F"/>
    <w:rsid w:val="009E6EF7"/>
    <w:rsid w:val="009E74BD"/>
    <w:rsid w:val="009E761B"/>
    <w:rsid w:val="009E7958"/>
    <w:rsid w:val="009F0EC6"/>
    <w:rsid w:val="009F1366"/>
    <w:rsid w:val="009F204C"/>
    <w:rsid w:val="009F263D"/>
    <w:rsid w:val="009F26BE"/>
    <w:rsid w:val="009F2BFC"/>
    <w:rsid w:val="009F2F90"/>
    <w:rsid w:val="009F30E1"/>
    <w:rsid w:val="009F34D7"/>
    <w:rsid w:val="009F39F5"/>
    <w:rsid w:val="009F3A02"/>
    <w:rsid w:val="009F3B8F"/>
    <w:rsid w:val="009F3B97"/>
    <w:rsid w:val="009F3E21"/>
    <w:rsid w:val="009F3E80"/>
    <w:rsid w:val="009F4774"/>
    <w:rsid w:val="009F5262"/>
    <w:rsid w:val="009F5331"/>
    <w:rsid w:val="009F5F1C"/>
    <w:rsid w:val="009F6657"/>
    <w:rsid w:val="00A0045B"/>
    <w:rsid w:val="00A01227"/>
    <w:rsid w:val="00A022ED"/>
    <w:rsid w:val="00A03FA1"/>
    <w:rsid w:val="00A04769"/>
    <w:rsid w:val="00A05429"/>
    <w:rsid w:val="00A05905"/>
    <w:rsid w:val="00A05D92"/>
    <w:rsid w:val="00A06167"/>
    <w:rsid w:val="00A061A4"/>
    <w:rsid w:val="00A065D3"/>
    <w:rsid w:val="00A076F2"/>
    <w:rsid w:val="00A1038E"/>
    <w:rsid w:val="00A10D4F"/>
    <w:rsid w:val="00A1131B"/>
    <w:rsid w:val="00A11A2D"/>
    <w:rsid w:val="00A11A73"/>
    <w:rsid w:val="00A11E21"/>
    <w:rsid w:val="00A12EE8"/>
    <w:rsid w:val="00A13BE5"/>
    <w:rsid w:val="00A14120"/>
    <w:rsid w:val="00A1468B"/>
    <w:rsid w:val="00A14EC3"/>
    <w:rsid w:val="00A15540"/>
    <w:rsid w:val="00A162DB"/>
    <w:rsid w:val="00A16B0D"/>
    <w:rsid w:val="00A16C01"/>
    <w:rsid w:val="00A17E28"/>
    <w:rsid w:val="00A20038"/>
    <w:rsid w:val="00A2030A"/>
    <w:rsid w:val="00A205D4"/>
    <w:rsid w:val="00A219EA"/>
    <w:rsid w:val="00A21A61"/>
    <w:rsid w:val="00A21C6E"/>
    <w:rsid w:val="00A21E48"/>
    <w:rsid w:val="00A22CD3"/>
    <w:rsid w:val="00A231A4"/>
    <w:rsid w:val="00A23315"/>
    <w:rsid w:val="00A238F2"/>
    <w:rsid w:val="00A23A58"/>
    <w:rsid w:val="00A23EFC"/>
    <w:rsid w:val="00A246CB"/>
    <w:rsid w:val="00A25585"/>
    <w:rsid w:val="00A255E9"/>
    <w:rsid w:val="00A265DC"/>
    <w:rsid w:val="00A27041"/>
    <w:rsid w:val="00A276F2"/>
    <w:rsid w:val="00A30342"/>
    <w:rsid w:val="00A30371"/>
    <w:rsid w:val="00A30748"/>
    <w:rsid w:val="00A30DC1"/>
    <w:rsid w:val="00A31332"/>
    <w:rsid w:val="00A31785"/>
    <w:rsid w:val="00A3329F"/>
    <w:rsid w:val="00A33370"/>
    <w:rsid w:val="00A33969"/>
    <w:rsid w:val="00A343DE"/>
    <w:rsid w:val="00A372DF"/>
    <w:rsid w:val="00A37793"/>
    <w:rsid w:val="00A400EF"/>
    <w:rsid w:val="00A4040D"/>
    <w:rsid w:val="00A43753"/>
    <w:rsid w:val="00A43AC5"/>
    <w:rsid w:val="00A441FD"/>
    <w:rsid w:val="00A45B22"/>
    <w:rsid w:val="00A45F1C"/>
    <w:rsid w:val="00A462AB"/>
    <w:rsid w:val="00A4675F"/>
    <w:rsid w:val="00A474EC"/>
    <w:rsid w:val="00A4774E"/>
    <w:rsid w:val="00A47758"/>
    <w:rsid w:val="00A47BFF"/>
    <w:rsid w:val="00A47EE9"/>
    <w:rsid w:val="00A52D9F"/>
    <w:rsid w:val="00A5311F"/>
    <w:rsid w:val="00A5352D"/>
    <w:rsid w:val="00A536D6"/>
    <w:rsid w:val="00A54748"/>
    <w:rsid w:val="00A54E11"/>
    <w:rsid w:val="00A55B20"/>
    <w:rsid w:val="00A56117"/>
    <w:rsid w:val="00A569C5"/>
    <w:rsid w:val="00A569D4"/>
    <w:rsid w:val="00A56F11"/>
    <w:rsid w:val="00A57B8C"/>
    <w:rsid w:val="00A57C19"/>
    <w:rsid w:val="00A57D11"/>
    <w:rsid w:val="00A6055B"/>
    <w:rsid w:val="00A60AE7"/>
    <w:rsid w:val="00A60C77"/>
    <w:rsid w:val="00A612BA"/>
    <w:rsid w:val="00A616F1"/>
    <w:rsid w:val="00A6290B"/>
    <w:rsid w:val="00A62B2C"/>
    <w:rsid w:val="00A63233"/>
    <w:rsid w:val="00A63355"/>
    <w:rsid w:val="00A63AB4"/>
    <w:rsid w:val="00A63C21"/>
    <w:rsid w:val="00A63D03"/>
    <w:rsid w:val="00A63D30"/>
    <w:rsid w:val="00A6432D"/>
    <w:rsid w:val="00A645A9"/>
    <w:rsid w:val="00A646C8"/>
    <w:rsid w:val="00A6474F"/>
    <w:rsid w:val="00A654CC"/>
    <w:rsid w:val="00A65E57"/>
    <w:rsid w:val="00A65E66"/>
    <w:rsid w:val="00A663F0"/>
    <w:rsid w:val="00A66B5F"/>
    <w:rsid w:val="00A66ED5"/>
    <w:rsid w:val="00A67179"/>
    <w:rsid w:val="00A67921"/>
    <w:rsid w:val="00A70F3D"/>
    <w:rsid w:val="00A71F06"/>
    <w:rsid w:val="00A7242A"/>
    <w:rsid w:val="00A7301D"/>
    <w:rsid w:val="00A735EF"/>
    <w:rsid w:val="00A738CD"/>
    <w:rsid w:val="00A73EA2"/>
    <w:rsid w:val="00A74327"/>
    <w:rsid w:val="00A74EC1"/>
    <w:rsid w:val="00A75066"/>
    <w:rsid w:val="00A7523F"/>
    <w:rsid w:val="00A753DC"/>
    <w:rsid w:val="00A756FA"/>
    <w:rsid w:val="00A7571B"/>
    <w:rsid w:val="00A75FF7"/>
    <w:rsid w:val="00A760C1"/>
    <w:rsid w:val="00A7687E"/>
    <w:rsid w:val="00A77275"/>
    <w:rsid w:val="00A7773D"/>
    <w:rsid w:val="00A803A2"/>
    <w:rsid w:val="00A8052B"/>
    <w:rsid w:val="00A80ACA"/>
    <w:rsid w:val="00A80B10"/>
    <w:rsid w:val="00A810CB"/>
    <w:rsid w:val="00A816BC"/>
    <w:rsid w:val="00A818A3"/>
    <w:rsid w:val="00A81C62"/>
    <w:rsid w:val="00A81D1B"/>
    <w:rsid w:val="00A82B36"/>
    <w:rsid w:val="00A82C82"/>
    <w:rsid w:val="00A83B90"/>
    <w:rsid w:val="00A840C8"/>
    <w:rsid w:val="00A843AE"/>
    <w:rsid w:val="00A84B48"/>
    <w:rsid w:val="00A8577A"/>
    <w:rsid w:val="00A8601E"/>
    <w:rsid w:val="00A864F7"/>
    <w:rsid w:val="00A87971"/>
    <w:rsid w:val="00A90794"/>
    <w:rsid w:val="00A9081F"/>
    <w:rsid w:val="00A91653"/>
    <w:rsid w:val="00A9177F"/>
    <w:rsid w:val="00A91FA0"/>
    <w:rsid w:val="00A922C5"/>
    <w:rsid w:val="00A92C2C"/>
    <w:rsid w:val="00A93442"/>
    <w:rsid w:val="00A9365B"/>
    <w:rsid w:val="00A93E9E"/>
    <w:rsid w:val="00A95201"/>
    <w:rsid w:val="00A95DC2"/>
    <w:rsid w:val="00A96322"/>
    <w:rsid w:val="00A964B4"/>
    <w:rsid w:val="00A97F57"/>
    <w:rsid w:val="00AA161C"/>
    <w:rsid w:val="00AA1BCA"/>
    <w:rsid w:val="00AA22A7"/>
    <w:rsid w:val="00AA24E2"/>
    <w:rsid w:val="00AA24EF"/>
    <w:rsid w:val="00AA25E3"/>
    <w:rsid w:val="00AA2DC7"/>
    <w:rsid w:val="00AA30A8"/>
    <w:rsid w:val="00AA358D"/>
    <w:rsid w:val="00AA39F4"/>
    <w:rsid w:val="00AA3A3E"/>
    <w:rsid w:val="00AA3A71"/>
    <w:rsid w:val="00AA3B8F"/>
    <w:rsid w:val="00AA5F2D"/>
    <w:rsid w:val="00AA63F2"/>
    <w:rsid w:val="00AA6806"/>
    <w:rsid w:val="00AA73F2"/>
    <w:rsid w:val="00AB0654"/>
    <w:rsid w:val="00AB0B1B"/>
    <w:rsid w:val="00AB1466"/>
    <w:rsid w:val="00AB18F0"/>
    <w:rsid w:val="00AB289F"/>
    <w:rsid w:val="00AB2B07"/>
    <w:rsid w:val="00AB41FC"/>
    <w:rsid w:val="00AB4653"/>
    <w:rsid w:val="00AB4A13"/>
    <w:rsid w:val="00AB5263"/>
    <w:rsid w:val="00AB5920"/>
    <w:rsid w:val="00AB5BDB"/>
    <w:rsid w:val="00AB6246"/>
    <w:rsid w:val="00AB659B"/>
    <w:rsid w:val="00AB7035"/>
    <w:rsid w:val="00AB7151"/>
    <w:rsid w:val="00AB74B7"/>
    <w:rsid w:val="00AB7AC3"/>
    <w:rsid w:val="00AB7C62"/>
    <w:rsid w:val="00AC0403"/>
    <w:rsid w:val="00AC080C"/>
    <w:rsid w:val="00AC0936"/>
    <w:rsid w:val="00AC0A28"/>
    <w:rsid w:val="00AC30D8"/>
    <w:rsid w:val="00AC4504"/>
    <w:rsid w:val="00AC4522"/>
    <w:rsid w:val="00AC4715"/>
    <w:rsid w:val="00AC5288"/>
    <w:rsid w:val="00AC56FA"/>
    <w:rsid w:val="00AC5819"/>
    <w:rsid w:val="00AC5B3E"/>
    <w:rsid w:val="00AC5C13"/>
    <w:rsid w:val="00AC61FD"/>
    <w:rsid w:val="00AC6393"/>
    <w:rsid w:val="00AC6740"/>
    <w:rsid w:val="00AC67F0"/>
    <w:rsid w:val="00AC6926"/>
    <w:rsid w:val="00AC6D0E"/>
    <w:rsid w:val="00AC7069"/>
    <w:rsid w:val="00AC723F"/>
    <w:rsid w:val="00AC788D"/>
    <w:rsid w:val="00AD0AE6"/>
    <w:rsid w:val="00AD0CF6"/>
    <w:rsid w:val="00AD1922"/>
    <w:rsid w:val="00AD2044"/>
    <w:rsid w:val="00AD26CE"/>
    <w:rsid w:val="00AD3FC6"/>
    <w:rsid w:val="00AD42A2"/>
    <w:rsid w:val="00AD43A8"/>
    <w:rsid w:val="00AD4732"/>
    <w:rsid w:val="00AD4E2E"/>
    <w:rsid w:val="00AD6023"/>
    <w:rsid w:val="00AD6036"/>
    <w:rsid w:val="00AD6BAE"/>
    <w:rsid w:val="00AD760D"/>
    <w:rsid w:val="00AD792A"/>
    <w:rsid w:val="00AE0825"/>
    <w:rsid w:val="00AE0BB9"/>
    <w:rsid w:val="00AE0F0B"/>
    <w:rsid w:val="00AE19C9"/>
    <w:rsid w:val="00AE20FC"/>
    <w:rsid w:val="00AE2DE3"/>
    <w:rsid w:val="00AE2F1F"/>
    <w:rsid w:val="00AE2F77"/>
    <w:rsid w:val="00AE3050"/>
    <w:rsid w:val="00AE3171"/>
    <w:rsid w:val="00AE3BD8"/>
    <w:rsid w:val="00AE40E6"/>
    <w:rsid w:val="00AE5618"/>
    <w:rsid w:val="00AE5681"/>
    <w:rsid w:val="00AE56E1"/>
    <w:rsid w:val="00AE5882"/>
    <w:rsid w:val="00AE5C7F"/>
    <w:rsid w:val="00AE623A"/>
    <w:rsid w:val="00AE6303"/>
    <w:rsid w:val="00AE6CCB"/>
    <w:rsid w:val="00AE6F74"/>
    <w:rsid w:val="00AE7654"/>
    <w:rsid w:val="00AE7B3F"/>
    <w:rsid w:val="00AF0443"/>
    <w:rsid w:val="00AF10CF"/>
    <w:rsid w:val="00AF2981"/>
    <w:rsid w:val="00AF2A0A"/>
    <w:rsid w:val="00AF401A"/>
    <w:rsid w:val="00AF41B1"/>
    <w:rsid w:val="00AF4730"/>
    <w:rsid w:val="00AF49DE"/>
    <w:rsid w:val="00AF5148"/>
    <w:rsid w:val="00AF5242"/>
    <w:rsid w:val="00AF5B0A"/>
    <w:rsid w:val="00AF634A"/>
    <w:rsid w:val="00AF664F"/>
    <w:rsid w:val="00AF683C"/>
    <w:rsid w:val="00AF69CF"/>
    <w:rsid w:val="00AF6A7A"/>
    <w:rsid w:val="00AF79F5"/>
    <w:rsid w:val="00AF7C8C"/>
    <w:rsid w:val="00AF7DCE"/>
    <w:rsid w:val="00B0006C"/>
    <w:rsid w:val="00B000D3"/>
    <w:rsid w:val="00B005EC"/>
    <w:rsid w:val="00B00A1D"/>
    <w:rsid w:val="00B00B8E"/>
    <w:rsid w:val="00B00DFE"/>
    <w:rsid w:val="00B00F73"/>
    <w:rsid w:val="00B0138F"/>
    <w:rsid w:val="00B01C7A"/>
    <w:rsid w:val="00B0283F"/>
    <w:rsid w:val="00B02B83"/>
    <w:rsid w:val="00B03461"/>
    <w:rsid w:val="00B03A99"/>
    <w:rsid w:val="00B03D6F"/>
    <w:rsid w:val="00B0450C"/>
    <w:rsid w:val="00B04FCC"/>
    <w:rsid w:val="00B06841"/>
    <w:rsid w:val="00B07260"/>
    <w:rsid w:val="00B07A2F"/>
    <w:rsid w:val="00B107DD"/>
    <w:rsid w:val="00B108E2"/>
    <w:rsid w:val="00B11518"/>
    <w:rsid w:val="00B11B77"/>
    <w:rsid w:val="00B127A9"/>
    <w:rsid w:val="00B12EA5"/>
    <w:rsid w:val="00B13085"/>
    <w:rsid w:val="00B13103"/>
    <w:rsid w:val="00B13374"/>
    <w:rsid w:val="00B143F8"/>
    <w:rsid w:val="00B14DB4"/>
    <w:rsid w:val="00B153FD"/>
    <w:rsid w:val="00B154B5"/>
    <w:rsid w:val="00B15B4C"/>
    <w:rsid w:val="00B15DF8"/>
    <w:rsid w:val="00B15F33"/>
    <w:rsid w:val="00B16B82"/>
    <w:rsid w:val="00B16BAB"/>
    <w:rsid w:val="00B16EDA"/>
    <w:rsid w:val="00B17496"/>
    <w:rsid w:val="00B20990"/>
    <w:rsid w:val="00B20ECE"/>
    <w:rsid w:val="00B21217"/>
    <w:rsid w:val="00B21277"/>
    <w:rsid w:val="00B21616"/>
    <w:rsid w:val="00B21998"/>
    <w:rsid w:val="00B22B88"/>
    <w:rsid w:val="00B237A9"/>
    <w:rsid w:val="00B23A7D"/>
    <w:rsid w:val="00B23E32"/>
    <w:rsid w:val="00B241A8"/>
    <w:rsid w:val="00B25A6C"/>
    <w:rsid w:val="00B25F68"/>
    <w:rsid w:val="00B26351"/>
    <w:rsid w:val="00B26886"/>
    <w:rsid w:val="00B26D45"/>
    <w:rsid w:val="00B310A2"/>
    <w:rsid w:val="00B31502"/>
    <w:rsid w:val="00B319B4"/>
    <w:rsid w:val="00B324DA"/>
    <w:rsid w:val="00B32540"/>
    <w:rsid w:val="00B328A9"/>
    <w:rsid w:val="00B32983"/>
    <w:rsid w:val="00B32B4F"/>
    <w:rsid w:val="00B32CE7"/>
    <w:rsid w:val="00B32DF7"/>
    <w:rsid w:val="00B34549"/>
    <w:rsid w:val="00B34BE5"/>
    <w:rsid w:val="00B3500E"/>
    <w:rsid w:val="00B351AA"/>
    <w:rsid w:val="00B35581"/>
    <w:rsid w:val="00B35D84"/>
    <w:rsid w:val="00B36337"/>
    <w:rsid w:val="00B364BE"/>
    <w:rsid w:val="00B4024B"/>
    <w:rsid w:val="00B412E3"/>
    <w:rsid w:val="00B41E27"/>
    <w:rsid w:val="00B42342"/>
    <w:rsid w:val="00B42E46"/>
    <w:rsid w:val="00B42E5E"/>
    <w:rsid w:val="00B43149"/>
    <w:rsid w:val="00B43788"/>
    <w:rsid w:val="00B4441F"/>
    <w:rsid w:val="00B44DB2"/>
    <w:rsid w:val="00B4599C"/>
    <w:rsid w:val="00B45B54"/>
    <w:rsid w:val="00B45D20"/>
    <w:rsid w:val="00B47B94"/>
    <w:rsid w:val="00B50155"/>
    <w:rsid w:val="00B50245"/>
    <w:rsid w:val="00B50850"/>
    <w:rsid w:val="00B50889"/>
    <w:rsid w:val="00B50A1A"/>
    <w:rsid w:val="00B50A8C"/>
    <w:rsid w:val="00B51494"/>
    <w:rsid w:val="00B51662"/>
    <w:rsid w:val="00B51823"/>
    <w:rsid w:val="00B51C4C"/>
    <w:rsid w:val="00B51C60"/>
    <w:rsid w:val="00B5216F"/>
    <w:rsid w:val="00B5289A"/>
    <w:rsid w:val="00B52C16"/>
    <w:rsid w:val="00B52C1E"/>
    <w:rsid w:val="00B52D66"/>
    <w:rsid w:val="00B54374"/>
    <w:rsid w:val="00B54BF9"/>
    <w:rsid w:val="00B5577A"/>
    <w:rsid w:val="00B55816"/>
    <w:rsid w:val="00B55AB2"/>
    <w:rsid w:val="00B566B4"/>
    <w:rsid w:val="00B56D65"/>
    <w:rsid w:val="00B5739D"/>
    <w:rsid w:val="00B573C4"/>
    <w:rsid w:val="00B57F9B"/>
    <w:rsid w:val="00B60B86"/>
    <w:rsid w:val="00B60CA4"/>
    <w:rsid w:val="00B60DAD"/>
    <w:rsid w:val="00B60E13"/>
    <w:rsid w:val="00B612F4"/>
    <w:rsid w:val="00B6162E"/>
    <w:rsid w:val="00B61E91"/>
    <w:rsid w:val="00B63A0E"/>
    <w:rsid w:val="00B64445"/>
    <w:rsid w:val="00B6451C"/>
    <w:rsid w:val="00B646E9"/>
    <w:rsid w:val="00B64A69"/>
    <w:rsid w:val="00B64DD4"/>
    <w:rsid w:val="00B651C7"/>
    <w:rsid w:val="00B65296"/>
    <w:rsid w:val="00B653B2"/>
    <w:rsid w:val="00B654DA"/>
    <w:rsid w:val="00B666C3"/>
    <w:rsid w:val="00B66EEE"/>
    <w:rsid w:val="00B6775D"/>
    <w:rsid w:val="00B67AD1"/>
    <w:rsid w:val="00B67C94"/>
    <w:rsid w:val="00B7041E"/>
    <w:rsid w:val="00B71188"/>
    <w:rsid w:val="00B72690"/>
    <w:rsid w:val="00B72B8D"/>
    <w:rsid w:val="00B72C94"/>
    <w:rsid w:val="00B73C9A"/>
    <w:rsid w:val="00B73E26"/>
    <w:rsid w:val="00B74111"/>
    <w:rsid w:val="00B7431A"/>
    <w:rsid w:val="00B750A1"/>
    <w:rsid w:val="00B7515B"/>
    <w:rsid w:val="00B75731"/>
    <w:rsid w:val="00B765B1"/>
    <w:rsid w:val="00B7680A"/>
    <w:rsid w:val="00B772C6"/>
    <w:rsid w:val="00B80279"/>
    <w:rsid w:val="00B80670"/>
    <w:rsid w:val="00B80B77"/>
    <w:rsid w:val="00B81207"/>
    <w:rsid w:val="00B815ED"/>
    <w:rsid w:val="00B81B5C"/>
    <w:rsid w:val="00B81CED"/>
    <w:rsid w:val="00B82D66"/>
    <w:rsid w:val="00B83849"/>
    <w:rsid w:val="00B83C52"/>
    <w:rsid w:val="00B84418"/>
    <w:rsid w:val="00B84490"/>
    <w:rsid w:val="00B84DC2"/>
    <w:rsid w:val="00B84EB8"/>
    <w:rsid w:val="00B85419"/>
    <w:rsid w:val="00B8550B"/>
    <w:rsid w:val="00B85DF6"/>
    <w:rsid w:val="00B85FCC"/>
    <w:rsid w:val="00B8728F"/>
    <w:rsid w:val="00B87513"/>
    <w:rsid w:val="00B879A6"/>
    <w:rsid w:val="00B904FB"/>
    <w:rsid w:val="00B92297"/>
    <w:rsid w:val="00B9271D"/>
    <w:rsid w:val="00B92888"/>
    <w:rsid w:val="00B92D98"/>
    <w:rsid w:val="00B93292"/>
    <w:rsid w:val="00B94EC6"/>
    <w:rsid w:val="00B960E6"/>
    <w:rsid w:val="00B960F5"/>
    <w:rsid w:val="00B96C9F"/>
    <w:rsid w:val="00B96DA8"/>
    <w:rsid w:val="00B97183"/>
    <w:rsid w:val="00BA03E4"/>
    <w:rsid w:val="00BA041D"/>
    <w:rsid w:val="00BA06C7"/>
    <w:rsid w:val="00BA0755"/>
    <w:rsid w:val="00BA0C15"/>
    <w:rsid w:val="00BA1D67"/>
    <w:rsid w:val="00BA22CA"/>
    <w:rsid w:val="00BA45DF"/>
    <w:rsid w:val="00BA5483"/>
    <w:rsid w:val="00BA6909"/>
    <w:rsid w:val="00BA6CBE"/>
    <w:rsid w:val="00BA70F3"/>
    <w:rsid w:val="00BA71DA"/>
    <w:rsid w:val="00BA7624"/>
    <w:rsid w:val="00BA7C22"/>
    <w:rsid w:val="00BB0E3A"/>
    <w:rsid w:val="00BB2911"/>
    <w:rsid w:val="00BB3080"/>
    <w:rsid w:val="00BB3BE8"/>
    <w:rsid w:val="00BB3EF5"/>
    <w:rsid w:val="00BB419E"/>
    <w:rsid w:val="00BB475E"/>
    <w:rsid w:val="00BB4C8C"/>
    <w:rsid w:val="00BB4F5A"/>
    <w:rsid w:val="00BB6836"/>
    <w:rsid w:val="00BB6880"/>
    <w:rsid w:val="00BB7BAB"/>
    <w:rsid w:val="00BC128A"/>
    <w:rsid w:val="00BC12E0"/>
    <w:rsid w:val="00BC1530"/>
    <w:rsid w:val="00BC15C8"/>
    <w:rsid w:val="00BC1A8D"/>
    <w:rsid w:val="00BC3438"/>
    <w:rsid w:val="00BC376E"/>
    <w:rsid w:val="00BC42A4"/>
    <w:rsid w:val="00BC49B8"/>
    <w:rsid w:val="00BC49CB"/>
    <w:rsid w:val="00BC5F20"/>
    <w:rsid w:val="00BC61A0"/>
    <w:rsid w:val="00BC65D7"/>
    <w:rsid w:val="00BC6E40"/>
    <w:rsid w:val="00BC6E9F"/>
    <w:rsid w:val="00BC70B1"/>
    <w:rsid w:val="00BC7649"/>
    <w:rsid w:val="00BC7822"/>
    <w:rsid w:val="00BC7B29"/>
    <w:rsid w:val="00BC7DB5"/>
    <w:rsid w:val="00BC7DE4"/>
    <w:rsid w:val="00BD0C06"/>
    <w:rsid w:val="00BD1BED"/>
    <w:rsid w:val="00BD1D13"/>
    <w:rsid w:val="00BD1DF2"/>
    <w:rsid w:val="00BD23D6"/>
    <w:rsid w:val="00BD2A92"/>
    <w:rsid w:val="00BD2AD9"/>
    <w:rsid w:val="00BD2FE9"/>
    <w:rsid w:val="00BD3A7A"/>
    <w:rsid w:val="00BD412F"/>
    <w:rsid w:val="00BD42DF"/>
    <w:rsid w:val="00BD43D3"/>
    <w:rsid w:val="00BD6A12"/>
    <w:rsid w:val="00BD7248"/>
    <w:rsid w:val="00BD77E8"/>
    <w:rsid w:val="00BE0078"/>
    <w:rsid w:val="00BE1412"/>
    <w:rsid w:val="00BE1782"/>
    <w:rsid w:val="00BE2627"/>
    <w:rsid w:val="00BE26C0"/>
    <w:rsid w:val="00BE39D9"/>
    <w:rsid w:val="00BE3B0F"/>
    <w:rsid w:val="00BE3DDF"/>
    <w:rsid w:val="00BE3E42"/>
    <w:rsid w:val="00BE435C"/>
    <w:rsid w:val="00BE4C1C"/>
    <w:rsid w:val="00BE4C58"/>
    <w:rsid w:val="00BE6200"/>
    <w:rsid w:val="00BE63B3"/>
    <w:rsid w:val="00BE68A9"/>
    <w:rsid w:val="00BE6AD7"/>
    <w:rsid w:val="00BE6F46"/>
    <w:rsid w:val="00BE7398"/>
    <w:rsid w:val="00BE7911"/>
    <w:rsid w:val="00BE79AC"/>
    <w:rsid w:val="00BF1591"/>
    <w:rsid w:val="00BF41D6"/>
    <w:rsid w:val="00BF43A7"/>
    <w:rsid w:val="00BF4699"/>
    <w:rsid w:val="00BF48D6"/>
    <w:rsid w:val="00BF4AD8"/>
    <w:rsid w:val="00BF4F77"/>
    <w:rsid w:val="00BF5035"/>
    <w:rsid w:val="00BF5AC1"/>
    <w:rsid w:val="00BF6270"/>
    <w:rsid w:val="00C00179"/>
    <w:rsid w:val="00C00D8B"/>
    <w:rsid w:val="00C012DE"/>
    <w:rsid w:val="00C0157D"/>
    <w:rsid w:val="00C01979"/>
    <w:rsid w:val="00C02185"/>
    <w:rsid w:val="00C02664"/>
    <w:rsid w:val="00C026D6"/>
    <w:rsid w:val="00C02948"/>
    <w:rsid w:val="00C02BD8"/>
    <w:rsid w:val="00C02EA0"/>
    <w:rsid w:val="00C03C43"/>
    <w:rsid w:val="00C050D5"/>
    <w:rsid w:val="00C05D4F"/>
    <w:rsid w:val="00C0724B"/>
    <w:rsid w:val="00C074EE"/>
    <w:rsid w:val="00C0769A"/>
    <w:rsid w:val="00C076A0"/>
    <w:rsid w:val="00C07FED"/>
    <w:rsid w:val="00C10AC5"/>
    <w:rsid w:val="00C10E72"/>
    <w:rsid w:val="00C113E6"/>
    <w:rsid w:val="00C11656"/>
    <w:rsid w:val="00C11909"/>
    <w:rsid w:val="00C1196B"/>
    <w:rsid w:val="00C1207F"/>
    <w:rsid w:val="00C12334"/>
    <w:rsid w:val="00C126A7"/>
    <w:rsid w:val="00C13007"/>
    <w:rsid w:val="00C136EC"/>
    <w:rsid w:val="00C13DEF"/>
    <w:rsid w:val="00C14414"/>
    <w:rsid w:val="00C14639"/>
    <w:rsid w:val="00C14A8B"/>
    <w:rsid w:val="00C153ED"/>
    <w:rsid w:val="00C15BAB"/>
    <w:rsid w:val="00C167BA"/>
    <w:rsid w:val="00C16CCC"/>
    <w:rsid w:val="00C17609"/>
    <w:rsid w:val="00C17691"/>
    <w:rsid w:val="00C17FAA"/>
    <w:rsid w:val="00C202A1"/>
    <w:rsid w:val="00C20700"/>
    <w:rsid w:val="00C20713"/>
    <w:rsid w:val="00C208C2"/>
    <w:rsid w:val="00C21352"/>
    <w:rsid w:val="00C21BD7"/>
    <w:rsid w:val="00C22605"/>
    <w:rsid w:val="00C2298E"/>
    <w:rsid w:val="00C22ABE"/>
    <w:rsid w:val="00C23259"/>
    <w:rsid w:val="00C2327B"/>
    <w:rsid w:val="00C23C0E"/>
    <w:rsid w:val="00C23C31"/>
    <w:rsid w:val="00C24DAE"/>
    <w:rsid w:val="00C25A0C"/>
    <w:rsid w:val="00C25FE9"/>
    <w:rsid w:val="00C2602E"/>
    <w:rsid w:val="00C261B4"/>
    <w:rsid w:val="00C27141"/>
    <w:rsid w:val="00C27614"/>
    <w:rsid w:val="00C277B2"/>
    <w:rsid w:val="00C2787A"/>
    <w:rsid w:val="00C27E9B"/>
    <w:rsid w:val="00C30299"/>
    <w:rsid w:val="00C308ED"/>
    <w:rsid w:val="00C30AFF"/>
    <w:rsid w:val="00C30DA2"/>
    <w:rsid w:val="00C31328"/>
    <w:rsid w:val="00C31385"/>
    <w:rsid w:val="00C31537"/>
    <w:rsid w:val="00C317C1"/>
    <w:rsid w:val="00C31882"/>
    <w:rsid w:val="00C31C11"/>
    <w:rsid w:val="00C31DC8"/>
    <w:rsid w:val="00C31FF8"/>
    <w:rsid w:val="00C3224D"/>
    <w:rsid w:val="00C32F83"/>
    <w:rsid w:val="00C3404F"/>
    <w:rsid w:val="00C34108"/>
    <w:rsid w:val="00C34BD1"/>
    <w:rsid w:val="00C351A8"/>
    <w:rsid w:val="00C3542F"/>
    <w:rsid w:val="00C35750"/>
    <w:rsid w:val="00C35DFA"/>
    <w:rsid w:val="00C36263"/>
    <w:rsid w:val="00C40713"/>
    <w:rsid w:val="00C4093E"/>
    <w:rsid w:val="00C40A49"/>
    <w:rsid w:val="00C40BA5"/>
    <w:rsid w:val="00C40E0A"/>
    <w:rsid w:val="00C40E3B"/>
    <w:rsid w:val="00C419B6"/>
    <w:rsid w:val="00C41B90"/>
    <w:rsid w:val="00C41BCF"/>
    <w:rsid w:val="00C41E7C"/>
    <w:rsid w:val="00C42297"/>
    <w:rsid w:val="00C43291"/>
    <w:rsid w:val="00C4407A"/>
    <w:rsid w:val="00C44A0C"/>
    <w:rsid w:val="00C45034"/>
    <w:rsid w:val="00C45039"/>
    <w:rsid w:val="00C450A4"/>
    <w:rsid w:val="00C461D7"/>
    <w:rsid w:val="00C46D7B"/>
    <w:rsid w:val="00C477C4"/>
    <w:rsid w:val="00C51083"/>
    <w:rsid w:val="00C5142F"/>
    <w:rsid w:val="00C52553"/>
    <w:rsid w:val="00C5255B"/>
    <w:rsid w:val="00C53E28"/>
    <w:rsid w:val="00C54402"/>
    <w:rsid w:val="00C546C8"/>
    <w:rsid w:val="00C54706"/>
    <w:rsid w:val="00C54892"/>
    <w:rsid w:val="00C54C1F"/>
    <w:rsid w:val="00C553CE"/>
    <w:rsid w:val="00C557D8"/>
    <w:rsid w:val="00C55A00"/>
    <w:rsid w:val="00C55EF9"/>
    <w:rsid w:val="00C56E1F"/>
    <w:rsid w:val="00C57430"/>
    <w:rsid w:val="00C57C9E"/>
    <w:rsid w:val="00C57D60"/>
    <w:rsid w:val="00C57EB0"/>
    <w:rsid w:val="00C57F57"/>
    <w:rsid w:val="00C60086"/>
    <w:rsid w:val="00C60264"/>
    <w:rsid w:val="00C61471"/>
    <w:rsid w:val="00C61E90"/>
    <w:rsid w:val="00C62044"/>
    <w:rsid w:val="00C620CF"/>
    <w:rsid w:val="00C63474"/>
    <w:rsid w:val="00C6375B"/>
    <w:rsid w:val="00C63D75"/>
    <w:rsid w:val="00C64B73"/>
    <w:rsid w:val="00C66226"/>
    <w:rsid w:val="00C66B7E"/>
    <w:rsid w:val="00C66C0A"/>
    <w:rsid w:val="00C66D91"/>
    <w:rsid w:val="00C67DA8"/>
    <w:rsid w:val="00C7020C"/>
    <w:rsid w:val="00C70851"/>
    <w:rsid w:val="00C70D40"/>
    <w:rsid w:val="00C71191"/>
    <w:rsid w:val="00C71C75"/>
    <w:rsid w:val="00C733B8"/>
    <w:rsid w:val="00C73676"/>
    <w:rsid w:val="00C74714"/>
    <w:rsid w:val="00C74820"/>
    <w:rsid w:val="00C74F86"/>
    <w:rsid w:val="00C757F9"/>
    <w:rsid w:val="00C763F8"/>
    <w:rsid w:val="00C76601"/>
    <w:rsid w:val="00C76865"/>
    <w:rsid w:val="00C772E0"/>
    <w:rsid w:val="00C772E9"/>
    <w:rsid w:val="00C81E5B"/>
    <w:rsid w:val="00C82681"/>
    <w:rsid w:val="00C82D7E"/>
    <w:rsid w:val="00C82F55"/>
    <w:rsid w:val="00C82F90"/>
    <w:rsid w:val="00C83240"/>
    <w:rsid w:val="00C84050"/>
    <w:rsid w:val="00C8452C"/>
    <w:rsid w:val="00C84BAD"/>
    <w:rsid w:val="00C84F78"/>
    <w:rsid w:val="00C85173"/>
    <w:rsid w:val="00C85366"/>
    <w:rsid w:val="00C85474"/>
    <w:rsid w:val="00C85816"/>
    <w:rsid w:val="00C85E88"/>
    <w:rsid w:val="00C866F0"/>
    <w:rsid w:val="00C86756"/>
    <w:rsid w:val="00C869E4"/>
    <w:rsid w:val="00C86A07"/>
    <w:rsid w:val="00C87246"/>
    <w:rsid w:val="00C87314"/>
    <w:rsid w:val="00C87881"/>
    <w:rsid w:val="00C87947"/>
    <w:rsid w:val="00C87AC6"/>
    <w:rsid w:val="00C90240"/>
    <w:rsid w:val="00C91F3B"/>
    <w:rsid w:val="00C9224C"/>
    <w:rsid w:val="00C9231B"/>
    <w:rsid w:val="00C93D31"/>
    <w:rsid w:val="00C93EA3"/>
    <w:rsid w:val="00C949DA"/>
    <w:rsid w:val="00C94C71"/>
    <w:rsid w:val="00C955EA"/>
    <w:rsid w:val="00C960D3"/>
    <w:rsid w:val="00C96A43"/>
    <w:rsid w:val="00C96C8A"/>
    <w:rsid w:val="00C97447"/>
    <w:rsid w:val="00CA04B2"/>
    <w:rsid w:val="00CA11CA"/>
    <w:rsid w:val="00CA1245"/>
    <w:rsid w:val="00CA1B11"/>
    <w:rsid w:val="00CA2060"/>
    <w:rsid w:val="00CA2884"/>
    <w:rsid w:val="00CA2EF4"/>
    <w:rsid w:val="00CA3A5D"/>
    <w:rsid w:val="00CA3FC8"/>
    <w:rsid w:val="00CA4EB2"/>
    <w:rsid w:val="00CA5894"/>
    <w:rsid w:val="00CA59AB"/>
    <w:rsid w:val="00CA653C"/>
    <w:rsid w:val="00CA6E6D"/>
    <w:rsid w:val="00CA6EF9"/>
    <w:rsid w:val="00CA714C"/>
    <w:rsid w:val="00CA72D2"/>
    <w:rsid w:val="00CA7389"/>
    <w:rsid w:val="00CA78ED"/>
    <w:rsid w:val="00CB053D"/>
    <w:rsid w:val="00CB099E"/>
    <w:rsid w:val="00CB0B1D"/>
    <w:rsid w:val="00CB0B73"/>
    <w:rsid w:val="00CB1DA8"/>
    <w:rsid w:val="00CB230D"/>
    <w:rsid w:val="00CB4287"/>
    <w:rsid w:val="00CB4A7D"/>
    <w:rsid w:val="00CB6085"/>
    <w:rsid w:val="00CB64B4"/>
    <w:rsid w:val="00CB672E"/>
    <w:rsid w:val="00CB67F9"/>
    <w:rsid w:val="00CB688C"/>
    <w:rsid w:val="00CB6A84"/>
    <w:rsid w:val="00CC002D"/>
    <w:rsid w:val="00CC0FB2"/>
    <w:rsid w:val="00CC158E"/>
    <w:rsid w:val="00CC1F26"/>
    <w:rsid w:val="00CC23EF"/>
    <w:rsid w:val="00CC25A5"/>
    <w:rsid w:val="00CC2BE5"/>
    <w:rsid w:val="00CC2E41"/>
    <w:rsid w:val="00CC2E9B"/>
    <w:rsid w:val="00CC39C9"/>
    <w:rsid w:val="00CC3D1F"/>
    <w:rsid w:val="00CC3F95"/>
    <w:rsid w:val="00CC50D9"/>
    <w:rsid w:val="00CC5856"/>
    <w:rsid w:val="00CC5DF0"/>
    <w:rsid w:val="00CC5DFF"/>
    <w:rsid w:val="00CC6C86"/>
    <w:rsid w:val="00CC6EC1"/>
    <w:rsid w:val="00CD03DE"/>
    <w:rsid w:val="00CD06A3"/>
    <w:rsid w:val="00CD199D"/>
    <w:rsid w:val="00CD1D7E"/>
    <w:rsid w:val="00CD1FC6"/>
    <w:rsid w:val="00CD2D63"/>
    <w:rsid w:val="00CD2DCE"/>
    <w:rsid w:val="00CD3FCD"/>
    <w:rsid w:val="00CD4287"/>
    <w:rsid w:val="00CD4F56"/>
    <w:rsid w:val="00CD5309"/>
    <w:rsid w:val="00CD54E8"/>
    <w:rsid w:val="00CD56FB"/>
    <w:rsid w:val="00CE07A6"/>
    <w:rsid w:val="00CE1109"/>
    <w:rsid w:val="00CE1208"/>
    <w:rsid w:val="00CE246E"/>
    <w:rsid w:val="00CE2956"/>
    <w:rsid w:val="00CE30CD"/>
    <w:rsid w:val="00CE3932"/>
    <w:rsid w:val="00CE4948"/>
    <w:rsid w:val="00CE519F"/>
    <w:rsid w:val="00CE5478"/>
    <w:rsid w:val="00CE5914"/>
    <w:rsid w:val="00CE596C"/>
    <w:rsid w:val="00CE5CD0"/>
    <w:rsid w:val="00CE68B1"/>
    <w:rsid w:val="00CE6C9C"/>
    <w:rsid w:val="00CE6FAA"/>
    <w:rsid w:val="00CE7367"/>
    <w:rsid w:val="00CF0851"/>
    <w:rsid w:val="00CF0B56"/>
    <w:rsid w:val="00CF110D"/>
    <w:rsid w:val="00CF14D7"/>
    <w:rsid w:val="00CF1DBA"/>
    <w:rsid w:val="00CF2303"/>
    <w:rsid w:val="00CF238A"/>
    <w:rsid w:val="00CF24AA"/>
    <w:rsid w:val="00CF24D0"/>
    <w:rsid w:val="00CF2A46"/>
    <w:rsid w:val="00CF2B43"/>
    <w:rsid w:val="00CF343C"/>
    <w:rsid w:val="00CF3CE8"/>
    <w:rsid w:val="00CF4A5A"/>
    <w:rsid w:val="00CF4AA1"/>
    <w:rsid w:val="00CF4F16"/>
    <w:rsid w:val="00CF583D"/>
    <w:rsid w:val="00CF58C0"/>
    <w:rsid w:val="00CF5A71"/>
    <w:rsid w:val="00CF61AD"/>
    <w:rsid w:val="00CF656E"/>
    <w:rsid w:val="00CF680C"/>
    <w:rsid w:val="00CF6ED0"/>
    <w:rsid w:val="00CF746F"/>
    <w:rsid w:val="00CF77F0"/>
    <w:rsid w:val="00CF7AC6"/>
    <w:rsid w:val="00CF7CEB"/>
    <w:rsid w:val="00D00204"/>
    <w:rsid w:val="00D0048F"/>
    <w:rsid w:val="00D00517"/>
    <w:rsid w:val="00D00551"/>
    <w:rsid w:val="00D00D54"/>
    <w:rsid w:val="00D020A7"/>
    <w:rsid w:val="00D022AC"/>
    <w:rsid w:val="00D023A7"/>
    <w:rsid w:val="00D02764"/>
    <w:rsid w:val="00D0288D"/>
    <w:rsid w:val="00D045B6"/>
    <w:rsid w:val="00D0469C"/>
    <w:rsid w:val="00D04929"/>
    <w:rsid w:val="00D04E35"/>
    <w:rsid w:val="00D05334"/>
    <w:rsid w:val="00D053CA"/>
    <w:rsid w:val="00D05B50"/>
    <w:rsid w:val="00D05B6F"/>
    <w:rsid w:val="00D064C7"/>
    <w:rsid w:val="00D06E45"/>
    <w:rsid w:val="00D06ECD"/>
    <w:rsid w:val="00D07643"/>
    <w:rsid w:val="00D07933"/>
    <w:rsid w:val="00D10B63"/>
    <w:rsid w:val="00D12417"/>
    <w:rsid w:val="00D1266E"/>
    <w:rsid w:val="00D12F58"/>
    <w:rsid w:val="00D134A8"/>
    <w:rsid w:val="00D1435A"/>
    <w:rsid w:val="00D14A0A"/>
    <w:rsid w:val="00D14DA4"/>
    <w:rsid w:val="00D15352"/>
    <w:rsid w:val="00D15D1F"/>
    <w:rsid w:val="00D16007"/>
    <w:rsid w:val="00D16EC2"/>
    <w:rsid w:val="00D16F57"/>
    <w:rsid w:val="00D17259"/>
    <w:rsid w:val="00D1774E"/>
    <w:rsid w:val="00D177B1"/>
    <w:rsid w:val="00D177C2"/>
    <w:rsid w:val="00D1785C"/>
    <w:rsid w:val="00D17987"/>
    <w:rsid w:val="00D17BCD"/>
    <w:rsid w:val="00D17E4B"/>
    <w:rsid w:val="00D2007C"/>
    <w:rsid w:val="00D21842"/>
    <w:rsid w:val="00D22104"/>
    <w:rsid w:val="00D22B2A"/>
    <w:rsid w:val="00D239EF"/>
    <w:rsid w:val="00D241A5"/>
    <w:rsid w:val="00D241D2"/>
    <w:rsid w:val="00D244C5"/>
    <w:rsid w:val="00D26539"/>
    <w:rsid w:val="00D26860"/>
    <w:rsid w:val="00D26F04"/>
    <w:rsid w:val="00D300A1"/>
    <w:rsid w:val="00D30113"/>
    <w:rsid w:val="00D304DC"/>
    <w:rsid w:val="00D30E16"/>
    <w:rsid w:val="00D3100C"/>
    <w:rsid w:val="00D31295"/>
    <w:rsid w:val="00D31380"/>
    <w:rsid w:val="00D317FF"/>
    <w:rsid w:val="00D32BC8"/>
    <w:rsid w:val="00D3388C"/>
    <w:rsid w:val="00D33E1D"/>
    <w:rsid w:val="00D35C01"/>
    <w:rsid w:val="00D35C6F"/>
    <w:rsid w:val="00D36788"/>
    <w:rsid w:val="00D37C6D"/>
    <w:rsid w:val="00D4007F"/>
    <w:rsid w:val="00D4078E"/>
    <w:rsid w:val="00D40CC3"/>
    <w:rsid w:val="00D40F96"/>
    <w:rsid w:val="00D41DFA"/>
    <w:rsid w:val="00D42581"/>
    <w:rsid w:val="00D4309D"/>
    <w:rsid w:val="00D4415B"/>
    <w:rsid w:val="00D44609"/>
    <w:rsid w:val="00D44923"/>
    <w:rsid w:val="00D44D34"/>
    <w:rsid w:val="00D46F5B"/>
    <w:rsid w:val="00D4768E"/>
    <w:rsid w:val="00D476AF"/>
    <w:rsid w:val="00D511CA"/>
    <w:rsid w:val="00D51232"/>
    <w:rsid w:val="00D51AB0"/>
    <w:rsid w:val="00D51F7D"/>
    <w:rsid w:val="00D5239F"/>
    <w:rsid w:val="00D5309C"/>
    <w:rsid w:val="00D53E72"/>
    <w:rsid w:val="00D549FE"/>
    <w:rsid w:val="00D54E2D"/>
    <w:rsid w:val="00D5502B"/>
    <w:rsid w:val="00D55041"/>
    <w:rsid w:val="00D55567"/>
    <w:rsid w:val="00D56108"/>
    <w:rsid w:val="00D5656E"/>
    <w:rsid w:val="00D56897"/>
    <w:rsid w:val="00D56946"/>
    <w:rsid w:val="00D56D03"/>
    <w:rsid w:val="00D575F3"/>
    <w:rsid w:val="00D578D5"/>
    <w:rsid w:val="00D579DC"/>
    <w:rsid w:val="00D57EF3"/>
    <w:rsid w:val="00D60358"/>
    <w:rsid w:val="00D605C9"/>
    <w:rsid w:val="00D615E7"/>
    <w:rsid w:val="00D63019"/>
    <w:rsid w:val="00D640AB"/>
    <w:rsid w:val="00D64278"/>
    <w:rsid w:val="00D64880"/>
    <w:rsid w:val="00D64F55"/>
    <w:rsid w:val="00D6571E"/>
    <w:rsid w:val="00D657C6"/>
    <w:rsid w:val="00D65822"/>
    <w:rsid w:val="00D66855"/>
    <w:rsid w:val="00D66F74"/>
    <w:rsid w:val="00D67504"/>
    <w:rsid w:val="00D67D9C"/>
    <w:rsid w:val="00D703B8"/>
    <w:rsid w:val="00D70981"/>
    <w:rsid w:val="00D70E2F"/>
    <w:rsid w:val="00D70F52"/>
    <w:rsid w:val="00D7151C"/>
    <w:rsid w:val="00D717A2"/>
    <w:rsid w:val="00D73F8E"/>
    <w:rsid w:val="00D74CFD"/>
    <w:rsid w:val="00D74DC4"/>
    <w:rsid w:val="00D74FEE"/>
    <w:rsid w:val="00D751F1"/>
    <w:rsid w:val="00D75645"/>
    <w:rsid w:val="00D75E70"/>
    <w:rsid w:val="00D7637B"/>
    <w:rsid w:val="00D76A47"/>
    <w:rsid w:val="00D77080"/>
    <w:rsid w:val="00D7718E"/>
    <w:rsid w:val="00D77225"/>
    <w:rsid w:val="00D773EB"/>
    <w:rsid w:val="00D77BD6"/>
    <w:rsid w:val="00D813E1"/>
    <w:rsid w:val="00D81451"/>
    <w:rsid w:val="00D81F91"/>
    <w:rsid w:val="00D82ADE"/>
    <w:rsid w:val="00D82B08"/>
    <w:rsid w:val="00D8323A"/>
    <w:rsid w:val="00D849F3"/>
    <w:rsid w:val="00D84FDC"/>
    <w:rsid w:val="00D85A33"/>
    <w:rsid w:val="00D85D8F"/>
    <w:rsid w:val="00D865A5"/>
    <w:rsid w:val="00D86B64"/>
    <w:rsid w:val="00D87BF9"/>
    <w:rsid w:val="00D9044C"/>
    <w:rsid w:val="00D906D9"/>
    <w:rsid w:val="00D90E5E"/>
    <w:rsid w:val="00D90FA0"/>
    <w:rsid w:val="00D91226"/>
    <w:rsid w:val="00D9128C"/>
    <w:rsid w:val="00D917A9"/>
    <w:rsid w:val="00D91CCC"/>
    <w:rsid w:val="00D92033"/>
    <w:rsid w:val="00D92197"/>
    <w:rsid w:val="00D924FD"/>
    <w:rsid w:val="00D92C08"/>
    <w:rsid w:val="00D92E33"/>
    <w:rsid w:val="00D934A2"/>
    <w:rsid w:val="00D9546A"/>
    <w:rsid w:val="00D960C0"/>
    <w:rsid w:val="00D96286"/>
    <w:rsid w:val="00D964A6"/>
    <w:rsid w:val="00D97391"/>
    <w:rsid w:val="00D97608"/>
    <w:rsid w:val="00D97979"/>
    <w:rsid w:val="00DA0052"/>
    <w:rsid w:val="00DA0484"/>
    <w:rsid w:val="00DA13B6"/>
    <w:rsid w:val="00DA157D"/>
    <w:rsid w:val="00DA1606"/>
    <w:rsid w:val="00DA1691"/>
    <w:rsid w:val="00DA21A4"/>
    <w:rsid w:val="00DA25D1"/>
    <w:rsid w:val="00DA2651"/>
    <w:rsid w:val="00DA2DDA"/>
    <w:rsid w:val="00DA2E86"/>
    <w:rsid w:val="00DA3441"/>
    <w:rsid w:val="00DA3BBF"/>
    <w:rsid w:val="00DA4575"/>
    <w:rsid w:val="00DA4FF5"/>
    <w:rsid w:val="00DA5D48"/>
    <w:rsid w:val="00DA5F76"/>
    <w:rsid w:val="00DA63D3"/>
    <w:rsid w:val="00DA6A6E"/>
    <w:rsid w:val="00DA6A92"/>
    <w:rsid w:val="00DA71FE"/>
    <w:rsid w:val="00DB0012"/>
    <w:rsid w:val="00DB13E3"/>
    <w:rsid w:val="00DB14FC"/>
    <w:rsid w:val="00DB2BC3"/>
    <w:rsid w:val="00DB2FA5"/>
    <w:rsid w:val="00DB3228"/>
    <w:rsid w:val="00DB33E0"/>
    <w:rsid w:val="00DB3892"/>
    <w:rsid w:val="00DB3C33"/>
    <w:rsid w:val="00DB40E2"/>
    <w:rsid w:val="00DB4119"/>
    <w:rsid w:val="00DB4B25"/>
    <w:rsid w:val="00DB4C6F"/>
    <w:rsid w:val="00DB5C17"/>
    <w:rsid w:val="00DB644C"/>
    <w:rsid w:val="00DB6C9E"/>
    <w:rsid w:val="00DB6ECB"/>
    <w:rsid w:val="00DB756C"/>
    <w:rsid w:val="00DB7702"/>
    <w:rsid w:val="00DB7B38"/>
    <w:rsid w:val="00DB7D1A"/>
    <w:rsid w:val="00DB7E88"/>
    <w:rsid w:val="00DC0378"/>
    <w:rsid w:val="00DC1A36"/>
    <w:rsid w:val="00DC1A7D"/>
    <w:rsid w:val="00DC309E"/>
    <w:rsid w:val="00DC4649"/>
    <w:rsid w:val="00DC4688"/>
    <w:rsid w:val="00DC4CAE"/>
    <w:rsid w:val="00DC4CB2"/>
    <w:rsid w:val="00DC51A9"/>
    <w:rsid w:val="00DC51B9"/>
    <w:rsid w:val="00DC5E0B"/>
    <w:rsid w:val="00DC6444"/>
    <w:rsid w:val="00DC6BDD"/>
    <w:rsid w:val="00DC72DB"/>
    <w:rsid w:val="00DC7809"/>
    <w:rsid w:val="00DC7A34"/>
    <w:rsid w:val="00DD02BC"/>
    <w:rsid w:val="00DD0356"/>
    <w:rsid w:val="00DD0520"/>
    <w:rsid w:val="00DD0BBA"/>
    <w:rsid w:val="00DD10A9"/>
    <w:rsid w:val="00DD13CD"/>
    <w:rsid w:val="00DD140C"/>
    <w:rsid w:val="00DD1FF3"/>
    <w:rsid w:val="00DD20A0"/>
    <w:rsid w:val="00DD23BE"/>
    <w:rsid w:val="00DD2D2D"/>
    <w:rsid w:val="00DD2E9A"/>
    <w:rsid w:val="00DD3257"/>
    <w:rsid w:val="00DD3335"/>
    <w:rsid w:val="00DD4313"/>
    <w:rsid w:val="00DD43AD"/>
    <w:rsid w:val="00DD519F"/>
    <w:rsid w:val="00DD52D7"/>
    <w:rsid w:val="00DD5541"/>
    <w:rsid w:val="00DD5ADC"/>
    <w:rsid w:val="00DD73B5"/>
    <w:rsid w:val="00DD744B"/>
    <w:rsid w:val="00DD7FEA"/>
    <w:rsid w:val="00DE02F6"/>
    <w:rsid w:val="00DE0DCE"/>
    <w:rsid w:val="00DE1DCF"/>
    <w:rsid w:val="00DE1E7F"/>
    <w:rsid w:val="00DE1F3C"/>
    <w:rsid w:val="00DE2ECD"/>
    <w:rsid w:val="00DE30A6"/>
    <w:rsid w:val="00DE3FA5"/>
    <w:rsid w:val="00DE4830"/>
    <w:rsid w:val="00DE4940"/>
    <w:rsid w:val="00DE652A"/>
    <w:rsid w:val="00DE6A8E"/>
    <w:rsid w:val="00DE7039"/>
    <w:rsid w:val="00DE7267"/>
    <w:rsid w:val="00DF0BF0"/>
    <w:rsid w:val="00DF10AE"/>
    <w:rsid w:val="00DF13B2"/>
    <w:rsid w:val="00DF1CC4"/>
    <w:rsid w:val="00DF2FA2"/>
    <w:rsid w:val="00DF3914"/>
    <w:rsid w:val="00DF3B1E"/>
    <w:rsid w:val="00DF441D"/>
    <w:rsid w:val="00DF460C"/>
    <w:rsid w:val="00DF549E"/>
    <w:rsid w:val="00DF7143"/>
    <w:rsid w:val="00DF7394"/>
    <w:rsid w:val="00DF79F9"/>
    <w:rsid w:val="00E00F41"/>
    <w:rsid w:val="00E01582"/>
    <w:rsid w:val="00E01CFA"/>
    <w:rsid w:val="00E02730"/>
    <w:rsid w:val="00E02FBF"/>
    <w:rsid w:val="00E03B24"/>
    <w:rsid w:val="00E06777"/>
    <w:rsid w:val="00E069B1"/>
    <w:rsid w:val="00E06BB5"/>
    <w:rsid w:val="00E076FF"/>
    <w:rsid w:val="00E07EC1"/>
    <w:rsid w:val="00E10404"/>
    <w:rsid w:val="00E104FA"/>
    <w:rsid w:val="00E10B6B"/>
    <w:rsid w:val="00E11347"/>
    <w:rsid w:val="00E12A49"/>
    <w:rsid w:val="00E12B9F"/>
    <w:rsid w:val="00E13D99"/>
    <w:rsid w:val="00E141AC"/>
    <w:rsid w:val="00E15116"/>
    <w:rsid w:val="00E15230"/>
    <w:rsid w:val="00E152FF"/>
    <w:rsid w:val="00E16912"/>
    <w:rsid w:val="00E16B8F"/>
    <w:rsid w:val="00E170EC"/>
    <w:rsid w:val="00E2059C"/>
    <w:rsid w:val="00E20998"/>
    <w:rsid w:val="00E2268D"/>
    <w:rsid w:val="00E22E1D"/>
    <w:rsid w:val="00E23C95"/>
    <w:rsid w:val="00E24FAE"/>
    <w:rsid w:val="00E25E27"/>
    <w:rsid w:val="00E26CB3"/>
    <w:rsid w:val="00E2747F"/>
    <w:rsid w:val="00E277A6"/>
    <w:rsid w:val="00E2792B"/>
    <w:rsid w:val="00E279B1"/>
    <w:rsid w:val="00E27B7D"/>
    <w:rsid w:val="00E27D1E"/>
    <w:rsid w:val="00E27FB0"/>
    <w:rsid w:val="00E3042A"/>
    <w:rsid w:val="00E30597"/>
    <w:rsid w:val="00E30887"/>
    <w:rsid w:val="00E31921"/>
    <w:rsid w:val="00E31F80"/>
    <w:rsid w:val="00E3232B"/>
    <w:rsid w:val="00E3293D"/>
    <w:rsid w:val="00E32A7A"/>
    <w:rsid w:val="00E32B45"/>
    <w:rsid w:val="00E32CAD"/>
    <w:rsid w:val="00E33B6A"/>
    <w:rsid w:val="00E33C75"/>
    <w:rsid w:val="00E3538D"/>
    <w:rsid w:val="00E3541A"/>
    <w:rsid w:val="00E3635E"/>
    <w:rsid w:val="00E36AE9"/>
    <w:rsid w:val="00E36CC3"/>
    <w:rsid w:val="00E36E37"/>
    <w:rsid w:val="00E37041"/>
    <w:rsid w:val="00E3739C"/>
    <w:rsid w:val="00E37522"/>
    <w:rsid w:val="00E40077"/>
    <w:rsid w:val="00E405DD"/>
    <w:rsid w:val="00E405FA"/>
    <w:rsid w:val="00E409C9"/>
    <w:rsid w:val="00E4115B"/>
    <w:rsid w:val="00E4135E"/>
    <w:rsid w:val="00E418C1"/>
    <w:rsid w:val="00E42250"/>
    <w:rsid w:val="00E42A02"/>
    <w:rsid w:val="00E42CEE"/>
    <w:rsid w:val="00E43E53"/>
    <w:rsid w:val="00E4418F"/>
    <w:rsid w:val="00E466AE"/>
    <w:rsid w:val="00E46C83"/>
    <w:rsid w:val="00E46DB8"/>
    <w:rsid w:val="00E473C1"/>
    <w:rsid w:val="00E507DA"/>
    <w:rsid w:val="00E5123B"/>
    <w:rsid w:val="00E51963"/>
    <w:rsid w:val="00E51E79"/>
    <w:rsid w:val="00E53058"/>
    <w:rsid w:val="00E537BF"/>
    <w:rsid w:val="00E53BDE"/>
    <w:rsid w:val="00E53C8C"/>
    <w:rsid w:val="00E53D44"/>
    <w:rsid w:val="00E542B4"/>
    <w:rsid w:val="00E55397"/>
    <w:rsid w:val="00E55CAF"/>
    <w:rsid w:val="00E55D0E"/>
    <w:rsid w:val="00E56363"/>
    <w:rsid w:val="00E5668E"/>
    <w:rsid w:val="00E56B11"/>
    <w:rsid w:val="00E56C48"/>
    <w:rsid w:val="00E57025"/>
    <w:rsid w:val="00E5794F"/>
    <w:rsid w:val="00E57C83"/>
    <w:rsid w:val="00E608DD"/>
    <w:rsid w:val="00E61A25"/>
    <w:rsid w:val="00E61A7E"/>
    <w:rsid w:val="00E622E9"/>
    <w:rsid w:val="00E62684"/>
    <w:rsid w:val="00E628ED"/>
    <w:rsid w:val="00E62AD2"/>
    <w:rsid w:val="00E62ADA"/>
    <w:rsid w:val="00E62BD7"/>
    <w:rsid w:val="00E63868"/>
    <w:rsid w:val="00E638D7"/>
    <w:rsid w:val="00E639C3"/>
    <w:rsid w:val="00E64196"/>
    <w:rsid w:val="00E6465A"/>
    <w:rsid w:val="00E66071"/>
    <w:rsid w:val="00E66EBE"/>
    <w:rsid w:val="00E6744E"/>
    <w:rsid w:val="00E67742"/>
    <w:rsid w:val="00E67949"/>
    <w:rsid w:val="00E67B3E"/>
    <w:rsid w:val="00E70635"/>
    <w:rsid w:val="00E707C2"/>
    <w:rsid w:val="00E71541"/>
    <w:rsid w:val="00E718A5"/>
    <w:rsid w:val="00E718FD"/>
    <w:rsid w:val="00E72195"/>
    <w:rsid w:val="00E7248C"/>
    <w:rsid w:val="00E73492"/>
    <w:rsid w:val="00E7394B"/>
    <w:rsid w:val="00E740EF"/>
    <w:rsid w:val="00E75326"/>
    <w:rsid w:val="00E756B8"/>
    <w:rsid w:val="00E76584"/>
    <w:rsid w:val="00E77003"/>
    <w:rsid w:val="00E777BD"/>
    <w:rsid w:val="00E779DB"/>
    <w:rsid w:val="00E77DA8"/>
    <w:rsid w:val="00E804A8"/>
    <w:rsid w:val="00E819E8"/>
    <w:rsid w:val="00E81E4C"/>
    <w:rsid w:val="00E826C4"/>
    <w:rsid w:val="00E82C69"/>
    <w:rsid w:val="00E83B06"/>
    <w:rsid w:val="00E841D3"/>
    <w:rsid w:val="00E84235"/>
    <w:rsid w:val="00E84887"/>
    <w:rsid w:val="00E8492F"/>
    <w:rsid w:val="00E85A87"/>
    <w:rsid w:val="00E868AD"/>
    <w:rsid w:val="00E87383"/>
    <w:rsid w:val="00E87D97"/>
    <w:rsid w:val="00E87EFF"/>
    <w:rsid w:val="00E90567"/>
    <w:rsid w:val="00E90881"/>
    <w:rsid w:val="00E91F83"/>
    <w:rsid w:val="00E92400"/>
    <w:rsid w:val="00E92C92"/>
    <w:rsid w:val="00E92CC1"/>
    <w:rsid w:val="00E92ED1"/>
    <w:rsid w:val="00E932EF"/>
    <w:rsid w:val="00E9423F"/>
    <w:rsid w:val="00E9438F"/>
    <w:rsid w:val="00E94780"/>
    <w:rsid w:val="00E94E89"/>
    <w:rsid w:val="00E95C1A"/>
    <w:rsid w:val="00E96788"/>
    <w:rsid w:val="00E968A0"/>
    <w:rsid w:val="00E96D0F"/>
    <w:rsid w:val="00E97164"/>
    <w:rsid w:val="00E97187"/>
    <w:rsid w:val="00E971F9"/>
    <w:rsid w:val="00E975C9"/>
    <w:rsid w:val="00EA09FA"/>
    <w:rsid w:val="00EA1205"/>
    <w:rsid w:val="00EA1468"/>
    <w:rsid w:val="00EA18D4"/>
    <w:rsid w:val="00EA1AE6"/>
    <w:rsid w:val="00EA1BDE"/>
    <w:rsid w:val="00EA1F33"/>
    <w:rsid w:val="00EA2142"/>
    <w:rsid w:val="00EA2BC7"/>
    <w:rsid w:val="00EA2BD5"/>
    <w:rsid w:val="00EA37C4"/>
    <w:rsid w:val="00EA3A90"/>
    <w:rsid w:val="00EA3E55"/>
    <w:rsid w:val="00EA3F3B"/>
    <w:rsid w:val="00EA43A4"/>
    <w:rsid w:val="00EA46D5"/>
    <w:rsid w:val="00EA49E5"/>
    <w:rsid w:val="00EA5A9E"/>
    <w:rsid w:val="00EA620C"/>
    <w:rsid w:val="00EB0186"/>
    <w:rsid w:val="00EB0361"/>
    <w:rsid w:val="00EB04D0"/>
    <w:rsid w:val="00EB131D"/>
    <w:rsid w:val="00EB17AB"/>
    <w:rsid w:val="00EB2DCF"/>
    <w:rsid w:val="00EB373E"/>
    <w:rsid w:val="00EB4165"/>
    <w:rsid w:val="00EB43C5"/>
    <w:rsid w:val="00EB43CA"/>
    <w:rsid w:val="00EB4838"/>
    <w:rsid w:val="00EB494D"/>
    <w:rsid w:val="00EB53D2"/>
    <w:rsid w:val="00EC0373"/>
    <w:rsid w:val="00EC0FB5"/>
    <w:rsid w:val="00EC13E7"/>
    <w:rsid w:val="00EC13F0"/>
    <w:rsid w:val="00EC24A8"/>
    <w:rsid w:val="00EC2729"/>
    <w:rsid w:val="00EC419B"/>
    <w:rsid w:val="00EC5D8D"/>
    <w:rsid w:val="00EC6AB0"/>
    <w:rsid w:val="00EC7818"/>
    <w:rsid w:val="00EC7B87"/>
    <w:rsid w:val="00ED043E"/>
    <w:rsid w:val="00ED106B"/>
    <w:rsid w:val="00ED12DF"/>
    <w:rsid w:val="00ED1330"/>
    <w:rsid w:val="00ED14A4"/>
    <w:rsid w:val="00ED1BB8"/>
    <w:rsid w:val="00ED2ABD"/>
    <w:rsid w:val="00ED5473"/>
    <w:rsid w:val="00ED569A"/>
    <w:rsid w:val="00ED5AF9"/>
    <w:rsid w:val="00ED6D39"/>
    <w:rsid w:val="00ED762D"/>
    <w:rsid w:val="00ED7CA3"/>
    <w:rsid w:val="00EE0518"/>
    <w:rsid w:val="00EE1135"/>
    <w:rsid w:val="00EE1633"/>
    <w:rsid w:val="00EE1E0E"/>
    <w:rsid w:val="00EE28B1"/>
    <w:rsid w:val="00EE397F"/>
    <w:rsid w:val="00EE3ACA"/>
    <w:rsid w:val="00EE47F8"/>
    <w:rsid w:val="00EE4A7C"/>
    <w:rsid w:val="00EE5088"/>
    <w:rsid w:val="00EE58FB"/>
    <w:rsid w:val="00EE6539"/>
    <w:rsid w:val="00EE688C"/>
    <w:rsid w:val="00EE69AF"/>
    <w:rsid w:val="00EF056A"/>
    <w:rsid w:val="00EF0C58"/>
    <w:rsid w:val="00EF0CD1"/>
    <w:rsid w:val="00EF0E0A"/>
    <w:rsid w:val="00EF14F6"/>
    <w:rsid w:val="00EF15A3"/>
    <w:rsid w:val="00EF2642"/>
    <w:rsid w:val="00EF2FC6"/>
    <w:rsid w:val="00EF3539"/>
    <w:rsid w:val="00EF3B31"/>
    <w:rsid w:val="00EF45AF"/>
    <w:rsid w:val="00EF46B5"/>
    <w:rsid w:val="00EF5930"/>
    <w:rsid w:val="00EF599E"/>
    <w:rsid w:val="00EF5FB8"/>
    <w:rsid w:val="00EF66E3"/>
    <w:rsid w:val="00EF6B21"/>
    <w:rsid w:val="00EF7A23"/>
    <w:rsid w:val="00F00364"/>
    <w:rsid w:val="00F02A22"/>
    <w:rsid w:val="00F03211"/>
    <w:rsid w:val="00F0380E"/>
    <w:rsid w:val="00F05097"/>
    <w:rsid w:val="00F05479"/>
    <w:rsid w:val="00F0556D"/>
    <w:rsid w:val="00F05661"/>
    <w:rsid w:val="00F05881"/>
    <w:rsid w:val="00F07322"/>
    <w:rsid w:val="00F07793"/>
    <w:rsid w:val="00F07E58"/>
    <w:rsid w:val="00F07F96"/>
    <w:rsid w:val="00F10639"/>
    <w:rsid w:val="00F12682"/>
    <w:rsid w:val="00F143FA"/>
    <w:rsid w:val="00F159AC"/>
    <w:rsid w:val="00F1634A"/>
    <w:rsid w:val="00F165AF"/>
    <w:rsid w:val="00F17175"/>
    <w:rsid w:val="00F17939"/>
    <w:rsid w:val="00F17EB6"/>
    <w:rsid w:val="00F20C87"/>
    <w:rsid w:val="00F2102F"/>
    <w:rsid w:val="00F229F7"/>
    <w:rsid w:val="00F231B6"/>
    <w:rsid w:val="00F234E6"/>
    <w:rsid w:val="00F2394F"/>
    <w:rsid w:val="00F24F6C"/>
    <w:rsid w:val="00F251C8"/>
    <w:rsid w:val="00F2533F"/>
    <w:rsid w:val="00F25602"/>
    <w:rsid w:val="00F2584D"/>
    <w:rsid w:val="00F27568"/>
    <w:rsid w:val="00F2768A"/>
    <w:rsid w:val="00F27744"/>
    <w:rsid w:val="00F304FB"/>
    <w:rsid w:val="00F30863"/>
    <w:rsid w:val="00F30A81"/>
    <w:rsid w:val="00F30E47"/>
    <w:rsid w:val="00F312AF"/>
    <w:rsid w:val="00F32394"/>
    <w:rsid w:val="00F32E2E"/>
    <w:rsid w:val="00F3392F"/>
    <w:rsid w:val="00F34F41"/>
    <w:rsid w:val="00F35075"/>
    <w:rsid w:val="00F36672"/>
    <w:rsid w:val="00F36DB2"/>
    <w:rsid w:val="00F374E8"/>
    <w:rsid w:val="00F37B0B"/>
    <w:rsid w:val="00F37D67"/>
    <w:rsid w:val="00F4051B"/>
    <w:rsid w:val="00F4078B"/>
    <w:rsid w:val="00F40CAB"/>
    <w:rsid w:val="00F40CD7"/>
    <w:rsid w:val="00F412BF"/>
    <w:rsid w:val="00F4164E"/>
    <w:rsid w:val="00F418B9"/>
    <w:rsid w:val="00F42296"/>
    <w:rsid w:val="00F428C6"/>
    <w:rsid w:val="00F42C96"/>
    <w:rsid w:val="00F44877"/>
    <w:rsid w:val="00F44F30"/>
    <w:rsid w:val="00F46380"/>
    <w:rsid w:val="00F464D8"/>
    <w:rsid w:val="00F473FE"/>
    <w:rsid w:val="00F50104"/>
    <w:rsid w:val="00F5036B"/>
    <w:rsid w:val="00F50459"/>
    <w:rsid w:val="00F50526"/>
    <w:rsid w:val="00F507BD"/>
    <w:rsid w:val="00F50C24"/>
    <w:rsid w:val="00F50F75"/>
    <w:rsid w:val="00F5134E"/>
    <w:rsid w:val="00F51C5B"/>
    <w:rsid w:val="00F52273"/>
    <w:rsid w:val="00F52452"/>
    <w:rsid w:val="00F52A82"/>
    <w:rsid w:val="00F5360F"/>
    <w:rsid w:val="00F537CB"/>
    <w:rsid w:val="00F544A5"/>
    <w:rsid w:val="00F54984"/>
    <w:rsid w:val="00F550FA"/>
    <w:rsid w:val="00F55655"/>
    <w:rsid w:val="00F56929"/>
    <w:rsid w:val="00F6075E"/>
    <w:rsid w:val="00F611BA"/>
    <w:rsid w:val="00F612E3"/>
    <w:rsid w:val="00F613C0"/>
    <w:rsid w:val="00F614CE"/>
    <w:rsid w:val="00F61538"/>
    <w:rsid w:val="00F615D2"/>
    <w:rsid w:val="00F62335"/>
    <w:rsid w:val="00F63AD3"/>
    <w:rsid w:val="00F6404B"/>
    <w:rsid w:val="00F64466"/>
    <w:rsid w:val="00F66EAE"/>
    <w:rsid w:val="00F66F3F"/>
    <w:rsid w:val="00F679E4"/>
    <w:rsid w:val="00F7039B"/>
    <w:rsid w:val="00F704D5"/>
    <w:rsid w:val="00F705C8"/>
    <w:rsid w:val="00F70A58"/>
    <w:rsid w:val="00F70ABF"/>
    <w:rsid w:val="00F70D1A"/>
    <w:rsid w:val="00F71020"/>
    <w:rsid w:val="00F71792"/>
    <w:rsid w:val="00F717B2"/>
    <w:rsid w:val="00F7270A"/>
    <w:rsid w:val="00F72A41"/>
    <w:rsid w:val="00F72E60"/>
    <w:rsid w:val="00F7302C"/>
    <w:rsid w:val="00F732EF"/>
    <w:rsid w:val="00F73B87"/>
    <w:rsid w:val="00F7439B"/>
    <w:rsid w:val="00F7472A"/>
    <w:rsid w:val="00F74ED7"/>
    <w:rsid w:val="00F75328"/>
    <w:rsid w:val="00F76129"/>
    <w:rsid w:val="00F76CC5"/>
    <w:rsid w:val="00F807AC"/>
    <w:rsid w:val="00F80937"/>
    <w:rsid w:val="00F80EEE"/>
    <w:rsid w:val="00F82788"/>
    <w:rsid w:val="00F8286D"/>
    <w:rsid w:val="00F82974"/>
    <w:rsid w:val="00F829B8"/>
    <w:rsid w:val="00F82E16"/>
    <w:rsid w:val="00F84163"/>
    <w:rsid w:val="00F8428D"/>
    <w:rsid w:val="00F84341"/>
    <w:rsid w:val="00F84C1C"/>
    <w:rsid w:val="00F85ACE"/>
    <w:rsid w:val="00F85BC9"/>
    <w:rsid w:val="00F85DE6"/>
    <w:rsid w:val="00F85F74"/>
    <w:rsid w:val="00F8626A"/>
    <w:rsid w:val="00F86DD2"/>
    <w:rsid w:val="00F87204"/>
    <w:rsid w:val="00F91D08"/>
    <w:rsid w:val="00F91D99"/>
    <w:rsid w:val="00F93C5F"/>
    <w:rsid w:val="00F95CB2"/>
    <w:rsid w:val="00F96005"/>
    <w:rsid w:val="00F96F8F"/>
    <w:rsid w:val="00F97C4E"/>
    <w:rsid w:val="00FA058A"/>
    <w:rsid w:val="00FA1371"/>
    <w:rsid w:val="00FA1577"/>
    <w:rsid w:val="00FA1C6D"/>
    <w:rsid w:val="00FA2708"/>
    <w:rsid w:val="00FA39BF"/>
    <w:rsid w:val="00FA504C"/>
    <w:rsid w:val="00FA6BE7"/>
    <w:rsid w:val="00FB06E2"/>
    <w:rsid w:val="00FB0A44"/>
    <w:rsid w:val="00FB0BA5"/>
    <w:rsid w:val="00FB1057"/>
    <w:rsid w:val="00FB1160"/>
    <w:rsid w:val="00FB157A"/>
    <w:rsid w:val="00FB218F"/>
    <w:rsid w:val="00FB2A8E"/>
    <w:rsid w:val="00FB2D6C"/>
    <w:rsid w:val="00FB2DCF"/>
    <w:rsid w:val="00FB362B"/>
    <w:rsid w:val="00FB3E60"/>
    <w:rsid w:val="00FB5343"/>
    <w:rsid w:val="00FB5641"/>
    <w:rsid w:val="00FB5BBF"/>
    <w:rsid w:val="00FB6C67"/>
    <w:rsid w:val="00FB70A9"/>
    <w:rsid w:val="00FB7246"/>
    <w:rsid w:val="00FB7304"/>
    <w:rsid w:val="00FB7C94"/>
    <w:rsid w:val="00FC11F9"/>
    <w:rsid w:val="00FC15B7"/>
    <w:rsid w:val="00FC18C7"/>
    <w:rsid w:val="00FC3800"/>
    <w:rsid w:val="00FC4182"/>
    <w:rsid w:val="00FC4581"/>
    <w:rsid w:val="00FC477E"/>
    <w:rsid w:val="00FC4AD3"/>
    <w:rsid w:val="00FC4B37"/>
    <w:rsid w:val="00FC5695"/>
    <w:rsid w:val="00FC5F2D"/>
    <w:rsid w:val="00FC688C"/>
    <w:rsid w:val="00FC79DC"/>
    <w:rsid w:val="00FC7C57"/>
    <w:rsid w:val="00FD0312"/>
    <w:rsid w:val="00FD043C"/>
    <w:rsid w:val="00FD0582"/>
    <w:rsid w:val="00FD1116"/>
    <w:rsid w:val="00FD1133"/>
    <w:rsid w:val="00FD1A26"/>
    <w:rsid w:val="00FD1EF4"/>
    <w:rsid w:val="00FD29F4"/>
    <w:rsid w:val="00FD45CA"/>
    <w:rsid w:val="00FD4B58"/>
    <w:rsid w:val="00FD521D"/>
    <w:rsid w:val="00FD557B"/>
    <w:rsid w:val="00FD6307"/>
    <w:rsid w:val="00FD676A"/>
    <w:rsid w:val="00FD679D"/>
    <w:rsid w:val="00FD7DF3"/>
    <w:rsid w:val="00FE141B"/>
    <w:rsid w:val="00FE1BCD"/>
    <w:rsid w:val="00FE37AC"/>
    <w:rsid w:val="00FE396A"/>
    <w:rsid w:val="00FE3B59"/>
    <w:rsid w:val="00FE47BC"/>
    <w:rsid w:val="00FE4878"/>
    <w:rsid w:val="00FE4B88"/>
    <w:rsid w:val="00FE4F1D"/>
    <w:rsid w:val="00FE50CF"/>
    <w:rsid w:val="00FE5B1D"/>
    <w:rsid w:val="00FE64B9"/>
    <w:rsid w:val="00FE6A4A"/>
    <w:rsid w:val="00FE7469"/>
    <w:rsid w:val="00FE7CB6"/>
    <w:rsid w:val="00FF2BD3"/>
    <w:rsid w:val="00FF3176"/>
    <w:rsid w:val="00FF31B3"/>
    <w:rsid w:val="00FF3AB8"/>
    <w:rsid w:val="00FF482F"/>
    <w:rsid w:val="00FF50FC"/>
    <w:rsid w:val="00FF5646"/>
    <w:rsid w:val="00FF62D6"/>
    <w:rsid w:val="00FF714F"/>
    <w:rsid w:val="00FF73CD"/>
    <w:rsid w:val="00FF7952"/>
    <w:rsid w:val="00FF7DAA"/>
    <w:rsid w:val="01392D38"/>
    <w:rsid w:val="015E5661"/>
    <w:rsid w:val="01D92A0A"/>
    <w:rsid w:val="01E16476"/>
    <w:rsid w:val="02214636"/>
    <w:rsid w:val="023512E2"/>
    <w:rsid w:val="02415A05"/>
    <w:rsid w:val="029340A0"/>
    <w:rsid w:val="03732C0F"/>
    <w:rsid w:val="043C0AD7"/>
    <w:rsid w:val="04533693"/>
    <w:rsid w:val="04673473"/>
    <w:rsid w:val="04981C76"/>
    <w:rsid w:val="049F030A"/>
    <w:rsid w:val="04C852BF"/>
    <w:rsid w:val="051D7E98"/>
    <w:rsid w:val="055314A8"/>
    <w:rsid w:val="056C701C"/>
    <w:rsid w:val="057B6902"/>
    <w:rsid w:val="058D01BA"/>
    <w:rsid w:val="05916D41"/>
    <w:rsid w:val="060D2850"/>
    <w:rsid w:val="06804FF2"/>
    <w:rsid w:val="069832D4"/>
    <w:rsid w:val="06B0083B"/>
    <w:rsid w:val="06C908DB"/>
    <w:rsid w:val="06D42416"/>
    <w:rsid w:val="07300B8F"/>
    <w:rsid w:val="07612FAE"/>
    <w:rsid w:val="076B2C9F"/>
    <w:rsid w:val="076C149E"/>
    <w:rsid w:val="07C03864"/>
    <w:rsid w:val="08061772"/>
    <w:rsid w:val="0809402B"/>
    <w:rsid w:val="08143F14"/>
    <w:rsid w:val="0827319A"/>
    <w:rsid w:val="089A5222"/>
    <w:rsid w:val="08B31BA8"/>
    <w:rsid w:val="08FC6929"/>
    <w:rsid w:val="092B2AAE"/>
    <w:rsid w:val="09783537"/>
    <w:rsid w:val="0A291675"/>
    <w:rsid w:val="0A362FD4"/>
    <w:rsid w:val="0A67477F"/>
    <w:rsid w:val="0A76138A"/>
    <w:rsid w:val="0B424248"/>
    <w:rsid w:val="0B7C4A26"/>
    <w:rsid w:val="0BA721BA"/>
    <w:rsid w:val="0BC83893"/>
    <w:rsid w:val="0BFB7A8D"/>
    <w:rsid w:val="0C167502"/>
    <w:rsid w:val="0CE3015F"/>
    <w:rsid w:val="0D2C1753"/>
    <w:rsid w:val="0D846229"/>
    <w:rsid w:val="0D8E7AB6"/>
    <w:rsid w:val="0DD50C7F"/>
    <w:rsid w:val="0E301B08"/>
    <w:rsid w:val="0E710589"/>
    <w:rsid w:val="0E8E4E78"/>
    <w:rsid w:val="0EAE3BE4"/>
    <w:rsid w:val="0EE332C1"/>
    <w:rsid w:val="0F3357CC"/>
    <w:rsid w:val="0F670028"/>
    <w:rsid w:val="0F6F797A"/>
    <w:rsid w:val="0F7E2141"/>
    <w:rsid w:val="0F802656"/>
    <w:rsid w:val="0FA757D4"/>
    <w:rsid w:val="0FB91DAC"/>
    <w:rsid w:val="0FD151C3"/>
    <w:rsid w:val="10F005DB"/>
    <w:rsid w:val="10F92EAE"/>
    <w:rsid w:val="1147731E"/>
    <w:rsid w:val="117E2D57"/>
    <w:rsid w:val="11C82E16"/>
    <w:rsid w:val="11D65138"/>
    <w:rsid w:val="120A3AD3"/>
    <w:rsid w:val="121162F5"/>
    <w:rsid w:val="121A298C"/>
    <w:rsid w:val="121A3C68"/>
    <w:rsid w:val="12307A63"/>
    <w:rsid w:val="12D354BD"/>
    <w:rsid w:val="12E42BC9"/>
    <w:rsid w:val="134C77BF"/>
    <w:rsid w:val="136B18EA"/>
    <w:rsid w:val="136D509F"/>
    <w:rsid w:val="137227C1"/>
    <w:rsid w:val="14002E40"/>
    <w:rsid w:val="143407AE"/>
    <w:rsid w:val="14DE3F42"/>
    <w:rsid w:val="14E417EB"/>
    <w:rsid w:val="150D5697"/>
    <w:rsid w:val="155C2B54"/>
    <w:rsid w:val="159A35E9"/>
    <w:rsid w:val="15DA64F5"/>
    <w:rsid w:val="15E64566"/>
    <w:rsid w:val="15E9669E"/>
    <w:rsid w:val="15F23370"/>
    <w:rsid w:val="167765D8"/>
    <w:rsid w:val="16980B38"/>
    <w:rsid w:val="16AF1484"/>
    <w:rsid w:val="16D47327"/>
    <w:rsid w:val="17473E1F"/>
    <w:rsid w:val="17694764"/>
    <w:rsid w:val="176D1905"/>
    <w:rsid w:val="176F14F7"/>
    <w:rsid w:val="177B177A"/>
    <w:rsid w:val="17A751D7"/>
    <w:rsid w:val="182B461B"/>
    <w:rsid w:val="185F1929"/>
    <w:rsid w:val="18CA077D"/>
    <w:rsid w:val="18DF706E"/>
    <w:rsid w:val="19307E20"/>
    <w:rsid w:val="1A1A34CD"/>
    <w:rsid w:val="1A2D6F5F"/>
    <w:rsid w:val="1A347BB3"/>
    <w:rsid w:val="1A472D47"/>
    <w:rsid w:val="1A547C08"/>
    <w:rsid w:val="1AB765F7"/>
    <w:rsid w:val="1AC108A8"/>
    <w:rsid w:val="1AC36B8A"/>
    <w:rsid w:val="1AED64E4"/>
    <w:rsid w:val="1AEF6EF8"/>
    <w:rsid w:val="1AF50E3E"/>
    <w:rsid w:val="1B8D7E06"/>
    <w:rsid w:val="1BDD1A17"/>
    <w:rsid w:val="1BFA78DA"/>
    <w:rsid w:val="1C367204"/>
    <w:rsid w:val="1C4D13CA"/>
    <w:rsid w:val="1C5B6411"/>
    <w:rsid w:val="1C9851BE"/>
    <w:rsid w:val="1D2E4890"/>
    <w:rsid w:val="1D55793E"/>
    <w:rsid w:val="1DCA6FFF"/>
    <w:rsid w:val="1DDB355E"/>
    <w:rsid w:val="1F1A17DF"/>
    <w:rsid w:val="1F290426"/>
    <w:rsid w:val="1F6A5A61"/>
    <w:rsid w:val="1FFC6530"/>
    <w:rsid w:val="203A0163"/>
    <w:rsid w:val="204F31DD"/>
    <w:rsid w:val="20580005"/>
    <w:rsid w:val="207A3BD5"/>
    <w:rsid w:val="20960447"/>
    <w:rsid w:val="21252616"/>
    <w:rsid w:val="21266583"/>
    <w:rsid w:val="213F4002"/>
    <w:rsid w:val="216B336A"/>
    <w:rsid w:val="22200B3D"/>
    <w:rsid w:val="22944B37"/>
    <w:rsid w:val="234532AC"/>
    <w:rsid w:val="23612ADB"/>
    <w:rsid w:val="237F221A"/>
    <w:rsid w:val="238E6600"/>
    <w:rsid w:val="24262818"/>
    <w:rsid w:val="24AE2D0B"/>
    <w:rsid w:val="24C84311"/>
    <w:rsid w:val="24E953DD"/>
    <w:rsid w:val="24FE098E"/>
    <w:rsid w:val="25125547"/>
    <w:rsid w:val="2517780E"/>
    <w:rsid w:val="25AD701A"/>
    <w:rsid w:val="25E65000"/>
    <w:rsid w:val="268C393F"/>
    <w:rsid w:val="26F53A5A"/>
    <w:rsid w:val="26FB62F8"/>
    <w:rsid w:val="27143E85"/>
    <w:rsid w:val="27265B59"/>
    <w:rsid w:val="27EF6899"/>
    <w:rsid w:val="27FD3E2E"/>
    <w:rsid w:val="282804CF"/>
    <w:rsid w:val="28564146"/>
    <w:rsid w:val="28C01CDC"/>
    <w:rsid w:val="28E052E6"/>
    <w:rsid w:val="28F1480B"/>
    <w:rsid w:val="290967E8"/>
    <w:rsid w:val="29277EC0"/>
    <w:rsid w:val="296E4770"/>
    <w:rsid w:val="299B52B0"/>
    <w:rsid w:val="29AA536A"/>
    <w:rsid w:val="2A3C0ADF"/>
    <w:rsid w:val="2A3F6009"/>
    <w:rsid w:val="2A4A3993"/>
    <w:rsid w:val="2A4D0FFB"/>
    <w:rsid w:val="2AEF69FA"/>
    <w:rsid w:val="2AF51616"/>
    <w:rsid w:val="2B4B3AC8"/>
    <w:rsid w:val="2B624F76"/>
    <w:rsid w:val="2B657CB5"/>
    <w:rsid w:val="2B8F0100"/>
    <w:rsid w:val="2BDF5EBC"/>
    <w:rsid w:val="2BFE252B"/>
    <w:rsid w:val="2CA46D44"/>
    <w:rsid w:val="2CD81F3F"/>
    <w:rsid w:val="2CF63816"/>
    <w:rsid w:val="2D3B1FED"/>
    <w:rsid w:val="2D6A7D37"/>
    <w:rsid w:val="2D9A7D9E"/>
    <w:rsid w:val="2DAF3333"/>
    <w:rsid w:val="2DB63568"/>
    <w:rsid w:val="2DC801F9"/>
    <w:rsid w:val="2EB841FE"/>
    <w:rsid w:val="2EBB0FB4"/>
    <w:rsid w:val="2F28609D"/>
    <w:rsid w:val="2F2A0357"/>
    <w:rsid w:val="2F335191"/>
    <w:rsid w:val="2F587862"/>
    <w:rsid w:val="2F68426D"/>
    <w:rsid w:val="2F694765"/>
    <w:rsid w:val="2FD51C81"/>
    <w:rsid w:val="3033719F"/>
    <w:rsid w:val="30342814"/>
    <w:rsid w:val="303F58E8"/>
    <w:rsid w:val="30512DED"/>
    <w:rsid w:val="306924C5"/>
    <w:rsid w:val="30C62571"/>
    <w:rsid w:val="30CE23FE"/>
    <w:rsid w:val="30EE716E"/>
    <w:rsid w:val="31063547"/>
    <w:rsid w:val="310B6272"/>
    <w:rsid w:val="31483F1F"/>
    <w:rsid w:val="31740CF0"/>
    <w:rsid w:val="31DF1304"/>
    <w:rsid w:val="322B219A"/>
    <w:rsid w:val="32645091"/>
    <w:rsid w:val="32DB1F15"/>
    <w:rsid w:val="32E10BB1"/>
    <w:rsid w:val="3366596C"/>
    <w:rsid w:val="33A07345"/>
    <w:rsid w:val="34DD216F"/>
    <w:rsid w:val="35943A55"/>
    <w:rsid w:val="35A76ED3"/>
    <w:rsid w:val="35A9182D"/>
    <w:rsid w:val="35A94E26"/>
    <w:rsid w:val="35AF6DF7"/>
    <w:rsid w:val="36405396"/>
    <w:rsid w:val="366304D1"/>
    <w:rsid w:val="36922A1E"/>
    <w:rsid w:val="36992947"/>
    <w:rsid w:val="37187BEE"/>
    <w:rsid w:val="372E4CC4"/>
    <w:rsid w:val="37684B4C"/>
    <w:rsid w:val="37D62646"/>
    <w:rsid w:val="37E67AF2"/>
    <w:rsid w:val="37ED6E70"/>
    <w:rsid w:val="386157E1"/>
    <w:rsid w:val="38634BC6"/>
    <w:rsid w:val="38BD6467"/>
    <w:rsid w:val="395002FB"/>
    <w:rsid w:val="395E38FF"/>
    <w:rsid w:val="398501C7"/>
    <w:rsid w:val="39B115C7"/>
    <w:rsid w:val="39C3688E"/>
    <w:rsid w:val="39C4424E"/>
    <w:rsid w:val="39E5425C"/>
    <w:rsid w:val="3A36021B"/>
    <w:rsid w:val="3A395B6C"/>
    <w:rsid w:val="3A87254D"/>
    <w:rsid w:val="3AB953EB"/>
    <w:rsid w:val="3B2D3D6E"/>
    <w:rsid w:val="3B3A5F64"/>
    <w:rsid w:val="3B511652"/>
    <w:rsid w:val="3B7A5D83"/>
    <w:rsid w:val="3B97466B"/>
    <w:rsid w:val="3C250304"/>
    <w:rsid w:val="3C4A0A8E"/>
    <w:rsid w:val="3CCA7F78"/>
    <w:rsid w:val="3CD617F9"/>
    <w:rsid w:val="3D7F5AF2"/>
    <w:rsid w:val="3D8D6F3C"/>
    <w:rsid w:val="3DF453B4"/>
    <w:rsid w:val="3DF92B02"/>
    <w:rsid w:val="3E194174"/>
    <w:rsid w:val="3E752750"/>
    <w:rsid w:val="3EAD27F9"/>
    <w:rsid w:val="3F111246"/>
    <w:rsid w:val="3F8D6398"/>
    <w:rsid w:val="3FF107F5"/>
    <w:rsid w:val="4056353A"/>
    <w:rsid w:val="405F2E7E"/>
    <w:rsid w:val="40750FD8"/>
    <w:rsid w:val="409D340E"/>
    <w:rsid w:val="412D2D5A"/>
    <w:rsid w:val="415354E6"/>
    <w:rsid w:val="418B1591"/>
    <w:rsid w:val="41A21BC0"/>
    <w:rsid w:val="41D73B40"/>
    <w:rsid w:val="41E019B1"/>
    <w:rsid w:val="41E050E0"/>
    <w:rsid w:val="41EF5304"/>
    <w:rsid w:val="422469CC"/>
    <w:rsid w:val="422B7A84"/>
    <w:rsid w:val="423B58C8"/>
    <w:rsid w:val="42D243A7"/>
    <w:rsid w:val="42D3150D"/>
    <w:rsid w:val="43144188"/>
    <w:rsid w:val="431E666E"/>
    <w:rsid w:val="43B03E05"/>
    <w:rsid w:val="43FE3AAC"/>
    <w:rsid w:val="4417610F"/>
    <w:rsid w:val="44394EC9"/>
    <w:rsid w:val="445819EB"/>
    <w:rsid w:val="448237AC"/>
    <w:rsid w:val="448B73F1"/>
    <w:rsid w:val="45075CCE"/>
    <w:rsid w:val="452811CB"/>
    <w:rsid w:val="456201ED"/>
    <w:rsid w:val="45A215D6"/>
    <w:rsid w:val="45E42773"/>
    <w:rsid w:val="46013B49"/>
    <w:rsid w:val="460575B2"/>
    <w:rsid w:val="462E1A89"/>
    <w:rsid w:val="4633515C"/>
    <w:rsid w:val="46AC7ECF"/>
    <w:rsid w:val="46C2792E"/>
    <w:rsid w:val="472520B2"/>
    <w:rsid w:val="477335C1"/>
    <w:rsid w:val="47BC4434"/>
    <w:rsid w:val="47CC4F58"/>
    <w:rsid w:val="480E6387"/>
    <w:rsid w:val="482B4F7F"/>
    <w:rsid w:val="484857A6"/>
    <w:rsid w:val="48847767"/>
    <w:rsid w:val="488B3862"/>
    <w:rsid w:val="48DF4E6D"/>
    <w:rsid w:val="491570F2"/>
    <w:rsid w:val="4929328E"/>
    <w:rsid w:val="495C2CE2"/>
    <w:rsid w:val="49910BE0"/>
    <w:rsid w:val="49A557D7"/>
    <w:rsid w:val="49C4294A"/>
    <w:rsid w:val="4A0611C4"/>
    <w:rsid w:val="4A3B4ED1"/>
    <w:rsid w:val="4A4323E2"/>
    <w:rsid w:val="4AC90CAA"/>
    <w:rsid w:val="4B371D0C"/>
    <w:rsid w:val="4BA44F9E"/>
    <w:rsid w:val="4BAF62F3"/>
    <w:rsid w:val="4BE71925"/>
    <w:rsid w:val="4C2F46EE"/>
    <w:rsid w:val="4C75360E"/>
    <w:rsid w:val="4CA448ED"/>
    <w:rsid w:val="4D1E5DC1"/>
    <w:rsid w:val="4D2537FE"/>
    <w:rsid w:val="4D64782A"/>
    <w:rsid w:val="4D875413"/>
    <w:rsid w:val="4DA23C78"/>
    <w:rsid w:val="4DEE0D31"/>
    <w:rsid w:val="4EA3394F"/>
    <w:rsid w:val="4F8D5B54"/>
    <w:rsid w:val="504D2082"/>
    <w:rsid w:val="50636BE7"/>
    <w:rsid w:val="5067715E"/>
    <w:rsid w:val="50962B77"/>
    <w:rsid w:val="50F67728"/>
    <w:rsid w:val="513C0CE5"/>
    <w:rsid w:val="51502C9F"/>
    <w:rsid w:val="51874EB1"/>
    <w:rsid w:val="518839AA"/>
    <w:rsid w:val="51FF0B77"/>
    <w:rsid w:val="52005516"/>
    <w:rsid w:val="52027037"/>
    <w:rsid w:val="52546621"/>
    <w:rsid w:val="531A7C19"/>
    <w:rsid w:val="53801F6C"/>
    <w:rsid w:val="538E66C8"/>
    <w:rsid w:val="53B4436B"/>
    <w:rsid w:val="5416773B"/>
    <w:rsid w:val="542238EE"/>
    <w:rsid w:val="543016DB"/>
    <w:rsid w:val="54332746"/>
    <w:rsid w:val="54410384"/>
    <w:rsid w:val="54581AF9"/>
    <w:rsid w:val="547337E8"/>
    <w:rsid w:val="547C1C03"/>
    <w:rsid w:val="54B62DF2"/>
    <w:rsid w:val="54D44526"/>
    <w:rsid w:val="54DC5DAC"/>
    <w:rsid w:val="54EA3CBF"/>
    <w:rsid w:val="54ED70E4"/>
    <w:rsid w:val="55BD4246"/>
    <w:rsid w:val="55C24327"/>
    <w:rsid w:val="567B017C"/>
    <w:rsid w:val="569633E6"/>
    <w:rsid w:val="570F1633"/>
    <w:rsid w:val="57462C96"/>
    <w:rsid w:val="57722916"/>
    <w:rsid w:val="578527BB"/>
    <w:rsid w:val="578F34E4"/>
    <w:rsid w:val="57DC3109"/>
    <w:rsid w:val="58133B70"/>
    <w:rsid w:val="582955E1"/>
    <w:rsid w:val="583D3A07"/>
    <w:rsid w:val="58501242"/>
    <w:rsid w:val="58937ECA"/>
    <w:rsid w:val="59044F75"/>
    <w:rsid w:val="598C0C30"/>
    <w:rsid w:val="5A0549B2"/>
    <w:rsid w:val="5A296B6B"/>
    <w:rsid w:val="5A8E2966"/>
    <w:rsid w:val="5AD324AC"/>
    <w:rsid w:val="5B2E718B"/>
    <w:rsid w:val="5B4B18F7"/>
    <w:rsid w:val="5B505615"/>
    <w:rsid w:val="5B802881"/>
    <w:rsid w:val="5C120888"/>
    <w:rsid w:val="5C1322B9"/>
    <w:rsid w:val="5C1A1D6B"/>
    <w:rsid w:val="5C650F79"/>
    <w:rsid w:val="5C803A23"/>
    <w:rsid w:val="5C8D73A7"/>
    <w:rsid w:val="5CAD6333"/>
    <w:rsid w:val="5CFE7B1D"/>
    <w:rsid w:val="5D2C31A6"/>
    <w:rsid w:val="5D7A1873"/>
    <w:rsid w:val="5DE53122"/>
    <w:rsid w:val="5E1740E5"/>
    <w:rsid w:val="5EC04ADD"/>
    <w:rsid w:val="5EE511A7"/>
    <w:rsid w:val="5F261A69"/>
    <w:rsid w:val="5F7E4A33"/>
    <w:rsid w:val="5F8566CC"/>
    <w:rsid w:val="5FBB0767"/>
    <w:rsid w:val="5FD95F0E"/>
    <w:rsid w:val="5FF1433A"/>
    <w:rsid w:val="600F77AE"/>
    <w:rsid w:val="602D2445"/>
    <w:rsid w:val="606070BE"/>
    <w:rsid w:val="607B22D8"/>
    <w:rsid w:val="607F44F3"/>
    <w:rsid w:val="609704AA"/>
    <w:rsid w:val="60C61BD7"/>
    <w:rsid w:val="60CD5830"/>
    <w:rsid w:val="6109247C"/>
    <w:rsid w:val="611665CE"/>
    <w:rsid w:val="61426A2A"/>
    <w:rsid w:val="615C0CF8"/>
    <w:rsid w:val="61B265BD"/>
    <w:rsid w:val="61C50371"/>
    <w:rsid w:val="61CA02B5"/>
    <w:rsid w:val="61D3414F"/>
    <w:rsid w:val="61D60ABD"/>
    <w:rsid w:val="61D675D8"/>
    <w:rsid w:val="61D71A58"/>
    <w:rsid w:val="61F24845"/>
    <w:rsid w:val="61F33CB2"/>
    <w:rsid w:val="61FD72BA"/>
    <w:rsid w:val="62172F0E"/>
    <w:rsid w:val="62226FCD"/>
    <w:rsid w:val="62350011"/>
    <w:rsid w:val="627360A3"/>
    <w:rsid w:val="62754B42"/>
    <w:rsid w:val="629B53AD"/>
    <w:rsid w:val="62AE24A3"/>
    <w:rsid w:val="62B56164"/>
    <w:rsid w:val="62B82771"/>
    <w:rsid w:val="63306F17"/>
    <w:rsid w:val="646C744B"/>
    <w:rsid w:val="649B30F9"/>
    <w:rsid w:val="64CB665E"/>
    <w:rsid w:val="64D62FD9"/>
    <w:rsid w:val="650A084A"/>
    <w:rsid w:val="65261F81"/>
    <w:rsid w:val="654831BB"/>
    <w:rsid w:val="65640A19"/>
    <w:rsid w:val="660F1117"/>
    <w:rsid w:val="661B30BF"/>
    <w:rsid w:val="662E021F"/>
    <w:rsid w:val="668279BA"/>
    <w:rsid w:val="66AF2737"/>
    <w:rsid w:val="66D47193"/>
    <w:rsid w:val="674139E1"/>
    <w:rsid w:val="677A5131"/>
    <w:rsid w:val="67A84255"/>
    <w:rsid w:val="67AC1BCF"/>
    <w:rsid w:val="67F02F7A"/>
    <w:rsid w:val="68E10345"/>
    <w:rsid w:val="690707CC"/>
    <w:rsid w:val="6916540A"/>
    <w:rsid w:val="69AF2717"/>
    <w:rsid w:val="69C35F12"/>
    <w:rsid w:val="69C408F9"/>
    <w:rsid w:val="6A0223ED"/>
    <w:rsid w:val="6AAD4BA1"/>
    <w:rsid w:val="6AAE6FFC"/>
    <w:rsid w:val="6AB764FA"/>
    <w:rsid w:val="6AFD2AB8"/>
    <w:rsid w:val="6B195586"/>
    <w:rsid w:val="6B355E7C"/>
    <w:rsid w:val="6B800CD1"/>
    <w:rsid w:val="6BE15BBD"/>
    <w:rsid w:val="6BFD2687"/>
    <w:rsid w:val="6C081AFE"/>
    <w:rsid w:val="6C9409D2"/>
    <w:rsid w:val="6D40496E"/>
    <w:rsid w:val="6D4C68FE"/>
    <w:rsid w:val="6D6F515E"/>
    <w:rsid w:val="6DB60A2B"/>
    <w:rsid w:val="6DF61A67"/>
    <w:rsid w:val="6E2F1395"/>
    <w:rsid w:val="6E694F81"/>
    <w:rsid w:val="6E7B241D"/>
    <w:rsid w:val="6E7B59A1"/>
    <w:rsid w:val="6EA30A4C"/>
    <w:rsid w:val="6EAC7D40"/>
    <w:rsid w:val="6ECF62D3"/>
    <w:rsid w:val="6F2255B4"/>
    <w:rsid w:val="6FA8415C"/>
    <w:rsid w:val="6FC50C43"/>
    <w:rsid w:val="6FC759B6"/>
    <w:rsid w:val="6FFB2F01"/>
    <w:rsid w:val="7081130F"/>
    <w:rsid w:val="709A2826"/>
    <w:rsid w:val="70DC3EAA"/>
    <w:rsid w:val="71276EF3"/>
    <w:rsid w:val="714D44B4"/>
    <w:rsid w:val="719B6493"/>
    <w:rsid w:val="71F40F73"/>
    <w:rsid w:val="71F437A4"/>
    <w:rsid w:val="72044A75"/>
    <w:rsid w:val="7260546D"/>
    <w:rsid w:val="729F3E13"/>
    <w:rsid w:val="72C269B8"/>
    <w:rsid w:val="72F263AC"/>
    <w:rsid w:val="735B7925"/>
    <w:rsid w:val="736900E4"/>
    <w:rsid w:val="7398768A"/>
    <w:rsid w:val="74610E79"/>
    <w:rsid w:val="749C2B38"/>
    <w:rsid w:val="74C2349C"/>
    <w:rsid w:val="750D4425"/>
    <w:rsid w:val="75501FEF"/>
    <w:rsid w:val="75737C1F"/>
    <w:rsid w:val="758144A5"/>
    <w:rsid w:val="76520F58"/>
    <w:rsid w:val="767D0DE1"/>
    <w:rsid w:val="76956538"/>
    <w:rsid w:val="76B71CEF"/>
    <w:rsid w:val="76BB0A81"/>
    <w:rsid w:val="76C15904"/>
    <w:rsid w:val="77091D73"/>
    <w:rsid w:val="77E46981"/>
    <w:rsid w:val="7813129C"/>
    <w:rsid w:val="78177C77"/>
    <w:rsid w:val="785F2F34"/>
    <w:rsid w:val="786E489E"/>
    <w:rsid w:val="787028AF"/>
    <w:rsid w:val="78897CD9"/>
    <w:rsid w:val="78B82D63"/>
    <w:rsid w:val="78F01107"/>
    <w:rsid w:val="78FC79F4"/>
    <w:rsid w:val="78FE5D65"/>
    <w:rsid w:val="794A31D9"/>
    <w:rsid w:val="79604A9E"/>
    <w:rsid w:val="796A0CF9"/>
    <w:rsid w:val="79AE1284"/>
    <w:rsid w:val="79BB09EB"/>
    <w:rsid w:val="79D7634B"/>
    <w:rsid w:val="79F2546F"/>
    <w:rsid w:val="7A001D7B"/>
    <w:rsid w:val="7A1B3D6E"/>
    <w:rsid w:val="7A4052D9"/>
    <w:rsid w:val="7A462130"/>
    <w:rsid w:val="7AA905A8"/>
    <w:rsid w:val="7ABD7978"/>
    <w:rsid w:val="7AE13E3E"/>
    <w:rsid w:val="7B80544F"/>
    <w:rsid w:val="7BB94314"/>
    <w:rsid w:val="7BBF0CB1"/>
    <w:rsid w:val="7BCA37B5"/>
    <w:rsid w:val="7BFF1E4A"/>
    <w:rsid w:val="7CF05636"/>
    <w:rsid w:val="7CF23019"/>
    <w:rsid w:val="7CFA62D1"/>
    <w:rsid w:val="7CFE67CD"/>
    <w:rsid w:val="7D3B4628"/>
    <w:rsid w:val="7DDF0E79"/>
    <w:rsid w:val="7E342415"/>
    <w:rsid w:val="7E4824E5"/>
    <w:rsid w:val="7E507058"/>
    <w:rsid w:val="7E557681"/>
    <w:rsid w:val="7E682A90"/>
    <w:rsid w:val="7EC27A80"/>
    <w:rsid w:val="7F0B4647"/>
    <w:rsid w:val="7F172750"/>
    <w:rsid w:val="7F2D61D8"/>
    <w:rsid w:val="7F6462ED"/>
    <w:rsid w:val="7F6615F7"/>
    <w:rsid w:val="7FDA5585"/>
    <w:rsid w:val="7FED2605"/>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6">
    <w:name w:val="heading 1"/>
    <w:basedOn w:val="1"/>
    <w:next w:val="1"/>
    <w:link w:val="61"/>
    <w:qFormat/>
    <w:uiPriority w:val="0"/>
    <w:pPr>
      <w:keepNext/>
      <w:keepLines/>
      <w:ind w:firstLine="0" w:firstLineChars="0"/>
      <w:outlineLvl w:val="0"/>
    </w:pPr>
    <w:rPr>
      <w:b/>
      <w:bCs/>
      <w:kern w:val="44"/>
      <w:sz w:val="30"/>
      <w:szCs w:val="44"/>
    </w:rPr>
  </w:style>
  <w:style w:type="paragraph" w:styleId="7">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link w:val="44"/>
    <w:qFormat/>
    <w:uiPriority w:val="0"/>
    <w:pPr>
      <w:keepNext/>
      <w:keepLines/>
      <w:spacing w:before="260" w:after="260" w:line="416" w:lineRule="auto"/>
      <w:outlineLvl w:val="2"/>
    </w:pPr>
    <w:rPr>
      <w:b/>
      <w:bCs/>
      <w:sz w:val="32"/>
      <w:szCs w:val="32"/>
    </w:rPr>
  </w:style>
  <w:style w:type="paragraph" w:styleId="9">
    <w:name w:val="heading 4"/>
    <w:basedOn w:val="1"/>
    <w:next w:val="1"/>
    <w:link w:val="8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after="120" w:line="240" w:lineRule="auto"/>
      <w:ind w:left="420" w:firstLine="0" w:firstLineChars="0"/>
    </w:pPr>
  </w:style>
  <w:style w:type="paragraph" w:styleId="3">
    <w:name w:val="Body Text Indent"/>
    <w:basedOn w:val="1"/>
    <w:qFormat/>
    <w:uiPriority w:val="0"/>
    <w:pPr>
      <w:spacing w:line="500" w:lineRule="exact"/>
      <w:ind w:firstLine="560"/>
    </w:pPr>
    <w:rPr>
      <w:rFonts w:ascii="宋体" w:hAnsi="宋体"/>
      <w:color w:val="FF0000"/>
      <w:sz w:val="28"/>
      <w:szCs w:val="28"/>
    </w:rPr>
  </w:style>
  <w:style w:type="paragraph" w:styleId="4">
    <w:name w:val="Body Text First Indent"/>
    <w:basedOn w:val="5"/>
    <w:link w:val="74"/>
    <w:qFormat/>
    <w:uiPriority w:val="0"/>
    <w:pPr>
      <w:ind w:firstLine="420" w:firstLineChars="100"/>
    </w:pPr>
  </w:style>
  <w:style w:type="paragraph" w:styleId="5">
    <w:name w:val="Body Text"/>
    <w:basedOn w:val="1"/>
    <w:next w:val="1"/>
    <w:link w:val="73"/>
    <w:qFormat/>
    <w:uiPriority w:val="0"/>
    <w:pPr>
      <w:spacing w:after="120"/>
    </w:pPr>
  </w:style>
  <w:style w:type="paragraph" w:styleId="10">
    <w:name w:val="Normal Indent"/>
    <w:basedOn w:val="1"/>
    <w:link w:val="47"/>
    <w:qFormat/>
    <w:uiPriority w:val="0"/>
    <w:pPr>
      <w:ind w:firstLine="420"/>
    </w:pPr>
    <w:rPr>
      <w:sz w:val="21"/>
      <w:szCs w:val="20"/>
    </w:rPr>
  </w:style>
  <w:style w:type="paragraph" w:styleId="11">
    <w:name w:val="Document Map"/>
    <w:basedOn w:val="1"/>
    <w:semiHidden/>
    <w:qFormat/>
    <w:uiPriority w:val="0"/>
    <w:pPr>
      <w:shd w:val="clear" w:color="auto" w:fill="000080"/>
    </w:pPr>
  </w:style>
  <w:style w:type="paragraph" w:styleId="12">
    <w:name w:val="annotation text"/>
    <w:basedOn w:val="1"/>
    <w:link w:val="37"/>
    <w:qFormat/>
    <w:uiPriority w:val="99"/>
    <w:pPr>
      <w:jc w:val="left"/>
    </w:pPr>
    <w:rPr>
      <w:sz w:val="21"/>
    </w:rPr>
  </w:style>
  <w:style w:type="paragraph" w:styleId="13">
    <w:name w:val="Block Text"/>
    <w:basedOn w:val="1"/>
    <w:next w:val="1"/>
    <w:qFormat/>
    <w:uiPriority w:val="0"/>
    <w:pPr>
      <w:ind w:left="113" w:right="113"/>
    </w:pPr>
    <w:rPr>
      <w:sz w:val="28"/>
    </w:rPr>
  </w:style>
  <w:style w:type="paragraph" w:styleId="14">
    <w:name w:val="Plain Text"/>
    <w:basedOn w:val="1"/>
    <w:qFormat/>
    <w:uiPriority w:val="0"/>
    <w:rPr>
      <w:rFonts w:ascii="宋体" w:hAnsi="Courier New"/>
    </w:rPr>
  </w:style>
  <w:style w:type="paragraph" w:styleId="15">
    <w:name w:val="Date"/>
    <w:basedOn w:val="1"/>
    <w:next w:val="1"/>
    <w:link w:val="60"/>
    <w:qFormat/>
    <w:uiPriority w:val="0"/>
    <w:pPr>
      <w:ind w:left="100" w:leftChars="2500"/>
    </w:pPr>
    <w:rPr>
      <w:sz w:val="21"/>
    </w:rPr>
  </w:style>
  <w:style w:type="paragraph" w:styleId="16">
    <w:name w:val="Body Text Indent 2"/>
    <w:basedOn w:val="1"/>
    <w:qFormat/>
    <w:uiPriority w:val="0"/>
    <w:pPr>
      <w:spacing w:after="120" w:line="480" w:lineRule="auto"/>
      <w:ind w:left="420" w:leftChars="200"/>
    </w:pPr>
  </w:style>
  <w:style w:type="paragraph" w:styleId="17">
    <w:name w:val="Balloon Text"/>
    <w:basedOn w:val="1"/>
    <w:semiHidden/>
    <w:qFormat/>
    <w:uiPriority w:val="0"/>
    <w:rPr>
      <w:sz w:val="18"/>
      <w:szCs w:val="18"/>
    </w:rPr>
  </w:style>
  <w:style w:type="paragraph" w:styleId="18">
    <w:name w:val="footer"/>
    <w:basedOn w:val="1"/>
    <w:link w:val="38"/>
    <w:qFormat/>
    <w:uiPriority w:val="99"/>
    <w:pPr>
      <w:tabs>
        <w:tab w:val="center" w:pos="4153"/>
        <w:tab w:val="right" w:pos="8306"/>
      </w:tabs>
      <w:snapToGrid w:val="0"/>
      <w:jc w:val="left"/>
    </w:pPr>
    <w:rPr>
      <w:sz w:val="18"/>
      <w:szCs w:val="18"/>
    </w:rPr>
  </w:style>
  <w:style w:type="paragraph" w:styleId="19">
    <w:name w:val="header"/>
    <w:basedOn w:val="1"/>
    <w:next w:val="1"/>
    <w:link w:val="46"/>
    <w:qFormat/>
    <w:uiPriority w:val="99"/>
    <w:pPr>
      <w:pBdr>
        <w:bottom w:val="single" w:color="auto" w:sz="6" w:space="1"/>
      </w:pBdr>
      <w:tabs>
        <w:tab w:val="center" w:pos="4153"/>
        <w:tab w:val="right" w:pos="8306"/>
      </w:tabs>
      <w:snapToGrid w:val="0"/>
      <w:jc w:val="center"/>
    </w:pPr>
    <w:rPr>
      <w:sz w:val="18"/>
      <w:szCs w:val="18"/>
    </w:rPr>
  </w:style>
  <w:style w:type="paragraph" w:styleId="20">
    <w:name w:val="Subtitle"/>
    <w:basedOn w:val="1"/>
    <w:next w:val="1"/>
    <w:link w:val="72"/>
    <w:qFormat/>
    <w:uiPriority w:val="11"/>
    <w:pPr>
      <w:spacing w:line="240" w:lineRule="auto"/>
      <w:ind w:firstLine="0" w:firstLineChars="0"/>
      <w:jc w:val="center"/>
      <w:outlineLvl w:val="1"/>
    </w:pPr>
    <w:rPr>
      <w:b/>
      <w:bCs/>
      <w:kern w:val="28"/>
      <w:sz w:val="21"/>
      <w:szCs w:val="32"/>
    </w:rPr>
  </w:style>
  <w:style w:type="paragraph" w:styleId="21">
    <w:name w:val="Body Text Indent 3"/>
    <w:basedOn w:val="1"/>
    <w:qFormat/>
    <w:uiPriority w:val="0"/>
    <w:pPr>
      <w:spacing w:line="520" w:lineRule="exact"/>
      <w:ind w:firstLine="556"/>
    </w:pPr>
    <w:rPr>
      <w:rFonts w:eastAsia="仿宋_GB2312"/>
      <w:sz w:val="28"/>
    </w:rPr>
  </w:style>
  <w:style w:type="paragraph" w:styleId="22">
    <w:name w:val="table of figures"/>
    <w:basedOn w:val="1"/>
    <w:next w:val="1"/>
    <w:qFormat/>
    <w:uiPriority w:val="0"/>
    <w:pPr>
      <w:spacing w:line="240" w:lineRule="auto"/>
      <w:ind w:left="200" w:leftChars="200" w:hanging="200" w:hangingChars="200"/>
    </w:pPr>
    <w:rPr>
      <w:sz w:val="28"/>
      <w:szCs w:val="20"/>
    </w:rPr>
  </w:style>
  <w:style w:type="paragraph" w:styleId="23">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color w:val="000000"/>
      <w:kern w:val="0"/>
    </w:rPr>
  </w:style>
  <w:style w:type="paragraph" w:styleId="24">
    <w:name w:val="Normal (Web)"/>
    <w:basedOn w:val="1"/>
    <w:qFormat/>
    <w:uiPriority w:val="99"/>
    <w:pPr>
      <w:widowControl/>
      <w:spacing w:before="100" w:beforeAutospacing="1" w:after="100" w:afterAutospacing="1"/>
      <w:jc w:val="left"/>
    </w:pPr>
    <w:rPr>
      <w:rFonts w:ascii="宋体" w:hAnsi="宋体" w:cs="宋体"/>
      <w:kern w:val="0"/>
    </w:rPr>
  </w:style>
  <w:style w:type="paragraph" w:styleId="25">
    <w:name w:val="index 1"/>
    <w:basedOn w:val="1"/>
    <w:next w:val="1"/>
    <w:qFormat/>
    <w:uiPriority w:val="0"/>
    <w:pPr>
      <w:spacing w:line="360" w:lineRule="exact"/>
      <w:jc w:val="center"/>
    </w:pPr>
    <w:rPr>
      <w:color w:val="FF0000"/>
      <w:szCs w:val="21"/>
    </w:rPr>
  </w:style>
  <w:style w:type="paragraph" w:styleId="26">
    <w:name w:val="Title"/>
    <w:basedOn w:val="1"/>
    <w:next w:val="1"/>
    <w:link w:val="70"/>
    <w:qFormat/>
    <w:uiPriority w:val="0"/>
    <w:pPr>
      <w:spacing w:before="240" w:after="60"/>
      <w:jc w:val="center"/>
      <w:outlineLvl w:val="0"/>
    </w:pPr>
    <w:rPr>
      <w:rFonts w:ascii="Cambria" w:hAnsi="Cambria"/>
      <w:b/>
      <w:bCs/>
      <w:sz w:val="32"/>
      <w:szCs w:val="32"/>
    </w:rPr>
  </w:style>
  <w:style w:type="paragraph" w:styleId="27">
    <w:name w:val="annotation subject"/>
    <w:basedOn w:val="12"/>
    <w:next w:val="12"/>
    <w:semiHidden/>
    <w:qFormat/>
    <w:uiPriority w:val="0"/>
    <w:rPr>
      <w:b/>
      <w:bCs/>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basedOn w:val="30"/>
    <w:qFormat/>
    <w:uiPriority w:val="0"/>
  </w:style>
  <w:style w:type="character" w:styleId="33">
    <w:name w:val="FollowedHyperlink"/>
    <w:qFormat/>
    <w:uiPriority w:val="0"/>
    <w:rPr>
      <w:color w:val="444444"/>
      <w:u w:val="none"/>
    </w:rPr>
  </w:style>
  <w:style w:type="character" w:styleId="34">
    <w:name w:val="Emphasis"/>
    <w:qFormat/>
    <w:uiPriority w:val="20"/>
    <w:rPr>
      <w:color w:val="CC0000"/>
    </w:rPr>
  </w:style>
  <w:style w:type="character" w:styleId="35">
    <w:name w:val="Hyperlink"/>
    <w:qFormat/>
    <w:uiPriority w:val="0"/>
    <w:rPr>
      <w:color w:val="3366CC"/>
      <w:u w:val="single"/>
    </w:rPr>
  </w:style>
  <w:style w:type="character" w:styleId="36">
    <w:name w:val="annotation reference"/>
    <w:semiHidden/>
    <w:qFormat/>
    <w:uiPriority w:val="99"/>
    <w:rPr>
      <w:sz w:val="21"/>
      <w:szCs w:val="21"/>
    </w:rPr>
  </w:style>
  <w:style w:type="character" w:customStyle="1" w:styleId="37">
    <w:name w:val="批注文字 Char"/>
    <w:link w:val="12"/>
    <w:qFormat/>
    <w:uiPriority w:val="99"/>
    <w:rPr>
      <w:kern w:val="2"/>
      <w:sz w:val="21"/>
      <w:szCs w:val="24"/>
    </w:rPr>
  </w:style>
  <w:style w:type="character" w:customStyle="1" w:styleId="38">
    <w:name w:val="页脚 Char"/>
    <w:link w:val="18"/>
    <w:qFormat/>
    <w:uiPriority w:val="99"/>
    <w:rPr>
      <w:kern w:val="2"/>
      <w:sz w:val="18"/>
      <w:szCs w:val="18"/>
    </w:rPr>
  </w:style>
  <w:style w:type="character" w:customStyle="1" w:styleId="39">
    <w:name w:val="表格文字 Char"/>
    <w:link w:val="40"/>
    <w:qFormat/>
    <w:uiPriority w:val="0"/>
    <w:rPr>
      <w:rFonts w:ascii="宋体" w:hAnsi="宋体"/>
      <w:snapToGrid w:val="0"/>
      <w:sz w:val="24"/>
      <w:szCs w:val="24"/>
      <w:lang w:val="en-US"/>
    </w:rPr>
  </w:style>
  <w:style w:type="paragraph" w:customStyle="1" w:styleId="40">
    <w:name w:val="表格文字"/>
    <w:basedOn w:val="5"/>
    <w:link w:val="39"/>
    <w:qFormat/>
    <w:uiPriority w:val="0"/>
    <w:pPr>
      <w:adjustRightInd w:val="0"/>
      <w:snapToGrid w:val="0"/>
      <w:spacing w:after="0" w:line="500" w:lineRule="exact"/>
    </w:pPr>
    <w:rPr>
      <w:rFonts w:ascii="宋体" w:hAnsi="宋体"/>
      <w:snapToGrid w:val="0"/>
      <w:kern w:val="0"/>
    </w:rPr>
  </w:style>
  <w:style w:type="character" w:customStyle="1" w:styleId="41">
    <w:name w:val="正文格式 Char"/>
    <w:link w:val="42"/>
    <w:qFormat/>
    <w:uiPriority w:val="0"/>
    <w:rPr>
      <w:rFonts w:cs="宋体"/>
      <w:kern w:val="2"/>
      <w:sz w:val="24"/>
      <w:szCs w:val="24"/>
    </w:rPr>
  </w:style>
  <w:style w:type="paragraph" w:customStyle="1" w:styleId="42">
    <w:name w:val="正文格式"/>
    <w:basedOn w:val="1"/>
    <w:link w:val="41"/>
    <w:qFormat/>
    <w:uiPriority w:val="0"/>
  </w:style>
  <w:style w:type="character" w:customStyle="1" w:styleId="43">
    <w:name w:val="headline-content"/>
    <w:basedOn w:val="30"/>
    <w:qFormat/>
    <w:uiPriority w:val="0"/>
  </w:style>
  <w:style w:type="character" w:customStyle="1" w:styleId="44">
    <w:name w:val="标题 3 Char"/>
    <w:link w:val="8"/>
    <w:qFormat/>
    <w:uiPriority w:val="0"/>
    <w:rPr>
      <w:b/>
      <w:bCs/>
      <w:kern w:val="2"/>
      <w:sz w:val="32"/>
      <w:szCs w:val="32"/>
    </w:rPr>
  </w:style>
  <w:style w:type="character" w:customStyle="1" w:styleId="45">
    <w:name w:val="标题 2 Char"/>
    <w:link w:val="7"/>
    <w:qFormat/>
    <w:uiPriority w:val="0"/>
    <w:rPr>
      <w:rFonts w:ascii="Arial" w:hAnsi="Arial" w:eastAsia="黑体"/>
      <w:b/>
      <w:bCs/>
      <w:kern w:val="2"/>
      <w:sz w:val="32"/>
      <w:szCs w:val="32"/>
      <w:lang w:val="en-US" w:eastAsia="zh-CN" w:bidi="ar-SA"/>
    </w:rPr>
  </w:style>
  <w:style w:type="character" w:customStyle="1" w:styleId="46">
    <w:name w:val="页眉 Char"/>
    <w:link w:val="19"/>
    <w:qFormat/>
    <w:uiPriority w:val="99"/>
    <w:rPr>
      <w:kern w:val="2"/>
      <w:sz w:val="18"/>
      <w:szCs w:val="18"/>
    </w:rPr>
  </w:style>
  <w:style w:type="character" w:customStyle="1" w:styleId="47">
    <w:name w:val="正文缩进 Char"/>
    <w:link w:val="10"/>
    <w:qFormat/>
    <w:uiPriority w:val="0"/>
    <w:rPr>
      <w:rFonts w:eastAsia="宋体"/>
      <w:kern w:val="2"/>
      <w:sz w:val="21"/>
      <w:lang w:val="en-US" w:eastAsia="zh-CN" w:bidi="ar-SA"/>
    </w:rPr>
  </w:style>
  <w:style w:type="paragraph" w:customStyle="1" w:styleId="48">
    <w:name w:val="5E8A942B92774C978FFC2A16BCB09EA4"/>
    <w:qFormat/>
    <w:uiPriority w:val="0"/>
    <w:pPr>
      <w:spacing w:after="200" w:line="276" w:lineRule="auto"/>
    </w:pPr>
    <w:rPr>
      <w:rFonts w:ascii="Calibri" w:hAnsi="Calibri" w:eastAsia="宋体" w:cs="Times New Roman"/>
      <w:sz w:val="22"/>
      <w:szCs w:val="22"/>
      <w:lang w:val="en-US" w:eastAsia="en-US" w:bidi="ar-SA"/>
    </w:rPr>
  </w:style>
  <w:style w:type="paragraph" w:customStyle="1" w:styleId="49">
    <w:name w:val="表格"/>
    <w:basedOn w:val="1"/>
    <w:qFormat/>
    <w:uiPriority w:val="0"/>
    <w:pPr>
      <w:jc w:val="center"/>
    </w:pPr>
    <w:rPr>
      <w:rFonts w:cs="宋体"/>
      <w:szCs w:val="20"/>
    </w:rPr>
  </w:style>
  <w:style w:type="paragraph" w:customStyle="1" w:styleId="50">
    <w:name w:val="T表格"/>
    <w:qFormat/>
    <w:uiPriority w:val="0"/>
    <w:pPr>
      <w:adjustRightInd w:val="0"/>
      <w:snapToGrid w:val="0"/>
      <w:spacing w:line="360" w:lineRule="auto"/>
      <w:jc w:val="center"/>
    </w:pPr>
    <w:rPr>
      <w:rFonts w:ascii="Times New Roman" w:hAnsi="Times New Roman" w:eastAsia="宋体" w:cs="Times New Roman"/>
      <w:color w:val="000000"/>
      <w:kern w:val="2"/>
      <w:sz w:val="21"/>
      <w:szCs w:val="21"/>
      <w:lang w:val="en-US" w:eastAsia="zh-CN" w:bidi="ar-SA"/>
    </w:rPr>
  </w:style>
  <w:style w:type="paragraph" w:customStyle="1" w:styleId="51">
    <w:name w:val="正文首行缩进1"/>
    <w:basedOn w:val="5"/>
    <w:qFormat/>
    <w:uiPriority w:val="0"/>
    <w:pPr>
      <w:ind w:firstLine="420" w:firstLineChars="100"/>
    </w:pPr>
  </w:style>
  <w:style w:type="paragraph" w:customStyle="1" w:styleId="52">
    <w:name w:val="Char Char Char Char"/>
    <w:basedOn w:val="1"/>
    <w:qFormat/>
    <w:uiPriority w:val="0"/>
  </w:style>
  <w:style w:type="paragraph" w:customStyle="1" w:styleId="53">
    <w:name w:val="默认段落字体 Para Char"/>
    <w:basedOn w:val="1"/>
    <w:qFormat/>
    <w:uiPriority w:val="0"/>
    <w:rPr>
      <w:rFonts w:ascii="宋体" w:hAnsi="宋体" w:cs="宋体"/>
    </w:rPr>
  </w:style>
  <w:style w:type="paragraph" w:customStyle="1" w:styleId="54">
    <w:name w:val="Char1"/>
    <w:basedOn w:val="1"/>
    <w:qFormat/>
    <w:uiPriority w:val="0"/>
    <w:pPr>
      <w:keepLines/>
      <w:pageBreakBefore/>
      <w:tabs>
        <w:tab w:val="left" w:pos="1320"/>
      </w:tabs>
      <w:spacing w:before="240" w:after="240" w:line="560" w:lineRule="exact"/>
      <w:outlineLvl w:val="0"/>
    </w:pPr>
    <w:rPr>
      <w:rFonts w:ascii="Arial" w:hAnsi="Arial" w:eastAsia="仿宋_GB2312"/>
      <w:bCs/>
      <w:kern w:val="44"/>
      <w:sz w:val="28"/>
      <w:szCs w:val="30"/>
    </w:rPr>
  </w:style>
  <w:style w:type="paragraph" w:customStyle="1" w:styleId="55">
    <w:name w:val="_Style 37"/>
    <w:basedOn w:val="1"/>
    <w:semiHidden/>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56">
    <w:name w:val="Char Char Char Char Char2 Char Char Char Char"/>
    <w:basedOn w:val="1"/>
    <w:semiHidden/>
    <w:qFormat/>
    <w:uiPriority w:val="0"/>
    <w:pPr>
      <w:adjustRightInd w:val="0"/>
      <w:snapToGrid w:val="0"/>
    </w:pPr>
    <w:rPr>
      <w:rFonts w:ascii="宋体" w:hAnsi="宋体" w:cs="宋体"/>
      <w:szCs w:val="26"/>
    </w:rPr>
  </w:style>
  <w:style w:type="paragraph" w:customStyle="1" w:styleId="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表、图标题"/>
    <w:basedOn w:val="1"/>
    <w:next w:val="1"/>
    <w:qFormat/>
    <w:uiPriority w:val="0"/>
    <w:pPr>
      <w:jc w:val="center"/>
    </w:pPr>
    <w:rPr>
      <w:b/>
    </w:rPr>
  </w:style>
  <w:style w:type="paragraph" w:customStyle="1" w:styleId="59">
    <w:name w:val="居中正文"/>
    <w:basedOn w:val="15"/>
    <w:next w:val="1"/>
    <w:qFormat/>
    <w:uiPriority w:val="0"/>
    <w:pPr>
      <w:adjustRightInd w:val="0"/>
      <w:spacing w:before="120"/>
      <w:ind w:left="0" w:leftChars="0"/>
      <w:jc w:val="center"/>
      <w:textAlignment w:val="baseline"/>
    </w:pPr>
    <w:rPr>
      <w:rFonts w:ascii="宋体"/>
      <w:kern w:val="28"/>
      <w:sz w:val="24"/>
      <w:szCs w:val="20"/>
    </w:rPr>
  </w:style>
  <w:style w:type="character" w:customStyle="1" w:styleId="60">
    <w:name w:val="日期 Char"/>
    <w:link w:val="15"/>
    <w:qFormat/>
    <w:uiPriority w:val="0"/>
    <w:rPr>
      <w:kern w:val="2"/>
      <w:sz w:val="21"/>
      <w:szCs w:val="24"/>
    </w:rPr>
  </w:style>
  <w:style w:type="character" w:customStyle="1" w:styleId="61">
    <w:name w:val="标题 1 Char"/>
    <w:link w:val="6"/>
    <w:qFormat/>
    <w:uiPriority w:val="0"/>
    <w:rPr>
      <w:b/>
      <w:bCs/>
      <w:kern w:val="44"/>
      <w:sz w:val="30"/>
      <w:szCs w:val="44"/>
    </w:rPr>
  </w:style>
  <w:style w:type="paragraph" w:customStyle="1" w:styleId="62">
    <w:name w:val="表题"/>
    <w:basedOn w:val="1"/>
    <w:link w:val="63"/>
    <w:qFormat/>
    <w:uiPriority w:val="0"/>
    <w:pPr>
      <w:ind w:firstLine="413" w:firstLineChars="196"/>
      <w:jc w:val="center"/>
    </w:pPr>
    <w:rPr>
      <w:b/>
      <w:sz w:val="21"/>
      <w:szCs w:val="21"/>
    </w:rPr>
  </w:style>
  <w:style w:type="character" w:customStyle="1" w:styleId="63">
    <w:name w:val="表题 Char Char"/>
    <w:link w:val="62"/>
    <w:qFormat/>
    <w:uiPriority w:val="0"/>
    <w:rPr>
      <w:b/>
      <w:kern w:val="2"/>
      <w:sz w:val="21"/>
      <w:szCs w:val="21"/>
    </w:rPr>
  </w:style>
  <w:style w:type="paragraph" w:customStyle="1" w:styleId="64">
    <w:name w:val="word"/>
    <w:basedOn w:val="1"/>
    <w:qFormat/>
    <w:uiPriority w:val="0"/>
    <w:pPr>
      <w:ind w:firstLine="480"/>
    </w:pPr>
    <w:rPr>
      <w:rFonts w:ascii="宋体" w:hAnsi="宋体"/>
      <w:kern w:val="0"/>
    </w:rPr>
  </w:style>
  <w:style w:type="paragraph" w:styleId="65">
    <w:name w:val="List Paragraph"/>
    <w:basedOn w:val="1"/>
    <w:qFormat/>
    <w:uiPriority w:val="99"/>
    <w:pPr>
      <w:ind w:firstLine="420"/>
    </w:pPr>
  </w:style>
  <w:style w:type="character" w:customStyle="1" w:styleId="66">
    <w:name w:val="正文首行缩进-修改 Char Char"/>
    <w:link w:val="67"/>
    <w:qFormat/>
    <w:uiPriority w:val="0"/>
    <w:rPr>
      <w:kern w:val="2"/>
      <w:sz w:val="24"/>
      <w:szCs w:val="24"/>
    </w:rPr>
  </w:style>
  <w:style w:type="paragraph" w:customStyle="1" w:styleId="67">
    <w:name w:val="正文首行缩进-修改"/>
    <w:basedOn w:val="1"/>
    <w:link w:val="66"/>
    <w:qFormat/>
    <w:uiPriority w:val="0"/>
    <w:pPr>
      <w:ind w:firstLine="480"/>
    </w:pPr>
  </w:style>
  <w:style w:type="paragraph" w:customStyle="1" w:styleId="68">
    <w:name w:val="样式9"/>
    <w:qFormat/>
    <w:uiPriority w:val="0"/>
    <w:pPr>
      <w:adjustRightInd w:val="0"/>
      <w:snapToGrid w:val="0"/>
      <w:spacing w:beforeLines="50"/>
      <w:ind w:firstLine="200" w:firstLineChars="200"/>
    </w:pPr>
    <w:rPr>
      <w:rFonts w:ascii="Times New Roman" w:hAnsi="宋体" w:eastAsia="Times New Roman" w:cs="Times New Roman"/>
      <w:b/>
      <w:szCs w:val="21"/>
      <w:lang w:val="en-US" w:eastAsia="zh-CN" w:bidi="ar-SA"/>
    </w:rPr>
  </w:style>
  <w:style w:type="paragraph" w:customStyle="1" w:styleId="69">
    <w:name w:val="表中"/>
    <w:basedOn w:val="1"/>
    <w:qFormat/>
    <w:uiPriority w:val="0"/>
    <w:pPr>
      <w:spacing w:line="440" w:lineRule="exact"/>
      <w:jc w:val="center"/>
      <w:textAlignment w:val="center"/>
    </w:pPr>
    <w:rPr>
      <w:rFonts w:ascii="仿宋_GB2312" w:eastAsia="仿宋_GB2312"/>
      <w:color w:val="000000"/>
      <w:sz w:val="28"/>
      <w:szCs w:val="28"/>
    </w:rPr>
  </w:style>
  <w:style w:type="character" w:customStyle="1" w:styleId="70">
    <w:name w:val="标题 Char"/>
    <w:basedOn w:val="30"/>
    <w:link w:val="26"/>
    <w:qFormat/>
    <w:uiPriority w:val="0"/>
    <w:rPr>
      <w:rFonts w:ascii="Cambria" w:hAnsi="Cambria" w:cs="Times New Roman"/>
      <w:b/>
      <w:bCs/>
      <w:kern w:val="2"/>
      <w:sz w:val="32"/>
      <w:szCs w:val="32"/>
    </w:rPr>
  </w:style>
  <w:style w:type="character" w:customStyle="1" w:styleId="71">
    <w:name w:val="不明显强调1"/>
    <w:basedOn w:val="30"/>
    <w:qFormat/>
    <w:uiPriority w:val="19"/>
    <w:rPr>
      <w:i/>
      <w:iCs/>
      <w:color w:val="808080"/>
    </w:rPr>
  </w:style>
  <w:style w:type="character" w:customStyle="1" w:styleId="72">
    <w:name w:val="副标题 Char"/>
    <w:basedOn w:val="30"/>
    <w:link w:val="20"/>
    <w:qFormat/>
    <w:uiPriority w:val="11"/>
    <w:rPr>
      <w:rFonts w:cs="Times New Roman"/>
      <w:b/>
      <w:bCs/>
      <w:kern w:val="28"/>
      <w:sz w:val="21"/>
      <w:szCs w:val="32"/>
    </w:rPr>
  </w:style>
  <w:style w:type="character" w:customStyle="1" w:styleId="73">
    <w:name w:val="正文文本 Char"/>
    <w:basedOn w:val="30"/>
    <w:link w:val="5"/>
    <w:qFormat/>
    <w:uiPriority w:val="0"/>
    <w:rPr>
      <w:kern w:val="2"/>
      <w:sz w:val="24"/>
      <w:szCs w:val="24"/>
    </w:rPr>
  </w:style>
  <w:style w:type="character" w:customStyle="1" w:styleId="74">
    <w:name w:val="正文首行缩进 Char"/>
    <w:basedOn w:val="73"/>
    <w:link w:val="4"/>
    <w:qFormat/>
    <w:uiPriority w:val="0"/>
    <w:rPr>
      <w:kern w:val="2"/>
      <w:sz w:val="24"/>
      <w:szCs w:val="24"/>
    </w:rPr>
  </w:style>
  <w:style w:type="paragraph" w:customStyle="1" w:styleId="75">
    <w:name w:val="图标标题"/>
    <w:basedOn w:val="1"/>
    <w:link w:val="76"/>
    <w:qFormat/>
    <w:uiPriority w:val="0"/>
    <w:pPr>
      <w:ind w:firstLine="0" w:firstLineChars="0"/>
      <w:jc w:val="center"/>
    </w:pPr>
    <w:rPr>
      <w:b/>
      <w:szCs w:val="18"/>
      <w:lang w:val="zh-CN"/>
    </w:rPr>
  </w:style>
  <w:style w:type="character" w:customStyle="1" w:styleId="76">
    <w:name w:val="图标标题 Char"/>
    <w:link w:val="75"/>
    <w:qFormat/>
    <w:uiPriority w:val="0"/>
    <w:rPr>
      <w:b/>
      <w:kern w:val="2"/>
      <w:sz w:val="24"/>
      <w:szCs w:val="18"/>
      <w:lang w:val="zh-CN"/>
    </w:rPr>
  </w:style>
  <w:style w:type="paragraph" w:customStyle="1" w:styleId="77">
    <w:name w:val="表"/>
    <w:basedOn w:val="1"/>
    <w:qFormat/>
    <w:uiPriority w:val="0"/>
    <w:pPr>
      <w:spacing w:line="240" w:lineRule="auto"/>
      <w:ind w:firstLine="0" w:firstLineChars="0"/>
    </w:pPr>
    <w:rPr>
      <w:rFonts w:eastAsia="黑体"/>
      <w:sz w:val="21"/>
      <w:szCs w:val="20"/>
    </w:rPr>
  </w:style>
  <w:style w:type="character" w:customStyle="1" w:styleId="78">
    <w:name w:val="表格文字. Char"/>
    <w:link w:val="79"/>
    <w:qFormat/>
    <w:uiPriority w:val="0"/>
    <w:rPr>
      <w:snapToGrid w:val="0"/>
      <w:color w:val="000000"/>
      <w:sz w:val="21"/>
    </w:rPr>
  </w:style>
  <w:style w:type="paragraph" w:customStyle="1" w:styleId="79">
    <w:name w:val="表格文字."/>
    <w:basedOn w:val="1"/>
    <w:link w:val="78"/>
    <w:qFormat/>
    <w:uiPriority w:val="0"/>
    <w:pPr>
      <w:adjustRightInd w:val="0"/>
      <w:snapToGrid w:val="0"/>
      <w:spacing w:line="240" w:lineRule="auto"/>
      <w:ind w:firstLine="0" w:firstLineChars="0"/>
      <w:jc w:val="center"/>
    </w:pPr>
    <w:rPr>
      <w:snapToGrid w:val="0"/>
      <w:color w:val="000000"/>
      <w:kern w:val="0"/>
      <w:sz w:val="21"/>
      <w:szCs w:val="20"/>
    </w:rPr>
  </w:style>
  <w:style w:type="paragraph" w:customStyle="1" w:styleId="80">
    <w:name w:val="表格标题"/>
    <w:basedOn w:val="4"/>
    <w:qFormat/>
    <w:uiPriority w:val="0"/>
    <w:pPr>
      <w:adjustRightInd w:val="0"/>
      <w:snapToGrid w:val="0"/>
      <w:spacing w:after="0" w:line="240" w:lineRule="auto"/>
      <w:ind w:firstLine="0" w:firstLineChars="0"/>
      <w:jc w:val="center"/>
    </w:pPr>
    <w:rPr>
      <w:b/>
      <w:szCs w:val="21"/>
    </w:rPr>
  </w:style>
  <w:style w:type="paragraph" w:customStyle="1" w:styleId="81">
    <w:name w:val="中等深浅网格 21"/>
    <w:basedOn w:val="1"/>
    <w:next w:val="1"/>
    <w:qFormat/>
    <w:uiPriority w:val="1"/>
    <w:pPr>
      <w:spacing w:line="240" w:lineRule="auto"/>
      <w:ind w:firstLine="0" w:firstLineChars="0"/>
      <w:jc w:val="center"/>
    </w:pPr>
    <w:rPr>
      <w:sz w:val="21"/>
      <w:szCs w:val="22"/>
    </w:rPr>
  </w:style>
  <w:style w:type="character" w:customStyle="1" w:styleId="82">
    <w:name w:val="标题 4 Char"/>
    <w:basedOn w:val="30"/>
    <w:link w:val="9"/>
    <w:semiHidden/>
    <w:qFormat/>
    <w:uiPriority w:val="0"/>
    <w:rPr>
      <w:rFonts w:asciiTheme="majorHAnsi" w:hAnsiTheme="majorHAnsi" w:eastAsiaTheme="majorEastAsia" w:cstheme="majorBidi"/>
      <w:b/>
      <w:bCs/>
      <w:kern w:val="2"/>
      <w:sz w:val="28"/>
      <w:szCs w:val="28"/>
    </w:rPr>
  </w:style>
  <w:style w:type="character" w:customStyle="1" w:styleId="83">
    <w:name w:val="A-表格 Char"/>
    <w:basedOn w:val="30"/>
    <w:link w:val="84"/>
    <w:qFormat/>
    <w:uiPriority w:val="0"/>
    <w:rPr>
      <w:rFonts w:eastAsia="楷体_GB2312"/>
      <w:kern w:val="2"/>
      <w:sz w:val="18"/>
      <w:szCs w:val="18"/>
      <w:lang w:val="zh-CN"/>
    </w:rPr>
  </w:style>
  <w:style w:type="paragraph" w:customStyle="1" w:styleId="84">
    <w:name w:val="A-表格"/>
    <w:basedOn w:val="1"/>
    <w:link w:val="83"/>
    <w:qFormat/>
    <w:uiPriority w:val="0"/>
    <w:pPr>
      <w:spacing w:line="220" w:lineRule="exact"/>
      <w:ind w:firstLine="0" w:firstLineChars="0"/>
      <w:jc w:val="center"/>
    </w:pPr>
    <w:rPr>
      <w:rFonts w:eastAsia="楷体_GB2312"/>
      <w:sz w:val="18"/>
      <w:szCs w:val="18"/>
      <w:lang w:val="zh-CN"/>
    </w:rPr>
  </w:style>
  <w:style w:type="character" w:customStyle="1" w:styleId="85">
    <w:name w:val="HTML 预设格式 Char"/>
    <w:basedOn w:val="30"/>
    <w:link w:val="23"/>
    <w:qFormat/>
    <w:uiPriority w:val="0"/>
    <w:rPr>
      <w:rFonts w:ascii="宋体" w:hAnsi="宋体"/>
      <w:color w:val="000000"/>
      <w:sz w:val="24"/>
      <w:szCs w:val="24"/>
    </w:rPr>
  </w:style>
  <w:style w:type="paragraph" w:customStyle="1" w:styleId="86">
    <w:name w:val="流程图文字"/>
    <w:basedOn w:val="1"/>
    <w:qFormat/>
    <w:uiPriority w:val="0"/>
    <w:pPr>
      <w:adjustRightInd w:val="0"/>
      <w:spacing w:beforeAutospacing="1" w:after="40" w:line="360" w:lineRule="exact"/>
      <w:ind w:firstLine="0" w:firstLineChars="0"/>
      <w:jc w:val="center"/>
      <w:textAlignment w:val="baseline"/>
    </w:pPr>
    <w:rPr>
      <w:rFonts w:ascii="宋体" w:hAnsi="宋体"/>
      <w:kern w:val="0"/>
      <w:szCs w:val="20"/>
    </w:rPr>
  </w:style>
  <w:style w:type="table" w:customStyle="1" w:styleId="87">
    <w:name w:val="网格型1"/>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8">
    <w:name w:val="Table Paragraph"/>
    <w:basedOn w:val="1"/>
    <w:qFormat/>
    <w:uiPriority w:val="1"/>
    <w:pPr>
      <w:spacing w:line="240" w:lineRule="auto"/>
      <w:ind w:firstLine="0" w:firstLineChars="0"/>
      <w:jc w:val="left"/>
    </w:pPr>
    <w:rPr>
      <w:rFonts w:asciiTheme="minorHAnsi" w:hAnsiTheme="minorHAnsi" w:eastAsiaTheme="minorEastAsia" w:cstheme="minorBidi"/>
      <w:kern w:val="0"/>
      <w:sz w:val="22"/>
      <w:szCs w:val="22"/>
      <w:lang w:eastAsia="en-US"/>
    </w:rPr>
  </w:style>
  <w:style w:type="character" w:customStyle="1" w:styleId="89">
    <w:name w:val="fontstyle01"/>
    <w:basedOn w:val="30"/>
    <w:qFormat/>
    <w:uiPriority w:val="0"/>
    <w:rPr>
      <w:rFonts w:hint="default" w:ascii="Times New Roman" w:hAnsi="Times New Roman" w:cs="Times New Roman"/>
      <w:color w:val="000000"/>
      <w:sz w:val="24"/>
      <w:szCs w:val="24"/>
    </w:rPr>
  </w:style>
  <w:style w:type="character" w:customStyle="1" w:styleId="90">
    <w:name w:val="fontstyle11"/>
    <w:basedOn w:val="30"/>
    <w:qFormat/>
    <w:uiPriority w:val="0"/>
    <w:rPr>
      <w:rFonts w:hint="eastAsia" w:ascii="宋体" w:hAnsi="宋体" w:eastAsia="宋体" w:cs="宋体"/>
      <w:color w:val="000000"/>
      <w:sz w:val="24"/>
      <w:szCs w:val="24"/>
    </w:rPr>
  </w:style>
  <w:style w:type="character" w:styleId="91">
    <w:name w:val="Placeholder Text"/>
    <w:basedOn w:val="30"/>
    <w:unhideWhenUsed/>
    <w:qFormat/>
    <w:uiPriority w:val="99"/>
    <w:rPr>
      <w:color w:val="808080"/>
    </w:rPr>
  </w:style>
  <w:style w:type="paragraph" w:customStyle="1" w:styleId="92">
    <w:name w:val="4正文"/>
    <w:basedOn w:val="1"/>
    <w:qFormat/>
    <w:uiPriority w:val="0"/>
    <w:pPr>
      <w:adjustRightInd w:val="0"/>
      <w:snapToGrid w:val="0"/>
      <w:ind w:firstLine="480" w:firstLineChars="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wmf"/><Relationship Id="rId31" Type="http://schemas.openxmlformats.org/officeDocument/2006/relationships/oleObject" Target="embeddings/oleObject3.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8AFF9-15C2-4C22-A79A-E232120F72A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6695</Words>
  <Characters>38163</Characters>
  <Lines>318</Lines>
  <Paragraphs>89</Paragraphs>
  <TotalTime>29</TotalTime>
  <ScaleCrop>false</ScaleCrop>
  <LinksUpToDate>false</LinksUpToDate>
  <CharactersWithSpaces>44769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2020-02-15T14:15:00Z</dcterms:created>
  <dc:creator>微软用户</dc:creator>
  <cp:lastModifiedBy>失忆</cp:lastModifiedBy>
  <cp:lastPrinted>2015-03-23T06:25:00Z</cp:lastPrinted>
  <dcterms:modified xsi:type="dcterms:W3CDTF">2021-01-29T00:46:06Z</dcterms:modified>
  <dc:title>建设项目基本情况</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