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西咸新区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综合执法改革执法事项清单说明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纳入新区综合执法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改革的事项共包含15类550项行政处罚、16项行政强制和与之相关的行政检查事项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,各新城综合行政执法局为执法主体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。除列入综合执法改革事项集中行使外，其它执法事项仍在原行业主管部门行使。为提升执法效能，提高执法质量，将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194项行政处罚、9项行政强制事项交由</w:t>
      </w:r>
      <w:r>
        <w:rPr>
          <w:rFonts w:hint="eastAsia" w:ascii="仿宋_GB2312" w:hAnsi="仿宋_GB2312" w:eastAsia="仿宋_GB2312" w:cs="仿宋_GB2312"/>
          <w:sz w:val="32"/>
          <w:szCs w:val="32"/>
        </w:rPr>
        <w:t>街镇综合执法大队行使。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交由街镇执法大队行使的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194项行政处罚事项，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使用简易程序进行处罚的，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执法大队按照内部审核程序作出处罚决定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使用一般程序进行处罚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和实施行政强制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的，由街镇综合执法大队承办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负责人审核签字后，按要求报新城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执法支队法制审核，由新城执法支队负责人签署决定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由西安市立法设立的处罚事项，在原西安市行政区划范围内按照西安市法规内容执行。在原咸阳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行政区划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范围内执行时，国家和省级有上位法规定的，按照上位法执行；无上位法规定又需要对违法行为进行处理时，参照西安市相关法规执行。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清单下发后，相关部门应定期开展执法事项实施情况调研，根据工作实际，动态调整清单，逐步实现执法重心下移。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815D2"/>
    <w:rsid w:val="156D7781"/>
    <w:rsid w:val="16EB28EC"/>
    <w:rsid w:val="1D412CCC"/>
    <w:rsid w:val="1DCE3277"/>
    <w:rsid w:val="1EDA4FCB"/>
    <w:rsid w:val="2B2705A5"/>
    <w:rsid w:val="2BFC5298"/>
    <w:rsid w:val="4EA32867"/>
    <w:rsid w:val="65D87F67"/>
    <w:rsid w:val="67221D91"/>
    <w:rsid w:val="74D126CE"/>
    <w:rsid w:val="75E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baiji</dc:creator>
  <cp:lastModifiedBy>Lenovo</cp:lastModifiedBy>
  <dcterms:modified xsi:type="dcterms:W3CDTF">2020-07-23T13:18:37Z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