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jc w:val="center"/>
        <w:rPr>
          <w:rFonts w:ascii="宋体" w:hAnsi="宋体" w:cs="宋体"/>
          <w:b/>
          <w:bCs/>
          <w:sz w:val="44"/>
          <w:szCs w:val="44"/>
        </w:rPr>
      </w:pPr>
    </w:p>
    <w:p>
      <w:pPr>
        <w:spacing w:line="440" w:lineRule="exact"/>
        <w:jc w:val="center"/>
        <w:rPr>
          <w:rFonts w:ascii="宋体" w:hAnsi="宋体" w:cs="宋体"/>
          <w:b w:val="0"/>
          <w:bCs w:val="0"/>
          <w:sz w:val="44"/>
          <w:szCs w:val="44"/>
        </w:rPr>
      </w:pPr>
    </w:p>
    <w:p>
      <w:pPr>
        <w:spacing w:line="560" w:lineRule="exact"/>
        <w:jc w:val="center"/>
        <w:rPr>
          <w:rFonts w:hint="eastAsia" w:eastAsia="方正小标宋简体" w:asciiTheme="majorEastAsia" w:hAnsiTheme="majorEastAsia" w:cstheme="majorEastAsia"/>
          <w:b/>
          <w:bCs/>
          <w:sz w:val="44"/>
          <w:szCs w:val="44"/>
          <w:lang w:val="en-US" w:eastAsia="zh-CN"/>
        </w:rPr>
      </w:pPr>
      <w:r>
        <w:rPr>
          <w:rFonts w:hint="eastAsia" w:ascii="方正小标宋简体" w:hAnsi="方正小标宋简体" w:eastAsia="方正小标宋简体" w:cs="方正小标宋简体"/>
          <w:b w:val="0"/>
          <w:bCs w:val="0"/>
          <w:sz w:val="48"/>
          <w:szCs w:val="48"/>
          <w:lang w:val="en-US" w:eastAsia="zh-CN"/>
        </w:rPr>
        <w:t>陕西省西咸新区沣东新城建章路社区卫生服务中心</w:t>
      </w: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w:t>
      </w:r>
      <w:r>
        <w:rPr>
          <w:rFonts w:hint="eastAsia" w:ascii="方正小标宋简体" w:hAnsi="方正小标宋简体" w:eastAsia="方正小标宋简体" w:cs="方正小标宋简体"/>
          <w:b w:val="0"/>
          <w:bCs w:val="0"/>
          <w:sz w:val="48"/>
          <w:szCs w:val="48"/>
          <w:lang w:val="en-US" w:eastAsia="zh-CN"/>
        </w:rPr>
        <w:t>度</w:t>
      </w:r>
      <w:r>
        <w:rPr>
          <w:rFonts w:hint="eastAsia" w:ascii="方正小标宋简体" w:hAnsi="方正小标宋简体" w:eastAsia="方正小标宋简体" w:cs="方正小标宋简体"/>
          <w:b w:val="0"/>
          <w:bCs w:val="0"/>
          <w:sz w:val="48"/>
          <w:szCs w:val="48"/>
        </w:rPr>
        <w:t>部门决算</w:t>
      </w:r>
      <w:r>
        <w:rPr>
          <w:rFonts w:hint="eastAsia" w:ascii="方正小标宋简体" w:hAnsi="方正小标宋简体" w:eastAsia="方正小标宋简体" w:cs="方正小标宋简体"/>
          <w:b w:val="0"/>
          <w:bCs w:val="0"/>
          <w:sz w:val="48"/>
          <w:szCs w:val="48"/>
          <w:lang w:val="en-US" w:eastAsia="zh-CN"/>
        </w:rPr>
        <w:t>公开</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val="en-US"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default" w:ascii="宋体" w:hAnsi="宋体" w:eastAsia="宋体" w:cs="宋体"/>
          <w:b/>
          <w:bCs/>
          <w:sz w:val="32"/>
          <w:szCs w:val="32"/>
          <w:lang w:val="en-US" w:eastAsia="zh-CN"/>
        </w:rPr>
      </w:pPr>
      <w:r>
        <w:rPr>
          <w:rFonts w:hint="eastAsia" w:ascii="宋体" w:hAnsi="宋体" w:cs="宋体"/>
          <w:b/>
          <w:bCs/>
          <w:sz w:val="32"/>
          <w:szCs w:val="32"/>
        </w:rPr>
        <w:t>部门主要负责人审签情况：</w:t>
      </w:r>
      <w:r>
        <w:rPr>
          <w:rFonts w:hint="eastAsia" w:ascii="宋体" w:hAnsi="宋体" w:cs="宋体"/>
          <w:b/>
          <w:bCs/>
          <w:sz w:val="32"/>
          <w:szCs w:val="32"/>
          <w:lang w:val="en-US"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仿宋_GB2312" w:hAnsi="仿宋" w:eastAsia="仿宋_GB2312"/>
          <w:sz w:val="32"/>
          <w:szCs w:val="32"/>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spacing w:line="620" w:lineRule="exact"/>
        <w:ind w:firstLine="645"/>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以公共卫生服务为主，综合提供疾病预防控制，妇幼保健，健康教育，康复，计划生育技术指导，基本医疗等服务工作</w:t>
      </w:r>
      <w:r>
        <w:rPr>
          <w:rFonts w:hint="eastAsia" w:ascii="仿宋_GB2312" w:hAnsi="仿宋" w:eastAsia="仿宋_GB2312"/>
          <w:sz w:val="32"/>
          <w:szCs w:val="32"/>
        </w:rPr>
        <w:tab/>
      </w:r>
      <w:r>
        <w:rPr>
          <w:rFonts w:hint="eastAsia" w:ascii="仿宋_GB2312" w:hAnsi="仿宋" w:eastAsia="仿宋_GB2312"/>
          <w:sz w:val="32"/>
          <w:szCs w:val="32"/>
        </w:rPr>
        <w:t>。</w:t>
      </w:r>
    </w:p>
    <w:p>
      <w:pPr>
        <w:spacing w:line="620" w:lineRule="exact"/>
        <w:ind w:firstLine="645"/>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受卫生行政部门委托，承担辖区内公共卫生管理和传染病、地方病防治、疫情等农村突发性公共卫生事件报告，负责对村卫生室的业务指导。</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积极做好新型农村合作医疗的政策宣传和参合农民的服务等工作。</w:t>
      </w:r>
      <w:r>
        <w:rPr>
          <w:rFonts w:hint="eastAsia" w:ascii="仿宋_GB2312" w:hAnsi="仿宋" w:eastAsia="仿宋_GB2312"/>
          <w:sz w:val="32"/>
          <w:szCs w:val="32"/>
        </w:rPr>
        <w:tab/>
      </w:r>
    </w:p>
    <w:p>
      <w:pPr>
        <w:snapToGrid w:val="0"/>
        <w:spacing w:line="520" w:lineRule="exact"/>
        <w:ind w:firstLine="643" w:firstLineChars="200"/>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snapToGrid w:val="0"/>
        <w:spacing w:line="520" w:lineRule="exact"/>
        <w:ind w:firstLine="640" w:firstLineChars="200"/>
        <w:rPr>
          <w:rFonts w:hint="eastAsia" w:ascii="楷体" w:hAnsi="楷体" w:eastAsia="仿宋_GB2312" w:cs="楷体"/>
          <w:b/>
          <w:bCs/>
          <w:color w:val="000000"/>
          <w:kern w:val="0"/>
          <w:sz w:val="32"/>
          <w:szCs w:val="32"/>
          <w:lang w:val="en-US" w:eastAsia="zh-CN" w:bidi="ar"/>
        </w:rPr>
      </w:pPr>
      <w:r>
        <w:rPr>
          <w:rFonts w:hint="eastAsia" w:ascii="仿宋_GB2312" w:hAnsi="仿宋_GB2312" w:eastAsia="仿宋_GB2312" w:cs="仿宋_GB2312"/>
          <w:sz w:val="32"/>
          <w:szCs w:val="32"/>
        </w:rPr>
        <w:t>内设预防保健科、全科医学科、医学检验科、医学影像科、中医科等科室，</w:t>
      </w:r>
      <w:r>
        <w:rPr>
          <w:rFonts w:hint="eastAsia" w:ascii="仿宋_GB2312" w:hAnsi="仿宋_GB2312" w:eastAsia="仿宋_GB2312" w:cs="仿宋_GB2312"/>
          <w:kern w:val="32"/>
          <w:sz w:val="32"/>
          <w:szCs w:val="30"/>
        </w:rPr>
        <w:t>主要承担沣东新城辖区</w:t>
      </w:r>
      <w:r>
        <w:rPr>
          <w:rFonts w:hint="eastAsia" w:ascii="宋体" w:hAnsi="宋体" w:eastAsia="仿宋_GB2312" w:cs="宋体"/>
          <w:kern w:val="32"/>
          <w:sz w:val="32"/>
          <w:szCs w:val="30"/>
          <w:lang w:val="en-US" w:eastAsia="zh-CN"/>
        </w:rPr>
        <w:t>3.5</w:t>
      </w:r>
      <w:r>
        <w:rPr>
          <w:rFonts w:hint="eastAsia" w:ascii="仿宋_GB2312" w:hAnsi="仿宋_GB2312" w:eastAsia="仿宋_GB2312" w:cs="仿宋_GB2312"/>
          <w:sz w:val="32"/>
          <w:szCs w:val="32"/>
        </w:rPr>
        <w:t>万</w:t>
      </w:r>
      <w:r>
        <w:rPr>
          <w:rFonts w:hint="eastAsia" w:ascii="仿宋_GB2312" w:hAnsi="仿宋_GB2312" w:eastAsia="仿宋_GB2312" w:cs="仿宋_GB2312"/>
          <w:kern w:val="32"/>
          <w:sz w:val="32"/>
          <w:szCs w:val="30"/>
        </w:rPr>
        <w:t>人的基本医疗、公共卫生等健康服务工作</w:t>
      </w:r>
      <w:r>
        <w:rPr>
          <w:rFonts w:hint="eastAsia" w:ascii="仿宋_GB2312" w:hAnsi="仿宋_GB2312" w:eastAsia="仿宋_GB2312" w:cs="仿宋_GB2312"/>
          <w:kern w:val="32"/>
          <w:sz w:val="32"/>
          <w:szCs w:val="30"/>
          <w:lang w:eastAsia="zh-CN"/>
        </w:rPr>
        <w:t>。</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西安市未央区建章路社区卫生服务中心</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left="420" w:leftChars="200" w:firstLine="216" w:firstLineChars="103"/>
        <w:rPr>
          <w:rFonts w:ascii="仿宋_GB2312" w:hAnsi="仿宋_GB2312" w:eastAsia="仿宋_GB2312" w:cs="仿宋_GB2312"/>
          <w:sz w:val="32"/>
          <w:szCs w:val="32"/>
        </w:rPr>
      </w:pPr>
      <w:r>
        <w:rPr>
          <w:rFonts w:hint="eastAsia"/>
          <w:lang w:val="en-US" w:eastAsia="zh-CN"/>
        </w:rPr>
        <w:t xml:space="preserve">       </w:t>
      </w: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p>
    <w:p>
      <w:pPr>
        <w:widowControl/>
        <w:jc w:val="center"/>
        <w:rPr>
          <w:rFonts w:ascii="黑体" w:hAnsi="宋体" w:eastAsia="黑体"/>
          <w:color w:val="000000"/>
          <w:kern w:val="0"/>
          <w:sz w:val="44"/>
          <w:szCs w:val="44"/>
          <w:lang w:bidi="ar"/>
        </w:rPr>
      </w:pPr>
      <w:r>
        <w:drawing>
          <wp:inline distT="0" distB="0" distL="114300" distR="114300">
            <wp:extent cx="4114800" cy="3133725"/>
            <wp:effectExtent l="4445" t="4445" r="14605" b="508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不涉及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不涉及</w:t>
            </w:r>
          </w:p>
        </w:tc>
      </w:tr>
    </w:tbl>
    <w:p>
      <w:pPr>
        <w:jc w:val="both"/>
        <w:rPr>
          <w:rFonts w:hint="eastAsia" w:ascii="宋体" w:hAnsi="宋体" w:cs="宋体"/>
          <w:b/>
          <w:bCs/>
          <w:sz w:val="32"/>
          <w:szCs w:val="32"/>
        </w:rPr>
      </w:pPr>
    </w:p>
    <w:p>
      <w:pPr>
        <w:jc w:val="both"/>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tbl>
      <w:tblPr>
        <w:tblStyle w:val="8"/>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both"/>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758.35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396.65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11.21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1101.68</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eastAsia="宋体" w:cs="宋体"/>
                <w:i w:val="0"/>
                <w:iCs w:val="0"/>
                <w:color w:val="000000"/>
                <w:kern w:val="0"/>
                <w:sz w:val="22"/>
                <w:szCs w:val="22"/>
                <w:u w:val="none"/>
                <w:lang w:val="en-US" w:eastAsia="zh-CN" w:bidi="ar"/>
              </w:rPr>
              <w:t>抗疫特别国债安排的支出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val="en-US" w:eastAsia="zh-CN"/>
              </w:rPr>
              <w:t>1224.25</w:t>
            </w:r>
            <w:r>
              <w:rPr>
                <w:rFonts w:hint="eastAsia" w:ascii="宋体" w:hAnsi="宋体" w:cs="宋体"/>
                <w:color w:val="000000"/>
                <w:kern w:val="0"/>
                <w:szCs w:val="21"/>
              </w:rPr>
              <w:t xml:space="preserve"> </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1159.73</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0.6</w:t>
            </w: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91.44</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155.36</w:t>
            </w: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1315.69</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1315.69</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ind w:firstLine="3855" w:firstLineChars="1200"/>
        <w:jc w:val="both"/>
        <w:rPr>
          <w:rFonts w:ascii="宋体" w:hAnsi="宋体" w:cs="宋体"/>
          <w:b/>
          <w:bCs/>
          <w:sz w:val="32"/>
          <w:szCs w:val="32"/>
        </w:rPr>
      </w:pPr>
      <w:r>
        <w:rPr>
          <w:rFonts w:hint="eastAsia" w:ascii="宋体" w:hAnsi="宋体" w:cs="宋体"/>
          <w:b/>
          <w:bCs/>
          <w:sz w:val="32"/>
          <w:szCs w:val="32"/>
        </w:rPr>
        <w:t>收入决算表</w:t>
      </w:r>
    </w:p>
    <w:p>
      <w:pPr>
        <w:rPr>
          <w:rFonts w:hint="eastAsia" w:eastAsia="宋体"/>
          <w:lang w:val="en-US" w:eastAsia="zh-CN"/>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tbl>
      <w:tblPr>
        <w:tblStyle w:val="8"/>
        <w:tblpPr w:leftFromText="180" w:rightFromText="180" w:vertAnchor="text" w:horzAnchor="page" w:tblpXSpec="center" w:tblpY="123"/>
        <w:tblOverlap w:val="never"/>
        <w:tblW w:w="9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8"/>
        <w:gridCol w:w="1830"/>
        <w:gridCol w:w="1500"/>
        <w:gridCol w:w="1035"/>
        <w:gridCol w:w="360"/>
        <w:gridCol w:w="900"/>
        <w:gridCol w:w="390"/>
        <w:gridCol w:w="420"/>
        <w:gridCol w:w="465"/>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998" w:type="dxa"/>
            <w:gridSpan w:val="2"/>
            <w:tcBorders>
              <w:top w:val="single" w:color="000000" w:sz="4" w:space="0"/>
              <w:left w:val="single" w:color="000000" w:sz="4" w:space="0"/>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35" w:type="dxa"/>
            <w:vMerge w:val="restart"/>
            <w:tcBorders>
              <w:top w:val="single" w:color="000000" w:sz="4" w:space="0"/>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60" w:type="dxa"/>
            <w:vMerge w:val="restart"/>
            <w:tcBorders>
              <w:top w:val="single" w:color="000000" w:sz="4" w:space="0"/>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90" w:type="dxa"/>
            <w:gridSpan w:val="2"/>
            <w:tcBorders>
              <w:top w:val="single" w:color="000000" w:sz="4" w:space="0"/>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20" w:type="dxa"/>
            <w:vMerge w:val="restart"/>
            <w:tcBorders>
              <w:top w:val="single" w:color="000000" w:sz="4" w:space="0"/>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65" w:type="dxa"/>
            <w:vMerge w:val="restart"/>
            <w:tcBorders>
              <w:top w:val="single" w:color="000000" w:sz="4" w:space="0"/>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59" w:type="dxa"/>
            <w:vMerge w:val="restart"/>
            <w:tcBorders>
              <w:top w:val="single" w:color="000000" w:sz="4" w:space="0"/>
              <w:left w:val="nil"/>
              <w:bottom w:val="single" w:color="000000" w:sz="4" w:space="0"/>
              <w:right w:val="single" w:color="000000" w:sz="8"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168" w:type="dxa"/>
            <w:vMerge w:val="restart"/>
            <w:tcBorders>
              <w:top w:val="nil"/>
              <w:left w:val="single" w:color="000000" w:sz="4" w:space="0"/>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830" w:type="dxa"/>
            <w:vMerge w:val="restart"/>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900" w:type="dxa"/>
            <w:vMerge w:val="restart"/>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90" w:type="dxa"/>
            <w:vMerge w:val="restart"/>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其中：教育收费</w:t>
            </w:r>
          </w:p>
        </w:tc>
        <w:tc>
          <w:tcPr>
            <w:tcW w:w="42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nil"/>
              <w:bottom w:val="single" w:color="000000" w:sz="4" w:space="0"/>
              <w:right w:val="single" w:color="000000" w:sz="8"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68" w:type="dxa"/>
            <w:vMerge w:val="continue"/>
            <w:tcBorders>
              <w:top w:val="nil"/>
              <w:left w:val="single" w:color="000000" w:sz="4" w:space="0"/>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nil"/>
              <w:left w:val="nil"/>
              <w:bottom w:val="single" w:color="000000" w:sz="4" w:space="0"/>
              <w:right w:val="single" w:color="000000" w:sz="4" w:space="0"/>
            </w:tcBorders>
            <w:shd w:val="clear" w:color="FFFFFF" w:themeColor="background1"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390" w:type="dxa"/>
            <w:vMerge w:val="continue"/>
            <w:tcBorders>
              <w:top w:val="nil"/>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nil"/>
              <w:bottom w:val="single" w:color="000000" w:sz="4" w:space="0"/>
              <w:right w:val="single" w:color="000000" w:sz="8"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1168" w:type="dxa"/>
            <w:vMerge w:val="continue"/>
            <w:tcBorders>
              <w:top w:val="nil"/>
              <w:left w:val="single" w:color="000000" w:sz="4" w:space="0"/>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nil"/>
              <w:left w:val="nil"/>
              <w:bottom w:val="single" w:color="000000" w:sz="4" w:space="0"/>
              <w:right w:val="single" w:color="000000" w:sz="4" w:space="0"/>
            </w:tcBorders>
            <w:shd w:val="clear" w:color="FFFFFF" w:themeColor="background1"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390" w:type="dxa"/>
            <w:vMerge w:val="continue"/>
            <w:tcBorders>
              <w:top w:val="nil"/>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single" w:color="000000" w:sz="4" w:space="0"/>
              <w:left w:val="nil"/>
              <w:bottom w:val="single" w:color="000000" w:sz="4" w:space="0"/>
              <w:right w:val="single" w:color="000000" w:sz="4"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c>
          <w:tcPr>
            <w:tcW w:w="1059" w:type="dxa"/>
            <w:vMerge w:val="continue"/>
            <w:tcBorders>
              <w:top w:val="single" w:color="000000" w:sz="4" w:space="0"/>
              <w:left w:val="nil"/>
              <w:bottom w:val="single" w:color="000000" w:sz="4" w:space="0"/>
              <w:right w:val="single" w:color="000000" w:sz="8" w:space="0"/>
            </w:tcBorders>
            <w:shd w:val="clear" w:color="FFFFFF" w:themeColor="background1"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998" w:type="dxa"/>
            <w:gridSpan w:val="2"/>
            <w:vMerge w:val="restart"/>
            <w:tcBorders>
              <w:top w:val="nil"/>
              <w:left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00"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5"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0"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0"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0"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0"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65" w:type="dxa"/>
            <w:tcBorders>
              <w:top w:val="nil"/>
              <w:left w:val="nil"/>
              <w:bottom w:val="single" w:color="000000" w:sz="4" w:space="0"/>
              <w:right w:val="single" w:color="000000" w:sz="4"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9" w:type="dxa"/>
            <w:tcBorders>
              <w:top w:val="nil"/>
              <w:left w:val="nil"/>
              <w:bottom w:val="single" w:color="000000" w:sz="4" w:space="0"/>
              <w:right w:val="single" w:color="000000" w:sz="8" w:space="0"/>
            </w:tcBorders>
            <w:shd w:val="clear" w:color="FFFFFF" w:themeColor="background1"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998" w:type="dxa"/>
            <w:gridSpan w:val="2"/>
            <w:vMerge w:val="continue"/>
            <w:tcBorders>
              <w:left w:val="single" w:color="000000" w:sz="4" w:space="0"/>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1224.25</w:t>
            </w:r>
          </w:p>
        </w:tc>
        <w:tc>
          <w:tcPr>
            <w:tcW w:w="1035"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816.39</w:t>
            </w:r>
          </w:p>
        </w:tc>
        <w:tc>
          <w:tcPr>
            <w:tcW w:w="360"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396.65</w:t>
            </w:r>
          </w:p>
        </w:tc>
        <w:tc>
          <w:tcPr>
            <w:tcW w:w="390"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FFFFFF" w:themeColor="background1"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FFFFFF" w:themeColor="background1"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r>
              <w:rPr>
                <w:rFonts w:hint="eastAsia" w:ascii="宋体" w:hAnsi="宋体" w:cs="宋体"/>
                <w:i w:val="0"/>
                <w:iCs w:val="0"/>
                <w:color w:val="000000"/>
                <w:kern w:val="0"/>
                <w:sz w:val="22"/>
                <w:szCs w:val="22"/>
                <w:u w:val="none"/>
                <w:lang w:val="en-US" w:eastAsia="zh-CN" w:bidi="ar"/>
              </w:rPr>
              <w:t>66.21</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758.35</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396.65</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2100199</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1.06</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4.41</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4.41</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4.41</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4.41</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809.53</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402.73</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396.65</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2100301</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城市社区卫生机构</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600.58</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193.79</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396.65</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208.94</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208.94</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351.21</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351.21</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298.28</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298.28</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52.93</w:t>
            </w:r>
          </w:p>
        </w:tc>
        <w:tc>
          <w:tcPr>
            <w:tcW w:w="1035" w:type="dxa"/>
            <w:tcBorders>
              <w:top w:val="nil"/>
              <w:left w:val="nil"/>
              <w:bottom w:val="single" w:color="000000" w:sz="4" w:space="0"/>
              <w:right w:val="single" w:color="000000" w:sz="4" w:space="0"/>
            </w:tcBorders>
            <w:shd w:val="clear" w:color="auto" w:fill="auto"/>
            <w:noWrap/>
            <w:vAlign w:val="center"/>
          </w:tcPr>
          <w:p>
            <w:pPr>
              <w:pStyle w:val="2"/>
              <w:ind w:left="0" w:leftChars="0" w:firstLine="210" w:firstLineChars="100"/>
              <w:jc w:val="both"/>
              <w:rPr>
                <w:rFonts w:hint="default"/>
                <w:lang w:val="en-US"/>
              </w:rPr>
            </w:pPr>
            <w:r>
              <w:rPr>
                <w:rFonts w:hint="eastAsia"/>
                <w:lang w:val="en-US" w:eastAsia="zh-CN"/>
              </w:rPr>
              <w:t>52.</w:t>
            </w:r>
            <w:r>
              <w:rPr>
                <w:rFonts w:hint="eastAsia" w:ascii="宋体" w:hAnsi="宋体" w:cs="宋体"/>
                <w:i w:val="0"/>
                <w:iCs w:val="0"/>
                <w:color w:val="000000"/>
                <w:kern w:val="0"/>
                <w:sz w:val="22"/>
                <w:szCs w:val="22"/>
                <w:u w:val="none"/>
                <w:lang w:val="en-US" w:eastAsia="zh-CN" w:bidi="ar"/>
              </w:rPr>
              <w:t>93</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58.05</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58.05</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15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58.05</w:t>
            </w: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58.05</w:t>
            </w:r>
          </w:p>
        </w:tc>
        <w:tc>
          <w:tcPr>
            <w:tcW w:w="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8" w:type="dxa"/>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183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50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58.05</w:t>
            </w:r>
          </w:p>
        </w:tc>
        <w:tc>
          <w:tcPr>
            <w:tcW w:w="103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kern w:val="0"/>
                <w:sz w:val="22"/>
                <w:szCs w:val="22"/>
                <w:u w:val="none"/>
                <w:lang w:val="en-US" w:eastAsia="zh-CN" w:bidi="ar"/>
              </w:rPr>
              <w:t>58.05</w:t>
            </w:r>
          </w:p>
        </w:tc>
        <w:tc>
          <w:tcPr>
            <w:tcW w:w="36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w:t>
            </w:r>
          </w:p>
        </w:tc>
        <w:tc>
          <w:tcPr>
            <w:tcW w:w="90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39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2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46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05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Cs w:val="21"/>
        </w:rPr>
        <w:t xml:space="preserve">                                        </w:t>
      </w:r>
      <w:r>
        <w:rPr>
          <w:rFonts w:hint="eastAsia" w:ascii="宋体" w:hAnsi="宋体" w:cs="宋体"/>
          <w:b/>
          <w:bCs/>
          <w:sz w:val="32"/>
          <w:szCs w:val="32"/>
        </w:rPr>
        <w:t>支出决算表</w:t>
      </w:r>
    </w:p>
    <w:p>
      <w:pPr>
        <w:rPr>
          <w:rFonts w:hint="eastAsia" w:ascii="宋体" w:hAnsi="宋体" w:cs="宋体"/>
          <w:b/>
          <w:bCs/>
          <w:sz w:val="24"/>
        </w:rPr>
      </w:pPr>
      <w:r>
        <w:rPr>
          <w:rFonts w:hint="eastAsia" w:ascii="宋体" w:hAnsi="宋体" w:cs="宋体"/>
          <w:b/>
          <w:bCs/>
          <w:sz w:val="24"/>
        </w:rPr>
        <w:t xml:space="preserve">        </w:t>
      </w:r>
    </w:p>
    <w:p>
      <w:pPr>
        <w:ind w:firstLine="964" w:firstLineChars="400"/>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tbl>
      <w:tblPr>
        <w:tblStyle w:val="8"/>
        <w:tblpPr w:leftFromText="180" w:rightFromText="180" w:vertAnchor="text" w:horzAnchor="page" w:tblpXSpec="center" w:tblpY="804"/>
        <w:tblOverlap w:val="never"/>
        <w:tblW w:w="99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3135"/>
        <w:gridCol w:w="1134"/>
        <w:gridCol w:w="1005"/>
        <w:gridCol w:w="1050"/>
        <w:gridCol w:w="960"/>
        <w:gridCol w:w="81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1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3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0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5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1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25" w:type="dxa"/>
            <w:vMerge w:val="restart"/>
            <w:tcBorders>
              <w:top w:val="single" w:color="000000" w:sz="4" w:space="0"/>
              <w:left w:val="nil"/>
              <w:bottom w:val="single" w:color="000000" w:sz="4"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135"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3135"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3135"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25" w:type="dxa"/>
            <w:gridSpan w:val="2"/>
            <w:vMerge w:val="restar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5" w:type="dxa"/>
            <w:tcBorders>
              <w:top w:val="nil"/>
              <w:left w:val="nil"/>
              <w:bottom w:val="single" w:color="000000" w:sz="4"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125" w:type="dxa"/>
            <w:gridSpan w:val="2"/>
            <w:vMerge w:val="continue"/>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1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1159.73 </w:t>
            </w:r>
          </w:p>
        </w:tc>
        <w:tc>
          <w:tcPr>
            <w:tcW w:w="10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814.39 </w:t>
            </w:r>
          </w:p>
        </w:tc>
        <w:tc>
          <w:tcPr>
            <w:tcW w:w="10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345.34 </w:t>
            </w:r>
          </w:p>
        </w:tc>
        <w:tc>
          <w:tcPr>
            <w:tcW w:w="96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1101.68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814.39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287.29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2100199</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4.41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808.93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808.93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城市社区卫生机构</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599.98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599.98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208.94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208.94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287.29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287.29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234.36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234.36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52.93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52.93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58.05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58.05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58.05 </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58.05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313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134"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58.05 </w:t>
            </w:r>
          </w:p>
        </w:tc>
        <w:tc>
          <w:tcPr>
            <w:tcW w:w="100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5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58.05 </w:t>
            </w:r>
          </w:p>
        </w:tc>
        <w:tc>
          <w:tcPr>
            <w:tcW w:w="96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1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82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r>
    </w:tbl>
    <w:p>
      <w:pPr>
        <w:jc w:val="left"/>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p>
      <w:pPr>
        <w:jc w:val="center"/>
        <w:rPr>
          <w:rFonts w:hint="eastAsia" w:ascii="宋体" w:hAnsi="宋体" w:cs="宋体"/>
          <w:b/>
          <w:bCs/>
          <w:sz w:val="32"/>
          <w:szCs w:val="32"/>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both"/>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tbl>
      <w:tblPr>
        <w:tblStyle w:val="8"/>
        <w:tblW w:w="9510" w:type="dxa"/>
        <w:tblInd w:w="-545" w:type="dxa"/>
        <w:tblLayout w:type="fixed"/>
        <w:tblCellMar>
          <w:top w:w="15" w:type="dxa"/>
          <w:left w:w="15" w:type="dxa"/>
          <w:bottom w:w="15" w:type="dxa"/>
          <w:right w:w="15" w:type="dxa"/>
        </w:tblCellMar>
      </w:tblPr>
      <w:tblGrid>
        <w:gridCol w:w="2190"/>
        <w:gridCol w:w="836"/>
        <w:gridCol w:w="2330"/>
        <w:gridCol w:w="808"/>
        <w:gridCol w:w="1015"/>
        <w:gridCol w:w="1166"/>
        <w:gridCol w:w="1165"/>
      </w:tblGrid>
      <w:tr>
        <w:tblPrEx>
          <w:tblCellMar>
            <w:top w:w="15" w:type="dxa"/>
            <w:left w:w="15" w:type="dxa"/>
            <w:bottom w:w="15" w:type="dxa"/>
            <w:right w:w="15" w:type="dxa"/>
          </w:tblCellMar>
        </w:tblPrEx>
        <w:trPr>
          <w:trHeight w:val="276" w:hRule="atLeast"/>
        </w:trPr>
        <w:tc>
          <w:tcPr>
            <w:tcW w:w="30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758.35</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58.05</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694.43</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694.43</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58.05</w:t>
            </w: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hint="default" w:ascii="宋体" w:hAnsi="宋体" w:eastAsia="宋体" w:cs="宋体"/>
                <w:b/>
                <w:color w:val="000000"/>
                <w:szCs w:val="21"/>
                <w:lang w:val="en-US" w:eastAsia="zh-CN"/>
              </w:rPr>
            </w:pPr>
            <w:r>
              <w:rPr>
                <w:rFonts w:hint="eastAsia" w:ascii="宋体" w:hAnsi="宋体" w:cs="宋体"/>
                <w:color w:val="000000"/>
                <w:kern w:val="0"/>
                <w:sz w:val="21"/>
                <w:szCs w:val="21"/>
                <w:lang w:val="en-US" w:eastAsia="zh-CN" w:bidi="ar-SA"/>
              </w:rPr>
              <w:t>58.05</w:t>
            </w: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hint="eastAsia" w:ascii="宋体" w:hAnsi="宋体" w:cs="宋体"/>
          <w:b/>
          <w:bCs/>
          <w:sz w:val="32"/>
          <w:szCs w:val="32"/>
        </w:rPr>
      </w:pPr>
    </w:p>
    <w:tbl>
      <w:tblPr>
        <w:tblStyle w:val="8"/>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816.39</w:t>
            </w:r>
            <w:r>
              <w:rPr>
                <w:rFonts w:hint="eastAsia" w:ascii="宋体" w:hAnsi="宋体" w:cs="宋体"/>
                <w:color w:val="000000"/>
                <w:kern w:val="0"/>
                <w:sz w:val="18"/>
                <w:szCs w:val="18"/>
              </w:rPr>
              <w:t xml:space="preserve">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752.47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694.43</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58.05</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91.44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155.36</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155.36</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91.44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8"/>
                <w:szCs w:val="18"/>
                <w:lang w:val="en-US" w:eastAsia="zh-CN"/>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907.83</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907.83</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849.79</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58.05</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tbl>
      <w:tblPr>
        <w:tblStyle w:val="8"/>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694.43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407.14</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263.77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143.37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287.29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694.43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407.14</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263.77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143.37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287.29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公立医院</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4.41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4.41</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4.41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4.41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4.41</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4.41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基层医疗卫生机构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402.73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402.73</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263.77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138.96</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城市社区卫生机构</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193.79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193.79</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147.37</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46.41</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2100399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208.94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208.94</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116.40</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92.54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287.29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287.29</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2100408</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234.36</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234.36</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2100410</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52.93</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52.93</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p>
      <w:pPr>
        <w:rPr>
          <w:rFonts w:ascii="宋体" w:hAnsi="宋体" w:cs="宋体"/>
          <w:b/>
          <w:bCs/>
          <w:szCs w:val="21"/>
        </w:rPr>
      </w:pPr>
    </w:p>
    <w:tbl>
      <w:tblPr>
        <w:tblStyle w:val="8"/>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407.14</w:t>
            </w:r>
          </w:p>
        </w:tc>
        <w:tc>
          <w:tcPr>
            <w:tcW w:w="1437"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263.77</w:t>
            </w:r>
          </w:p>
        </w:tc>
        <w:tc>
          <w:tcPr>
            <w:tcW w:w="1363"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143.37</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工资福利支出 </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263.77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263.77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41.33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41.33</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5.58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5.58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145.54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145.54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cs="宋体"/>
                <w:color w:val="000000"/>
                <w:szCs w:val="21"/>
                <w:lang w:val="en-US" w:eastAsia="zh-CN"/>
              </w:rPr>
            </w:pPr>
            <w:r>
              <w:rPr>
                <w:rFonts w:hint="eastAsia" w:ascii="宋体" w:hAnsi="宋体" w:cs="宋体"/>
                <w:color w:val="000000"/>
                <w:szCs w:val="21"/>
                <w:lang w:val="en-US" w:eastAsia="zh-CN"/>
              </w:rPr>
              <w:t>社保缴费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67.12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67.12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cs="宋体"/>
                <w:color w:val="000000"/>
                <w:szCs w:val="21"/>
                <w:lang w:val="en-US" w:eastAsia="zh-CN"/>
              </w:rPr>
            </w:pPr>
            <w:r>
              <w:rPr>
                <w:rFonts w:hint="eastAsia" w:ascii="宋体" w:hAnsi="宋体" w:cs="宋体"/>
                <w:color w:val="000000"/>
                <w:szCs w:val="21"/>
                <w:lang w:val="en-US" w:eastAsia="zh-CN"/>
              </w:rPr>
              <w:t>采暖补贴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cs="宋体"/>
                <w:color w:val="000000"/>
                <w:szCs w:val="21"/>
                <w:lang w:val="en-US" w:eastAsia="zh-CN"/>
              </w:rPr>
            </w:pPr>
            <w:r>
              <w:rPr>
                <w:rFonts w:hint="eastAsia" w:ascii="宋体" w:hAnsi="宋体" w:cs="宋体"/>
                <w:color w:val="000000"/>
                <w:szCs w:val="21"/>
                <w:lang w:val="en-US" w:eastAsia="zh-CN"/>
              </w:rPr>
              <w:t>4.20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4.20</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143.37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143.37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25.50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25.50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rPr>
              <w:t>30213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维修维护费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15.10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15.10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30226</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劳务费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99.30</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99.30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30299</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其他</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lang w:val="en-US" w:eastAsia="zh-CN"/>
              </w:rPr>
              <w:t>3.47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p>
      <w:pPr>
        <w:rPr>
          <w:rFonts w:ascii="宋体" w:hAnsi="宋体" w:cs="宋体"/>
          <w:b/>
          <w:bCs/>
          <w:szCs w:val="21"/>
        </w:rPr>
      </w:pP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t>234</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t>抗疫特别国债安排的支出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t>23402</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t>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t>2340299</w:t>
            </w:r>
          </w:p>
        </w:tc>
        <w:tc>
          <w:tcPr>
            <w:tcW w:w="1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rPr>
              <w:t xml:space="preserve">  其他抗疫相关支出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58.05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val="en-US" w:eastAsia="zh-CN"/>
              </w:rPr>
              <w:t>58.05</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lang w:val="en-US" w:eastAsia="zh-CN"/>
              </w:rPr>
              <w:t>58.05</w:t>
            </w: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黑体" w:hAnsi="宋体" w:eastAsia="黑体"/>
          <w:color w:val="000000"/>
          <w:kern w:val="0"/>
          <w:sz w:val="44"/>
          <w:szCs w:val="44"/>
          <w:lang w:bidi="ar"/>
        </w:rPr>
      </w:pP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rPr>
          <w:rFonts w:ascii="宋体" w:hAnsi="宋体" w:cs="宋体"/>
          <w:b/>
          <w:bCs/>
          <w:sz w:val="48"/>
          <w:szCs w:val="48"/>
        </w:rPr>
      </w:pPr>
      <w:r>
        <w:rPr>
          <w:rFonts w:hint="eastAsia" w:ascii="宋体" w:hAnsi="宋体" w:cs="宋体"/>
          <w:b/>
          <w:bCs/>
          <w:szCs w:val="21"/>
          <w:lang w:val="en-US" w:eastAsia="zh-CN"/>
        </w:rPr>
        <w:t>编</w:t>
      </w:r>
      <w:r>
        <w:rPr>
          <w:rFonts w:hint="eastAsia" w:ascii="宋体" w:hAnsi="宋体" w:cs="宋体"/>
          <w:b/>
          <w:bCs/>
          <w:szCs w:val="21"/>
        </w:rPr>
        <w:t>制部门：</w:t>
      </w:r>
      <w:r>
        <w:rPr>
          <w:rFonts w:hint="eastAsia" w:ascii="宋体" w:hAnsi="宋体" w:cs="宋体"/>
          <w:b/>
          <w:bCs/>
          <w:szCs w:val="21"/>
          <w:lang w:val="en-US" w:eastAsia="zh-CN"/>
        </w:rPr>
        <w:t xml:space="preserve">西安市未央区建章路社区卫生服务中心                        </w:t>
      </w:r>
      <w:r>
        <w:rPr>
          <w:rFonts w:hint="eastAsia" w:ascii="宋体" w:hAnsi="宋体" w:cs="宋体"/>
          <w:b/>
          <w:bCs/>
          <w:szCs w:val="21"/>
        </w:rPr>
        <w:t xml:space="preserve">  金额单位：万元</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度总</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1224.25万元，</w:t>
      </w:r>
      <w:r>
        <w:rPr>
          <w:rFonts w:hint="eastAsia" w:ascii="仿宋_GB2312" w:hAnsi="宋体" w:eastAsia="仿宋_GB2312" w:cs="仿宋_GB2312"/>
          <w:color w:val="000000"/>
          <w:kern w:val="0"/>
          <w:sz w:val="32"/>
          <w:szCs w:val="32"/>
          <w:lang w:val="en-US" w:eastAsia="zh-CN" w:bidi="ar"/>
        </w:rPr>
        <w:t>上</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hint="eastAsia" w:ascii="仿宋_GB2312" w:hAnsi="仿宋" w:eastAsia="仿宋_GB2312"/>
          <w:sz w:val="32"/>
          <w:szCs w:val="32"/>
          <w:lang w:val="en-US" w:eastAsia="zh-CN"/>
        </w:rPr>
        <w:t>总</w:t>
      </w:r>
      <w:r>
        <w:rPr>
          <w:rFonts w:ascii="仿宋_GB2312" w:hAnsi="宋体" w:eastAsia="仿宋_GB2312" w:cs="仿宋_GB2312"/>
          <w:color w:val="000000"/>
          <w:kern w:val="0"/>
          <w:sz w:val="32"/>
          <w:szCs w:val="32"/>
          <w:lang w:bidi="ar"/>
        </w:rPr>
        <w:t>收入</w:t>
      </w:r>
      <w:r>
        <w:rPr>
          <w:rFonts w:hint="eastAsia" w:ascii="仿宋_GB2312" w:hAnsi="宋体" w:eastAsia="仿宋_GB2312" w:cs="仿宋_GB2312"/>
          <w:color w:val="000000"/>
          <w:kern w:val="0"/>
          <w:sz w:val="32"/>
          <w:szCs w:val="32"/>
          <w:lang w:val="en-US" w:eastAsia="zh-CN" w:bidi="ar"/>
        </w:rPr>
        <w:t>1058.49</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仿宋" w:eastAsia="仿宋_GB2312"/>
          <w:sz w:val="32"/>
          <w:szCs w:val="32"/>
          <w:lang w:val="en-US" w:eastAsia="zh-CN"/>
        </w:rPr>
        <w:t>本年较上年增加165.76万元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增加的主要原因一是公共卫生服务经费中人均服务费用增加；二是增加了政府性基金预算收入；三是医疗收入增加。</w:t>
      </w:r>
    </w:p>
    <w:p>
      <w:pPr>
        <w:numPr>
          <w:ilvl w:val="0"/>
          <w:numId w:val="0"/>
        </w:numPr>
        <w:snapToGrid w:val="0"/>
        <w:spacing w:line="600" w:lineRule="exact"/>
        <w:ind w:firstLine="640" w:firstLineChars="200"/>
        <w:rPr>
          <w:rFonts w:hint="default" w:ascii="仿宋" w:hAnsi="仿宋" w:eastAsia="仿宋" w:cs="仿宋_GB2312"/>
          <w:szCs w:val="32"/>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度总</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1159.73万元，</w:t>
      </w:r>
      <w:r>
        <w:rPr>
          <w:rFonts w:hint="eastAsia" w:ascii="仿宋_GB2312" w:hAnsi="宋体" w:eastAsia="仿宋_GB2312" w:cs="仿宋_GB2312"/>
          <w:color w:val="000000"/>
          <w:kern w:val="0"/>
          <w:sz w:val="32"/>
          <w:szCs w:val="32"/>
          <w:lang w:val="en-US" w:eastAsia="zh-CN" w:bidi="ar"/>
        </w:rPr>
        <w:t>上</w:t>
      </w:r>
      <w:r>
        <w:rPr>
          <w:rFonts w:ascii="仿宋_GB2312" w:hAnsi="宋体" w:eastAsia="仿宋_GB2312" w:cs="仿宋_GB2312"/>
          <w:color w:val="000000"/>
          <w:kern w:val="0"/>
          <w:sz w:val="32"/>
          <w:szCs w:val="32"/>
          <w:lang w:bidi="ar"/>
        </w:rPr>
        <w:t>年</w:t>
      </w:r>
      <w:r>
        <w:rPr>
          <w:rFonts w:hint="eastAsia" w:ascii="仿宋_GB2312" w:hAnsi="仿宋" w:eastAsia="仿宋_GB2312"/>
          <w:sz w:val="32"/>
          <w:szCs w:val="32"/>
          <w:lang w:eastAsia="zh-CN"/>
        </w:rPr>
        <w:t>度</w:t>
      </w:r>
      <w:r>
        <w:rPr>
          <w:rFonts w:hint="eastAsia" w:ascii="仿宋_GB2312" w:hAnsi="仿宋" w:eastAsia="仿宋_GB2312"/>
          <w:sz w:val="32"/>
          <w:szCs w:val="32"/>
          <w:lang w:val="en-US" w:eastAsia="zh-CN"/>
        </w:rPr>
        <w:t>总</w:t>
      </w:r>
      <w:r>
        <w:rPr>
          <w:rFonts w:ascii="仿宋_GB2312" w:hAnsi="宋体" w:eastAsia="仿宋_GB2312" w:cs="仿宋_GB2312"/>
          <w:color w:val="000000"/>
          <w:kern w:val="0"/>
          <w:sz w:val="32"/>
          <w:szCs w:val="32"/>
          <w:lang w:bidi="ar"/>
        </w:rPr>
        <w:t>支出</w:t>
      </w:r>
      <w:r>
        <w:rPr>
          <w:rFonts w:hint="eastAsia" w:ascii="仿宋_GB2312" w:hAnsi="宋体" w:eastAsia="仿宋_GB2312" w:cs="仿宋_GB2312"/>
          <w:color w:val="000000"/>
          <w:kern w:val="0"/>
          <w:sz w:val="32"/>
          <w:szCs w:val="32"/>
          <w:lang w:val="en-US" w:eastAsia="zh-CN" w:bidi="ar"/>
        </w:rPr>
        <w:t>1049.48</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仿宋" w:eastAsia="仿宋_GB2312"/>
          <w:sz w:val="32"/>
          <w:szCs w:val="32"/>
          <w:lang w:val="en-US" w:eastAsia="zh-CN"/>
        </w:rPr>
        <w:t>本年较上年增加110.25万元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增加的主要原因</w:t>
      </w:r>
      <w:r>
        <w:rPr>
          <w:rFonts w:hint="eastAsia" w:ascii="仿宋_GB2312" w:hAnsi="仿宋_GB2312" w:eastAsia="仿宋_GB2312" w:cs="仿宋_GB2312"/>
          <w:sz w:val="32"/>
          <w:szCs w:val="32"/>
          <w:lang w:val="en-US" w:eastAsia="zh-CN"/>
        </w:rPr>
        <w:t>一是新冠疫情影响抗疫特别国债安排的支出增加；二是公共卫生服务支出增加。</w:t>
      </w:r>
    </w:p>
    <w:p>
      <w:pPr>
        <w:pStyle w:val="2"/>
        <w:ind w:left="0" w:leftChars="0" w:firstLine="0" w:firstLineChars="0"/>
        <w:jc w:val="center"/>
        <w:rPr>
          <w:rFonts w:hint="eastAsia"/>
          <w:lang w:eastAsia="zh-CN"/>
        </w:rPr>
      </w:pPr>
      <w:r>
        <w:drawing>
          <wp:inline distT="0" distB="0" distL="114300" distR="114300">
            <wp:extent cx="4705350" cy="3522980"/>
            <wp:effectExtent l="4445" t="4445" r="14605" b="1587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收入合计</w:t>
      </w:r>
      <w:r>
        <w:rPr>
          <w:rFonts w:hint="eastAsia" w:ascii="仿宋_GB2312" w:hAnsi="宋体" w:eastAsia="仿宋_GB2312" w:cs="仿宋_GB2312"/>
          <w:color w:val="000000"/>
          <w:kern w:val="0"/>
          <w:sz w:val="32"/>
          <w:szCs w:val="32"/>
          <w:lang w:val="en-US" w:eastAsia="zh-CN" w:bidi="ar"/>
        </w:rPr>
        <w:t>1224.25</w:t>
      </w:r>
      <w:r>
        <w:rPr>
          <w:rFonts w:ascii="仿宋_GB2312" w:hAnsi="宋体" w:eastAsia="仿宋_GB2312" w:cs="仿宋_GB2312"/>
          <w:color w:val="000000"/>
          <w:kern w:val="0"/>
          <w:sz w:val="32"/>
          <w:szCs w:val="32"/>
          <w:lang w:bidi="ar"/>
        </w:rPr>
        <w:t>万元，其中：财政拨款收入</w:t>
      </w:r>
      <w:r>
        <w:rPr>
          <w:rFonts w:hint="eastAsia" w:ascii="仿宋_GB2312" w:hAnsi="宋体" w:eastAsia="仿宋_GB2312" w:cs="仿宋_GB2312"/>
          <w:color w:val="000000"/>
          <w:kern w:val="0"/>
          <w:sz w:val="32"/>
          <w:szCs w:val="32"/>
          <w:lang w:val="en-US" w:eastAsia="zh-CN" w:bidi="ar"/>
        </w:rPr>
        <w:t>816.39</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67</w:t>
      </w:r>
      <w:r>
        <w:rPr>
          <w:rFonts w:ascii="仿宋_GB2312" w:hAnsi="宋体" w:eastAsia="仿宋_GB2312" w:cs="仿宋_GB2312"/>
          <w:color w:val="000000"/>
          <w:kern w:val="0"/>
          <w:sz w:val="32"/>
          <w:szCs w:val="32"/>
          <w:lang w:bidi="ar"/>
        </w:rPr>
        <w:t>%；事业收入</w:t>
      </w:r>
      <w:r>
        <w:rPr>
          <w:rFonts w:hint="eastAsia" w:ascii="仿宋_GB2312" w:hAnsi="宋体" w:eastAsia="仿宋_GB2312" w:cs="仿宋_GB2312"/>
          <w:color w:val="000000"/>
          <w:kern w:val="0"/>
          <w:sz w:val="32"/>
          <w:szCs w:val="32"/>
          <w:lang w:val="en-US" w:eastAsia="zh-CN" w:bidi="ar"/>
        </w:rPr>
        <w:t>396.65</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32</w:t>
      </w:r>
      <w:r>
        <w:rPr>
          <w:rFonts w:ascii="仿宋_GB2312" w:hAnsi="宋体" w:eastAsia="仿宋_GB2312" w:cs="仿宋_GB2312"/>
          <w:color w:val="000000"/>
          <w:kern w:val="0"/>
          <w:sz w:val="32"/>
          <w:szCs w:val="32"/>
          <w:lang w:bidi="ar"/>
        </w:rPr>
        <w:t>%；其他收入</w:t>
      </w:r>
      <w:r>
        <w:rPr>
          <w:rFonts w:hint="eastAsia" w:ascii="仿宋_GB2312" w:hAnsi="宋体" w:eastAsia="仿宋_GB2312" w:cs="仿宋_GB2312"/>
          <w:color w:val="000000"/>
          <w:kern w:val="0"/>
          <w:sz w:val="32"/>
          <w:szCs w:val="32"/>
          <w:lang w:val="en-US" w:eastAsia="zh-CN" w:bidi="ar"/>
        </w:rPr>
        <w:t>11.21</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1</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pStyle w:val="2"/>
        <w:jc w:val="center"/>
      </w:pPr>
      <w:r>
        <w:drawing>
          <wp:inline distT="0" distB="0" distL="114300" distR="114300">
            <wp:extent cx="4410075" cy="2515235"/>
            <wp:effectExtent l="4445" t="5080" r="5080" b="1333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支出合计</w:t>
      </w:r>
      <w:r>
        <w:rPr>
          <w:rFonts w:hint="eastAsia" w:ascii="仿宋_GB2312" w:hAnsi="宋体" w:eastAsia="仿宋_GB2312" w:cs="仿宋_GB2312"/>
          <w:color w:val="000000"/>
          <w:kern w:val="0"/>
          <w:sz w:val="32"/>
          <w:szCs w:val="32"/>
          <w:lang w:val="en-US" w:eastAsia="zh-CN" w:bidi="ar"/>
        </w:rPr>
        <w:t>1159.73</w:t>
      </w:r>
      <w:r>
        <w:rPr>
          <w:rFonts w:ascii="仿宋_GB2312" w:hAnsi="宋体" w:eastAsia="仿宋_GB2312" w:cs="仿宋_GB2312"/>
          <w:color w:val="000000"/>
          <w:kern w:val="0"/>
          <w:sz w:val="32"/>
          <w:szCs w:val="32"/>
          <w:lang w:bidi="ar"/>
        </w:rPr>
        <w:t>万元，其中：基本支出</w:t>
      </w:r>
      <w:r>
        <w:rPr>
          <w:rFonts w:hint="eastAsia" w:ascii="仿宋_GB2312" w:hAnsi="宋体" w:eastAsia="仿宋_GB2312" w:cs="仿宋_GB2312"/>
          <w:color w:val="000000"/>
          <w:kern w:val="0"/>
          <w:sz w:val="32"/>
          <w:szCs w:val="32"/>
          <w:lang w:val="en-US" w:eastAsia="zh-CN" w:bidi="ar"/>
        </w:rPr>
        <w:t>814.39</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70</w:t>
      </w:r>
      <w:r>
        <w:rPr>
          <w:rFonts w:ascii="仿宋_GB2312" w:hAnsi="宋体" w:eastAsia="仿宋_GB2312" w:cs="仿宋_GB2312"/>
          <w:color w:val="000000"/>
          <w:kern w:val="0"/>
          <w:sz w:val="32"/>
          <w:szCs w:val="32"/>
          <w:lang w:bidi="ar"/>
        </w:rPr>
        <w:t>%；项目支出</w:t>
      </w:r>
      <w:r>
        <w:rPr>
          <w:rFonts w:hint="eastAsia" w:ascii="仿宋_GB2312" w:hAnsi="宋体" w:eastAsia="仿宋_GB2312" w:cs="仿宋_GB2312"/>
          <w:color w:val="000000"/>
          <w:kern w:val="0"/>
          <w:sz w:val="32"/>
          <w:szCs w:val="32"/>
          <w:lang w:val="en-US" w:eastAsia="zh-CN" w:bidi="ar"/>
        </w:rPr>
        <w:t>345.34</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30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p>
    <w:p>
      <w:pPr>
        <w:pStyle w:val="2"/>
        <w:jc w:val="center"/>
        <w:rPr>
          <w:rFonts w:hint="eastAsia"/>
          <w:lang w:val="en-US" w:eastAsia="zh-CN"/>
        </w:rPr>
      </w:pPr>
      <w:r>
        <w:drawing>
          <wp:inline distT="0" distB="0" distL="114300" distR="114300">
            <wp:extent cx="4533900" cy="2581910"/>
            <wp:effectExtent l="4445" t="4445" r="14605" b="2349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816.39万元，上</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702.01万元</w:t>
      </w:r>
      <w:r>
        <w:rPr>
          <w:rFonts w:hint="eastAsia" w:ascii="仿宋_GB2312" w:hAnsi="宋体" w:eastAsia="仿宋_GB2312" w:cs="仿宋_GB2312"/>
          <w:color w:val="000000"/>
          <w:kern w:val="0"/>
          <w:sz w:val="32"/>
          <w:szCs w:val="32"/>
          <w:lang w:eastAsia="zh-CN" w:bidi="ar"/>
        </w:rPr>
        <w:t>，</w:t>
      </w:r>
      <w:r>
        <w:rPr>
          <w:rFonts w:hint="eastAsia" w:ascii="仿宋_GB2312" w:hAnsi="仿宋" w:eastAsia="仿宋_GB2312"/>
          <w:sz w:val="32"/>
          <w:szCs w:val="32"/>
          <w:lang w:val="en-US" w:eastAsia="zh-CN"/>
        </w:rPr>
        <w:t>本年较上年增加114.38万元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增加的主要原因一是公共卫生服务经费中人均服务费用增加；二是增加了政府性基金预算收入。</w:t>
      </w:r>
    </w:p>
    <w:p>
      <w:pPr>
        <w:numPr>
          <w:ilvl w:val="0"/>
          <w:numId w:val="0"/>
        </w:numPr>
        <w:snapToGrid w:val="0"/>
        <w:spacing w:line="600" w:lineRule="exact"/>
        <w:ind w:firstLine="640" w:firstLineChars="200"/>
        <w:rPr>
          <w:rFonts w:hint="default" w:ascii="仿宋" w:hAnsi="仿宋" w:eastAsia="仿宋" w:cs="仿宋_GB2312"/>
          <w:szCs w:val="32"/>
          <w:lang w:val="en-US"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816.39万元，上</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693.73万元，本年较上年增加122.66万元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增加的主要原因</w:t>
      </w:r>
      <w:r>
        <w:rPr>
          <w:rFonts w:hint="eastAsia" w:ascii="仿宋_GB2312" w:hAnsi="仿宋_GB2312" w:eastAsia="仿宋_GB2312" w:cs="仿宋_GB2312"/>
          <w:sz w:val="32"/>
          <w:szCs w:val="32"/>
          <w:lang w:val="en-US" w:eastAsia="zh-CN"/>
        </w:rPr>
        <w:t>一是新冠疫情影响抗疫特别国债安排的支出增加；二是公共卫生服务支出增加。</w:t>
      </w:r>
    </w:p>
    <w:p>
      <w:pPr>
        <w:numPr>
          <w:ilvl w:val="0"/>
          <w:numId w:val="0"/>
        </w:numPr>
        <w:ind w:firstLine="640" w:firstLineChars="200"/>
        <w:rPr>
          <w:rFonts w:hint="eastAsia" w:ascii="仿宋_GB2312" w:hAnsi="仿宋" w:eastAsia="仿宋_GB2312"/>
          <w:sz w:val="32"/>
          <w:szCs w:val="32"/>
          <w:lang w:val="en-US" w:eastAsia="zh-CN"/>
        </w:rPr>
      </w:pPr>
    </w:p>
    <w:p>
      <w:pPr>
        <w:pStyle w:val="2"/>
        <w:rPr>
          <w:rFonts w:hint="default"/>
          <w:lang w:val="en-US" w:eastAsia="zh-CN"/>
        </w:rPr>
      </w:pPr>
      <w:r>
        <w:drawing>
          <wp:inline distT="0" distB="0" distL="114300" distR="114300">
            <wp:extent cx="5048885" cy="3742055"/>
            <wp:effectExtent l="4445" t="4445" r="13970" b="635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ind w:firstLine="640" w:firstLineChars="200"/>
        <w:rPr>
          <w:rFonts w:hint="eastAsia" w:ascii="仿宋" w:hAnsi="仿宋" w:eastAsia="仿宋" w:cs="仿宋_GB2312"/>
          <w:sz w:val="32"/>
          <w:szCs w:val="32"/>
        </w:rPr>
      </w:pPr>
    </w:p>
    <w:p>
      <w:pPr>
        <w:pStyle w:val="2"/>
        <w:rPr>
          <w:rFonts w:hint="eastAsia"/>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numPr>
          <w:ilvl w:val="0"/>
          <w:numId w:val="0"/>
        </w:numPr>
        <w:snapToGrid w:val="0"/>
        <w:spacing w:line="600" w:lineRule="exact"/>
        <w:ind w:firstLine="640" w:firstLineChars="200"/>
        <w:rPr>
          <w:rFonts w:hint="default" w:ascii="仿宋" w:hAnsi="仿宋" w:eastAsia="仿宋" w:cs="仿宋_GB2312"/>
          <w:szCs w:val="32"/>
          <w:lang w:val="en-US" w:eastAsia="zh-CN"/>
        </w:rPr>
      </w:pPr>
      <w:r>
        <w:rPr>
          <w:rFonts w:hint="eastAsia" w:ascii="仿宋_GB2312" w:hAnsi="宋体" w:eastAsia="仿宋_GB2312" w:cs="仿宋_GB2312"/>
          <w:color w:val="000000"/>
          <w:kern w:val="0"/>
          <w:sz w:val="32"/>
          <w:szCs w:val="32"/>
          <w:lang w:eastAsia="zh-CN" w:bidi="ar"/>
        </w:rPr>
        <w:t>202</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度一般公共预算</w:t>
      </w:r>
      <w:r>
        <w:rPr>
          <w:rFonts w:ascii="仿宋_GB2312" w:hAnsi="宋体" w:eastAsia="仿宋_GB2312" w:cs="仿宋_GB2312"/>
          <w:color w:val="000000"/>
          <w:kern w:val="0"/>
          <w:sz w:val="32"/>
          <w:szCs w:val="32"/>
          <w:lang w:bidi="ar"/>
        </w:rPr>
        <w:t>财政拨款支出</w:t>
      </w:r>
      <w:r>
        <w:rPr>
          <w:rFonts w:hint="eastAsia" w:ascii="仿宋_GB2312" w:hAnsi="宋体" w:eastAsia="仿宋_GB2312" w:cs="仿宋_GB2312"/>
          <w:color w:val="000000"/>
          <w:kern w:val="0"/>
          <w:sz w:val="32"/>
          <w:szCs w:val="32"/>
          <w:lang w:val="en-US" w:eastAsia="zh-CN" w:bidi="ar"/>
        </w:rPr>
        <w:t>816.39</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70.39</w:t>
      </w:r>
      <w:r>
        <w:rPr>
          <w:rFonts w:ascii="仿宋_GB2312" w:hAnsi="宋体" w:eastAsia="仿宋_GB2312" w:cs="仿宋_GB2312"/>
          <w:color w:val="000000"/>
          <w:kern w:val="0"/>
          <w:sz w:val="32"/>
          <w:szCs w:val="32"/>
          <w:lang w:bidi="ar"/>
        </w:rPr>
        <w:t>%。</w:t>
      </w:r>
      <w:r>
        <w:rPr>
          <w:rFonts w:hint="eastAsia" w:ascii="仿宋_GB2312" w:hAnsi="仿宋" w:eastAsia="仿宋_GB2312"/>
          <w:sz w:val="32"/>
          <w:szCs w:val="32"/>
        </w:rPr>
        <w:t>2019年</w:t>
      </w:r>
      <w:r>
        <w:rPr>
          <w:rFonts w:hint="eastAsia" w:ascii="仿宋_GB2312" w:hAnsi="仿宋" w:eastAsia="仿宋_GB2312"/>
          <w:sz w:val="32"/>
          <w:szCs w:val="32"/>
          <w:lang w:eastAsia="zh-CN"/>
        </w:rPr>
        <w:t>度</w:t>
      </w:r>
      <w:r>
        <w:rPr>
          <w:rFonts w:hint="eastAsia" w:ascii="仿宋_GB2312" w:hAnsi="宋体" w:eastAsia="仿宋_GB2312" w:cs="仿宋_GB2312"/>
          <w:color w:val="000000"/>
          <w:kern w:val="0"/>
          <w:sz w:val="32"/>
          <w:szCs w:val="32"/>
          <w:lang w:val="en-US" w:eastAsia="zh-CN" w:bidi="ar"/>
        </w:rPr>
        <w:t>一般公共预算</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693.73万元，</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相比，增加</w:t>
      </w:r>
      <w:r>
        <w:rPr>
          <w:rFonts w:hint="eastAsia" w:ascii="仿宋_GB2312" w:hAnsi="宋体" w:eastAsia="仿宋_GB2312" w:cs="仿宋_GB2312"/>
          <w:color w:val="000000"/>
          <w:kern w:val="0"/>
          <w:sz w:val="32"/>
          <w:szCs w:val="32"/>
          <w:lang w:val="en-US" w:eastAsia="zh-CN" w:bidi="ar"/>
        </w:rPr>
        <w:t>了122.66</w:t>
      </w:r>
      <w:r>
        <w:rPr>
          <w:rFonts w:ascii="仿宋_GB2312" w:hAnsi="宋体" w:eastAsia="仿宋_GB2312" w:cs="仿宋_GB2312"/>
          <w:color w:val="000000"/>
          <w:kern w:val="0"/>
          <w:sz w:val="32"/>
          <w:szCs w:val="32"/>
          <w:lang w:bidi="ar"/>
        </w:rPr>
        <w:t>万元，增长</w:t>
      </w:r>
      <w:r>
        <w:rPr>
          <w:rFonts w:hint="eastAsia" w:ascii="仿宋_GB2312" w:hAnsi="宋体" w:eastAsia="仿宋_GB2312" w:cs="仿宋_GB2312"/>
          <w:color w:val="000000"/>
          <w:kern w:val="0"/>
          <w:sz w:val="32"/>
          <w:szCs w:val="32"/>
          <w:lang w:val="en-US" w:eastAsia="zh-CN" w:bidi="ar"/>
        </w:rPr>
        <w:t>17.68</w:t>
      </w:r>
      <w:r>
        <w:rPr>
          <w:rFonts w:ascii="仿宋_GB2312" w:hAnsi="宋体" w:eastAsia="仿宋_GB2312" w:cs="仿宋_GB2312"/>
          <w:color w:val="000000"/>
          <w:kern w:val="0"/>
          <w:sz w:val="32"/>
          <w:szCs w:val="32"/>
          <w:lang w:bidi="ar"/>
        </w:rPr>
        <w:t>%，</w:t>
      </w:r>
      <w:r>
        <w:rPr>
          <w:rFonts w:hint="eastAsia" w:ascii="仿宋_GB2312" w:hAnsi="仿宋" w:eastAsia="仿宋_GB2312"/>
          <w:sz w:val="32"/>
          <w:szCs w:val="32"/>
          <w:lang w:val="en-US" w:eastAsia="zh-CN"/>
        </w:rPr>
        <w:t>增长原因主要是：</w:t>
      </w:r>
      <w:r>
        <w:rPr>
          <w:rFonts w:hint="eastAsia" w:ascii="仿宋_GB2312" w:hAnsi="仿宋_GB2312" w:eastAsia="仿宋_GB2312" w:cs="仿宋_GB2312"/>
          <w:sz w:val="32"/>
          <w:szCs w:val="32"/>
          <w:lang w:val="en-US" w:eastAsia="zh-CN"/>
        </w:rPr>
        <w:t>一是新冠疫情影响抗疫特别国债安排的支出增加；二是公共卫生服务支出增加。</w:t>
      </w:r>
    </w:p>
    <w:p>
      <w:pPr>
        <w:numPr>
          <w:ilvl w:val="0"/>
          <w:numId w:val="0"/>
        </w:numPr>
        <w:ind w:firstLine="420" w:firstLineChars="200"/>
        <w:rPr>
          <w:rFonts w:hint="default" w:ascii="仿宋" w:hAnsi="仿宋" w:eastAsia="仿宋" w:cs="仿宋_GB2312"/>
          <w:szCs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val="en-US" w:eastAsia="zh-CN"/>
        </w:rPr>
      </w:pPr>
    </w:p>
    <w:p>
      <w:pPr>
        <w:pStyle w:val="2"/>
        <w:rPr>
          <w:rFonts w:hint="eastAsia"/>
          <w:lang w:val="en-US" w:eastAsia="zh-CN"/>
        </w:rPr>
      </w:pPr>
      <w:r>
        <w:drawing>
          <wp:inline distT="0" distB="0" distL="114300" distR="114300">
            <wp:extent cx="5095875" cy="2952115"/>
            <wp:effectExtent l="4445" t="4445" r="5080" b="1524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kinsoku/>
        <w:wordWrap/>
        <w:overflowPunct/>
        <w:topLinePunct w:val="0"/>
        <w:autoSpaceDE/>
        <w:autoSpaceDN/>
        <w:bidi w:val="0"/>
        <w:spacing w:line="560" w:lineRule="exact"/>
        <w:ind w:firstLine="420" w:firstLineChars="200"/>
        <w:jc w:val="left"/>
        <w:textAlignment w:val="auto"/>
      </w:pP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numPr>
          <w:ilvl w:val="0"/>
          <w:numId w:val="0"/>
        </w:numPr>
        <w:snapToGrid w:val="0"/>
        <w:spacing w:line="600" w:lineRule="exact"/>
        <w:ind w:firstLine="960" w:firstLineChars="300"/>
        <w:rPr>
          <w:rFonts w:hint="eastAsia"/>
          <w:b/>
          <w:bCs/>
        </w:rPr>
      </w:pPr>
      <w:r>
        <w:rPr>
          <w:rFonts w:hint="eastAsia" w:ascii="仿宋_GB2312" w:hAnsi="宋体" w:eastAsia="仿宋_GB2312" w:cs="仿宋_GB2312"/>
          <w:color w:val="000000"/>
          <w:kern w:val="0"/>
          <w:sz w:val="32"/>
          <w:szCs w:val="32"/>
          <w:lang w:eastAsia="zh-CN" w:bidi="ar"/>
        </w:rPr>
        <w:t>202</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度一般公共预算</w:t>
      </w:r>
      <w:r>
        <w:rPr>
          <w:rFonts w:ascii="仿宋_GB2312" w:hAnsi="宋体" w:eastAsia="仿宋_GB2312" w:cs="仿宋_GB2312"/>
          <w:color w:val="000000"/>
          <w:kern w:val="0"/>
          <w:sz w:val="32"/>
          <w:szCs w:val="32"/>
          <w:lang w:bidi="ar"/>
        </w:rPr>
        <w:t>财政拨款支出预算为</w:t>
      </w:r>
      <w:r>
        <w:rPr>
          <w:rFonts w:hint="eastAsia" w:ascii="仿宋_GB2312" w:hAnsi="宋体" w:eastAsia="仿宋_GB2312" w:cs="仿宋_GB2312"/>
          <w:color w:val="000000"/>
          <w:kern w:val="0"/>
          <w:sz w:val="32"/>
          <w:szCs w:val="32"/>
          <w:lang w:val="en-US" w:eastAsia="zh-CN" w:bidi="ar"/>
        </w:rPr>
        <w:t>820.55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816.39</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w:t>
      </w:r>
      <w:r>
        <w:rPr>
          <w:rFonts w:hint="eastAsia" w:ascii="仿宋_GB2312" w:hAnsi="宋体" w:eastAsia="仿宋_GB2312" w:cs="仿宋_GB2312"/>
          <w:color w:val="000000"/>
          <w:kern w:val="0"/>
          <w:sz w:val="32"/>
          <w:szCs w:val="32"/>
          <w:lang w:val="en-US" w:eastAsia="zh-CN" w:bidi="ar"/>
        </w:rPr>
        <w:t>全年</w:t>
      </w:r>
      <w:r>
        <w:rPr>
          <w:rFonts w:ascii="仿宋_GB2312" w:hAnsi="宋体" w:eastAsia="仿宋_GB2312" w:cs="仿宋_GB2312"/>
          <w:color w:val="000000"/>
          <w:kern w:val="0"/>
          <w:sz w:val="32"/>
          <w:szCs w:val="32"/>
          <w:lang w:bidi="ar"/>
        </w:rPr>
        <w:t>预算的</w:t>
      </w:r>
      <w:r>
        <w:rPr>
          <w:rFonts w:hint="eastAsia" w:ascii="仿宋_GB2312" w:hAnsi="宋体" w:eastAsia="仿宋_GB2312" w:cs="仿宋_GB2312"/>
          <w:color w:val="000000"/>
          <w:kern w:val="0"/>
          <w:sz w:val="32"/>
          <w:szCs w:val="32"/>
          <w:lang w:val="en-US" w:eastAsia="zh-CN" w:bidi="ar"/>
        </w:rPr>
        <w:t>99.49</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其中：</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lang w:val="en-US" w:eastAsia="zh-CN"/>
        </w:rPr>
        <w:t>0卫生健康支出694.43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其中人员经费</w:t>
      </w:r>
      <w:r>
        <w:rPr>
          <w:rFonts w:hint="eastAsia" w:ascii="仿宋_GB2312" w:hAnsi="仿宋_GB2312" w:eastAsia="仿宋_GB2312" w:cs="仿宋_GB2312"/>
          <w:sz w:val="32"/>
          <w:szCs w:val="32"/>
          <w:lang w:val="en-US" w:eastAsia="zh-CN"/>
        </w:rPr>
        <w:t>263.77万元，公用经费143.37万元，项目支出287.29万元。</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_GB2312" w:eastAsia="仿宋_GB2312" w:cs="仿宋_GB2312"/>
          <w:color w:val="000000"/>
          <w:kern w:val="0"/>
          <w:sz w:val="31"/>
          <w:szCs w:val="31"/>
          <w:lang w:val="en-US" w:eastAsia="zh-CN" w:bidi="ar"/>
        </w:rPr>
        <w:t>度</w:t>
      </w:r>
      <w:r>
        <w:rPr>
          <w:rFonts w:ascii="仿宋_GB2312" w:hAnsi="仿宋_GB2312" w:eastAsia="仿宋_GB2312" w:cs="仿宋_GB2312"/>
          <w:color w:val="000000"/>
          <w:kern w:val="0"/>
          <w:sz w:val="31"/>
          <w:szCs w:val="31"/>
          <w:lang w:bidi="ar"/>
        </w:rPr>
        <w:t>一般公共预算财政拨款基本支出</w:t>
      </w:r>
      <w:r>
        <w:rPr>
          <w:rFonts w:hint="eastAsia" w:ascii="仿宋_GB2312" w:hAnsi="仿宋_GB2312" w:eastAsia="仿宋_GB2312" w:cs="仿宋_GB2312"/>
          <w:color w:val="000000"/>
          <w:kern w:val="0"/>
          <w:sz w:val="31"/>
          <w:szCs w:val="31"/>
          <w:lang w:val="en-US" w:eastAsia="zh-CN" w:bidi="ar"/>
        </w:rPr>
        <w:t>407.14</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val="en-US" w:eastAsia="zh-CN" w:bidi="ar"/>
        </w:rPr>
        <w:t>263.77</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val="en-US" w:eastAsia="zh-CN" w:bidi="ar"/>
        </w:rPr>
        <w:t>143.37</w:t>
      </w:r>
      <w:r>
        <w:rPr>
          <w:rFonts w:ascii="仿宋_GB2312" w:hAnsi="仿宋_GB2312" w:eastAsia="仿宋_GB2312" w:cs="仿宋_GB2312"/>
          <w:color w:val="000000"/>
          <w:kern w:val="0"/>
          <w:sz w:val="31"/>
          <w:szCs w:val="31"/>
          <w:lang w:bidi="ar"/>
        </w:rPr>
        <w:t>万元。</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b/>
          <w:bCs/>
          <w:color w:val="000000"/>
          <w:kern w:val="0"/>
          <w:sz w:val="32"/>
          <w:szCs w:val="32"/>
          <w:lang w:val="en-US" w:eastAsia="zh-CN" w:bidi="ar"/>
        </w:rPr>
        <w:t>263.77</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30101</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val="en-US" w:eastAsia="zh-CN" w:bidi="ar"/>
        </w:rPr>
        <w:t>41.33</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30102津贴补贴5.58万元，30107绩效工资145.54万元，30108</w:t>
      </w:r>
      <w:r>
        <w:rPr>
          <w:rFonts w:hint="eastAsia" w:ascii="仿宋_GB2312" w:hAnsi="宋体" w:eastAsia="仿宋_GB2312" w:cs="仿宋_GB2312"/>
          <w:color w:val="auto"/>
          <w:kern w:val="0"/>
          <w:sz w:val="32"/>
          <w:szCs w:val="32"/>
          <w:lang w:val="en-US" w:eastAsia="zh-CN" w:bidi="ar"/>
        </w:rPr>
        <w:t>社保缴费</w:t>
      </w:r>
      <w:r>
        <w:rPr>
          <w:rFonts w:hint="eastAsia" w:ascii="仿宋_GB2312" w:hAnsi="宋体" w:eastAsia="仿宋_GB2312" w:cs="仿宋_GB2312"/>
          <w:color w:val="000000"/>
          <w:kern w:val="0"/>
          <w:sz w:val="32"/>
          <w:szCs w:val="32"/>
          <w:lang w:val="en-US" w:eastAsia="zh-CN" w:bidi="ar"/>
        </w:rPr>
        <w:t>67.12万元，30199</w:t>
      </w:r>
      <w:r>
        <w:rPr>
          <w:rFonts w:hint="eastAsia" w:ascii="仿宋_GB2312" w:hAnsi="宋体" w:eastAsia="仿宋_GB2312" w:cs="仿宋_GB2312"/>
          <w:color w:val="auto"/>
          <w:kern w:val="0"/>
          <w:sz w:val="32"/>
          <w:szCs w:val="32"/>
          <w:lang w:val="en-US" w:eastAsia="zh-CN" w:bidi="ar"/>
        </w:rPr>
        <w:t>采暖补贴</w:t>
      </w:r>
      <w:r>
        <w:rPr>
          <w:rFonts w:hint="eastAsia" w:ascii="仿宋_GB2312" w:hAnsi="宋体" w:eastAsia="仿宋_GB2312" w:cs="仿宋_GB2312"/>
          <w:color w:val="000000"/>
          <w:kern w:val="0"/>
          <w:sz w:val="32"/>
          <w:szCs w:val="32"/>
          <w:lang w:val="en-US" w:eastAsia="zh-CN" w:bidi="ar"/>
        </w:rPr>
        <w:t>4.20万元</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b/>
          <w:bCs/>
          <w:color w:val="000000"/>
          <w:kern w:val="0"/>
          <w:sz w:val="32"/>
          <w:szCs w:val="32"/>
          <w:lang w:val="en-US" w:eastAsia="zh-CN" w:bidi="ar"/>
        </w:rPr>
        <w:t>143.37</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30201</w:t>
      </w:r>
      <w:r>
        <w:rPr>
          <w:rFonts w:ascii="仿宋_GB2312" w:hAnsi="宋体" w:eastAsia="仿宋_GB2312" w:cs="仿宋_GB2312"/>
          <w:color w:val="000000"/>
          <w:kern w:val="0"/>
          <w:sz w:val="32"/>
          <w:szCs w:val="32"/>
          <w:lang w:bidi="ar"/>
        </w:rPr>
        <w:t>办公费</w:t>
      </w:r>
      <w:r>
        <w:rPr>
          <w:rFonts w:hint="eastAsia" w:ascii="仿宋_GB2312" w:hAnsi="宋体" w:eastAsia="仿宋_GB2312" w:cs="仿宋_GB2312"/>
          <w:color w:val="000000"/>
          <w:kern w:val="0"/>
          <w:sz w:val="32"/>
          <w:szCs w:val="32"/>
          <w:lang w:val="en-US" w:eastAsia="zh-CN" w:bidi="ar"/>
        </w:rPr>
        <w:t>25.50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30213维护维修费15.10万元，30226劳务费99.30万元，30299其他3.47万元</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eastAsia="zh-CN" w:bidi="ar"/>
        </w:rPr>
        <w:t>无增减</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主要原因是</w:t>
      </w:r>
      <w:r>
        <w:rPr>
          <w:rFonts w:hint="eastAsia" w:ascii="仿宋_GB2312" w:hAnsi="宋体" w:eastAsia="仿宋_GB2312" w:cs="仿宋_GB2312"/>
          <w:color w:val="auto"/>
          <w:kern w:val="0"/>
          <w:sz w:val="32"/>
          <w:szCs w:val="32"/>
          <w:lang w:val="en-US" w:eastAsia="zh-CN" w:bidi="ar"/>
        </w:rPr>
        <w:t>本部门</w:t>
      </w:r>
      <w:r>
        <w:rPr>
          <w:rFonts w:hint="eastAsia" w:ascii="仿宋_GB2312" w:hAnsi="宋体" w:eastAsia="仿宋_GB2312" w:cs="仿宋_GB2312"/>
          <w:color w:val="000000"/>
          <w:kern w:val="0"/>
          <w:sz w:val="32"/>
          <w:szCs w:val="32"/>
          <w:lang w:eastAsia="zh-CN" w:bidi="ar"/>
        </w:rPr>
        <w:t>不涉及此项业务。</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仿宋_GB2312" w:eastAsia="仿宋_GB2312" w:cs="仿宋_GB2312"/>
          <w:sz w:val="32"/>
          <w:szCs w:val="32"/>
          <w:lang w:val="en-US" w:eastAsia="zh-CN"/>
        </w:rPr>
        <w:t>占0%</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仿宋_GB2312" w:eastAsia="仿宋_GB2312" w:cs="仿宋_GB2312"/>
          <w:sz w:val="32"/>
          <w:szCs w:val="32"/>
          <w:lang w:val="en-US" w:eastAsia="zh-CN"/>
        </w:rPr>
        <w:t>占0%；</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仿宋_GB2312" w:eastAsia="仿宋_GB2312" w:cs="仿宋_GB2312"/>
          <w:sz w:val="32"/>
          <w:szCs w:val="32"/>
          <w:lang w:val="en-US" w:eastAsia="zh-CN"/>
        </w:rPr>
        <w:t>占0%</w:t>
      </w:r>
      <w:r>
        <w:rPr>
          <w:rFonts w:ascii="仿宋_GB2312" w:hAnsi="宋体" w:eastAsia="仿宋_GB2312" w:cs="仿宋_GB2312"/>
          <w:color w:val="000000"/>
          <w:kern w:val="0"/>
          <w:sz w:val="32"/>
          <w:szCs w:val="32"/>
          <w:lang w:bidi="ar"/>
        </w:rPr>
        <w:t>；公务接待费支出决算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具体情况如下：</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eastAsia="仿宋_GB2312"/>
          <w:lang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 w:eastAsia="仿宋_GB2312"/>
          <w:sz w:val="32"/>
          <w:szCs w:val="32"/>
        </w:rPr>
        <w:t>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eastAsia="仿宋_GB2312"/>
          <w:lang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 w:eastAsia="仿宋_GB2312"/>
          <w:sz w:val="32"/>
          <w:szCs w:val="32"/>
        </w:rPr>
        <w:t>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 w:eastAsia="仿宋_GB2312"/>
          <w:sz w:val="32"/>
          <w:szCs w:val="32"/>
        </w:rPr>
        <w:t>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color w:val="auto"/>
          <w:sz w:val="32"/>
          <w:szCs w:val="32"/>
          <w:lang w:eastAsia="zh-CN"/>
        </w:rPr>
        <w:t>2020</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度</w:t>
      </w:r>
      <w:r>
        <w:rPr>
          <w:rFonts w:hint="eastAsia" w:ascii="仿宋_GB2312" w:hAnsi="仿宋_GB2312" w:eastAsia="仿宋_GB2312" w:cs="仿宋_GB2312"/>
          <w:color w:val="auto"/>
          <w:sz w:val="32"/>
          <w:szCs w:val="32"/>
        </w:rPr>
        <w:t>培训费</w:t>
      </w:r>
      <w:r>
        <w:rPr>
          <w:rFonts w:ascii="仿宋_GB2312" w:hAnsi="宋体" w:eastAsia="仿宋_GB2312" w:cs="仿宋_GB2312"/>
          <w:color w:val="auto"/>
          <w:kern w:val="0"/>
          <w:sz w:val="32"/>
          <w:szCs w:val="32"/>
          <w:lang w:bidi="ar"/>
        </w:rPr>
        <w:t>预算为</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万元，支出决算为</w:t>
      </w:r>
      <w:r>
        <w:rPr>
          <w:rFonts w:hint="eastAsia" w:ascii="仿宋_GB2312" w:hAnsi="宋体" w:eastAsia="仿宋_GB2312" w:cs="仿宋_GB2312"/>
          <w:color w:val="auto"/>
          <w:kern w:val="0"/>
          <w:sz w:val="32"/>
          <w:szCs w:val="32"/>
          <w:lang w:val="en-US" w:eastAsia="zh-CN" w:bidi="ar"/>
        </w:rPr>
        <w:t>0</w:t>
      </w:r>
      <w:r>
        <w:rPr>
          <w:rFonts w:ascii="仿宋_GB2312" w:hAnsi="宋体" w:eastAsia="仿宋_GB2312" w:cs="仿宋_GB2312"/>
          <w:color w:val="auto"/>
          <w:kern w:val="0"/>
          <w:sz w:val="32"/>
          <w:szCs w:val="32"/>
          <w:lang w:bidi="ar"/>
        </w:rPr>
        <w:t>万元</w:t>
      </w:r>
      <w:r>
        <w:rPr>
          <w:rFonts w:hint="eastAsia" w:ascii="仿宋_GB2312" w:hAnsi="宋体" w:eastAsia="仿宋_GB2312" w:cs="仿宋_GB2312"/>
          <w:color w:val="0000FF"/>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较</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val="en-US" w:eastAsia="zh-CN" w:bidi="ar"/>
        </w:rPr>
        <w:t>无增减。</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numPr>
          <w:ilvl w:val="0"/>
          <w:numId w:val="0"/>
        </w:numPr>
        <w:snapToGrid w:val="0"/>
        <w:spacing w:line="600" w:lineRule="exact"/>
        <w:ind w:firstLine="630" w:firstLineChars="300"/>
        <w:rPr>
          <w:rFonts w:hint="default"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2020年政府性基金预算财政拨款收入58.05万元，政府性基金预算财政拨款支出58.05万元</w:t>
      </w:r>
      <w:r>
        <w:rPr>
          <w:rFonts w:hint="eastAsia" w:ascii="仿宋_GB2312" w:hAnsi="宋体" w:eastAsia="仿宋_GB2312" w:cs="仿宋_GB2312"/>
          <w:color w:val="000000"/>
          <w:kern w:val="0"/>
          <w:sz w:val="32"/>
          <w:szCs w:val="32"/>
          <w:lang w:val="en-US" w:eastAsia="zh-CN" w:bidi="ar"/>
        </w:rPr>
        <w:t>，为抗疫特别国债安排的支出。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numPr>
          <w:ilvl w:val="0"/>
          <w:numId w:val="0"/>
        </w:numPr>
        <w:snapToGrid w:val="0"/>
        <w:spacing w:line="600" w:lineRule="exact"/>
        <w:ind w:firstLine="960" w:firstLineChars="3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2020年本部门无国有资本经营决算拨款收入和支出，并已公开空表。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numPr>
          <w:ilvl w:val="0"/>
          <w:numId w:val="0"/>
        </w:numPr>
        <w:snapToGrid w:val="0"/>
        <w:spacing w:line="600" w:lineRule="exact"/>
        <w:ind w:firstLine="640" w:firstLineChars="2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2020年机关运行经费预算为0万元，支出决算为0万元，完成预算的0%。决算数较预算数无增减，主要原因是卫生系统基层医疗单位全部为事业单位，无机关运行经费。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年本部门政府采购支出总额共</w:t>
      </w:r>
      <w:r>
        <w:rPr>
          <w:rFonts w:hint="eastAsia" w:ascii="仿宋_GB2312" w:hAnsi="仿宋_GB2312" w:eastAsia="仿宋_GB2312" w:cs="仿宋_GB2312"/>
          <w:sz w:val="32"/>
          <w:szCs w:val="32"/>
          <w:lang w:val="en-US" w:eastAsia="zh-CN"/>
        </w:rPr>
        <w:t>31.35</w:t>
      </w:r>
      <w:r>
        <w:rPr>
          <w:rFonts w:hint="eastAsia" w:ascii="仿宋_GB2312" w:hAnsi="仿宋_GB2312" w:eastAsia="仿宋_GB2312" w:cs="仿宋_GB2312"/>
          <w:sz w:val="32"/>
          <w:szCs w:val="32"/>
        </w:rPr>
        <w:t>万元，其中政府采购货物类支出</w:t>
      </w:r>
      <w:r>
        <w:rPr>
          <w:rFonts w:hint="eastAsia" w:ascii="仿宋_GB2312" w:hAnsi="仿宋_GB2312" w:eastAsia="仿宋_GB2312" w:cs="仿宋_GB2312"/>
          <w:sz w:val="32"/>
          <w:szCs w:val="32"/>
          <w:lang w:val="en-US" w:eastAsia="zh-CN"/>
        </w:rPr>
        <w:t>31.35</w:t>
      </w:r>
      <w:r>
        <w:rPr>
          <w:rFonts w:hint="eastAsia" w:ascii="仿宋_GB2312" w:hAnsi="仿宋_GB2312" w:eastAsia="仿宋_GB2312" w:cs="仿宋_GB2312"/>
          <w:sz w:val="32"/>
          <w:szCs w:val="32"/>
        </w:rPr>
        <w:t>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宋体" w:eastAsia="仿宋_GB2312" w:cs="仿宋_GB2312"/>
          <w:color w:val="000000"/>
          <w:kern w:val="0"/>
          <w:sz w:val="32"/>
          <w:szCs w:val="32"/>
          <w:lang w:bidi="ar"/>
        </w:rPr>
        <w:t>授予中小企业合同金额</w:t>
      </w:r>
      <w:r>
        <w:rPr>
          <w:rFonts w:hint="eastAsia" w:ascii="仿宋_GB2312" w:hAnsi="宋体" w:eastAsia="仿宋_GB2312" w:cs="仿宋_GB2312"/>
          <w:color w:val="000000"/>
          <w:kern w:val="0"/>
          <w:sz w:val="32"/>
          <w:szCs w:val="32"/>
          <w:lang w:val="en-US" w:eastAsia="zh-CN" w:bidi="ar"/>
        </w:rPr>
        <w:t>31.35</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%，其中：授予小微企业合同金额</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万元，占政府采购支出总额的</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十二、</w:t>
      </w: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，其中副部（省）级以上领导用车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当年购置车辆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widowControl/>
        <w:ind w:firstLine="640" w:firstLineChars="200"/>
        <w:jc w:val="left"/>
        <w:rPr>
          <w:rFonts w:hint="eastAsia"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sz w:val="32"/>
          <w:szCs w:val="32"/>
        </w:rPr>
        <w:t>根据预算绩效管理要求，本部门组织对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sz w:val="32"/>
          <w:szCs w:val="32"/>
        </w:rPr>
        <w:t>，其中，一级项目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258.83</w:t>
      </w:r>
      <w:r>
        <w:rPr>
          <w:rFonts w:ascii="仿宋_GB2312" w:hAnsi="仿宋_GB2312" w:eastAsia="仿宋_GB2312" w:cs="仿宋_GB2312"/>
          <w:sz w:val="32"/>
          <w:szCs w:val="32"/>
        </w:rPr>
        <w:t>万元，占一般公共预算项目支出总额</w:t>
      </w:r>
      <w:r>
        <w:rPr>
          <w:rFonts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31.7%</w:t>
      </w:r>
      <w:r>
        <w:rPr>
          <w:rFonts w:hint="eastAsia" w:ascii="仿宋_GB2312" w:hAnsi="仿宋_GB2312" w:eastAsia="仿宋_GB2312" w:cs="仿宋_GB2312"/>
          <w:sz w:val="32"/>
          <w:szCs w:val="32"/>
          <w:lang w:eastAsia="zh-CN"/>
        </w:rPr>
        <w:t>；</w:t>
      </w:r>
      <w:r>
        <w:rPr>
          <w:rFonts w:ascii="仿宋_GB2312" w:hAnsi="仿宋_GB2312" w:eastAsia="仿宋_GB2312" w:cs="仿宋_GB2312"/>
          <w:color w:val="000000"/>
          <w:kern w:val="0"/>
          <w:sz w:val="31"/>
          <w:szCs w:val="31"/>
          <w:lang w:bidi="ar"/>
        </w:rPr>
        <w:t xml:space="preserve">组织对 </w:t>
      </w: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 w:eastAsia="仿宋_GB2312"/>
          <w:sz w:val="32"/>
          <w:szCs w:val="32"/>
          <w:lang w:eastAsia="zh-CN"/>
        </w:rPr>
        <w:t>度政府性</w:t>
      </w:r>
      <w:r>
        <w:rPr>
          <w:rFonts w:hint="eastAsia" w:ascii="仿宋_GB2312" w:hAnsi="仿宋_GB2312" w:eastAsia="仿宋_GB2312" w:cs="仿宋_GB2312"/>
          <w:sz w:val="32"/>
          <w:szCs w:val="32"/>
        </w:rPr>
        <w:t>基金预算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涉及项目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color w:val="000000"/>
          <w:kern w:val="0"/>
          <w:sz w:val="31"/>
          <w:szCs w:val="31"/>
          <w:lang w:eastAsia="zh-CN" w:bidi="ar"/>
        </w:rPr>
        <w:t>个，</w:t>
      </w:r>
      <w:r>
        <w:rPr>
          <w:rFonts w:ascii="仿宋_GB2312" w:hAnsi="仿宋_GB2312" w:eastAsia="仿宋_GB2312" w:cs="仿宋_GB2312"/>
          <w:color w:val="000000"/>
          <w:kern w:val="0"/>
          <w:sz w:val="31"/>
          <w:szCs w:val="31"/>
          <w:lang w:bidi="ar"/>
        </w:rPr>
        <w:t>共涉及资金</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万元，占政府性基金预算项目支出总额的</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w:t>
      </w:r>
      <w:r>
        <w:rPr>
          <w:rFonts w:hint="eastAsia" w:ascii="仿宋_GB2312" w:hAnsi="仿宋_GB2312" w:eastAsia="仿宋_GB2312" w:cs="仿宋_GB2312"/>
          <w:color w:val="000000"/>
          <w:kern w:val="0"/>
          <w:sz w:val="31"/>
          <w:szCs w:val="31"/>
          <w:lang w:eastAsia="zh-CN" w:bidi="ar"/>
        </w:rPr>
        <w:t>。</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部门整体进行了绩效自评，涉及资金</w:t>
      </w:r>
      <w:r>
        <w:rPr>
          <w:rFonts w:hint="eastAsia" w:ascii="仿宋_GB2312" w:hAnsi="仿宋_GB2312" w:eastAsia="仿宋_GB2312" w:cs="仿宋_GB2312"/>
          <w:color w:val="000000"/>
          <w:kern w:val="0"/>
          <w:sz w:val="31"/>
          <w:szCs w:val="31"/>
          <w:lang w:val="en-US" w:eastAsia="zh-CN" w:bidi="ar"/>
        </w:rPr>
        <w:t>816.39</w:t>
      </w:r>
      <w:r>
        <w:rPr>
          <w:rFonts w:hint="eastAsia"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基本公共卫生</w:t>
      </w:r>
      <w:r>
        <w:rPr>
          <w:rFonts w:ascii="仿宋_GB2312" w:hAnsi="仿宋_GB2312" w:eastAsia="仿宋_GB2312" w:cs="仿宋_GB2312"/>
          <w:color w:val="000000"/>
          <w:kern w:val="0"/>
          <w:sz w:val="31"/>
          <w:szCs w:val="31"/>
          <w:lang w:bidi="ar"/>
        </w:rPr>
        <w:t>项目绩效自评综述：根据年初设定的绩效目标，项目自评得分</w:t>
      </w:r>
      <w:r>
        <w:rPr>
          <w:rFonts w:hint="eastAsia" w:ascii="仿宋_GB2312" w:hAnsi="仿宋_GB2312" w:eastAsia="仿宋_GB2312" w:cs="仿宋_GB2312"/>
          <w:color w:val="auto"/>
          <w:kern w:val="0"/>
          <w:sz w:val="31"/>
          <w:szCs w:val="31"/>
          <w:lang w:val="en-US" w:eastAsia="zh-CN" w:bidi="ar"/>
        </w:rPr>
        <w:t>91</w:t>
      </w:r>
      <w:r>
        <w:rPr>
          <w:rFonts w:ascii="仿宋_GB2312" w:hAnsi="仿宋_GB2312" w:eastAsia="仿宋_GB2312" w:cs="仿宋_GB2312"/>
          <w:color w:val="000000"/>
          <w:kern w:val="0"/>
          <w:sz w:val="31"/>
          <w:szCs w:val="31"/>
          <w:lang w:bidi="ar"/>
        </w:rPr>
        <w:t>分。项目全年预算数</w:t>
      </w:r>
      <w:r>
        <w:rPr>
          <w:rFonts w:hint="eastAsia" w:ascii="仿宋_GB2312" w:hAnsi="仿宋_GB2312" w:eastAsia="仿宋_GB2312" w:cs="仿宋_GB2312"/>
          <w:color w:val="000000"/>
          <w:kern w:val="0"/>
          <w:sz w:val="31"/>
          <w:szCs w:val="31"/>
          <w:lang w:val="en-US" w:eastAsia="zh-CN" w:bidi="ar"/>
        </w:rPr>
        <w:t>223.54</w:t>
      </w:r>
      <w:r>
        <w:rPr>
          <w:rFonts w:ascii="仿宋_GB2312" w:hAnsi="仿宋_GB2312" w:eastAsia="仿宋_GB2312" w:cs="仿宋_GB2312"/>
          <w:color w:val="000000"/>
          <w:kern w:val="0"/>
          <w:sz w:val="31"/>
          <w:szCs w:val="31"/>
          <w:lang w:bidi="ar"/>
        </w:rPr>
        <w:t>万元，执行数</w:t>
      </w:r>
      <w:r>
        <w:rPr>
          <w:rFonts w:hint="eastAsia" w:ascii="仿宋_GB2312" w:hAnsi="仿宋_GB2312" w:eastAsia="仿宋_GB2312" w:cs="仿宋_GB2312"/>
          <w:color w:val="000000"/>
          <w:kern w:val="0"/>
          <w:sz w:val="31"/>
          <w:szCs w:val="31"/>
          <w:lang w:val="en-US" w:eastAsia="zh-CN" w:bidi="ar"/>
        </w:rPr>
        <w:t>223.54</w:t>
      </w:r>
      <w:r>
        <w:rPr>
          <w:rFonts w:ascii="仿宋_GB2312" w:hAnsi="仿宋_GB2312" w:eastAsia="仿宋_GB2312" w:cs="仿宋_GB2312"/>
          <w:color w:val="000000"/>
          <w:kern w:val="0"/>
          <w:sz w:val="31"/>
          <w:szCs w:val="31"/>
          <w:lang w:bidi="ar"/>
        </w:rPr>
        <w:t>万元，完成预算的</w:t>
      </w:r>
      <w:r>
        <w:rPr>
          <w:rFonts w:hint="eastAsia" w:ascii="仿宋_GB2312" w:hAnsi="仿宋_GB2312" w:eastAsia="仿宋_GB2312" w:cs="仿宋_GB2312"/>
          <w:color w:val="000000"/>
          <w:kern w:val="0"/>
          <w:sz w:val="31"/>
          <w:szCs w:val="31"/>
          <w:lang w:val="en-US" w:eastAsia="zh-CN" w:bidi="ar"/>
        </w:rPr>
        <w:t>100</w:t>
      </w:r>
      <w:r>
        <w:rPr>
          <w:rFonts w:ascii="仿宋_GB2312" w:hAnsi="仿宋_GB2312" w:eastAsia="仿宋_GB2312" w:cs="仿宋_GB2312"/>
          <w:color w:val="000000"/>
          <w:kern w:val="0"/>
          <w:sz w:val="31"/>
          <w:szCs w:val="31"/>
          <w:lang w:bidi="ar"/>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目标完成情况：该项目是针对辖区内的常住居民以及在现居住地连续居住半年以上的流动人口，特别是0-6岁儿童、孕产妇、65岁及以上老年人、35岁以上的原发性高血压患者、2型糖尿病患者、严重精神障碍患者、肺结核患者等重点人群，实施基本公共卫生服务项目。完成国家基本公共卫生服务项目任务内全部工作目标，较好实施国家基本公共卫生服务项目。</w:t>
      </w:r>
    </w:p>
    <w:p>
      <w:pPr>
        <w:widowControl/>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存在的问题及其原因：由于辖区居民人数众多，工作人员明显不足，基本公卫政策宣传力度不够，健康档案未充分利用，资金使用效益需要进一步提高。</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下一步改进措施：适当增加公卫人员，减少公卫人员流动性，提高公卫人员和乡村医生的待遇，调动其工作积极性；认真开展基本公共卫生服务宣传活动，加强基本公共卫生服务政策宣传，提高居民知晓率；进一步完善信息系统建设，加强公卫信息软件的开发和利用，实现各系统的互通整合</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eastAsia="zh-CN" w:bidi="ar"/>
        </w:rPr>
        <w:t>三</w:t>
      </w:r>
      <w:r>
        <w:rPr>
          <w:rFonts w:hint="eastAsia" w:ascii="楷体_GB2312" w:hAnsi="宋体" w:eastAsia="楷体_GB2312" w:cs="楷体_GB2312"/>
          <w:b/>
          <w:color w:val="000000"/>
          <w:kern w:val="0"/>
          <w:sz w:val="32"/>
          <w:szCs w:val="32"/>
          <w:lang w:bidi="ar"/>
        </w:rPr>
        <w:t>）部门决算中</w:t>
      </w:r>
      <w:r>
        <w:rPr>
          <w:rFonts w:hint="eastAsia" w:ascii="楷体_GB2312" w:hAnsi="宋体" w:eastAsia="楷体_GB2312" w:cs="楷体_GB2312"/>
          <w:b/>
          <w:color w:val="000000"/>
          <w:kern w:val="0"/>
          <w:sz w:val="32"/>
          <w:szCs w:val="32"/>
          <w:lang w:eastAsia="zh-CN" w:bidi="ar"/>
        </w:rPr>
        <w:t>整体支出</w:t>
      </w:r>
      <w:r>
        <w:rPr>
          <w:rFonts w:hint="eastAsia" w:ascii="楷体_GB2312" w:hAnsi="宋体" w:eastAsia="楷体_GB2312" w:cs="楷体_GB2312"/>
          <w:b/>
          <w:color w:val="000000"/>
          <w:kern w:val="0"/>
          <w:sz w:val="32"/>
          <w:szCs w:val="32"/>
          <w:lang w:bidi="ar"/>
        </w:rPr>
        <w:t>绩效自评结果。</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根据年初设定的绩效目标，</w:t>
      </w:r>
      <w:r>
        <w:rPr>
          <w:rFonts w:hint="eastAsia" w:ascii="仿宋_GB2312" w:hAnsi="仿宋_GB2312" w:eastAsia="仿宋_GB2312" w:cs="仿宋_GB2312"/>
          <w:color w:val="000000"/>
          <w:kern w:val="0"/>
          <w:sz w:val="31"/>
          <w:szCs w:val="31"/>
          <w:lang w:eastAsia="zh-CN" w:bidi="ar"/>
        </w:rPr>
        <w:t>本部门整体</w:t>
      </w:r>
      <w:r>
        <w:rPr>
          <w:rFonts w:ascii="仿宋_GB2312" w:hAnsi="仿宋_GB2312" w:eastAsia="仿宋_GB2312" w:cs="仿宋_GB2312"/>
          <w:color w:val="000000"/>
          <w:kern w:val="0"/>
          <w:sz w:val="31"/>
          <w:szCs w:val="31"/>
          <w:lang w:bidi="ar"/>
        </w:rPr>
        <w:t>自评得分</w:t>
      </w:r>
      <w:r>
        <w:rPr>
          <w:rFonts w:hint="eastAsia" w:ascii="仿宋_GB2312" w:hAnsi="仿宋_GB2312" w:eastAsia="仿宋_GB2312" w:cs="仿宋_GB2312"/>
          <w:color w:val="auto"/>
          <w:kern w:val="0"/>
          <w:sz w:val="31"/>
          <w:szCs w:val="31"/>
          <w:lang w:val="en-US" w:eastAsia="zh-CN" w:bidi="ar"/>
        </w:rPr>
        <w:t>95</w:t>
      </w:r>
      <w:r>
        <w:rPr>
          <w:rFonts w:ascii="仿宋_GB2312" w:hAnsi="仿宋_GB2312" w:eastAsia="仿宋_GB2312" w:cs="仿宋_GB2312"/>
          <w:color w:val="000000"/>
          <w:kern w:val="0"/>
          <w:sz w:val="31"/>
          <w:szCs w:val="31"/>
          <w:lang w:bidi="ar"/>
        </w:rPr>
        <w:t>分。全年预算数</w:t>
      </w:r>
      <w:r>
        <w:rPr>
          <w:rFonts w:hint="eastAsia" w:ascii="仿宋_GB2312" w:hAnsi="宋体" w:eastAsia="仿宋_GB2312" w:cs="仿宋_GB2312"/>
          <w:color w:val="000000"/>
          <w:kern w:val="0"/>
          <w:sz w:val="32"/>
          <w:szCs w:val="32"/>
          <w:lang w:val="en-US" w:eastAsia="zh-CN" w:bidi="ar"/>
        </w:rPr>
        <w:t>1224.25</w:t>
      </w:r>
      <w:r>
        <w:rPr>
          <w:rFonts w:ascii="仿宋_GB2312" w:hAnsi="宋体" w:eastAsia="仿宋_GB2312" w:cs="仿宋_GB2312"/>
          <w:color w:val="000000"/>
          <w:kern w:val="0"/>
          <w:sz w:val="32"/>
          <w:szCs w:val="32"/>
          <w:lang w:bidi="ar"/>
        </w:rPr>
        <w:t>万元</w:t>
      </w:r>
      <w:r>
        <w:rPr>
          <w:rFonts w:ascii="仿宋_GB2312" w:hAnsi="仿宋_GB2312" w:eastAsia="仿宋_GB2312" w:cs="仿宋_GB2312"/>
          <w:color w:val="000000"/>
          <w:kern w:val="0"/>
          <w:sz w:val="31"/>
          <w:szCs w:val="31"/>
          <w:lang w:bidi="ar"/>
        </w:rPr>
        <w:t>，执行数</w:t>
      </w:r>
      <w:r>
        <w:rPr>
          <w:rFonts w:hint="eastAsia" w:ascii="仿宋_GB2312" w:hAnsi="仿宋_GB2312" w:eastAsia="仿宋_GB2312" w:cs="仿宋_GB2312"/>
          <w:color w:val="000000"/>
          <w:kern w:val="0"/>
          <w:sz w:val="31"/>
          <w:szCs w:val="31"/>
          <w:lang w:val="en-US" w:eastAsia="zh-CN" w:bidi="ar"/>
        </w:rPr>
        <w:t>1159.73</w:t>
      </w:r>
      <w:r>
        <w:rPr>
          <w:rFonts w:ascii="仿宋_GB2312" w:hAnsi="仿宋_GB2312" w:eastAsia="仿宋_GB2312" w:cs="仿宋_GB2312"/>
          <w:color w:val="000000"/>
          <w:kern w:val="0"/>
          <w:sz w:val="31"/>
          <w:szCs w:val="31"/>
          <w:lang w:bidi="ar"/>
        </w:rPr>
        <w:t>万元，完成预算的</w:t>
      </w:r>
      <w:r>
        <w:rPr>
          <w:rFonts w:hint="eastAsia" w:ascii="仿宋_GB2312" w:hAnsi="仿宋_GB2312" w:eastAsia="仿宋_GB2312" w:cs="仿宋_GB2312"/>
          <w:color w:val="000000"/>
          <w:kern w:val="0"/>
          <w:sz w:val="31"/>
          <w:szCs w:val="31"/>
          <w:lang w:val="en-US" w:eastAsia="zh-CN" w:bidi="ar"/>
        </w:rPr>
        <w:t>94.73</w:t>
      </w:r>
      <w:r>
        <w:rPr>
          <w:rFonts w:ascii="仿宋_GB2312" w:hAnsi="仿宋_GB2312" w:eastAsia="仿宋_GB2312" w:cs="仿宋_GB2312"/>
          <w:color w:val="000000"/>
          <w:kern w:val="0"/>
          <w:sz w:val="31"/>
          <w:szCs w:val="31"/>
          <w:lang w:bidi="ar"/>
        </w:rPr>
        <w:t>%。</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本部门总体运行情况及取得的成绩：以公共卫生服务为主，综合提供疾病预防控制、妇幼保健、健康教育、计划生育技术指导、基本医疗等服务工作；完成辖区内公共卫生管理和传染病、地方病防治、疫情等农村突发性公共卫生事件报告，负责对村卫生室的业务指导；积极做好新型农村合作医疗的政策宣传和参合农民的服务等工作。</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的问题及原因：由于预算编制的口径不同，年初预算数和预算执行数存在偏差；由于辖区居民人数众多，工作人员明显不足，基本公卫政策宣传力度不够，健康档案未充分利用，资金使用效益需要进一步提高。</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改进措施：按照财局的要求，进一步做好预算编制工作；适当增加公卫人员，减少公卫人员流动性，提高公卫人员和乡村医生的待遇，调动其工作积极性；要求各基层医疗机构认真开展基本公共卫生服务宣传活动，提高居民知晓率；进一步完善信息系统建设，加强公卫信息软件的开发和利用。</w:t>
      </w:r>
    </w:p>
    <w:p>
      <w:pPr>
        <w:rPr>
          <w:rFonts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hint="eastAsia" w:ascii="楷体" w:hAnsi="楷体" w:eastAsia="楷体" w:cs="楷体"/>
          <w:sz w:val="32"/>
          <w:szCs w:val="32"/>
        </w:rPr>
      </w:pPr>
    </w:p>
    <w:p>
      <w:pPr>
        <w:ind w:firstLine="640" w:firstLineChars="200"/>
        <w:jc w:val="center"/>
        <w:rPr>
          <w:rFonts w:ascii="楷体" w:hAnsi="楷体" w:eastAsia="楷体" w:cs="楷体"/>
          <w:sz w:val="32"/>
          <w:szCs w:val="32"/>
        </w:rPr>
      </w:pPr>
      <w:r>
        <w:rPr>
          <w:rFonts w:hint="eastAsia" w:ascii="楷体" w:hAnsi="楷体" w:eastAsia="楷体" w:cs="楷体"/>
          <w:sz w:val="32"/>
          <w:szCs w:val="32"/>
        </w:rPr>
        <w:t>市级预算（项目）绩效目标自评表</w:t>
      </w:r>
    </w:p>
    <w:tbl>
      <w:tblPr>
        <w:tblStyle w:val="8"/>
        <w:tblpPr w:leftFromText="180" w:rightFromText="180" w:vertAnchor="text" w:horzAnchor="page" w:tblpX="1225" w:tblpY="381"/>
        <w:tblOverlap w:val="never"/>
        <w:tblW w:w="94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735"/>
        <w:gridCol w:w="1425"/>
        <w:gridCol w:w="1449"/>
        <w:gridCol w:w="990"/>
        <w:gridCol w:w="1710"/>
        <w:gridCol w:w="146"/>
        <w:gridCol w:w="1060"/>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44"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660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市级主管部门</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西安市卫健局</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2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建章路社区卫生服务中心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全年预算数（A）</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全年执行数（B）</w:t>
            </w:r>
          </w:p>
        </w:tc>
        <w:tc>
          <w:tcPr>
            <w:tcW w:w="2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8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223.54</w:t>
            </w:r>
          </w:p>
        </w:tc>
        <w:tc>
          <w:tcPr>
            <w:tcW w:w="2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其中：市级财政资金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8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45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年初设定目标</w:t>
            </w:r>
          </w:p>
        </w:tc>
        <w:tc>
          <w:tcPr>
            <w:tcW w:w="41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国家为确保基层医疗卫生机构按规定免费为城乡居民提供基本公共卫生服务的专项补助资金，提高居民健康水平，保障为人民群众身体健康提供基本医疗卫生服务，提高身体素质。</w:t>
            </w:r>
          </w:p>
        </w:tc>
        <w:tc>
          <w:tcPr>
            <w:tcW w:w="41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按照辖区服务人口为居民提高了基本公共卫生服务，提高了居民健康水平，保障了人民群众身体健康，提供基本医疗卫生服务，提高了身体素质。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年度指标值</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全年完成值</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辖区服务人口数</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33929人</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33929人</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文件执行率</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执行时间</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2020年度</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2020年度</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总成本</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179.58万元</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179.58万元</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单项成本 </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60元/人</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lang w:val="en-US" w:eastAsia="zh-CN" w:bidi="ar"/>
              </w:rPr>
              <w:t>60元/人</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基本公卫覆盖率</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可持续影响年度</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≥1年</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≥1年　</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辖区服务人口满意率</w:t>
            </w:r>
          </w:p>
        </w:tc>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≥90%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　</w:t>
            </w:r>
          </w:p>
        </w:tc>
        <w:tc>
          <w:tcPr>
            <w:tcW w:w="1254"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tbl>
      <w:tblPr>
        <w:tblStyle w:val="8"/>
        <w:tblW w:w="9481" w:type="dxa"/>
        <w:tblInd w:w="-3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6"/>
        <w:gridCol w:w="8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9"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8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9481"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注：1.其他资金包括和财政资金共同投入到同一项目的自有资金、社会资金，以及以前年度的结转结余资金等。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2.定量指标。市级主管部门对资金使用单位填写的实际完成值汇总时，绝对值直接累加计算，相对值按照资金额度加权平均计算。</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3.定性指标根据指标完成情况分为：全部或基本达成预期指标、部分达成预期指标并具有一定效果、未达成预期指标且效果较差三档，分别按照100%-80%（含）、80%-60%（含）、60%-0%合理填写完成比例。</w:t>
            </w:r>
          </w:p>
        </w:tc>
      </w:tr>
    </w:tbl>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jc w:val="center"/>
        <w:rPr>
          <w:rFonts w:hint="eastAsia" w:ascii="方正小标宋简体" w:hAnsi="方正小标宋简体" w:eastAsia="方正小标宋简体" w:cs="方正小标宋简体"/>
          <w:color w:val="000000"/>
          <w:kern w:val="0"/>
          <w:sz w:val="44"/>
          <w:szCs w:val="44"/>
          <w:lang w:eastAsia="zh-CN" w:bidi="ar"/>
        </w:rPr>
      </w:pPr>
      <w:r>
        <w:rPr>
          <w:rFonts w:hint="eastAsia" w:ascii="楷体" w:hAnsi="楷体" w:eastAsia="楷体" w:cs="楷体"/>
          <w:sz w:val="32"/>
          <w:szCs w:val="32"/>
          <w:lang w:eastAsia="zh-CN"/>
        </w:rPr>
        <w:object>
          <v:shape id="_x0000_i1025" o:spt="75" type="#_x0000_t75" style="height:668.1pt;width:450.1pt;" o:ole="t" filled="f" o:preferrelative="t" stroked="f" coordsize="21600,21600">
            <v:path/>
            <v:fill on="f" focussize="0,0"/>
            <v:stroke on="f"/>
            <v:imagedata r:id="rId13" o:title=""/>
            <o:lock v:ext="edit" aspectratio="t"/>
            <w10:wrap type="none"/>
            <w10:anchorlock/>
          </v:shape>
          <o:OLEObject Type="Embed" ProgID="Excel.Sheet.12" ShapeID="_x0000_i1025" DrawAspect="Content" ObjectID="_1468075725" r:id="rId12">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黑体" w:hAnsi="宋体" w:eastAsia="黑体"/>
          <w:color w:val="000000"/>
          <w:kern w:val="0"/>
          <w:sz w:val="44"/>
          <w:szCs w:val="44"/>
          <w:lang w:bidi="ar"/>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pStyle w:val="2"/>
        <w:rPr>
          <w:rFonts w:hint="eastAsia" w:ascii="仿宋_GB2312" w:hAnsi="仿宋_GB2312" w:eastAsia="仿宋_GB2312" w:cs="仿宋_GB2312"/>
          <w:szCs w:val="32"/>
          <w:lang w:val="en-US" w:eastAsia="zh-CN"/>
        </w:rPr>
      </w:pPr>
      <w:r>
        <w:rPr>
          <w:rFonts w:hint="eastAsia" w:ascii="仿宋_GB2312" w:hAnsi="仿宋_GB2312" w:eastAsia="仿宋_GB2312" w:cs="仿宋_GB2312"/>
          <w:b/>
          <w:bCs/>
          <w:kern w:val="2"/>
          <w:sz w:val="32"/>
          <w:szCs w:val="32"/>
          <w:lang w:val="en-US" w:eastAsia="zh-CN" w:bidi="ar-SA"/>
        </w:rPr>
        <w:t>5.公共卫生经费</w:t>
      </w:r>
      <w:r>
        <w:rPr>
          <w:rFonts w:hint="eastAsia" w:ascii="仿宋_GB2312" w:hAnsi="仿宋_GB2312" w:eastAsia="仿宋_GB2312" w:cs="仿宋_GB2312"/>
          <w:sz w:val="32"/>
          <w:szCs w:val="32"/>
          <w:lang w:eastAsia="zh-CN"/>
        </w:rPr>
        <w:t>：以社区健康服务为重要组成部分，在政府领导、社区参与、上级卫生机构指导下以基层机构为主体、全科医师为主干、合理使用社区资源和适宜技术，以人的健康为中心、家庭为单位、社区为范围，满足基本卫生服务需求为目的，融预防、医疗保健、康复、健康教育、计划生育技术服务为一体，有效连续的基层卫生服务。</w:t>
      </w:r>
      <w:r>
        <w:rPr>
          <w:rFonts w:hint="eastAsia" w:ascii="仿宋_GB2312" w:hAnsi="仿宋_GB2312" w:eastAsia="仿宋_GB2312" w:cs="仿宋_GB2312"/>
          <w:szCs w:val="32"/>
          <w:lang w:val="en-US" w:eastAsia="zh-CN"/>
        </w:rPr>
        <w:t xml:space="preserve">    </w:t>
      </w:r>
    </w:p>
    <w:p>
      <w:pPr>
        <w:pStyle w:val="2"/>
        <w:ind w:left="0" w:leftChars="0" w:firstLine="321" w:firstLineChars="100"/>
        <w:rPr>
          <w:rFonts w:hint="eastAsia" w:ascii="仿宋_GB2312" w:hAnsi="仿宋_GB2312" w:eastAsia="仿宋_GB2312" w:cs="仿宋_GB2312"/>
          <w:szCs w:val="32"/>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调整预算数：</w:t>
      </w:r>
      <w:r>
        <w:rPr>
          <w:rFonts w:hint="eastAsia" w:ascii="仿宋_GB2312" w:hAnsi="宋体" w:eastAsia="仿宋_GB2312"/>
          <w:bCs/>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p>
      <w:pPr>
        <w:pStyle w:val="2"/>
        <w:rPr>
          <w:rFonts w:hint="eastAsia"/>
          <w:lang w:eastAsia="zh-CN"/>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0B2F5"/>
    <w:multiLevelType w:val="singleLevel"/>
    <w:tmpl w:val="0DE0B2F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E89"/>
    <w:rsid w:val="00146787"/>
    <w:rsid w:val="00164001"/>
    <w:rsid w:val="001D7568"/>
    <w:rsid w:val="002424C8"/>
    <w:rsid w:val="002A7893"/>
    <w:rsid w:val="003364E9"/>
    <w:rsid w:val="00452E2E"/>
    <w:rsid w:val="004B6D6E"/>
    <w:rsid w:val="00813F4A"/>
    <w:rsid w:val="008B7B1E"/>
    <w:rsid w:val="00B80654"/>
    <w:rsid w:val="00E8111E"/>
    <w:rsid w:val="013B79AC"/>
    <w:rsid w:val="01BE4C9B"/>
    <w:rsid w:val="03EB3281"/>
    <w:rsid w:val="08241EB5"/>
    <w:rsid w:val="08E138AF"/>
    <w:rsid w:val="08E42EAC"/>
    <w:rsid w:val="0A2425C8"/>
    <w:rsid w:val="0AEE0FEB"/>
    <w:rsid w:val="10BB651B"/>
    <w:rsid w:val="110F0EDD"/>
    <w:rsid w:val="125E2600"/>
    <w:rsid w:val="131A20EB"/>
    <w:rsid w:val="132E46A0"/>
    <w:rsid w:val="135556F4"/>
    <w:rsid w:val="14411117"/>
    <w:rsid w:val="1586116E"/>
    <w:rsid w:val="159F5DEE"/>
    <w:rsid w:val="17B06807"/>
    <w:rsid w:val="18BB4AD7"/>
    <w:rsid w:val="1A530D3B"/>
    <w:rsid w:val="1B4A3FDA"/>
    <w:rsid w:val="1B524C98"/>
    <w:rsid w:val="1C5E2F73"/>
    <w:rsid w:val="1C632B49"/>
    <w:rsid w:val="1D6E0C0D"/>
    <w:rsid w:val="1EF768A5"/>
    <w:rsid w:val="202770E3"/>
    <w:rsid w:val="20813690"/>
    <w:rsid w:val="20EF4457"/>
    <w:rsid w:val="221C15BB"/>
    <w:rsid w:val="23E4344C"/>
    <w:rsid w:val="25282613"/>
    <w:rsid w:val="27514376"/>
    <w:rsid w:val="282E409A"/>
    <w:rsid w:val="28BD7427"/>
    <w:rsid w:val="29785A6B"/>
    <w:rsid w:val="29FB3800"/>
    <w:rsid w:val="2B547244"/>
    <w:rsid w:val="2C5550DD"/>
    <w:rsid w:val="2C603E47"/>
    <w:rsid w:val="2D1F3974"/>
    <w:rsid w:val="2D657953"/>
    <w:rsid w:val="2DB52EF2"/>
    <w:rsid w:val="2EC54A2E"/>
    <w:rsid w:val="2F3A598B"/>
    <w:rsid w:val="2FCC6F2B"/>
    <w:rsid w:val="30C335EE"/>
    <w:rsid w:val="317F6056"/>
    <w:rsid w:val="318C1BE0"/>
    <w:rsid w:val="31AA6038"/>
    <w:rsid w:val="33887EE3"/>
    <w:rsid w:val="34677C61"/>
    <w:rsid w:val="34C14087"/>
    <w:rsid w:val="353B389B"/>
    <w:rsid w:val="361F381B"/>
    <w:rsid w:val="37EB03F1"/>
    <w:rsid w:val="38F75809"/>
    <w:rsid w:val="3AB031CF"/>
    <w:rsid w:val="3B0F0C55"/>
    <w:rsid w:val="3B0F74D9"/>
    <w:rsid w:val="3B121AD1"/>
    <w:rsid w:val="3C0D61D4"/>
    <w:rsid w:val="3CFD0D2E"/>
    <w:rsid w:val="3E1F7A81"/>
    <w:rsid w:val="3E8A79DD"/>
    <w:rsid w:val="3F381EE7"/>
    <w:rsid w:val="4072679E"/>
    <w:rsid w:val="40AB0334"/>
    <w:rsid w:val="41603979"/>
    <w:rsid w:val="41CF436B"/>
    <w:rsid w:val="443B2E6C"/>
    <w:rsid w:val="45934E20"/>
    <w:rsid w:val="4619368A"/>
    <w:rsid w:val="488E138F"/>
    <w:rsid w:val="49606B37"/>
    <w:rsid w:val="4AD625B4"/>
    <w:rsid w:val="4BB82CA5"/>
    <w:rsid w:val="4D6E0FDF"/>
    <w:rsid w:val="4E2D4BE1"/>
    <w:rsid w:val="4EE4307A"/>
    <w:rsid w:val="4FB95C15"/>
    <w:rsid w:val="507271EF"/>
    <w:rsid w:val="5153143F"/>
    <w:rsid w:val="5237763F"/>
    <w:rsid w:val="53A838B7"/>
    <w:rsid w:val="53CE3F8A"/>
    <w:rsid w:val="54BB3255"/>
    <w:rsid w:val="54F12DEE"/>
    <w:rsid w:val="55147C14"/>
    <w:rsid w:val="554E4E96"/>
    <w:rsid w:val="580836DC"/>
    <w:rsid w:val="5B8D564A"/>
    <w:rsid w:val="5B9522A0"/>
    <w:rsid w:val="61250714"/>
    <w:rsid w:val="61A741A9"/>
    <w:rsid w:val="64437B54"/>
    <w:rsid w:val="65074FBA"/>
    <w:rsid w:val="65C90F91"/>
    <w:rsid w:val="66377D5A"/>
    <w:rsid w:val="69DD4060"/>
    <w:rsid w:val="71086DB5"/>
    <w:rsid w:val="71F33BD1"/>
    <w:rsid w:val="74745DD2"/>
    <w:rsid w:val="74B148BC"/>
    <w:rsid w:val="74DD0F1D"/>
    <w:rsid w:val="754F4216"/>
    <w:rsid w:val="759C4779"/>
    <w:rsid w:val="75C31473"/>
    <w:rsid w:val="75DA6598"/>
    <w:rsid w:val="763B2EA0"/>
    <w:rsid w:val="76675743"/>
    <w:rsid w:val="779F1DFC"/>
    <w:rsid w:val="79395F1D"/>
    <w:rsid w:val="79493CBE"/>
    <w:rsid w:val="7A6B67C2"/>
    <w:rsid w:val="7C165591"/>
    <w:rsid w:val="7C3E5E46"/>
    <w:rsid w:val="7C946500"/>
    <w:rsid w:val="7EE759C2"/>
    <w:rsid w:val="7F1C2F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Calibri" w:hAnsi="Calibri" w:cs="黑体"/>
      <w:kern w:val="2"/>
      <w:sz w:val="21"/>
      <w:szCs w:val="24"/>
    </w:rPr>
  </w:style>
  <w:style w:type="character" w:customStyle="1" w:styleId="15">
    <w:name w:val="批注主题 字符"/>
    <w:basedOn w:val="14"/>
    <w:link w:val="7"/>
    <w:qFormat/>
    <w:uiPriority w:val="0"/>
    <w:rPr>
      <w:rFonts w:ascii="Calibri" w:hAnsi="Calibri" w:cs="黑体"/>
      <w:b/>
      <w:bCs/>
      <w:kern w:val="2"/>
      <w:sz w:val="21"/>
      <w:szCs w:val="24"/>
    </w:rPr>
  </w:style>
  <w:style w:type="character" w:customStyle="1" w:styleId="16">
    <w:name w:val="批注框文本 字符"/>
    <w:basedOn w:val="10"/>
    <w:link w:val="4"/>
    <w:qFormat/>
    <w:uiPriority w:val="0"/>
    <w:rPr>
      <w:rFonts w:ascii="Calibri" w:hAnsi="Calibri" w:cs="黑体"/>
      <w:kern w:val="2"/>
      <w:sz w:val="18"/>
      <w:szCs w:val="18"/>
    </w:rPr>
  </w:style>
  <w:style w:type="character" w:customStyle="1" w:styleId="17">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人员情况</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实有人数15人</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altLang="en-US" u="dash"/>
                      <a:t>退休人数</a:t>
                    </a:r>
                    <a:r>
                      <a:rPr lang="en-US" altLang="zh-CN" u="dash"/>
                      <a:t>9</a:t>
                    </a:r>
                    <a:r>
                      <a:rPr altLang="en-US" u="dash"/>
                      <a:t>人</a:t>
                    </a:r>
                    <a:endParaRPr altLang="en-US" u="dash"/>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工作表.xls]Sheet1'!$A$1:$A$2</c:f>
              <c:strCache>
                <c:ptCount val="2"/>
                <c:pt idx="0">
                  <c:v>实有人数</c:v>
                </c:pt>
                <c:pt idx="1">
                  <c:v>退休人数</c:v>
                </c:pt>
              </c:strCache>
            </c:strRef>
          </c:cat>
          <c:val>
            <c:numRef>
              <c:f>'[新建 XLS 工作表.xls]Sheet1'!$B$1:$B$2</c:f>
              <c:numCache>
                <c:formatCode>General</c:formatCode>
                <c:ptCount val="2"/>
                <c:pt idx="0">
                  <c:v>15</c:v>
                </c:pt>
                <c:pt idx="1">
                  <c:v>9</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收入支出决算总计对比图（单位：万元）</a:t>
            </a:r>
          </a:p>
        </c:rich>
      </c:tx>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总收入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2019年度</c:v>
                </c:pt>
                <c:pt idx="1">
                  <c:v>2020年度</c:v>
                </c:pt>
              </c:strCache>
            </c:strRef>
          </c:cat>
          <c:val>
            <c:numRef>
              <c:f>'[新建 XLS 工作表.xls]Sheet1'!$B$2:$C$2</c:f>
              <c:numCache>
                <c:formatCode>General</c:formatCode>
                <c:ptCount val="2"/>
                <c:pt idx="0">
                  <c:v>1058.49</c:v>
                </c:pt>
                <c:pt idx="1">
                  <c:v>1224.25</c:v>
                </c:pt>
              </c:numCache>
            </c:numRef>
          </c:val>
        </c:ser>
        <c:ser>
          <c:idx val="1"/>
          <c:order val="1"/>
          <c:tx>
            <c:strRef>
              <c:f>'[新建 XLS 工作表.xls]Sheet1'!$A$3</c:f>
              <c:strCache>
                <c:ptCount val="1"/>
                <c:pt idx="0">
                  <c:v>总支出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v>2019年度</c:v>
                </c:pt>
                <c:pt idx="1">
                  <c:v>2020年度</c:v>
                </c:pt>
              </c:strCache>
            </c:strRef>
          </c:cat>
          <c:val>
            <c:numRef>
              <c:f>'[新建 XLS 工作表.xls]Sheet1'!$B$3:$C$3</c:f>
              <c:numCache>
                <c:formatCode>General</c:formatCode>
                <c:ptCount val="2"/>
                <c:pt idx="0">
                  <c:v>1049.48</c:v>
                </c:pt>
                <c:pt idx="1">
                  <c:v>1159.73</c:v>
                </c:pt>
              </c:numCache>
            </c:numRef>
          </c:val>
        </c:ser>
        <c:dLbls>
          <c:showLegendKey val="0"/>
          <c:showVal val="1"/>
          <c:showCatName val="0"/>
          <c:showSerName val="0"/>
          <c:showPercent val="0"/>
          <c:showBubbleSize val="0"/>
        </c:dLbls>
        <c:gapWidth val="219"/>
        <c:overlap val="-27"/>
        <c:axId val="829305451"/>
        <c:axId val="290380546"/>
      </c:barChart>
      <c:catAx>
        <c:axId val="829305451"/>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380546"/>
        <c:crosses val="autoZero"/>
        <c:auto val="1"/>
        <c:lblAlgn val="ctr"/>
        <c:lblOffset val="100"/>
        <c:noMultiLvlLbl val="0"/>
      </c:catAx>
      <c:valAx>
        <c:axId val="290380546"/>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30545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工作表.xls]Sheet1'!$A$1:$A$3</c:f>
              <c:strCache>
                <c:ptCount val="3"/>
                <c:pt idx="0">
                  <c:v>财政拨款收入</c:v>
                </c:pt>
                <c:pt idx="1">
                  <c:v>事业收入</c:v>
                </c:pt>
                <c:pt idx="2">
                  <c:v>其他收入</c:v>
                </c:pt>
              </c:strCache>
            </c:strRef>
          </c:cat>
          <c:val>
            <c:numRef>
              <c:f>'[新建 XLS 工作表.xls]Sheet1'!$B$1:$B$3</c:f>
              <c:numCache>
                <c:formatCode>0.00%</c:formatCode>
                <c:ptCount val="3"/>
                <c:pt idx="0">
                  <c:v>0.6668</c:v>
                </c:pt>
                <c:pt idx="1">
                  <c:v>0.324</c:v>
                </c:pt>
                <c:pt idx="2">
                  <c:v>0.0092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工作表.xls]Sheet1'!$A$1:$A$3</c:f>
              <c:strCache>
                <c:ptCount val="3"/>
                <c:pt idx="0">
                  <c:v>基本支出</c:v>
                </c:pt>
                <c:pt idx="1">
                  <c:v>项目支出</c:v>
                </c:pt>
              </c:strCache>
            </c:strRef>
          </c:cat>
          <c:val>
            <c:numRef>
              <c:f>'[新建 XLS 工作表.xls]Sheet1'!$B$1:$B$3</c:f>
              <c:numCache>
                <c:formatCode>0.00%</c:formatCode>
                <c:ptCount val="3"/>
                <c:pt idx="0">
                  <c:v>0.7022</c:v>
                </c:pt>
                <c:pt idx="1">
                  <c:v>0.2978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财政拨款收支决算对比图（单位：万元）</a:t>
            </a:r>
          </a:p>
        </c:rich>
      </c:tx>
      <c:layout/>
      <c:overlay val="0"/>
      <c:spPr>
        <a:noFill/>
        <a:ln>
          <a:noFill/>
        </a:ln>
        <a:effectLst/>
      </c:spPr>
    </c:title>
    <c:autoTitleDeleted val="0"/>
    <c:plotArea>
      <c:layout/>
      <c:barChart>
        <c:barDir val="col"/>
        <c:grouping val="clustered"/>
        <c:varyColors val="0"/>
        <c:ser>
          <c:idx val="0"/>
          <c:order val="0"/>
          <c:tx>
            <c:strRef>
              <c:f>'[新建 XLS 工作表.xls]Sheet1'!$A$2</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工作表.xls]Sheet1'!$B$1:$C$1</c:f>
              <c:strCache>
                <c:ptCount val="2"/>
                <c:pt idx="0" c:formatCode="0.00%">
                  <c:v>2019年度</c:v>
                </c:pt>
                <c:pt idx="1">
                  <c:v>2020年度</c:v>
                </c:pt>
              </c:strCache>
            </c:strRef>
          </c:cat>
          <c:val>
            <c:numRef>
              <c:f>'[新建 XLS 工作表.xls]Sheet1'!$B$2:$C$2</c:f>
              <c:numCache>
                <c:formatCode>General</c:formatCode>
                <c:ptCount val="2"/>
                <c:pt idx="0">
                  <c:v>702.01</c:v>
                </c:pt>
                <c:pt idx="1">
                  <c:v>816.39</c:v>
                </c:pt>
              </c:numCache>
            </c:numRef>
          </c:val>
        </c:ser>
        <c:ser>
          <c:idx val="1"/>
          <c:order val="1"/>
          <c:tx>
            <c:strRef>
              <c:f>'[新建 XLS 工作表.xls]Sheet1'!$A$3</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'[新建 XLS 工作表.xls]Sheet1'!$B$1:$C$1</c:f>
              <c:strCache>
                <c:ptCount val="2"/>
                <c:pt idx="0" c:formatCode="0.00%">
                  <c:v>2019年度</c:v>
                </c:pt>
                <c:pt idx="1">
                  <c:v>2020年度</c:v>
                </c:pt>
              </c:strCache>
            </c:strRef>
          </c:cat>
          <c:val>
            <c:numRef>
              <c:f>'[新建 XLS 工作表.xls]Sheet1'!$B$3:$C$3</c:f>
              <c:numCache>
                <c:formatCode>General</c:formatCode>
                <c:ptCount val="2"/>
                <c:pt idx="0">
                  <c:v>693.73</c:v>
                </c:pt>
                <c:pt idx="1">
                  <c:v>816.39</c:v>
                </c:pt>
              </c:numCache>
            </c:numRef>
          </c:val>
        </c:ser>
        <c:dLbls>
          <c:showLegendKey val="0"/>
          <c:showVal val="1"/>
          <c:showCatName val="0"/>
          <c:showSerName val="0"/>
          <c:showPercent val="0"/>
          <c:showBubbleSize val="0"/>
        </c:dLbls>
        <c:gapWidth val="150"/>
        <c:overlap val="-25"/>
        <c:axId val="801590262"/>
        <c:axId val="112826896"/>
      </c:barChart>
      <c:catAx>
        <c:axId val="8015902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826896"/>
        <c:crosses val="autoZero"/>
        <c:auto val="1"/>
        <c:lblAlgn val="ctr"/>
        <c:lblOffset val="100"/>
        <c:noMultiLvlLbl val="0"/>
      </c:catAx>
      <c:valAx>
        <c:axId val="11282689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59026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一般公共预算财政拨款支出决算对比图（单位：万元）</a:t>
            </a:r>
            <a:endParaRPr sz="1200"/>
          </a:p>
        </c:rich>
      </c:tx>
      <c:layout/>
      <c:overlay val="0"/>
      <c:spPr>
        <a:noFill/>
        <a:ln>
          <a:noFill/>
        </a:ln>
        <a:effectLst/>
      </c:spPr>
    </c:title>
    <c:autoTitleDeleted val="0"/>
    <c:plotArea>
      <c:layout/>
      <c:barChart>
        <c:barDir val="col"/>
        <c:grouping val="clustered"/>
        <c:varyColors val="0"/>
        <c:ser>
          <c:idx val="0"/>
          <c:order val="0"/>
          <c:tx>
            <c:strRef>
              <c:f>'[新建 XLS 工作表.xls]Sheet1'!$B$1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工作表.xls]Sheet1'!$A$2:$A$3</c:f>
              <c:strCache>
                <c:ptCount val="2"/>
                <c:pt idx="0" c:formatCode="0.00%">
                  <c:v>2019年度</c:v>
                </c:pt>
                <c:pt idx="1">
                  <c:v>2020年度</c:v>
                </c:pt>
              </c:strCache>
            </c:strRef>
          </c:cat>
          <c:val>
            <c:numRef>
              <c:f>'[新建 XLS 工作表.xls]Sheet1'!$B$2:$B$3</c:f>
              <c:numCache>
                <c:formatCode>General</c:formatCode>
                <c:ptCount val="2"/>
                <c:pt idx="0">
                  <c:v>693.73</c:v>
                </c:pt>
                <c:pt idx="1">
                  <c:v>816.39</c:v>
                </c:pt>
              </c:numCache>
            </c:numRef>
          </c:val>
        </c:ser>
        <c:dLbls>
          <c:showLegendKey val="0"/>
          <c:showVal val="1"/>
          <c:showCatName val="0"/>
          <c:showSerName val="0"/>
          <c:showPercent val="0"/>
          <c:showBubbleSize val="0"/>
        </c:dLbls>
        <c:gapWidth val="150"/>
        <c:overlap val="-25"/>
        <c:axId val="41586363"/>
        <c:axId val="135292182"/>
      </c:barChart>
      <c:catAx>
        <c:axId val="415863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292182"/>
        <c:crosses val="autoZero"/>
        <c:auto val="1"/>
        <c:lblAlgn val="ctr"/>
        <c:lblOffset val="100"/>
        <c:noMultiLvlLbl val="0"/>
      </c:catAx>
      <c:valAx>
        <c:axId val="13529218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58636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0</TotalTime>
  <ScaleCrop>false</ScaleCrop>
  <LinksUpToDate>false</LinksUpToDate>
  <CharactersWithSpaces>8778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风平浪静</cp:lastModifiedBy>
  <cp:lastPrinted>2021-11-05T07:13:00Z</cp:lastPrinted>
  <dcterms:modified xsi:type="dcterms:W3CDTF">2021-12-03T09:15:50Z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5C5A6E086CD94543A8AF2449DA733127</vt:lpwstr>
  </property>
</Properties>
</file>