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方正小标宋简体" w:eastAsia="方正小标宋简体" w:cs="方正小标宋简体"/>
          <w:spacing w:val="20"/>
          <w:sz w:val="36"/>
          <w:szCs w:val="36"/>
        </w:rPr>
        <w:t xml:space="preserve"> </w:t>
      </w:r>
    </w:p>
    <w:p>
      <w:pPr>
        <w:jc w:val="center"/>
        <w:rPr>
          <w:rFonts w:ascii="宋体" w:hAnsi="宋体" w:cs="宋体"/>
          <w:b/>
          <w:bCs/>
          <w:sz w:val="44"/>
          <w:szCs w:val="44"/>
        </w:rPr>
      </w:pPr>
    </w:p>
    <w:p>
      <w:pPr>
        <w:spacing w:line="440" w:lineRule="exact"/>
        <w:jc w:val="center"/>
        <w:rPr>
          <w:rFonts w:ascii="宋体" w:hAnsi="宋体" w:cs="宋体"/>
          <w:sz w:val="44"/>
          <w:szCs w:val="44"/>
        </w:rPr>
      </w:pP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陕西省西咸新区沣东新城</w:t>
      </w: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三桥社区卫生服务中心</w:t>
      </w: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部门主要负责人审签情况：已签审</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rPr>
      </w:pPr>
      <w:r>
        <w:rPr>
          <w:rFonts w:ascii="黑体" w:hAnsi="宋体" w:eastAsia="黑体"/>
          <w:bCs/>
          <w:color w:val="000000"/>
          <w:kern w:val="0"/>
          <w:sz w:val="36"/>
          <w:szCs w:val="36"/>
        </w:rPr>
        <w:t>目</w:t>
      </w:r>
      <w:r>
        <w:rPr>
          <w:rFonts w:hint="eastAsia" w:ascii="黑体" w:hAnsi="宋体" w:eastAsia="黑体"/>
          <w:bCs/>
          <w:color w:val="000000"/>
          <w:kern w:val="0"/>
          <w:sz w:val="36"/>
          <w:szCs w:val="36"/>
        </w:rPr>
        <w:t xml:space="preserve">  </w:t>
      </w:r>
      <w:r>
        <w:rPr>
          <w:rFonts w:ascii="黑体" w:hAnsi="宋体" w:eastAsia="黑体"/>
          <w:bCs/>
          <w:color w:val="000000"/>
          <w:kern w:val="0"/>
          <w:sz w:val="36"/>
          <w:szCs w:val="36"/>
        </w:rPr>
        <w:t>录</w:t>
      </w:r>
    </w:p>
    <w:p>
      <w:pPr>
        <w:widowControl/>
        <w:jc w:val="center"/>
        <w:rPr>
          <w:rFonts w:cs="方正小标宋简体" w:asciiTheme="majorEastAsia" w:hAnsiTheme="majorEastAsia" w:eastAsiaTheme="majorEastAsia"/>
          <w:b/>
        </w:rPr>
      </w:pPr>
      <w:r>
        <w:rPr>
          <w:rFonts w:hint="eastAsia" w:cs="方正小标宋简体" w:asciiTheme="majorEastAsia" w:hAnsiTheme="majorEastAsia" w:eastAsiaTheme="majorEastAsia"/>
          <w:b/>
          <w:color w:val="000000"/>
          <w:kern w:val="0"/>
          <w:sz w:val="32"/>
          <w:szCs w:val="32"/>
        </w:rPr>
        <w:t>第一部分  部门概况</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一、部门主要职责及内设机构</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二、部门决算单位构成</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三、部门人员情况</w:t>
      </w:r>
    </w:p>
    <w:p>
      <w:pPr>
        <w:widowControl/>
        <w:jc w:val="center"/>
        <w:rPr>
          <w:rFonts w:cs="方正小标宋简体" w:asciiTheme="majorEastAsia" w:hAnsiTheme="majorEastAsia" w:eastAsiaTheme="majorEastAsia"/>
          <w:b/>
          <w:color w:val="000000"/>
          <w:kern w:val="0"/>
          <w:sz w:val="32"/>
          <w:szCs w:val="32"/>
        </w:rPr>
      </w:pPr>
      <w:r>
        <w:rPr>
          <w:rFonts w:hint="eastAsia" w:cs="方正小标宋简体" w:asciiTheme="majorEastAsia" w:hAnsiTheme="majorEastAsia" w:eastAsiaTheme="majorEastAsia"/>
          <w:b/>
          <w:color w:val="000000"/>
          <w:kern w:val="0"/>
          <w:sz w:val="32"/>
          <w:szCs w:val="32"/>
        </w:rPr>
        <w:t>第二部分  2020年部门决算表</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一、收入支出决算总表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二、收入决算表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三、支出决算表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四、财政拨款收入支出决算总表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五、一般公共预算财政拨款支出决算表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六、一般公共预算财政拨款基本支出决算表    </w:t>
      </w:r>
    </w:p>
    <w:p>
      <w:pPr>
        <w:widowControl/>
        <w:ind w:left="643" w:hanging="643" w:hangingChars="200"/>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七、一般公共预算财政拨款“三公”经费及会议费、培训费支出决算表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八、政府性基金预算财政拨款收入支出决算表</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九、国有资本经营预算财政拨款支出决算表</w:t>
      </w:r>
    </w:p>
    <w:p>
      <w:pPr>
        <w:widowControl/>
        <w:jc w:val="center"/>
        <w:rPr>
          <w:rFonts w:cs="方正小标宋简体" w:asciiTheme="majorEastAsia" w:hAnsiTheme="majorEastAsia" w:eastAsiaTheme="majorEastAsia"/>
          <w:b/>
          <w:color w:val="000000"/>
          <w:kern w:val="0"/>
          <w:sz w:val="32"/>
          <w:szCs w:val="32"/>
        </w:rPr>
      </w:pPr>
      <w:r>
        <w:rPr>
          <w:rFonts w:hint="eastAsia" w:cs="方正小标宋简体" w:asciiTheme="majorEastAsia" w:hAnsiTheme="majorEastAsia" w:eastAsiaTheme="majorEastAsia"/>
          <w:b/>
          <w:color w:val="000000"/>
          <w:kern w:val="0"/>
          <w:sz w:val="32"/>
          <w:szCs w:val="32"/>
        </w:rPr>
        <w:t>第三部分  2020年部门决算情况说明</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一、收入支出决算总体情况说明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二、收入决算情况说明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三、支出决算情况说明    </w:t>
      </w:r>
    </w:p>
    <w:p>
      <w:pPr>
        <w:widowControl/>
        <w:jc w:val="left"/>
        <w:rPr>
          <w:rFonts w:cs="楷体" w:asciiTheme="majorEastAsia" w:hAnsiTheme="majorEastAsia" w:eastAsiaTheme="majorEastAsia"/>
          <w:b/>
        </w:rPr>
      </w:pPr>
      <w:r>
        <w:rPr>
          <w:rFonts w:hint="eastAsia" w:cs="楷体" w:asciiTheme="majorEastAsia" w:hAnsiTheme="majorEastAsia" w:eastAsiaTheme="majorEastAsia"/>
          <w:b/>
          <w:color w:val="000000"/>
          <w:kern w:val="0"/>
          <w:sz w:val="32"/>
          <w:szCs w:val="32"/>
        </w:rPr>
        <w:t xml:space="preserve">四、财政拨款收入支出决算总体情况说明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五、一般公共预算财政拨款支出决算情况说明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六、一般公共预算财政拨款基本支出决算情况说明   </w:t>
      </w:r>
    </w:p>
    <w:p>
      <w:pPr>
        <w:widowControl/>
        <w:ind w:left="643" w:hanging="643" w:hangingChars="200"/>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七、一般公共预算财政拨款“三公”经费及会议费、培训费支出决算情况说明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八、政府性基金预算财政拨款收入支出情况说明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九、国有资本经营财政拨款收入支出情况说明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十、机关运行经费支出情况说明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十一、政府采购支出情况说明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十二、国有资产占用及购置情况说明 </w:t>
      </w:r>
    </w:p>
    <w:p>
      <w:pPr>
        <w:widowControl/>
        <w:jc w:val="left"/>
        <w:rPr>
          <w:rFonts w:cs="楷体" w:asciiTheme="majorEastAsia" w:hAnsiTheme="majorEastAsia" w:eastAsiaTheme="majorEastAsia"/>
          <w:b/>
          <w:color w:val="000000"/>
          <w:kern w:val="0"/>
          <w:sz w:val="32"/>
          <w:szCs w:val="32"/>
        </w:rPr>
      </w:pPr>
      <w:r>
        <w:rPr>
          <w:rFonts w:hint="eastAsia" w:cs="楷体" w:asciiTheme="majorEastAsia" w:hAnsiTheme="majorEastAsia" w:eastAsiaTheme="majorEastAsia"/>
          <w:b/>
          <w:color w:val="000000"/>
          <w:kern w:val="0"/>
          <w:sz w:val="32"/>
          <w:szCs w:val="32"/>
        </w:rPr>
        <w:t xml:space="preserve">十三、预算绩效情况说明 </w:t>
      </w:r>
    </w:p>
    <w:p>
      <w:pPr>
        <w:widowControl/>
        <w:jc w:val="center"/>
        <w:rPr>
          <w:rFonts w:cs="方正小标宋简体" w:asciiTheme="majorEastAsia" w:hAnsiTheme="majorEastAsia" w:eastAsiaTheme="majorEastAsia"/>
          <w:b/>
          <w:color w:val="000000"/>
          <w:kern w:val="0"/>
          <w:sz w:val="32"/>
          <w:szCs w:val="32"/>
        </w:rPr>
      </w:pPr>
      <w:r>
        <w:rPr>
          <w:rFonts w:hint="eastAsia" w:cs="方正小标宋简体" w:asciiTheme="majorEastAsia" w:hAnsiTheme="majorEastAsia" w:eastAsiaTheme="majorEastAsia"/>
          <w:b/>
          <w:color w:val="000000"/>
          <w:kern w:val="0"/>
          <w:sz w:val="32"/>
          <w:szCs w:val="32"/>
        </w:rPr>
        <w:t>第四部分 专业名词解释</w:t>
      </w: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asciiTheme="majorEastAsia" w:hAnsiTheme="majorEastAsia" w:eastAsiaTheme="majorEastAsia"/>
          <w:b/>
          <w:color w:val="000000"/>
          <w:kern w:val="0"/>
          <w:sz w:val="44"/>
          <w:szCs w:val="44"/>
        </w:rPr>
      </w:pPr>
    </w:p>
    <w:p>
      <w:pPr>
        <w:jc w:val="center"/>
        <w:rPr>
          <w:rFonts w:cs="方正小标宋简体" w:asciiTheme="majorEastAsia" w:hAnsiTheme="majorEastAsia" w:eastAsiaTheme="majorEastAsia"/>
          <w:b/>
          <w:color w:val="000000"/>
          <w:kern w:val="0"/>
          <w:sz w:val="44"/>
          <w:szCs w:val="44"/>
        </w:rPr>
      </w:pPr>
      <w:r>
        <w:rPr>
          <w:rFonts w:hint="eastAsia" w:cs="方正小标宋简体" w:asciiTheme="majorEastAsia" w:hAnsiTheme="majorEastAsia" w:eastAsiaTheme="majorEastAsia"/>
          <w:b/>
          <w:color w:val="000000"/>
          <w:kern w:val="0"/>
          <w:sz w:val="44"/>
          <w:szCs w:val="44"/>
        </w:rPr>
        <w:t>第一部分 部门概况</w:t>
      </w:r>
    </w:p>
    <w:p>
      <w:pPr>
        <w:widowControl/>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一、部门主要职责及内设机构</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（一）主要职责。</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西安市未央区三桥社区卫生服务中心为西咸新区沣东新城管委会举办的一所集医疗、预防、保健为一体的一级综合性医院。内设全科、妇产科、公卫科、美沙酮门诊等科室。设置病床38张。主要承担三桥辖区12个行政村、1个社区卫生服务站，12个村卫生室、约8.14万余人的基本医疗服务、公共卫生等社区卫生服务工作。</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1、医疗服务方面：负责为辖区居民提供常见病、多发病诊疗服务，为辖区吸毒人员进行美沙酮药物维持治疗，负责新农合及辖区居民医保医疗费用审核报销工作。</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公共卫生服务方面：负责为辖区居民提供基本和重大公共卫生，包括为居民建立健康档案、健康教育、预防接种、0-6岁儿童健康管理、孕产妇健康管理、65岁老人健康管理、慢病管理、精神障碍患者管理、结核病患者管理、中医药健康管理、传染病及突发卫生事件报告和处理、卫生计生监督协管等服务。</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3、其他卫生工作。负责辖区村卫生室日常管理、业务指导、技能培训、绩效考核等工作。</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（二）内设机构。</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部门内设事业单位1个，西安市未央区三桥社区卫生服务中心。</w:t>
      </w:r>
    </w:p>
    <w:p>
      <w:pPr>
        <w:widowControl/>
        <w:ind w:firstLine="602" w:firstLineChars="200"/>
        <w:jc w:val="left"/>
        <w:rPr>
          <w:rFonts w:asciiTheme="minorEastAsia" w:hAnsiTheme="minorEastAsia" w:eastAsiaTheme="minorEastAsia"/>
          <w:b/>
          <w:sz w:val="30"/>
          <w:szCs w:val="30"/>
        </w:rPr>
      </w:pPr>
      <w:r>
        <w:rPr>
          <w:rFonts w:asciiTheme="minorEastAsia" w:hAnsiTheme="minorEastAsia" w:eastAsiaTheme="minorEastAsia"/>
          <w:b/>
          <w:color w:val="000000"/>
          <w:kern w:val="0"/>
          <w:sz w:val="30"/>
          <w:szCs w:val="30"/>
        </w:rPr>
        <w:t>二、</w:t>
      </w:r>
      <w:r>
        <w:rPr>
          <w:rFonts w:hint="eastAsia" w:asciiTheme="minorEastAsia" w:hAnsiTheme="minorEastAsia" w:eastAsiaTheme="minorEastAsia"/>
          <w:b/>
          <w:color w:val="000000"/>
          <w:kern w:val="0"/>
          <w:sz w:val="30"/>
          <w:szCs w:val="30"/>
        </w:rPr>
        <w:t>部门决算单位构成</w:t>
      </w:r>
    </w:p>
    <w:p>
      <w:pPr>
        <w:snapToGrid w:val="0"/>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纳入2020年本部门决算编制范围的单位共1个，三桥社区卫生服务中心。</w:t>
      </w:r>
    </w:p>
    <w:p>
      <w:pPr>
        <w:ind w:firstLine="64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三、部门人员情况</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截止2020年底，本部门人员编制</w:t>
      </w:r>
      <w:r>
        <w:rPr>
          <w:rFonts w:hint="eastAsia" w:ascii="仿宋_GB2312" w:hAnsi="仿宋_GB2312" w:eastAsia="仿宋_GB2312" w:cs="仿宋_GB2312"/>
          <w:sz w:val="30"/>
          <w:szCs w:val="30"/>
          <w:lang w:val="en-US" w:eastAsia="zh-CN"/>
        </w:rPr>
        <w:t>36</w:t>
      </w:r>
      <w:r>
        <w:rPr>
          <w:rFonts w:hint="eastAsia" w:ascii="仿宋_GB2312" w:hAnsi="仿宋_GB2312" w:eastAsia="仿宋_GB2312" w:cs="仿宋_GB2312"/>
          <w:sz w:val="30"/>
          <w:szCs w:val="30"/>
        </w:rPr>
        <w:t>人，其中行政编制0人、事业编制</w:t>
      </w:r>
      <w:r>
        <w:rPr>
          <w:rFonts w:hint="eastAsia" w:ascii="仿宋_GB2312" w:hAnsi="仿宋_GB2312" w:eastAsia="仿宋_GB2312" w:cs="仿宋_GB2312"/>
          <w:sz w:val="30"/>
          <w:szCs w:val="30"/>
          <w:lang w:val="en-US" w:eastAsia="zh-CN"/>
        </w:rPr>
        <w:t>36</w:t>
      </w:r>
      <w:r>
        <w:rPr>
          <w:rFonts w:hint="eastAsia" w:ascii="仿宋_GB2312" w:hAnsi="仿宋_GB2312" w:eastAsia="仿宋_GB2312" w:cs="仿宋_GB2312"/>
          <w:sz w:val="30"/>
          <w:szCs w:val="30"/>
        </w:rPr>
        <w:t>人；实有在编在职人员65人，临聘人员49人。单位管理的离退休人员94人。</w:t>
      </w:r>
    </w:p>
    <w:p>
      <w:pPr>
        <w:pStyle w:val="2"/>
      </w:pPr>
    </w:p>
    <w:p>
      <w:pPr>
        <w:pStyle w:val="2"/>
      </w:pPr>
      <w:r>
        <w:drawing>
          <wp:inline distT="0" distB="0" distL="0" distR="0">
            <wp:extent cx="5495925" cy="2924175"/>
            <wp:effectExtent l="19050" t="0" r="9525" b="0"/>
            <wp:docPr id="5" name="对象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ind w:firstLine="2547" w:firstLineChars="796"/>
        <w:rPr>
          <w:rFonts w:ascii="仿宋" w:hAnsi="仿宋" w:eastAsia="仿宋"/>
          <w:bCs/>
          <w:sz w:val="32"/>
          <w:szCs w:val="32"/>
        </w:rPr>
      </w:pPr>
      <w:r>
        <w:rPr>
          <w:rFonts w:hint="eastAsia" w:ascii="仿宋" w:hAnsi="仿宋" w:eastAsia="仿宋"/>
          <w:sz w:val="32"/>
          <w:szCs w:val="32"/>
        </w:rPr>
        <w:t xml:space="preserve">图表 </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SEQ 图表 \* ARABIC</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ascii="仿宋" w:hAnsi="仿宋" w:eastAsia="仿宋"/>
          <w:sz w:val="32"/>
          <w:szCs w:val="32"/>
        </w:rPr>
        <w:t>1</w:t>
      </w:r>
      <w:r>
        <w:rPr>
          <w:rFonts w:ascii="仿宋" w:hAnsi="仿宋" w:eastAsia="仿宋"/>
          <w:sz w:val="32"/>
          <w:szCs w:val="32"/>
        </w:rPr>
        <w:fldChar w:fldCharType="end"/>
      </w:r>
      <w:r>
        <w:rPr>
          <w:rFonts w:hint="eastAsia" w:ascii="仿宋" w:hAnsi="仿宋" w:eastAsia="仿宋"/>
          <w:sz w:val="32"/>
          <w:szCs w:val="32"/>
        </w:rPr>
        <w:t>部门人员情况表</w:t>
      </w:r>
    </w:p>
    <w:p>
      <w:pPr>
        <w:pStyle w:val="2"/>
      </w:pPr>
    </w:p>
    <w:p>
      <w:pPr>
        <w:pStyle w:val="2"/>
      </w:pPr>
    </w:p>
    <w:p>
      <w:pPr>
        <w:pStyle w:val="2"/>
      </w:pPr>
    </w:p>
    <w:p>
      <w:pPr>
        <w:pStyle w:val="2"/>
      </w:pPr>
    </w:p>
    <w:p>
      <w:pPr>
        <w:widowControl/>
        <w:jc w:val="center"/>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第二部分 2020年度部门决算表</w:t>
      </w:r>
    </w:p>
    <w:tbl>
      <w:tblPr>
        <w:tblStyle w:val="9"/>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rPr>
            </w:pPr>
            <w:r>
              <w:rPr>
                <w:rFonts w:hint="eastAsia" w:ascii="黑体" w:hAnsi="宋体" w:eastAsia="黑体"/>
                <w:color w:val="000000"/>
                <w:kern w:val="0"/>
                <w:sz w:val="24"/>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一般公共预算财政拨款支出决算表</w:t>
            </w:r>
          </w:p>
          <w:p>
            <w:pPr>
              <w:widowControl/>
              <w:jc w:val="left"/>
              <w:rPr>
                <w:rFonts w:ascii="宋体" w:hAnsi="宋体" w:cs="宋体"/>
                <w:color w:val="000000"/>
                <w:kern w:val="0"/>
                <w:sz w:val="24"/>
              </w:rPr>
            </w:pPr>
            <w:r>
              <w:rPr>
                <w:rFonts w:hint="eastAsia" w:ascii="宋体" w:hAnsi="宋体" w:cs="宋体"/>
                <w:color w:val="000000"/>
                <w:kern w:val="0"/>
                <w:sz w:val="24"/>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无国有资本经营预算财政拨款支出</w:t>
            </w:r>
          </w:p>
        </w:tc>
      </w:tr>
    </w:tbl>
    <w:p>
      <w:pPr>
        <w:jc w:val="center"/>
        <w:rPr>
          <w:rFonts w:ascii="黑体" w:hAnsi="宋体" w:eastAsia="黑体"/>
          <w:color w:val="000000"/>
          <w:kern w:val="0"/>
          <w:sz w:val="44"/>
          <w:szCs w:val="44"/>
        </w:rPr>
      </w:pPr>
    </w:p>
    <w:p>
      <w:pPr>
        <w:widowControl/>
        <w:rPr>
          <w:rFonts w:ascii="黑体" w:hAnsi="宋体" w:eastAsia="黑体"/>
          <w:color w:val="000000"/>
          <w:kern w:val="0"/>
          <w:sz w:val="44"/>
          <w:szCs w:val="44"/>
        </w:rPr>
      </w:pPr>
    </w:p>
    <w:p>
      <w:pPr>
        <w:pStyle w:val="2"/>
      </w:pPr>
    </w:p>
    <w:p>
      <w:pPr>
        <w:pStyle w:val="2"/>
      </w:pPr>
    </w:p>
    <w:p>
      <w:pPr>
        <w:widowControl/>
        <w:jc w:val="center"/>
        <w:textAlignment w:val="center"/>
        <w:rPr>
          <w:rFonts w:ascii="宋体" w:hAnsi="宋体" w:cs="宋体"/>
          <w:b/>
          <w:color w:val="000000"/>
          <w:kern w:val="0"/>
          <w:sz w:val="40"/>
          <w:szCs w:val="40"/>
        </w:rPr>
      </w:pPr>
      <w:r>
        <w:rPr>
          <w:rFonts w:hint="eastAsia" w:ascii="宋体" w:hAnsi="宋体" w:cs="宋体"/>
          <w:b/>
          <w:color w:val="000000"/>
          <w:kern w:val="0"/>
          <w:sz w:val="40"/>
          <w:szCs w:val="40"/>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2559.57</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772.63</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szCs w:val="21"/>
              </w:rPr>
              <w:t>27.25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2910.65</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宋体" w:hAnsi="宋体" w:cs="宋体"/>
                <w:color w:val="000000"/>
                <w:kern w:val="0"/>
                <w:szCs w:val="21"/>
              </w:rPr>
            </w:pPr>
            <w:r>
              <w:rPr>
                <w:rFonts w:hint="eastAsia" w:ascii="宋体" w:hAnsi="宋体" w:cs="宋体"/>
                <w:color w:val="000000"/>
                <w:kern w:val="0"/>
                <w:szCs w:val="21"/>
              </w:rPr>
              <w:t>23.</w:t>
            </w:r>
            <w:r>
              <w:rPr>
                <w:rFonts w:ascii="宋体" w:hAnsi="宋体" w:cs="宋体"/>
                <w:color w:val="000000"/>
                <w:sz w:val="18"/>
                <w:szCs w:val="18"/>
              </w:rPr>
              <w:t>抗疫特别国债安排的支出</w:t>
            </w:r>
            <w:bookmarkStart w:id="0" w:name="_GoBack"/>
            <w:bookmarkEnd w:id="0"/>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64.61</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 xml:space="preserve">3424.06 </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2975.26</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r>
              <w:rPr>
                <w:rFonts w:hint="eastAsia" w:ascii="宋体" w:hAnsi="宋体" w:cs="宋体"/>
                <w:bCs/>
                <w:color w:val="000000"/>
                <w:szCs w:val="21"/>
              </w:rPr>
              <w:t>132.33</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color w:val="000000"/>
                <w:szCs w:val="21"/>
              </w:rPr>
              <w:t>581.13</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3556.39</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3556.39</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编制部门：西安市未央区三桥社区卫生服务中心                            金额单位：万元</w:t>
      </w:r>
    </w:p>
    <w:tbl>
      <w:tblPr>
        <w:tblStyle w:val="9"/>
        <w:tblW w:w="8946" w:type="dxa"/>
        <w:tblInd w:w="0" w:type="dxa"/>
        <w:tblLayout w:type="fixed"/>
        <w:tblCellMar>
          <w:top w:w="15" w:type="dxa"/>
          <w:left w:w="15" w:type="dxa"/>
          <w:bottom w:w="15" w:type="dxa"/>
          <w:right w:w="15" w:type="dxa"/>
        </w:tblCellMar>
      </w:tblPr>
      <w:tblGrid>
        <w:gridCol w:w="866"/>
        <w:gridCol w:w="61"/>
        <w:gridCol w:w="2207"/>
        <w:gridCol w:w="992"/>
        <w:gridCol w:w="992"/>
        <w:gridCol w:w="709"/>
        <w:gridCol w:w="709"/>
        <w:gridCol w:w="567"/>
        <w:gridCol w:w="709"/>
        <w:gridCol w:w="567"/>
        <w:gridCol w:w="567"/>
      </w:tblGrid>
      <w:tr>
        <w:tblPrEx>
          <w:tblCellMar>
            <w:top w:w="15" w:type="dxa"/>
            <w:left w:w="15" w:type="dxa"/>
            <w:bottom w:w="15" w:type="dxa"/>
            <w:right w:w="15" w:type="dxa"/>
          </w:tblCellMar>
        </w:tblPrEx>
        <w:trPr>
          <w:trHeight w:val="439" w:hRule="atLeast"/>
        </w:trPr>
        <w:tc>
          <w:tcPr>
            <w:tcW w:w="31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866"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26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其中：教育</w:t>
            </w:r>
          </w:p>
          <w:p>
            <w:pPr>
              <w:rPr>
                <w:rFonts w:ascii="宋体" w:hAnsi="宋体" w:cs="宋体"/>
                <w:b/>
                <w:color w:val="000000"/>
                <w:szCs w:val="21"/>
              </w:rPr>
            </w:pPr>
            <w:r>
              <w:rPr>
                <w:rFonts w:hint="eastAsia" w:ascii="宋体" w:hAnsi="宋体" w:cs="宋体"/>
                <w:b/>
                <w:color w:val="000000"/>
                <w:szCs w:val="21"/>
              </w:rPr>
              <w:t>收费</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31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3424.06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2624.18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772.63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27.25</w:t>
            </w:r>
          </w:p>
        </w:tc>
      </w:tr>
      <w:tr>
        <w:tblPrEx>
          <w:tblCellMar>
            <w:top w:w="15" w:type="dxa"/>
            <w:left w:w="15" w:type="dxa"/>
            <w:bottom w:w="15" w:type="dxa"/>
            <w:right w:w="15" w:type="dxa"/>
          </w:tblCellMar>
        </w:tblPrEx>
        <w:trPr>
          <w:trHeight w:val="41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卫生健康支出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3359.45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2559.57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772.63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27.25</w:t>
            </w:r>
          </w:p>
        </w:tc>
      </w:tr>
      <w:tr>
        <w:tblPrEx>
          <w:tblCellMar>
            <w:top w:w="15" w:type="dxa"/>
            <w:left w:w="15" w:type="dxa"/>
            <w:bottom w:w="15" w:type="dxa"/>
            <w:right w:w="15" w:type="dxa"/>
          </w:tblCellMar>
        </w:tblPrEx>
        <w:trPr>
          <w:trHeight w:val="41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21001</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卫生健康管理事务</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2100199</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其他卫生健康管理事务支出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21002</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公立医院</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2100299</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其他公立医院支出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21003</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基层医疗卫生机构</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2624.52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1824.64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772.63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27.25</w:t>
            </w: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2100301</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城市</w:t>
            </w:r>
            <w:r>
              <w:rPr>
                <w:rFonts w:ascii="宋体" w:hAnsi="宋体" w:cs="宋体"/>
                <w:color w:val="000000"/>
                <w:sz w:val="18"/>
                <w:szCs w:val="18"/>
              </w:rPr>
              <w:t>社区卫生机构</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1957.04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1157.16</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772.63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27.25</w:t>
            </w: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2100399</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其他基层医疗卫生机构支出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667.48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667.48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21004</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公共卫生</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695.15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695.15</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2100408</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基本公共卫生服务</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582.22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582.22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2100410</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突发公共卫生事件应急处理</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112.93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112.93</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234</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抗疫特别国债安排的支出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23402</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抗疫相关支出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2340299</w:t>
            </w: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其他抗疫相关支出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2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编制部门：西安市未央区三桥社区卫生服务中心                            金额单位：万元</w:t>
      </w:r>
    </w:p>
    <w:tbl>
      <w:tblPr>
        <w:tblStyle w:val="9"/>
        <w:tblW w:w="8896" w:type="dxa"/>
        <w:tblInd w:w="0" w:type="dxa"/>
        <w:tblLayout w:type="fixed"/>
        <w:tblCellMar>
          <w:top w:w="15" w:type="dxa"/>
          <w:left w:w="15" w:type="dxa"/>
          <w:bottom w:w="15" w:type="dxa"/>
          <w:right w:w="15" w:type="dxa"/>
        </w:tblCellMar>
      </w:tblPr>
      <w:tblGrid>
        <w:gridCol w:w="914"/>
        <w:gridCol w:w="83"/>
        <w:gridCol w:w="2420"/>
        <w:gridCol w:w="1134"/>
        <w:gridCol w:w="1134"/>
        <w:gridCol w:w="993"/>
        <w:gridCol w:w="850"/>
        <w:gridCol w:w="709"/>
        <w:gridCol w:w="659"/>
      </w:tblGrid>
      <w:tr>
        <w:tblPrEx>
          <w:tblCellMar>
            <w:top w:w="15" w:type="dxa"/>
            <w:left w:w="15" w:type="dxa"/>
            <w:bottom w:w="15" w:type="dxa"/>
            <w:right w:w="15" w:type="dxa"/>
          </w:tblCellMar>
        </w:tblPrEx>
        <w:trPr>
          <w:trHeight w:val="372" w:hRule="atLeast"/>
        </w:trPr>
        <w:tc>
          <w:tcPr>
            <w:tcW w:w="34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34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2975.26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1653.11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1322.15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卫生健康支出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2910.65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1653.11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1257.54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21001</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卫生健康管理事务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2100199</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其他卫生健康管理事务支出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21002</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公立医院</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2100299</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其他公立医院支出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21003</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基层医疗卫生机构</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2161.97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1653.11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508.86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2100301</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城市社区</w:t>
            </w:r>
            <w:r>
              <w:rPr>
                <w:rFonts w:ascii="宋体" w:hAnsi="宋体" w:cs="宋体"/>
                <w:color w:val="000000"/>
                <w:sz w:val="18"/>
                <w:szCs w:val="18"/>
              </w:rPr>
              <w:t>卫生机构</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1837.69</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1456.11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381.58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2100399</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其他基层医疗卫生机构支出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324.28</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197</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127.28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21004</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公共卫生</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708.9</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708.9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2100408</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基本公共卫生服务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595.97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595.97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2100410</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突发公共卫生事件应急处理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112.93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112.93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234</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抗疫特别国债安排的支出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23402</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抗疫相关支出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2340299</w:t>
            </w: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其他抗疫相关支出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0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2559.57</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sz w:val="18"/>
                <w:szCs w:val="18"/>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3.国防支出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4.公共安全支出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5.教育支出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6.科学技术支出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w:t>
            </w:r>
            <w:r>
              <w:rPr>
                <w:rFonts w:hint="eastAsia" w:ascii="宋体" w:hAnsi="宋体" w:cs="宋体"/>
                <w:color w:val="000000"/>
                <w:spacing w:val="-11"/>
                <w:w w:val="98"/>
                <w:kern w:val="0"/>
                <w:sz w:val="18"/>
                <w:szCs w:val="18"/>
              </w:rPr>
              <w:t>文化旅游体育与传媒支出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8.社会保障和就业支出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9.卫生健康支出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2294.73</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2230.12</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64.61</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11.城乡社区支出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13.交通运输支出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14.资源勘探信息等支出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15.商业服务业等支出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16.金融支出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17.援助其他地区支出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19.住房保障支出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23.其他支出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2624.18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2294.73</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2230.12</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64.61</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132.33</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461.78</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461.78</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2559.57</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64.61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ind w:left="360" w:hanging="360" w:hangingChars="200"/>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国有资本经营</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2756.51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2756.51</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2691.9</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64.61</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widowControl/>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color w:val="000000"/>
          <w:kern w:val="0"/>
          <w:szCs w:val="21"/>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777" w:type="dxa"/>
        <w:tblInd w:w="0" w:type="dxa"/>
        <w:tblLayout w:type="fixed"/>
        <w:tblCellMar>
          <w:top w:w="15" w:type="dxa"/>
          <w:left w:w="15" w:type="dxa"/>
          <w:bottom w:w="15" w:type="dxa"/>
          <w:right w:w="15" w:type="dxa"/>
        </w:tblCellMar>
      </w:tblPr>
      <w:tblGrid>
        <w:gridCol w:w="1170"/>
        <w:gridCol w:w="2389"/>
        <w:gridCol w:w="1134"/>
        <w:gridCol w:w="992"/>
        <w:gridCol w:w="851"/>
        <w:gridCol w:w="709"/>
        <w:gridCol w:w="708"/>
        <w:gridCol w:w="824"/>
      </w:tblGrid>
      <w:tr>
        <w:tblPrEx>
          <w:tblCellMar>
            <w:top w:w="15" w:type="dxa"/>
            <w:left w:w="15" w:type="dxa"/>
            <w:bottom w:w="15" w:type="dxa"/>
            <w:right w:w="15" w:type="dxa"/>
          </w:tblCellMar>
        </w:tblPrEx>
        <w:trPr>
          <w:trHeight w:val="414" w:hRule="atLeast"/>
        </w:trPr>
        <w:tc>
          <w:tcPr>
            <w:tcW w:w="35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552"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35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2230.12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1011.41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1011.41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1218.71</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6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卫生健康支出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2230.12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1011.41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1011.41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1218.71</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6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21001</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卫生健康管理事务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6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2100199</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其他卫生健康管理事务支出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37.61</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21002</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公立医院</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2100299</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其他公立医院支出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2.17</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68"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21003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基层医疗卫生机构</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1481.44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1011.41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1011.41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470.03</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68"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2100301</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城市</w:t>
            </w:r>
            <w:r>
              <w:rPr>
                <w:rFonts w:ascii="宋体" w:hAnsi="宋体" w:cs="宋体"/>
                <w:color w:val="000000"/>
                <w:sz w:val="18"/>
                <w:szCs w:val="18"/>
              </w:rPr>
              <w:t>社区卫生机构</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1157.16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814.41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814.41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342.75</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2100399</w:t>
            </w: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其他基层医疗卫生机构支出</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324.28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197</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197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127.28</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21004</w:t>
            </w: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公共卫生</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708.9</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708.9</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2100408</w:t>
            </w: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基本公共卫生服务</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595.97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595.97</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2100410</w:t>
            </w: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ascii="宋体" w:hAnsi="宋体" w:cs="宋体"/>
                <w:color w:val="000000"/>
                <w:sz w:val="18"/>
                <w:szCs w:val="18"/>
              </w:rPr>
              <w:t>突发公共卫生事件应急处理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112.93</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112.93</w:t>
            </w: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38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2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1011.41</w:t>
            </w:r>
          </w:p>
        </w:tc>
        <w:tc>
          <w:tcPr>
            <w:tcW w:w="1437" w:type="dxa"/>
            <w:tcBorders>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1011.41</w:t>
            </w:r>
          </w:p>
        </w:tc>
        <w:tc>
          <w:tcPr>
            <w:tcW w:w="136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1009.28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1009.28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2100301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基层医疗卫生机构支出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812.28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812.28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205.79</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205.79</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111.53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111.53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ascii="宋体" w:hAnsi="宋体" w:cs="宋体"/>
                <w:color w:val="000000"/>
                <w:szCs w:val="21"/>
              </w:rPr>
              <w:t>养老保险缴费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101.68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101.68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30109</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职业年金缴费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45.46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45.46</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30110</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职工基本医疗保险缴费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36.69</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36.69</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30111</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公务员医疗补助缴费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43.74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43.74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住房公积金缴费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164.5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164.5</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其他工资福利支出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30.89</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30.89</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2100399</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其他基层医疗卫生机构支出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197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197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ascii="宋体" w:hAnsi="宋体" w:cs="宋体"/>
                <w:color w:val="000000"/>
                <w:szCs w:val="21"/>
              </w:rPr>
              <w:t>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197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197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ascii="宋体" w:hAnsi="宋体" w:cs="宋体"/>
                <w:color w:val="000000"/>
                <w:szCs w:val="21"/>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30305</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ascii="宋体" w:hAnsi="宋体" w:cs="宋体"/>
                <w:color w:val="000000"/>
                <w:szCs w:val="21"/>
              </w:rPr>
              <w:t>生活补助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1.41</w:t>
            </w:r>
          </w:p>
        </w:tc>
      </w:tr>
    </w:tbl>
    <w:p>
      <w:pPr>
        <w:widowControl/>
        <w:jc w:val="left"/>
        <w:rPr>
          <w:rFonts w:ascii="宋体" w:hAnsi="宋体" w:cs="宋体"/>
          <w:szCs w:val="21"/>
        </w:rPr>
      </w:pPr>
      <w:r>
        <w:rPr>
          <w:rFonts w:hint="eastAsia" w:ascii="宋体" w:hAnsi="宋体" w:cs="宋体"/>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877" w:type="dxa"/>
        <w:tblInd w:w="0" w:type="dxa"/>
        <w:tblLayout w:type="fixed"/>
        <w:tblCellMar>
          <w:top w:w="15" w:type="dxa"/>
          <w:left w:w="15" w:type="dxa"/>
          <w:bottom w:w="15" w:type="dxa"/>
          <w:right w:w="15" w:type="dxa"/>
        </w:tblCellMar>
      </w:tblPr>
      <w:tblGrid>
        <w:gridCol w:w="1023"/>
        <w:gridCol w:w="1827"/>
        <w:gridCol w:w="851"/>
        <w:gridCol w:w="992"/>
        <w:gridCol w:w="851"/>
        <w:gridCol w:w="1134"/>
        <w:gridCol w:w="992"/>
        <w:gridCol w:w="1207"/>
      </w:tblGrid>
      <w:tr>
        <w:tblPrEx>
          <w:tblCellMar>
            <w:top w:w="15" w:type="dxa"/>
            <w:left w:w="15" w:type="dxa"/>
            <w:bottom w:w="15" w:type="dxa"/>
            <w:right w:w="15" w:type="dxa"/>
          </w:tblCellMar>
        </w:tblPrEx>
        <w:trPr>
          <w:trHeight w:val="491" w:hRule="atLeast"/>
        </w:trPr>
        <w:tc>
          <w:tcPr>
            <w:tcW w:w="2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2977"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2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2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851"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2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234</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抗疫特别国债安排的支出</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23402</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ascii="宋体" w:hAnsi="宋体" w:cs="宋体"/>
                <w:color w:val="000000"/>
                <w:szCs w:val="21"/>
              </w:rPr>
              <w:t>抗疫相关支出</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2340299</w:t>
            </w: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其他抗疫相关支出</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64.61</w:t>
            </w: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0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r>
        <w:rPr>
          <w:rFonts w:hint="eastAsia" w:ascii="黑体" w:hAnsi="宋体" w:eastAsia="黑体"/>
          <w:color w:val="000000"/>
          <w:kern w:val="0"/>
          <w:sz w:val="44"/>
          <w:szCs w:val="44"/>
        </w:rPr>
        <w:br w:type="page"/>
      </w:r>
    </w:p>
    <w:p>
      <w:pPr>
        <w:jc w:val="center"/>
        <w:rPr>
          <w:rFonts w:ascii="宋体" w:hAnsi="宋体" w:cs="宋体"/>
          <w:b/>
          <w:bCs/>
          <w:sz w:val="32"/>
          <w:szCs w:val="32"/>
        </w:rPr>
      </w:pPr>
      <w:r>
        <w:rPr>
          <w:rFonts w:hint="eastAsia" w:ascii="宋体" w:hAnsi="宋体" w:cs="宋体"/>
          <w:b/>
          <w:bCs/>
          <w:sz w:val="32"/>
          <w:szCs w:val="32"/>
        </w:rPr>
        <w:t>国有资本经营预算财政拨款支出决算表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公开09表</w:t>
      </w:r>
    </w:p>
    <w:p>
      <w:pPr>
        <w:rPr>
          <w:rFonts w:ascii="宋体" w:hAnsi="宋体" w:cs="宋体"/>
          <w:b/>
          <w:bCs/>
          <w:szCs w:val="21"/>
        </w:rPr>
      </w:pPr>
      <w:r>
        <w:rPr>
          <w:rFonts w:hint="eastAsia" w:ascii="宋体" w:hAnsi="宋体" w:cs="宋体"/>
          <w:b/>
          <w:bCs/>
          <w:szCs w:val="21"/>
        </w:rPr>
        <w:t>编制部门：西安市未央区三桥社区卫生服务中心                            金额单位：万元</w:t>
      </w:r>
    </w:p>
    <w:tbl>
      <w:tblPr>
        <w:tblStyle w:val="9"/>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widowControl/>
        <w:jc w:val="left"/>
        <w:rPr>
          <w:rFonts w:ascii="宋体" w:hAnsi="宋体" w:cs="宋体"/>
          <w:szCs w:val="21"/>
        </w:rPr>
      </w:pPr>
    </w:p>
    <w:p>
      <w:pPr>
        <w:widowControl/>
        <w:jc w:val="left"/>
      </w:pPr>
      <w:r>
        <w:rPr>
          <w:rFonts w:hint="eastAsia" w:ascii="宋体" w:hAnsi="宋体" w:cs="宋体"/>
          <w:szCs w:val="21"/>
        </w:rPr>
        <w:t>注：本表反映部门本年度国有资本经营预算财政拨款支出情况。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spacing w:line="560" w:lineRule="exact"/>
        <w:jc w:val="center"/>
        <w:rPr>
          <w:rFonts w:cs="方正小标宋简体" w:asciiTheme="majorEastAsia" w:hAnsiTheme="majorEastAsia" w:eastAsiaTheme="majorEastAsia"/>
          <w:b/>
          <w:color w:val="000000"/>
          <w:kern w:val="0"/>
          <w:sz w:val="36"/>
          <w:szCs w:val="36"/>
        </w:rPr>
      </w:pPr>
      <w:r>
        <w:rPr>
          <w:rFonts w:hint="eastAsia" w:cs="方正小标宋简体" w:asciiTheme="majorEastAsia" w:hAnsiTheme="majorEastAsia" w:eastAsiaTheme="majorEastAsia"/>
          <w:b/>
          <w:color w:val="000000"/>
          <w:kern w:val="0"/>
          <w:sz w:val="36"/>
          <w:szCs w:val="36"/>
        </w:rPr>
        <w:t>第三部分 2020 年部门决算情况说明</w:t>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 xml:space="preserve">一、收入支出决算总体情况说明 </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2020年度总收入3424.06万元，较上年增加了179.47万元，增加5.53%，主要原因是：（1）2020年财政拨付抗疫经费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基本公共卫生收入增加；</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）拓宽业务，门诊患者增加使医疗收入增加。</w:t>
      </w:r>
    </w:p>
    <w:p>
      <w:pPr>
        <w:pStyle w:val="2"/>
        <w:rPr>
          <w:rFonts w:asciiTheme="minorEastAsia" w:hAnsiTheme="minorEastAsia" w:eastAsiaTheme="minorEastAsia"/>
        </w:rPr>
      </w:pPr>
      <w:r>
        <w:rPr>
          <w:rFonts w:hint="eastAsia" w:asciiTheme="minorEastAsia" w:hAnsiTheme="minorEastAsia" w:eastAsiaTheme="minorEastAsia"/>
        </w:rPr>
        <w:drawing>
          <wp:inline distT="0" distB="0" distL="0" distR="0">
            <wp:extent cx="5273040" cy="2932430"/>
            <wp:effectExtent l="19050" t="0" r="22668" b="718"/>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asciiTheme="minorEastAsia" w:hAnsiTheme="minorEastAsia" w:eastAsiaTheme="minorEastAsia"/>
        </w:rPr>
      </w:pP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2020年度总支出2975.26万元，较上年减少274.05万元，减少了8.43%，主要原因是2019年为在编职工补缴了2014年10月至2018年12月之间的职工基本养老保险和职业年金导致2019年人员经费支出增加。</w:t>
      </w:r>
    </w:p>
    <w:p>
      <w:pPr>
        <w:widowControl/>
        <w:ind w:firstLine="640" w:firstLineChars="200"/>
        <w:jc w:val="left"/>
        <w:rPr>
          <w:rFonts w:cs="楷体" w:asciiTheme="minorEastAsia" w:hAnsiTheme="minorEastAsia" w:eastAsiaTheme="minorEastAsia"/>
          <w:color w:val="000000"/>
          <w:kern w:val="0"/>
          <w:sz w:val="32"/>
          <w:szCs w:val="32"/>
        </w:rPr>
      </w:pPr>
    </w:p>
    <w:p>
      <w:pPr>
        <w:pStyle w:val="2"/>
        <w:rPr>
          <w:rFonts w:asciiTheme="minorEastAsia" w:hAnsiTheme="minorEastAsia" w:eastAsiaTheme="minorEastAsia"/>
        </w:rPr>
      </w:pPr>
      <w:r>
        <w:rPr>
          <w:rFonts w:hint="eastAsia" w:asciiTheme="minorEastAsia" w:hAnsiTheme="minorEastAsia" w:eastAsiaTheme="minorEastAsia"/>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rPr>
          <w:rFonts w:asciiTheme="minorEastAsia" w:hAnsiTheme="minorEastAsia" w:eastAsiaTheme="minorEastAsia"/>
        </w:rPr>
      </w:pP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二、收入决算情况说明</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w:t>
      </w:r>
      <w:r>
        <w:rPr>
          <w:rFonts w:ascii="仿宋_GB2312" w:hAnsi="仿宋_GB2312" w:eastAsia="仿宋_GB2312" w:cs="仿宋_GB2312"/>
          <w:sz w:val="30"/>
          <w:szCs w:val="30"/>
        </w:rPr>
        <w:t>年</w:t>
      </w:r>
      <w:r>
        <w:rPr>
          <w:rFonts w:hint="eastAsia" w:ascii="仿宋_GB2312" w:hAnsi="仿宋_GB2312" w:eastAsia="仿宋_GB2312" w:cs="仿宋_GB2312"/>
          <w:sz w:val="30"/>
          <w:szCs w:val="30"/>
        </w:rPr>
        <w:t>度</w:t>
      </w:r>
      <w:r>
        <w:rPr>
          <w:rFonts w:ascii="仿宋_GB2312" w:hAnsi="仿宋_GB2312" w:eastAsia="仿宋_GB2312" w:cs="仿宋_GB2312"/>
          <w:sz w:val="30"/>
          <w:szCs w:val="30"/>
        </w:rPr>
        <w:t>收入合计</w:t>
      </w:r>
      <w:r>
        <w:rPr>
          <w:rFonts w:hint="eastAsia" w:ascii="仿宋_GB2312" w:hAnsi="仿宋_GB2312" w:eastAsia="仿宋_GB2312" w:cs="仿宋_GB2312"/>
          <w:sz w:val="30"/>
          <w:szCs w:val="30"/>
        </w:rPr>
        <w:t>3424.06</w:t>
      </w:r>
      <w:r>
        <w:rPr>
          <w:rFonts w:ascii="仿宋_GB2312" w:hAnsi="仿宋_GB2312" w:eastAsia="仿宋_GB2312" w:cs="仿宋_GB2312"/>
          <w:sz w:val="30"/>
          <w:szCs w:val="30"/>
        </w:rPr>
        <w:t>万元，其中：财政拨款收入</w:t>
      </w:r>
      <w:r>
        <w:rPr>
          <w:rFonts w:hint="eastAsia" w:ascii="仿宋_GB2312" w:hAnsi="仿宋_GB2312" w:eastAsia="仿宋_GB2312" w:cs="仿宋_GB2312"/>
          <w:sz w:val="30"/>
          <w:szCs w:val="30"/>
        </w:rPr>
        <w:t>2559.57</w:t>
      </w:r>
      <w:r>
        <w:rPr>
          <w:rFonts w:ascii="仿宋_GB2312" w:hAnsi="仿宋_GB2312" w:eastAsia="仿宋_GB2312" w:cs="仿宋_GB2312"/>
          <w:sz w:val="30"/>
          <w:szCs w:val="30"/>
        </w:rPr>
        <w:t>万元，占</w:t>
      </w:r>
      <w:r>
        <w:rPr>
          <w:rFonts w:hint="eastAsia" w:ascii="仿宋_GB2312" w:hAnsi="仿宋_GB2312" w:eastAsia="仿宋_GB2312" w:cs="仿宋_GB2312"/>
          <w:sz w:val="30"/>
          <w:szCs w:val="30"/>
        </w:rPr>
        <w:t>74.75</w:t>
      </w:r>
      <w:r>
        <w:rPr>
          <w:rFonts w:ascii="仿宋_GB2312" w:hAnsi="仿宋_GB2312" w:eastAsia="仿宋_GB2312" w:cs="仿宋_GB2312"/>
          <w:sz w:val="30"/>
          <w:szCs w:val="30"/>
        </w:rPr>
        <w:t>%；事业收入</w:t>
      </w:r>
      <w:r>
        <w:rPr>
          <w:rFonts w:hint="eastAsia" w:ascii="仿宋_GB2312" w:hAnsi="仿宋_GB2312" w:eastAsia="仿宋_GB2312" w:cs="仿宋_GB2312"/>
          <w:sz w:val="30"/>
          <w:szCs w:val="30"/>
        </w:rPr>
        <w:t>772.63</w:t>
      </w:r>
      <w:r>
        <w:rPr>
          <w:rFonts w:ascii="仿宋_GB2312" w:hAnsi="仿宋_GB2312" w:eastAsia="仿宋_GB2312" w:cs="仿宋_GB2312"/>
          <w:sz w:val="30"/>
          <w:szCs w:val="30"/>
        </w:rPr>
        <w:t>万元，占</w:t>
      </w:r>
      <w:r>
        <w:rPr>
          <w:rFonts w:hint="eastAsia" w:ascii="仿宋_GB2312" w:hAnsi="仿宋_GB2312" w:eastAsia="仿宋_GB2312" w:cs="仿宋_GB2312"/>
          <w:sz w:val="30"/>
          <w:szCs w:val="30"/>
        </w:rPr>
        <w:t>22.56</w:t>
      </w:r>
      <w:r>
        <w:rPr>
          <w:rFonts w:ascii="仿宋_GB2312" w:hAnsi="仿宋_GB2312" w:eastAsia="仿宋_GB2312" w:cs="仿宋_GB2312"/>
          <w:sz w:val="30"/>
          <w:szCs w:val="30"/>
        </w:rPr>
        <w:t>%；政府性基金预算财政拨款收入</w:t>
      </w:r>
      <w:r>
        <w:rPr>
          <w:rFonts w:hint="eastAsia" w:ascii="仿宋_GB2312" w:hAnsi="仿宋_GB2312" w:eastAsia="仿宋_GB2312" w:cs="仿宋_GB2312"/>
          <w:sz w:val="30"/>
          <w:szCs w:val="30"/>
        </w:rPr>
        <w:t>64.61万元，占1.89%；</w:t>
      </w:r>
      <w:r>
        <w:rPr>
          <w:rFonts w:ascii="仿宋_GB2312" w:hAnsi="仿宋_GB2312" w:eastAsia="仿宋_GB2312" w:cs="仿宋_GB2312"/>
          <w:sz w:val="30"/>
          <w:szCs w:val="30"/>
        </w:rPr>
        <w:t>其他收入</w:t>
      </w:r>
      <w:r>
        <w:rPr>
          <w:rFonts w:hint="eastAsia" w:ascii="仿宋_GB2312" w:hAnsi="仿宋_GB2312" w:eastAsia="仿宋_GB2312" w:cs="仿宋_GB2312"/>
          <w:sz w:val="30"/>
          <w:szCs w:val="30"/>
        </w:rPr>
        <w:t>27.25</w:t>
      </w:r>
      <w:r>
        <w:rPr>
          <w:rFonts w:ascii="仿宋_GB2312" w:hAnsi="仿宋_GB2312" w:eastAsia="仿宋_GB2312" w:cs="仿宋_GB2312"/>
          <w:sz w:val="30"/>
          <w:szCs w:val="30"/>
        </w:rPr>
        <w:t>万元，占</w:t>
      </w:r>
      <w:r>
        <w:rPr>
          <w:rFonts w:hint="eastAsia" w:ascii="仿宋_GB2312" w:hAnsi="仿宋_GB2312" w:eastAsia="仿宋_GB2312" w:cs="仿宋_GB2312"/>
          <w:sz w:val="30"/>
          <w:szCs w:val="30"/>
        </w:rPr>
        <w:t>0.8</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p>
    <w:p>
      <w:pPr>
        <w:pStyle w:val="2"/>
        <w:ind w:firstLine="1050" w:firstLineChars="500"/>
        <w:rPr>
          <w:rFonts w:asciiTheme="minorEastAsia" w:hAnsiTheme="minorEastAsia" w:eastAsiaTheme="minorEastAsia"/>
        </w:rPr>
      </w:pPr>
      <w:r>
        <w:rPr>
          <w:rFonts w:asciiTheme="minorEastAsia" w:hAnsiTheme="minorEastAsia" w:eastAsiaTheme="minorEastAsia"/>
        </w:rPr>
        <w:drawing>
          <wp:inline distT="0" distB="0" distL="0" distR="0">
            <wp:extent cx="4439285" cy="2242820"/>
            <wp:effectExtent l="19050" t="0" r="18055" b="5032"/>
            <wp:docPr id="2" name="对象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pacing w:line="560" w:lineRule="exact"/>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 xml:space="preserve">三、支出决算情况说明  </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w:t>
      </w:r>
      <w:r>
        <w:rPr>
          <w:rFonts w:ascii="仿宋_GB2312" w:hAnsi="仿宋_GB2312" w:eastAsia="仿宋_GB2312" w:cs="仿宋_GB2312"/>
          <w:sz w:val="30"/>
          <w:szCs w:val="30"/>
        </w:rPr>
        <w:t>年</w:t>
      </w:r>
      <w:r>
        <w:rPr>
          <w:rFonts w:hint="eastAsia" w:ascii="仿宋_GB2312" w:hAnsi="仿宋_GB2312" w:eastAsia="仿宋_GB2312" w:cs="仿宋_GB2312"/>
          <w:sz w:val="30"/>
          <w:szCs w:val="30"/>
        </w:rPr>
        <w:t>度</w:t>
      </w:r>
      <w:r>
        <w:rPr>
          <w:rFonts w:ascii="仿宋_GB2312" w:hAnsi="仿宋_GB2312" w:eastAsia="仿宋_GB2312" w:cs="仿宋_GB2312"/>
          <w:sz w:val="30"/>
          <w:szCs w:val="30"/>
        </w:rPr>
        <w:t>支出合计</w:t>
      </w:r>
      <w:r>
        <w:rPr>
          <w:rFonts w:hint="eastAsia" w:ascii="仿宋_GB2312" w:hAnsi="仿宋_GB2312" w:eastAsia="仿宋_GB2312" w:cs="仿宋_GB2312"/>
          <w:sz w:val="30"/>
          <w:szCs w:val="30"/>
        </w:rPr>
        <w:t>2975.26</w:t>
      </w:r>
      <w:r>
        <w:rPr>
          <w:rFonts w:ascii="仿宋_GB2312" w:hAnsi="仿宋_GB2312" w:eastAsia="仿宋_GB2312" w:cs="仿宋_GB2312"/>
          <w:sz w:val="30"/>
          <w:szCs w:val="30"/>
        </w:rPr>
        <w:t>万元，其中：基本支出</w:t>
      </w:r>
      <w:r>
        <w:rPr>
          <w:rFonts w:hint="eastAsia" w:ascii="仿宋_GB2312" w:hAnsi="仿宋_GB2312" w:eastAsia="仿宋_GB2312" w:cs="仿宋_GB2312"/>
          <w:sz w:val="30"/>
          <w:szCs w:val="30"/>
        </w:rPr>
        <w:t>1653.11</w:t>
      </w:r>
      <w:r>
        <w:rPr>
          <w:rFonts w:ascii="仿宋_GB2312" w:hAnsi="仿宋_GB2312" w:eastAsia="仿宋_GB2312" w:cs="仿宋_GB2312"/>
          <w:sz w:val="30"/>
          <w:szCs w:val="30"/>
        </w:rPr>
        <w:t>万元，占</w:t>
      </w:r>
      <w:r>
        <w:rPr>
          <w:rFonts w:hint="eastAsia" w:ascii="仿宋_GB2312" w:hAnsi="仿宋_GB2312" w:eastAsia="仿宋_GB2312" w:cs="仿宋_GB2312"/>
          <w:sz w:val="30"/>
          <w:szCs w:val="30"/>
        </w:rPr>
        <w:t>55.56</w:t>
      </w:r>
      <w:r>
        <w:rPr>
          <w:rFonts w:ascii="仿宋_GB2312" w:hAnsi="仿宋_GB2312" w:eastAsia="仿宋_GB2312" w:cs="仿宋_GB2312"/>
          <w:sz w:val="30"/>
          <w:szCs w:val="30"/>
        </w:rPr>
        <w:t>%；项目支出</w:t>
      </w:r>
      <w:r>
        <w:rPr>
          <w:rFonts w:hint="eastAsia" w:ascii="仿宋_GB2312" w:hAnsi="仿宋_GB2312" w:eastAsia="仿宋_GB2312" w:cs="仿宋_GB2312"/>
          <w:sz w:val="30"/>
          <w:szCs w:val="30"/>
        </w:rPr>
        <w:t>1322.15</w:t>
      </w:r>
      <w:r>
        <w:rPr>
          <w:rFonts w:ascii="仿宋_GB2312" w:hAnsi="仿宋_GB2312" w:eastAsia="仿宋_GB2312" w:cs="仿宋_GB2312"/>
          <w:sz w:val="30"/>
          <w:szCs w:val="30"/>
        </w:rPr>
        <w:t>万元，占</w:t>
      </w:r>
      <w:r>
        <w:rPr>
          <w:rFonts w:hint="eastAsia" w:ascii="仿宋_GB2312" w:hAnsi="仿宋_GB2312" w:eastAsia="仿宋_GB2312" w:cs="仿宋_GB2312"/>
          <w:sz w:val="30"/>
          <w:szCs w:val="30"/>
        </w:rPr>
        <w:t>44.44</w:t>
      </w:r>
      <w:r>
        <w:rPr>
          <w:rFonts w:ascii="仿宋_GB2312" w:hAnsi="仿宋_GB2312" w:eastAsia="仿宋_GB2312" w:cs="仿宋_GB2312"/>
          <w:sz w:val="30"/>
          <w:szCs w:val="30"/>
        </w:rPr>
        <w:t>%。</w:t>
      </w:r>
    </w:p>
    <w:p>
      <w:pPr>
        <w:pStyle w:val="2"/>
        <w:rPr>
          <w:rFonts w:asciiTheme="minorEastAsia" w:hAnsiTheme="minorEastAsia" w:eastAsiaTheme="minorEastAsia"/>
        </w:rPr>
      </w:pPr>
      <w:r>
        <w:rPr>
          <w:rFonts w:asciiTheme="minorEastAsia" w:hAnsiTheme="minorEastAsia" w:eastAsiaTheme="minorEastAsia"/>
        </w:rPr>
        <w:drawing>
          <wp:inline distT="0" distB="0" distL="0" distR="0">
            <wp:extent cx="5274310" cy="2922270"/>
            <wp:effectExtent l="19050" t="0" r="21590" b="0"/>
            <wp:docPr id="9" name="对象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 xml:space="preserve">四、财政拨款收入支出决算总体情况说明  </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2020年财政拨款收入2559.57万元，上年财政拨款收入2532.86万元，与上年基本持平。</w:t>
      </w:r>
    </w:p>
    <w:p>
      <w:pPr>
        <w:pStyle w:val="2"/>
        <w:ind w:firstLine="1050" w:firstLineChars="500"/>
        <w:rPr>
          <w:rFonts w:asciiTheme="minorEastAsia" w:hAnsiTheme="minorEastAsia" w:eastAsiaTheme="minorEastAsia"/>
        </w:rPr>
      </w:pPr>
      <w:r>
        <w:rPr>
          <w:rFonts w:asciiTheme="minorEastAsia" w:hAnsiTheme="minorEastAsia" w:eastAsiaTheme="minorEastAsia"/>
        </w:rPr>
        <w:drawing>
          <wp:inline distT="0" distB="0" distL="0" distR="0">
            <wp:extent cx="4328160" cy="2268220"/>
            <wp:effectExtent l="19050" t="0" r="14737"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asciiTheme="minorEastAsia" w:hAnsiTheme="minorEastAsia" w:eastAsiaTheme="minorEastAsia"/>
        </w:rPr>
      </w:pP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财政拨款支出2230.12万元，上年财政拨款支出2537.58万元，本年较上年减少307.47万元，减少12.11%，主要原因是（1）2019年为在编职工补缴了2014年10月至2018年12月之间的职工基本养老保险和职业年金导致2019年人员经费支出增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（2）2020年财政拨付的在编职工2019年增量绩效工资暂未发放。</w:t>
      </w:r>
    </w:p>
    <w:p>
      <w:pPr>
        <w:pStyle w:val="2"/>
        <w:ind w:firstLine="600"/>
        <w:rPr>
          <w:rFonts w:asciiTheme="minorEastAsia" w:hAnsiTheme="minorEastAsia" w:eastAsiaTheme="minorEastAsia"/>
          <w:sz w:val="30"/>
          <w:szCs w:val="30"/>
        </w:rPr>
      </w:pPr>
      <w:r>
        <w:rPr>
          <w:rFonts w:hint="eastAsia" w:asciiTheme="minorEastAsia" w:hAnsiTheme="minorEastAsia" w:eastAsiaTheme="minorEastAsia"/>
          <w:sz w:val="30"/>
          <w:szCs w:val="30"/>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五、一般公共预算财政拨款支出决算情况说明</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（一）财政拨款支出决算总体情况</w:t>
      </w:r>
      <w:r>
        <w:rPr>
          <w:rFonts w:hint="eastAsia" w:ascii="仿宋_GB2312" w:hAnsi="仿宋_GB2312" w:eastAsia="仿宋_GB2312" w:cs="仿宋_GB2312"/>
          <w:sz w:val="30"/>
          <w:szCs w:val="30"/>
        </w:rPr>
        <w:t>说明</w:t>
      </w:r>
      <w:r>
        <w:rPr>
          <w:rFonts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2020年财政拨款支出2230.12万元， 占全年总支出77.13%。本年财政支出较上年减少242.85万元，减少9.57%，主要原因是2019年为在编职工补缴了2014年10月至2018年12月之间的职工基本养老保险和职业年金导致2019年人员经费支出增加。</w:t>
      </w:r>
    </w:p>
    <w:p>
      <w:pPr>
        <w:snapToGrid w:val="0"/>
        <w:spacing w:line="600" w:lineRule="exact"/>
        <w:ind w:firstLine="600" w:firstLineChars="200"/>
        <w:rPr>
          <w:rFonts w:asciiTheme="minorEastAsia" w:hAnsiTheme="minorEastAsia" w:eastAsiaTheme="minorEastAsia"/>
          <w:sz w:val="30"/>
          <w:szCs w:val="30"/>
        </w:rPr>
      </w:pPr>
    </w:p>
    <w:p>
      <w:pPr>
        <w:pStyle w:val="2"/>
        <w:rPr>
          <w:rFonts w:asciiTheme="minorEastAsia" w:hAnsiTheme="minorEastAsia" w:eastAsiaTheme="minorEastAsia"/>
        </w:rPr>
      </w:pPr>
      <w:r>
        <w:rPr>
          <w:rFonts w:hint="eastAsia" w:asciiTheme="minorEastAsia" w:hAnsiTheme="minorEastAsia" w:eastAsiaTheme="minorEastAsia"/>
        </w:rPr>
        <w:drawing>
          <wp:inline distT="0" distB="0" distL="0" distR="0">
            <wp:extent cx="5104765" cy="2708275"/>
            <wp:effectExtent l="4445" t="4445" r="8890" b="50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财政拨款支出决算具体情况</w:t>
      </w:r>
      <w:r>
        <w:rPr>
          <w:rFonts w:hint="eastAsia" w:ascii="仿宋_GB2312" w:hAnsi="仿宋_GB2312" w:eastAsia="仿宋_GB2312" w:cs="仿宋_GB2312"/>
          <w:sz w:val="30"/>
          <w:szCs w:val="30"/>
        </w:rPr>
        <w:t>说明</w:t>
      </w:r>
      <w:r>
        <w:rPr>
          <w:rFonts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年</w:t>
      </w:r>
      <w:r>
        <w:rPr>
          <w:rFonts w:hint="eastAsia" w:ascii="仿宋_GB2312" w:hAnsi="仿宋_GB2312" w:eastAsia="仿宋_GB2312" w:cs="仿宋_GB2312"/>
          <w:sz w:val="30"/>
          <w:szCs w:val="30"/>
        </w:rPr>
        <w:t>度</w:t>
      </w:r>
      <w:r>
        <w:rPr>
          <w:rFonts w:ascii="仿宋_GB2312" w:hAnsi="仿宋_GB2312" w:eastAsia="仿宋_GB2312" w:cs="仿宋_GB2312"/>
          <w:sz w:val="30"/>
          <w:szCs w:val="30"/>
        </w:rPr>
        <w:t>财政拨款支出年初预算为</w:t>
      </w:r>
      <w:r>
        <w:rPr>
          <w:rFonts w:hint="eastAsia" w:ascii="仿宋_GB2312" w:hAnsi="仿宋_GB2312" w:eastAsia="仿宋_GB2312" w:cs="仿宋_GB2312"/>
          <w:sz w:val="30"/>
          <w:szCs w:val="30"/>
        </w:rPr>
        <w:t>2126.73</w:t>
      </w:r>
      <w:r>
        <w:rPr>
          <w:rFonts w:ascii="仿宋_GB2312" w:hAnsi="仿宋_GB2312" w:eastAsia="仿宋_GB2312" w:cs="仿宋_GB2312"/>
          <w:sz w:val="30"/>
          <w:szCs w:val="30"/>
        </w:rPr>
        <w:t>万元，支出决算为</w:t>
      </w:r>
      <w:r>
        <w:rPr>
          <w:rFonts w:hint="eastAsia" w:ascii="仿宋_GB2312" w:hAnsi="仿宋_GB2312" w:eastAsia="仿宋_GB2312" w:cs="仿宋_GB2312"/>
          <w:sz w:val="30"/>
          <w:szCs w:val="30"/>
        </w:rPr>
        <w:t>2230.12</w:t>
      </w:r>
      <w:r>
        <w:rPr>
          <w:rFonts w:ascii="仿宋_GB2312" w:hAnsi="仿宋_GB2312" w:eastAsia="仿宋_GB2312" w:cs="仿宋_GB2312"/>
          <w:sz w:val="30"/>
          <w:szCs w:val="30"/>
        </w:rPr>
        <w:t>万元，完成年初预算的</w:t>
      </w:r>
      <w:r>
        <w:rPr>
          <w:rFonts w:hint="eastAsia" w:ascii="仿宋_GB2312" w:hAnsi="仿宋_GB2312" w:eastAsia="仿宋_GB2312" w:cs="仿宋_GB2312"/>
          <w:sz w:val="30"/>
          <w:szCs w:val="30"/>
        </w:rPr>
        <w:t>104.86</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主要原因为</w:t>
      </w:r>
      <w:r>
        <w:rPr>
          <w:rFonts w:hint="eastAsia" w:ascii="仿宋_GB2312" w:hAnsi="仿宋_GB2312" w:eastAsia="仿宋_GB2312" w:cs="仿宋_GB2312"/>
          <w:sz w:val="30"/>
          <w:szCs w:val="30"/>
        </w:rPr>
        <w:t>2020年预算调整增加了抗疫经费</w:t>
      </w:r>
      <w:r>
        <w:rPr>
          <w:rFonts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按照政府功能分类科目，</w:t>
      </w:r>
      <w:r>
        <w:rPr>
          <w:rFonts w:ascii="仿宋_GB2312" w:hAnsi="仿宋_GB2312" w:eastAsia="仿宋_GB2312" w:cs="仿宋_GB2312"/>
          <w:sz w:val="30"/>
          <w:szCs w:val="30"/>
        </w:rPr>
        <w:t xml:space="preserve">其中： </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2100408功能科目基本公共卫生服务</w:t>
      </w:r>
      <w:r>
        <w:rPr>
          <w:rFonts w:ascii="仿宋_GB2312" w:hAnsi="仿宋_GB2312" w:eastAsia="仿宋_GB2312" w:cs="仿宋_GB2312"/>
          <w:sz w:val="30"/>
          <w:szCs w:val="30"/>
        </w:rPr>
        <w:t xml:space="preserve">支出。 </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w:t>
      </w:r>
      <w:r>
        <w:rPr>
          <w:rFonts w:ascii="仿宋_GB2312" w:hAnsi="仿宋_GB2312" w:eastAsia="仿宋_GB2312" w:cs="仿宋_GB2312"/>
          <w:sz w:val="30"/>
          <w:szCs w:val="30"/>
        </w:rPr>
        <w:t>年初预算为</w:t>
      </w:r>
      <w:r>
        <w:rPr>
          <w:rFonts w:hint="eastAsia" w:ascii="仿宋_GB2312" w:hAnsi="仿宋_GB2312" w:eastAsia="仿宋_GB2312" w:cs="仿宋_GB2312"/>
          <w:sz w:val="30"/>
          <w:szCs w:val="30"/>
        </w:rPr>
        <w:t>714.54</w:t>
      </w:r>
      <w:r>
        <w:rPr>
          <w:rFonts w:ascii="仿宋_GB2312" w:hAnsi="仿宋_GB2312" w:eastAsia="仿宋_GB2312" w:cs="仿宋_GB2312"/>
          <w:sz w:val="30"/>
          <w:szCs w:val="30"/>
        </w:rPr>
        <w:t>万元，支出决算为</w:t>
      </w:r>
      <w:r>
        <w:rPr>
          <w:rFonts w:hint="eastAsia" w:ascii="仿宋_GB2312" w:hAnsi="仿宋_GB2312" w:eastAsia="仿宋_GB2312" w:cs="仿宋_GB2312"/>
          <w:sz w:val="30"/>
          <w:szCs w:val="30"/>
        </w:rPr>
        <w:t>595.96</w:t>
      </w:r>
      <w:r>
        <w:rPr>
          <w:rFonts w:ascii="仿宋_GB2312" w:hAnsi="仿宋_GB2312" w:eastAsia="仿宋_GB2312" w:cs="仿宋_GB2312"/>
          <w:sz w:val="30"/>
          <w:szCs w:val="30"/>
        </w:rPr>
        <w:t>万元，完成年初预算的</w:t>
      </w:r>
      <w:r>
        <w:rPr>
          <w:rFonts w:hint="eastAsia" w:ascii="仿宋_GB2312" w:hAnsi="仿宋_GB2312" w:eastAsia="仿宋_GB2312" w:cs="仿宋_GB2312"/>
          <w:sz w:val="30"/>
          <w:szCs w:val="30"/>
        </w:rPr>
        <w:t>83.40</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未按</w:t>
      </w:r>
      <w:r>
        <w:rPr>
          <w:rFonts w:ascii="仿宋_GB2312" w:hAnsi="仿宋_GB2312" w:eastAsia="仿宋_GB2312" w:cs="仿宋_GB2312"/>
          <w:sz w:val="30"/>
          <w:szCs w:val="30"/>
        </w:rPr>
        <w:t>预算完成公卫资金支付的原因</w:t>
      </w:r>
      <w:r>
        <w:rPr>
          <w:rFonts w:hint="eastAsia" w:ascii="仿宋_GB2312" w:hAnsi="仿宋_GB2312" w:eastAsia="仿宋_GB2312" w:cs="仿宋_GB2312"/>
          <w:sz w:val="30"/>
          <w:szCs w:val="30"/>
          <w:lang w:val="en-US" w:eastAsia="zh-CN"/>
        </w:rPr>
        <w:t>是</w:t>
      </w:r>
      <w:r>
        <w:rPr>
          <w:rFonts w:ascii="仿宋_GB2312" w:hAnsi="仿宋_GB2312" w:eastAsia="仿宋_GB2312" w:cs="仿宋_GB2312"/>
          <w:sz w:val="30"/>
          <w:szCs w:val="30"/>
        </w:rPr>
        <w:t>卫生服务站和村卫生室</w:t>
      </w:r>
      <w:r>
        <w:rPr>
          <w:rFonts w:hint="eastAsia" w:ascii="仿宋_GB2312" w:hAnsi="仿宋_GB2312" w:eastAsia="仿宋_GB2312" w:cs="仿宋_GB2312"/>
          <w:sz w:val="30"/>
          <w:szCs w:val="30"/>
        </w:rPr>
        <w:t>4季度考核部分</w:t>
      </w:r>
      <w:r>
        <w:rPr>
          <w:rFonts w:hint="eastAsia" w:ascii="仿宋_GB2312" w:hAnsi="仿宋_GB2312" w:eastAsia="仿宋_GB2312" w:cs="仿宋_GB2312"/>
          <w:sz w:val="30"/>
          <w:szCs w:val="30"/>
          <w:lang w:val="en-US" w:eastAsia="zh-CN"/>
        </w:rPr>
        <w:t>在下年考核发放</w:t>
      </w:r>
      <w:r>
        <w:rPr>
          <w:rFonts w:hint="eastAsia"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2100301功能科目城市社区</w:t>
      </w:r>
      <w:r>
        <w:rPr>
          <w:rFonts w:ascii="仿宋_GB2312" w:hAnsi="仿宋_GB2312" w:eastAsia="仿宋_GB2312" w:cs="仿宋_GB2312"/>
          <w:sz w:val="30"/>
          <w:szCs w:val="30"/>
        </w:rPr>
        <w:t>卫生机构支出</w:t>
      </w:r>
      <w:r>
        <w:rPr>
          <w:rFonts w:hint="eastAsia"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2020年初预算数为1157.16万元，支出决算数为1157.16万元，完成年初预算的100%。</w:t>
      </w:r>
    </w:p>
    <w:p>
      <w:pPr>
        <w:spacing w:line="560" w:lineRule="exact"/>
        <w:ind w:firstLine="602" w:firstLineChars="200"/>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 xml:space="preserve">六、一般公共预算财政拨款基本支出决算情况说明 </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年</w:t>
      </w:r>
      <w:r>
        <w:rPr>
          <w:rFonts w:hint="eastAsia" w:ascii="仿宋_GB2312" w:hAnsi="仿宋_GB2312" w:eastAsia="仿宋_GB2312" w:cs="仿宋_GB2312"/>
          <w:sz w:val="30"/>
          <w:szCs w:val="30"/>
        </w:rPr>
        <w:t>度</w:t>
      </w:r>
      <w:r>
        <w:rPr>
          <w:rFonts w:ascii="仿宋_GB2312" w:hAnsi="仿宋_GB2312" w:eastAsia="仿宋_GB2312" w:cs="仿宋_GB2312"/>
          <w:sz w:val="30"/>
          <w:szCs w:val="30"/>
        </w:rPr>
        <w:t>一般公共预算财政拨款基本支出</w:t>
      </w:r>
      <w:r>
        <w:rPr>
          <w:rFonts w:hint="eastAsia" w:ascii="仿宋_GB2312" w:hAnsi="仿宋_GB2312" w:eastAsia="仿宋_GB2312" w:cs="仿宋_GB2312"/>
          <w:sz w:val="30"/>
          <w:szCs w:val="30"/>
        </w:rPr>
        <w:t>1011.41</w:t>
      </w:r>
      <w:r>
        <w:rPr>
          <w:rFonts w:ascii="仿宋_GB2312" w:hAnsi="仿宋_GB2312" w:eastAsia="仿宋_GB2312" w:cs="仿宋_GB2312"/>
          <w:sz w:val="30"/>
          <w:szCs w:val="30"/>
        </w:rPr>
        <w:t>万元，包括：人员经费支出</w:t>
      </w:r>
      <w:r>
        <w:rPr>
          <w:rFonts w:hint="eastAsia" w:ascii="仿宋_GB2312" w:hAnsi="仿宋_GB2312" w:eastAsia="仿宋_GB2312" w:cs="仿宋_GB2312"/>
          <w:sz w:val="30"/>
          <w:szCs w:val="30"/>
        </w:rPr>
        <w:t>1009.28</w:t>
      </w:r>
      <w:r>
        <w:rPr>
          <w:rFonts w:ascii="仿宋_GB2312" w:hAnsi="仿宋_GB2312" w:eastAsia="仿宋_GB2312" w:cs="仿宋_GB2312"/>
          <w:sz w:val="30"/>
          <w:szCs w:val="30"/>
        </w:rPr>
        <w:t>万元</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对个人和家庭的补助</w:t>
      </w:r>
      <w:r>
        <w:rPr>
          <w:rFonts w:hint="eastAsia" w:ascii="仿宋_GB2312" w:hAnsi="仿宋_GB2312" w:eastAsia="仿宋_GB2312" w:cs="仿宋_GB2312"/>
          <w:sz w:val="30"/>
          <w:szCs w:val="30"/>
        </w:rPr>
        <w:t>2.13万元</w:t>
      </w:r>
      <w:r>
        <w:rPr>
          <w:rFonts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人员经费</w:t>
      </w:r>
      <w:r>
        <w:rPr>
          <w:rFonts w:hint="eastAsia" w:ascii="仿宋_GB2312" w:hAnsi="仿宋_GB2312" w:eastAsia="仿宋_GB2312" w:cs="仿宋_GB2312"/>
          <w:sz w:val="30"/>
          <w:szCs w:val="30"/>
        </w:rPr>
        <w:t>1009.28</w:t>
      </w:r>
      <w:r>
        <w:rPr>
          <w:rFonts w:ascii="仿宋_GB2312" w:hAnsi="仿宋_GB2312" w:eastAsia="仿宋_GB2312" w:cs="仿宋_GB2312"/>
          <w:sz w:val="30"/>
          <w:szCs w:val="30"/>
        </w:rPr>
        <w:t>万元，主要包括</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基本工资</w:t>
      </w:r>
      <w:r>
        <w:rPr>
          <w:rFonts w:hint="eastAsia" w:ascii="仿宋_GB2312" w:hAnsi="仿宋_GB2312" w:eastAsia="仿宋_GB2312" w:cs="仿宋_GB2312"/>
          <w:sz w:val="30"/>
          <w:szCs w:val="30"/>
        </w:rPr>
        <w:t>205.79万元；津贴补贴111.53万元；绩效工资269万元；养老保险缴费101.68万元；职业年金缴费45.46万元；基本医疗及公务员医疗补助80.43万元，住房公积金164.5万元其他工资福利支出30.89万元。</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对个人和家庭的补助2.13万元。</w:t>
      </w:r>
    </w:p>
    <w:p>
      <w:pPr>
        <w:spacing w:line="560" w:lineRule="exact"/>
        <w:ind w:firstLine="602" w:firstLineChars="200"/>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 xml:space="preserve">七、一般公共预算财政拨款“三公”经费及会议费、培训费支出决算情况说明 </w:t>
      </w:r>
    </w:p>
    <w:p>
      <w:pPr>
        <w:spacing w:line="560" w:lineRule="exact"/>
        <w:ind w:firstLine="640"/>
        <w:rPr>
          <w:rFonts w:ascii="仿宋_GB2312" w:hAnsi="仿宋_GB2312" w:eastAsia="仿宋_GB2312" w:cs="仿宋_GB2312"/>
          <w:sz w:val="30"/>
          <w:szCs w:val="30"/>
        </w:rPr>
      </w:pPr>
      <w:r>
        <w:rPr>
          <w:rFonts w:ascii="仿宋_GB2312" w:hAnsi="仿宋_GB2312" w:eastAsia="仿宋_GB2312" w:cs="仿宋_GB2312"/>
          <w:sz w:val="30"/>
          <w:szCs w:val="30"/>
        </w:rPr>
        <w:t>（一）“三公”经费财政拨款支出决算总体情况</w:t>
      </w:r>
      <w:r>
        <w:rPr>
          <w:rFonts w:hint="eastAsia" w:ascii="仿宋_GB2312" w:hAnsi="仿宋_GB2312" w:eastAsia="仿宋_GB2312" w:cs="仿宋_GB2312"/>
          <w:sz w:val="30"/>
          <w:szCs w:val="30"/>
        </w:rPr>
        <w:t>说明</w:t>
      </w:r>
      <w:r>
        <w:rPr>
          <w:rFonts w:ascii="仿宋_GB2312" w:hAnsi="仿宋_GB2312" w:eastAsia="仿宋_GB2312" w:cs="仿宋_GB2312"/>
          <w:sz w:val="30"/>
          <w:szCs w:val="30"/>
        </w:rPr>
        <w:t xml:space="preserve">。 </w:t>
      </w:r>
    </w:p>
    <w:p>
      <w:pPr>
        <w:spacing w:line="560" w:lineRule="exact"/>
        <w:ind w:firstLine="64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val="en-US" w:eastAsia="zh-CN" w:bidi="ar"/>
        </w:rPr>
        <w:t>基层卫生院不涉及此项业务</w:t>
      </w:r>
      <w:r>
        <w:rPr>
          <w:rFonts w:hint="eastAsia" w:ascii="仿宋_GB2312" w:hAnsi="宋体" w:eastAsia="仿宋_GB2312" w:cs="仿宋_GB2312"/>
          <w:color w:val="000000"/>
          <w:kern w:val="0"/>
          <w:sz w:val="32"/>
          <w:szCs w:val="32"/>
          <w:lang w:bidi="ar"/>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“三公”经费财政拨款支出决算具体情况</w:t>
      </w:r>
      <w:r>
        <w:rPr>
          <w:rFonts w:hint="eastAsia" w:ascii="仿宋_GB2312" w:hAnsi="仿宋_GB2312" w:eastAsia="仿宋_GB2312" w:cs="仿宋_GB2312"/>
          <w:sz w:val="30"/>
          <w:szCs w:val="30"/>
        </w:rPr>
        <w:t>说明</w:t>
      </w:r>
      <w:r>
        <w:rPr>
          <w:rFonts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1.因公出国（境）支出情况说明。</w:t>
      </w:r>
    </w:p>
    <w:p>
      <w:pPr>
        <w:spacing w:line="560" w:lineRule="exact"/>
        <w:ind w:firstLine="640"/>
        <w:rPr>
          <w:rFonts w:ascii="仿宋_GB2312" w:hAnsi="仿宋_GB2312" w:eastAsia="仿宋_GB2312" w:cs="仿宋_GB2312"/>
          <w:sz w:val="30"/>
          <w:szCs w:val="30"/>
        </w:rPr>
      </w:pPr>
      <w:r>
        <w:rPr>
          <w:rFonts w:hint="eastAsia" w:ascii="仿宋_GB2312" w:hAnsi="仿宋" w:eastAsia="仿宋_GB2312"/>
          <w:sz w:val="32"/>
          <w:szCs w:val="32"/>
          <w:lang w:eastAsia="zh-CN"/>
        </w:rPr>
        <w:t>2020</w:t>
      </w:r>
      <w:r>
        <w:rPr>
          <w:rFonts w:hint="eastAsia" w:ascii="仿宋_GB2312" w:hAnsi="仿宋" w:eastAsia="仿宋_GB2312"/>
          <w:sz w:val="32"/>
          <w:szCs w:val="32"/>
        </w:rPr>
        <w:t>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仿宋_GB2312" w:eastAsia="仿宋_GB2312" w:cs="仿宋_GB2312"/>
          <w:sz w:val="32"/>
          <w:szCs w:val="32"/>
          <w:lang w:val="en-US" w:eastAsia="zh-CN"/>
        </w:rPr>
        <w:t>0</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r>
        <w:rPr>
          <w:rFonts w:hint="eastAsia" w:ascii="仿宋_GB2312" w:hAnsi="仿宋_GB2312" w:eastAsia="仿宋_GB2312" w:cs="仿宋_GB2312"/>
          <w:sz w:val="30"/>
          <w:szCs w:val="30"/>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2.公务用车购置费用支出情况说明。</w:t>
      </w:r>
    </w:p>
    <w:p>
      <w:pPr>
        <w:spacing w:line="560" w:lineRule="exact"/>
        <w:ind w:firstLine="640"/>
        <w:rPr>
          <w:rFonts w:hint="eastAsia"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年购置车辆</w:t>
      </w:r>
      <w:r>
        <w:rPr>
          <w:rFonts w:hint="eastAsia" w:ascii="仿宋_GB2312" w:hAnsi="仿宋" w:eastAsia="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r>
        <w:rPr>
          <w:rFonts w:hint="eastAsia" w:ascii="仿宋_GB2312" w:hAnsi="宋体" w:eastAsia="仿宋_GB2312" w:cs="仿宋_GB2312"/>
          <w:color w:val="000000"/>
          <w:kern w:val="0"/>
          <w:sz w:val="32"/>
          <w:szCs w:val="32"/>
          <w:lang w:bidi="ar"/>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3.公务用车运行维护费用支出情况说明。</w:t>
      </w:r>
    </w:p>
    <w:p>
      <w:pPr>
        <w:spacing w:line="560" w:lineRule="exact"/>
        <w:ind w:firstLine="640"/>
        <w:rPr>
          <w:rFonts w:hint="eastAsia"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r>
        <w:rPr>
          <w:rFonts w:hint="eastAsia" w:ascii="仿宋_GB2312" w:hAnsi="宋体" w:eastAsia="仿宋_GB2312" w:cs="仿宋_GB2312"/>
          <w:color w:val="000000"/>
          <w:kern w:val="0"/>
          <w:sz w:val="32"/>
          <w:szCs w:val="32"/>
          <w:lang w:bidi="ar"/>
        </w:rPr>
        <w:t>。</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4.公务接待费支出情况说明。</w:t>
      </w:r>
    </w:p>
    <w:p>
      <w:pPr>
        <w:spacing w:line="56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%，决</w:t>
      </w:r>
      <w:r>
        <w:rPr>
          <w:rFonts w:ascii="仿宋_GB2312" w:hAnsi="宋体" w:eastAsia="仿宋_GB2312" w:cs="仿宋_GB2312"/>
          <w:color w:val="000000"/>
          <w:kern w:val="0"/>
          <w:sz w:val="32"/>
          <w:szCs w:val="32"/>
          <w:lang w:bidi="ar"/>
        </w:rPr>
        <w:t>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r>
        <w:rPr>
          <w:rFonts w:hint="eastAsia" w:ascii="仿宋_GB2312" w:hAnsi="宋体" w:eastAsia="仿宋_GB2312" w:cs="仿宋_GB2312"/>
          <w:color w:val="000000"/>
          <w:kern w:val="0"/>
          <w:sz w:val="32"/>
          <w:szCs w:val="32"/>
          <w:lang w:bidi="ar"/>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（三）培训费支出情况说明。</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2020年培训费</w:t>
      </w:r>
      <w:r>
        <w:rPr>
          <w:rFonts w:ascii="仿宋_GB2312" w:hAnsi="仿宋_GB2312" w:eastAsia="仿宋_GB2312" w:cs="仿宋_GB2312"/>
          <w:sz w:val="30"/>
          <w:szCs w:val="30"/>
        </w:rPr>
        <w:t>预算为</w:t>
      </w:r>
      <w:r>
        <w:rPr>
          <w:rFonts w:hint="eastAsia" w:ascii="仿宋_GB2312" w:hAnsi="仿宋_GB2312" w:eastAsia="仿宋_GB2312" w:cs="仿宋_GB2312"/>
          <w:sz w:val="30"/>
          <w:szCs w:val="30"/>
        </w:rPr>
        <w:t>0万</w:t>
      </w:r>
      <w:r>
        <w:rPr>
          <w:rFonts w:ascii="仿宋_GB2312" w:hAnsi="仿宋_GB2312" w:eastAsia="仿宋_GB2312" w:cs="仿宋_GB2312"/>
          <w:sz w:val="30"/>
          <w:szCs w:val="30"/>
        </w:rPr>
        <w:t>元，支出决算为</w:t>
      </w:r>
      <w:r>
        <w:rPr>
          <w:rFonts w:hint="eastAsia" w:ascii="仿宋_GB2312" w:hAnsi="仿宋_GB2312" w:eastAsia="仿宋_GB2312" w:cs="仿宋_GB2312"/>
          <w:sz w:val="30"/>
          <w:szCs w:val="30"/>
        </w:rPr>
        <w:t>1.4</w:t>
      </w:r>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30"/>
          <w:szCs w:val="30"/>
        </w:rPr>
        <w:t>万元</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完成预算的</w:t>
      </w:r>
      <w:r>
        <w:rPr>
          <w:rFonts w:hint="eastAsia" w:ascii="仿宋_GB2312" w:hAnsi="仿宋_GB2312" w:eastAsia="仿宋_GB2312" w:cs="仿宋_GB2312"/>
          <w:sz w:val="30"/>
          <w:szCs w:val="30"/>
        </w:rPr>
        <w:t>140</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决算数</w:t>
      </w:r>
      <w:r>
        <w:rPr>
          <w:rFonts w:hint="eastAsia" w:ascii="仿宋_GB2312" w:hAnsi="仿宋_GB2312" w:eastAsia="仿宋_GB2312" w:cs="仿宋_GB2312"/>
          <w:sz w:val="30"/>
          <w:szCs w:val="30"/>
        </w:rPr>
        <w:t>较</w:t>
      </w:r>
      <w:r>
        <w:rPr>
          <w:rFonts w:ascii="仿宋_GB2312" w:hAnsi="仿宋_GB2312" w:eastAsia="仿宋_GB2312" w:cs="仿宋_GB2312"/>
          <w:sz w:val="30"/>
          <w:szCs w:val="30"/>
        </w:rPr>
        <w:t>预算数</w:t>
      </w:r>
      <w:r>
        <w:rPr>
          <w:rFonts w:hint="eastAsia" w:ascii="仿宋_GB2312" w:hAnsi="仿宋_GB2312" w:eastAsia="仿宋_GB2312" w:cs="仿宋_GB2312"/>
          <w:sz w:val="30"/>
          <w:szCs w:val="30"/>
        </w:rPr>
        <w:t>增加1.4</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w:t>
      </w:r>
      <w:r>
        <w:rPr>
          <w:rFonts w:ascii="仿宋_GB2312" w:hAnsi="仿宋_GB2312" w:eastAsia="仿宋_GB2312" w:cs="仿宋_GB2312"/>
          <w:sz w:val="30"/>
          <w:szCs w:val="30"/>
        </w:rPr>
        <w:t>主要原因是</w:t>
      </w:r>
      <w:r>
        <w:rPr>
          <w:rFonts w:hint="eastAsia" w:ascii="仿宋_GB2312" w:hAnsi="仿宋_GB2312" w:eastAsia="仿宋_GB2312" w:cs="仿宋_GB2312"/>
          <w:sz w:val="30"/>
          <w:szCs w:val="30"/>
        </w:rPr>
        <w:t>培训费在公共卫生项目中整体预算，为单列培训费预算。</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（四）会议费支出情况说明。</w:t>
      </w:r>
    </w:p>
    <w:p>
      <w:pPr>
        <w:spacing w:line="560" w:lineRule="exact"/>
        <w:ind w:firstLine="640"/>
        <w:rPr>
          <w:rFonts w:ascii="仿宋_GB2312" w:hAnsi="仿宋_GB2312" w:eastAsia="仿宋_GB2312" w:cs="仿宋_GB2312"/>
          <w:sz w:val="30"/>
          <w:szCs w:val="30"/>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r>
        <w:rPr>
          <w:rFonts w:hint="eastAsia" w:ascii="仿宋_GB2312" w:hAnsi="宋体" w:eastAsia="仿宋_GB2312" w:cs="仿宋_GB2312"/>
          <w:color w:val="000000"/>
          <w:kern w:val="0"/>
          <w:sz w:val="32"/>
          <w:szCs w:val="32"/>
          <w:lang w:bidi="ar"/>
        </w:rPr>
        <w:t>。</w:t>
      </w:r>
    </w:p>
    <w:p>
      <w:pPr>
        <w:spacing w:line="560" w:lineRule="exact"/>
        <w:ind w:firstLine="602" w:firstLineChars="200"/>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 xml:space="preserve">八、政府性基金预算财政拨款收入支出情况说明 </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2020年政府性基金收入64.61万元，支出64.61万元，全部用于抗击新冠疫情支出。</w:t>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九、国有资本经营财政拨款收入支出情况说明</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本部门无国有资本经营决算拨款收支，并已公开空表。</w:t>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十、机关运行经费支出情况说明。</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本部门属于事业单位，无机关运行经费安排。</w:t>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十一、政府采购支出情况说明</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2020年本单位政府采购支出总额共167.81万元，其中政府采购货物类支出167.81万元、政府采购服务类支出0万元、政府采购工程类支出0万元。</w:t>
      </w:r>
      <w:r>
        <w:rPr>
          <w:rFonts w:ascii="仿宋_GB2312" w:hAnsi="仿宋_GB2312" w:eastAsia="仿宋_GB2312" w:cs="仿宋_GB2312"/>
          <w:sz w:val="30"/>
          <w:szCs w:val="30"/>
        </w:rPr>
        <w:t>授予小微企业合同金额</w:t>
      </w:r>
      <w:r>
        <w:rPr>
          <w:rFonts w:hint="eastAsia" w:ascii="仿宋_GB2312" w:hAnsi="仿宋_GB2312" w:eastAsia="仿宋_GB2312" w:cs="仿宋_GB2312"/>
          <w:sz w:val="30"/>
          <w:szCs w:val="30"/>
        </w:rPr>
        <w:t>0</w:t>
      </w:r>
      <w:r>
        <w:rPr>
          <w:rFonts w:ascii="仿宋_GB2312" w:hAnsi="仿宋_GB2312" w:eastAsia="仿宋_GB2312" w:cs="仿宋_GB2312"/>
          <w:sz w:val="30"/>
          <w:szCs w:val="30"/>
        </w:rPr>
        <w:t>万元，未占政府采购支出总额</w:t>
      </w:r>
      <w:r>
        <w:rPr>
          <w:rFonts w:hint="eastAsia" w:ascii="仿宋_GB2312" w:hAnsi="仿宋_GB2312" w:eastAsia="仿宋_GB2312" w:cs="仿宋_GB2312"/>
          <w:sz w:val="30"/>
          <w:szCs w:val="30"/>
        </w:rPr>
        <w:t>。</w:t>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十二、国有资产占用及购置情况说明</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截至2020年末，本单位共有车辆4辆，其中特种专业技术用车车2辆，应急保障用车1辆，其他用车1辆，单价50万元以上的通用设备2台，单价100万元以上的通用设备0台。2020年当年购置救护车辆1辆，购置单价50万元以上的设备0台，购置单价100万元以上的通用设备0台。</w:t>
      </w:r>
    </w:p>
    <w:p>
      <w:pPr>
        <w:widowControl/>
        <w:spacing w:line="560" w:lineRule="exact"/>
        <w:ind w:firstLine="602" w:firstLineChars="200"/>
        <w:jc w:val="left"/>
        <w:rPr>
          <w:rFonts w:asciiTheme="minorEastAsia" w:hAnsiTheme="minorEastAsia" w:eastAsiaTheme="minorEastAsia"/>
          <w:b/>
          <w:color w:val="000000"/>
          <w:kern w:val="0"/>
          <w:sz w:val="30"/>
          <w:szCs w:val="30"/>
        </w:rPr>
      </w:pPr>
      <w:r>
        <w:rPr>
          <w:rFonts w:hint="eastAsia" w:asciiTheme="minorEastAsia" w:hAnsiTheme="minorEastAsia" w:eastAsiaTheme="minorEastAsia"/>
          <w:b/>
          <w:color w:val="000000"/>
          <w:kern w:val="0"/>
          <w:sz w:val="30"/>
          <w:szCs w:val="30"/>
        </w:rPr>
        <w:t>十三、预算绩效情况说明</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ascii="仿宋_GB2312" w:hAnsi="仿宋_GB2312" w:eastAsia="仿宋_GB2312" w:cs="仿宋_GB2312"/>
          <w:sz w:val="30"/>
          <w:szCs w:val="30"/>
        </w:rPr>
        <w:t>预算绩效管理工作开展情况</w:t>
      </w:r>
      <w:r>
        <w:rPr>
          <w:rFonts w:hint="eastAsia" w:ascii="仿宋_GB2312" w:hAnsi="仿宋_GB2312" w:eastAsia="仿宋_GB2312" w:cs="仿宋_GB2312"/>
          <w:sz w:val="30"/>
          <w:szCs w:val="30"/>
        </w:rPr>
        <w:t>说明</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 xml:space="preserve">     </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根据预算绩效管理要求，本单位组织对2020年一般公共预算1个项目支出开展了绩效自评</w:t>
      </w:r>
      <w:r>
        <w:rPr>
          <w:rFonts w:ascii="仿宋_GB2312" w:hAnsi="仿宋_GB2312" w:eastAsia="仿宋_GB2312" w:cs="仿宋_GB2312"/>
          <w:sz w:val="30"/>
          <w:szCs w:val="30"/>
        </w:rPr>
        <w:t>，其中，一级项目</w:t>
      </w:r>
      <w:r>
        <w:rPr>
          <w:rFonts w:hint="eastAsia" w:ascii="仿宋_GB2312" w:hAnsi="仿宋_GB2312" w:eastAsia="仿宋_GB2312" w:cs="仿宋_GB2312"/>
          <w:sz w:val="30"/>
          <w:szCs w:val="30"/>
        </w:rPr>
        <w:t>1</w:t>
      </w:r>
      <w:r>
        <w:rPr>
          <w:rFonts w:ascii="仿宋_GB2312" w:hAnsi="仿宋_GB2312" w:eastAsia="仿宋_GB2312" w:cs="仿宋_GB2312"/>
          <w:sz w:val="30"/>
          <w:szCs w:val="30"/>
        </w:rPr>
        <w:t>个，共涉及资金</w:t>
      </w:r>
      <w:r>
        <w:rPr>
          <w:rFonts w:hint="eastAsia" w:ascii="仿宋_GB2312" w:hAnsi="仿宋_GB2312" w:eastAsia="仿宋_GB2312" w:cs="仿宋_GB2312"/>
          <w:sz w:val="30"/>
          <w:szCs w:val="30"/>
        </w:rPr>
        <w:t>595.96</w:t>
      </w:r>
      <w:r>
        <w:rPr>
          <w:rFonts w:ascii="仿宋_GB2312" w:hAnsi="仿宋_GB2312" w:eastAsia="仿宋_GB2312" w:cs="仿宋_GB2312"/>
          <w:sz w:val="30"/>
          <w:szCs w:val="30"/>
        </w:rPr>
        <w:t>万元，占一般公共预算项目支出总额的</w:t>
      </w:r>
      <w:r>
        <w:rPr>
          <w:rFonts w:hint="eastAsia" w:ascii="仿宋_GB2312" w:hAnsi="仿宋_GB2312" w:eastAsia="仿宋_GB2312" w:cs="仿宋_GB2312"/>
          <w:sz w:val="30"/>
          <w:szCs w:val="30"/>
        </w:rPr>
        <w:t>22.14</w:t>
      </w:r>
      <w:r>
        <w:rPr>
          <w:rFonts w:ascii="仿宋_GB2312" w:hAnsi="仿宋_GB2312" w:eastAsia="仿宋_GB2312" w:cs="仿宋_GB2312"/>
          <w:sz w:val="30"/>
          <w:szCs w:val="30"/>
        </w:rPr>
        <w:t>%</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本单位组织对2020年度单位整体项目进行了绩效自评，涉及项目资金1204.96万元，占一般公共预算金额的44.76%。</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部门决算中项目绩效自评结果。</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基本公共卫生</w:t>
      </w:r>
      <w:r>
        <w:rPr>
          <w:rFonts w:ascii="仿宋_GB2312" w:hAnsi="仿宋_GB2312" w:eastAsia="仿宋_GB2312" w:cs="仿宋_GB2312"/>
          <w:sz w:val="30"/>
          <w:szCs w:val="30"/>
        </w:rPr>
        <w:t>项目绩效自评综述：根据年初设定的绩效目标，项目自评得分</w:t>
      </w:r>
      <w:r>
        <w:rPr>
          <w:rFonts w:hint="eastAsia" w:ascii="仿宋_GB2312" w:hAnsi="仿宋_GB2312" w:eastAsia="仿宋_GB2312" w:cs="仿宋_GB2312"/>
          <w:sz w:val="30"/>
          <w:szCs w:val="30"/>
        </w:rPr>
        <w:t>83</w:t>
      </w:r>
      <w:r>
        <w:rPr>
          <w:rFonts w:ascii="仿宋_GB2312" w:hAnsi="仿宋_GB2312" w:eastAsia="仿宋_GB2312" w:cs="仿宋_GB2312"/>
          <w:sz w:val="30"/>
          <w:szCs w:val="30"/>
        </w:rPr>
        <w:t>分。项目全年预算数</w:t>
      </w:r>
      <w:r>
        <w:rPr>
          <w:rFonts w:hint="eastAsia" w:ascii="仿宋_GB2312" w:hAnsi="仿宋_GB2312" w:eastAsia="仿宋_GB2312" w:cs="仿宋_GB2312"/>
          <w:sz w:val="30"/>
          <w:szCs w:val="30"/>
        </w:rPr>
        <w:t>714.54</w:t>
      </w:r>
      <w:r>
        <w:rPr>
          <w:rFonts w:ascii="仿宋_GB2312" w:hAnsi="仿宋_GB2312" w:eastAsia="仿宋_GB2312" w:cs="仿宋_GB2312"/>
          <w:sz w:val="30"/>
          <w:szCs w:val="30"/>
        </w:rPr>
        <w:t xml:space="preserve">万元，执行数 </w:t>
      </w:r>
      <w:r>
        <w:rPr>
          <w:rFonts w:hint="eastAsia" w:ascii="仿宋_GB2312" w:hAnsi="仿宋_GB2312" w:eastAsia="仿宋_GB2312" w:cs="仿宋_GB2312"/>
          <w:sz w:val="30"/>
          <w:szCs w:val="30"/>
        </w:rPr>
        <w:t>595.96</w:t>
      </w:r>
      <w:r>
        <w:rPr>
          <w:rFonts w:ascii="仿宋_GB2312" w:hAnsi="仿宋_GB2312" w:eastAsia="仿宋_GB2312" w:cs="仿宋_GB2312"/>
          <w:sz w:val="30"/>
          <w:szCs w:val="30"/>
        </w:rPr>
        <w:t>万元，完成预算的</w:t>
      </w:r>
      <w:r>
        <w:rPr>
          <w:rFonts w:hint="eastAsia" w:ascii="仿宋_GB2312" w:hAnsi="仿宋_GB2312" w:eastAsia="仿宋_GB2312" w:cs="仿宋_GB2312"/>
          <w:sz w:val="30"/>
          <w:szCs w:val="30"/>
        </w:rPr>
        <w:t>83.40</w:t>
      </w:r>
      <w:r>
        <w:rPr>
          <w:rFonts w:ascii="仿宋_GB2312" w:hAnsi="仿宋_GB2312" w:eastAsia="仿宋_GB2312" w:cs="仿宋_GB2312"/>
          <w:sz w:val="30"/>
          <w:szCs w:val="30"/>
        </w:rPr>
        <w:t>%。</w:t>
      </w:r>
    </w:p>
    <w:p>
      <w:pPr>
        <w:widowControl/>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主要产出和效果：</w:t>
      </w:r>
      <w:r>
        <w:rPr>
          <w:rFonts w:hint="eastAsia" w:ascii="仿宋_GB2312" w:hAnsi="仿宋_GB2312" w:eastAsia="仿宋_GB2312" w:cs="仿宋_GB2312"/>
          <w:sz w:val="30"/>
          <w:szCs w:val="30"/>
        </w:rPr>
        <w:t>负责为辖区居民提供基本公共卫生服务，包括为居民建立健康档案、健康教育、预防接种、0-6岁儿童健康管理、孕产妇健康管理、65岁老人健康管理、慢病管理、精神障碍患者管理、结核病患者管理、中医药健康管理、传染病及突发卫生事件报告和处理、卫生计生监督协管等服务。</w:t>
      </w:r>
    </w:p>
    <w:p>
      <w:pPr>
        <w:widowControl/>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通过项目实施</w:t>
      </w:r>
      <w:r>
        <w:rPr>
          <w:rFonts w:hint="eastAsia" w:ascii="仿宋_GB2312" w:hAnsi="仿宋_GB2312" w:eastAsia="仿宋_GB2312" w:cs="仿宋_GB2312"/>
          <w:sz w:val="30"/>
          <w:szCs w:val="30"/>
        </w:rPr>
        <w:t>辖区居民对公共卫生服务有了清晰地了解，愿意并主动配合工作人员，提高了居民健康水平。</w:t>
      </w:r>
    </w:p>
    <w:p>
      <w:pPr>
        <w:widowControl/>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发现的问题及原因：</w:t>
      </w:r>
      <w:r>
        <w:rPr>
          <w:rFonts w:hint="eastAsia" w:ascii="仿宋_GB2312" w:hAnsi="仿宋_GB2312" w:eastAsia="仿宋_GB2312" w:cs="仿宋_GB2312"/>
          <w:sz w:val="30"/>
          <w:szCs w:val="30"/>
        </w:rPr>
        <w:t>由于辖区居民人数众多，工作人员明显不足，导致个别项目在实施过程中没有覆盖所有人群</w:t>
      </w:r>
      <w:r>
        <w:rPr>
          <w:rFonts w:ascii="仿宋_GB2312" w:hAnsi="仿宋_GB2312" w:eastAsia="仿宋_GB2312" w:cs="仿宋_GB2312"/>
          <w:sz w:val="30"/>
          <w:szCs w:val="30"/>
        </w:rPr>
        <w:t>。</w:t>
      </w:r>
    </w:p>
    <w:p>
      <w:pPr>
        <w:widowControl/>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下一步改进措施：</w:t>
      </w:r>
      <w:r>
        <w:rPr>
          <w:rFonts w:hint="eastAsia" w:ascii="仿宋_GB2312" w:hAnsi="仿宋_GB2312" w:eastAsia="仿宋_GB2312" w:cs="仿宋_GB2312"/>
          <w:sz w:val="30"/>
          <w:szCs w:val="30"/>
        </w:rPr>
        <w:t>增加工作人员，提高工作效率，利用现代化信息工具，使辖区居民享受更高效细致的公共卫生服务。</w:t>
      </w:r>
    </w:p>
    <w:p>
      <w:pPr>
        <w:rPr>
          <w:rFonts w:cs="楷体" w:asciiTheme="minorEastAsia" w:hAnsiTheme="minorEastAsia" w:eastAsiaTheme="minorEastAsia"/>
          <w:sz w:val="30"/>
          <w:szCs w:val="30"/>
        </w:rPr>
      </w:pPr>
    </w:p>
    <w:p>
      <w:pPr>
        <w:rPr>
          <w:rFonts w:cs="楷体" w:asciiTheme="minorEastAsia" w:hAnsiTheme="minorEastAsia" w:eastAsiaTheme="minorEastAsia"/>
          <w:sz w:val="30"/>
          <w:szCs w:val="30"/>
        </w:rPr>
      </w:pPr>
    </w:p>
    <w:p>
      <w:pPr>
        <w:rPr>
          <w:rFonts w:cs="楷体" w:asciiTheme="minorEastAsia" w:hAnsiTheme="minorEastAsia" w:eastAsiaTheme="minorEastAsia"/>
          <w:sz w:val="30"/>
          <w:szCs w:val="30"/>
        </w:rPr>
      </w:pPr>
    </w:p>
    <w:p>
      <w:pPr>
        <w:rPr>
          <w:rFonts w:cs="楷体" w:asciiTheme="minorEastAsia" w:hAnsiTheme="minorEastAsia" w:eastAsiaTheme="minorEastAsia"/>
          <w:sz w:val="32"/>
          <w:szCs w:val="32"/>
        </w:rPr>
      </w:pPr>
    </w:p>
    <w:p>
      <w:pPr>
        <w:jc w:val="center"/>
        <w:rPr>
          <w:rFonts w:ascii="方正小标宋简体" w:hAnsi="方正小标宋简体" w:eastAsia="方正小标宋简体" w:cs="方正小标宋简体"/>
          <w:color w:val="000000"/>
          <w:kern w:val="0"/>
          <w:sz w:val="36"/>
          <w:szCs w:val="36"/>
        </w:rPr>
      </w:pPr>
      <w:r>
        <w:rPr>
          <w:rFonts w:hint="eastAsia" w:ascii="楷体" w:hAnsi="楷体" w:eastAsia="楷体" w:cs="楷体"/>
          <w:sz w:val="32"/>
          <w:szCs w:val="32"/>
        </w:rPr>
        <w:object>
          <v:shape id="_x0000_i1025" o:spt="75" type="#_x0000_t75" style="height:451pt;width:521.65pt;" o:ole="t" filled="f" o:preferrelative="t" stroked="f" coordsize="21600,21600">
            <v:path/>
            <v:fill on="f" focussize="0,0"/>
            <v:stroke on="f" joinstyle="miter"/>
            <v:imagedata r:id="rId15" o:title=""/>
            <o:lock v:ext="edit" aspectratio="t"/>
            <w10:wrap type="none"/>
            <w10:anchorlock/>
          </v:shape>
          <o:OLEObject Type="Embed" ProgID="Excel.Sheet.12" ShapeID="_x0000_i1025" DrawAspect="Content" ObjectID="_1468075725" r:id="rId14">
            <o:LockedField>false</o:LockedField>
          </o:OLEObject>
        </w:object>
      </w:r>
      <w:r>
        <w:rPr>
          <w:rFonts w:hint="eastAsia" w:ascii="楷体" w:hAnsi="楷体" w:eastAsia="楷体" w:cs="楷体"/>
          <w:sz w:val="32"/>
          <w:szCs w:val="32"/>
        </w:rPr>
        <w:object>
          <v:shape id="_x0000_i1026" o:spt="75" type="#_x0000_t75" style="height:671.1pt;width:435.4pt;" o:ole="t" filled="f" o:preferrelative="t" stroked="f" coordsize="21600,21600">
            <v:path/>
            <v:fill on="f" focussize="0,0"/>
            <v:stroke on="f" joinstyle="miter"/>
            <v:imagedata r:id="rId17" o:title=""/>
            <o:lock v:ext="edit" aspectratio="t"/>
            <w10:wrap type="none"/>
            <w10:anchorlock/>
          </v:shape>
          <o:OLEObject Type="Embed" ProgID="Excel.Sheet.12" ShapeID="_x0000_i1026" DrawAspect="Content" ObjectID="_1468075726" r:id="rId16">
            <o:LockedField>false</o:LockedField>
          </o:OLEObject>
        </w:object>
      </w:r>
      <w:r>
        <w:rPr>
          <w:rFonts w:hint="eastAsia" w:cs="方正小标宋简体" w:asciiTheme="majorEastAsia" w:hAnsiTheme="majorEastAsia" w:eastAsiaTheme="majorEastAsia"/>
          <w:b/>
          <w:color w:val="000000"/>
          <w:kern w:val="0"/>
          <w:sz w:val="36"/>
          <w:szCs w:val="36"/>
        </w:rPr>
        <w:t>第四部分 专业名词解释</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1.基本支出</w:t>
      </w:r>
      <w:r>
        <w:rPr>
          <w:rFonts w:hint="eastAsia" w:ascii="仿宋_GB2312" w:hAnsi="仿宋_GB2312" w:eastAsia="仿宋_GB2312" w:cs="仿宋_GB2312"/>
          <w:sz w:val="30"/>
          <w:szCs w:val="30"/>
        </w:rPr>
        <w:t>：指为保障机构正常运转、完成日常工作任务而发生的各项支出。</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2.项目支出</w:t>
      </w:r>
      <w:r>
        <w:rPr>
          <w:rFonts w:hint="eastAsia" w:ascii="仿宋_GB2312" w:hAnsi="仿宋_GB2312" w:eastAsia="仿宋_GB2312" w:cs="仿宋_GB2312"/>
          <w:sz w:val="30"/>
          <w:szCs w:val="30"/>
        </w:rPr>
        <w:t>：指单位为完成特定的行政工作任务或事业发展目标所发生的各项支出。</w:t>
      </w:r>
    </w:p>
    <w:p>
      <w:pPr>
        <w:spacing w:line="560" w:lineRule="exact"/>
        <w:ind w:firstLine="640"/>
        <w:rPr>
          <w:rFonts w:ascii="仿宋_GB2312" w:hAnsi="仿宋_GB2312" w:eastAsia="仿宋_GB2312" w:cs="仿宋_GB2312"/>
          <w:sz w:val="30"/>
          <w:szCs w:val="30"/>
        </w:rPr>
      </w:pPr>
      <w:r>
        <w:rPr>
          <w:rFonts w:hint="eastAsia" w:ascii="仿宋_GB2312" w:hAnsi="仿宋_GB2312" w:eastAsia="仿宋_GB2312" w:cs="仿宋_GB2312"/>
          <w:b/>
          <w:bCs/>
          <w:sz w:val="30"/>
          <w:szCs w:val="30"/>
        </w:rPr>
        <w:t>3.“三公”经费</w:t>
      </w:r>
      <w:r>
        <w:rPr>
          <w:rFonts w:hint="eastAsia" w:ascii="仿宋_GB2312" w:hAnsi="仿宋_GB2312" w:eastAsia="仿宋_GB2312" w:cs="仿宋_GB2312"/>
          <w:sz w:val="30"/>
          <w:szCs w:val="30"/>
        </w:rPr>
        <w:t>：指部门使用一般公共预算财政拨款安排的因公出国（境）费、公务用车购置及运行费和公务接待费支出。</w:t>
      </w:r>
    </w:p>
    <w:p>
      <w:pPr>
        <w:spacing w:line="560" w:lineRule="exact"/>
        <w:ind w:firstLine="640"/>
        <w:rPr>
          <w:sz w:val="30"/>
          <w:szCs w:val="30"/>
        </w:rPr>
      </w:pPr>
      <w:r>
        <w:rPr>
          <w:rFonts w:hint="eastAsia" w:ascii="仿宋_GB2312" w:hAnsi="仿宋_GB2312" w:eastAsia="仿宋_GB2312" w:cs="仿宋_GB2312"/>
          <w:b/>
          <w:bCs/>
          <w:sz w:val="30"/>
          <w:szCs w:val="30"/>
        </w:rPr>
        <w:t>4.财政拨款收入</w:t>
      </w:r>
      <w:r>
        <w:rPr>
          <w:rFonts w:hint="eastAsia" w:ascii="仿宋_GB2312" w:hAnsi="仿宋_GB2312" w:eastAsia="仿宋_GB2312" w:cs="仿宋_GB2312"/>
          <w:sz w:val="30"/>
          <w:szCs w:val="30"/>
        </w:rPr>
        <w:t>：指本级财政当年拨付的资金。</w:t>
      </w:r>
    </w:p>
    <w:p>
      <w:pPr>
        <w:spacing w:line="560" w:lineRule="exact"/>
        <w:ind w:firstLine="640"/>
        <w:rPr>
          <w:rFonts w:ascii="仿宋_GB2312" w:hAnsi="仿宋_GB2312" w:eastAsia="仿宋_GB2312" w:cs="仿宋_GB2312"/>
          <w:color w:val="000000"/>
          <w:sz w:val="30"/>
          <w:szCs w:val="30"/>
        </w:rPr>
      </w:pPr>
      <w:r>
        <w:rPr>
          <w:rFonts w:hint="eastAsia" w:ascii="仿宋_GB2312" w:hAnsi="仿宋_GB2312" w:eastAsia="仿宋_GB2312" w:cs="仿宋_GB2312"/>
          <w:b/>
          <w:bCs/>
          <w:sz w:val="30"/>
          <w:szCs w:val="30"/>
        </w:rPr>
        <w:t>5.调整预算数</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sz w:val="30"/>
          <w:szCs w:val="30"/>
        </w:rPr>
        <w:t>填列经调整后的全年预算数，包括年初预算数和预算调增调减数，即：调整预算数＝年初预算数＋预算调增数－预算调减数。</w:t>
      </w:r>
    </w:p>
    <w:p>
      <w:pPr>
        <w:spacing w:line="560" w:lineRule="exact"/>
        <w:ind w:firstLine="640"/>
        <w:rPr>
          <w:rFonts w:ascii="黑体" w:hAnsi="宋体" w:eastAsia="仿宋_GB2312"/>
          <w:color w:val="000000"/>
          <w:kern w:val="0"/>
          <w:sz w:val="30"/>
          <w:szCs w:val="30"/>
        </w:rPr>
      </w:pPr>
      <w:r>
        <w:rPr>
          <w:rFonts w:hint="eastAsia" w:ascii="仿宋_GB2312" w:hAnsi="仿宋_GB2312" w:eastAsia="仿宋_GB2312" w:cs="仿宋_GB2312"/>
          <w:b/>
          <w:bCs/>
          <w:sz w:val="30"/>
          <w:szCs w:val="30"/>
        </w:rPr>
        <w:t>6.公共卫生经费：</w:t>
      </w:r>
      <w:r>
        <w:rPr>
          <w:rFonts w:hint="eastAsia" w:ascii="仿宋_GB2312" w:hAnsi="仿宋_GB2312" w:eastAsia="仿宋_GB2312" w:cs="仿宋_GB2312"/>
          <w:sz w:val="30"/>
          <w:szCs w:val="30"/>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儿童保健、健康教育、计划生育技术服务为一体，有效连续的基层卫生服务。</w:t>
      </w:r>
    </w:p>
    <w:p>
      <w:pPr>
        <w:pStyle w:val="2"/>
      </w:pPr>
    </w:p>
    <w:p>
      <w:pPr>
        <w:jc w:val="cente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仿宋_GB2312" w:hAnsi="仿宋_GB2312" w:eastAsia="仿宋_GB2312" w:cs="仿宋_GB2312"/>
          <w:sz w:val="30"/>
          <w:szCs w:val="30"/>
        </w:rPr>
      </w:pPr>
      <w:r>
        <w:rPr>
          <w:rFonts w:hint="eastAsia" w:ascii="黑体" w:hAnsi="宋体" w:eastAsia="黑体"/>
          <w:color w:val="000000"/>
          <w:kern w:val="0"/>
          <w:sz w:val="44"/>
          <w:szCs w:val="44"/>
        </w:rPr>
        <w:t xml:space="preserve">               </w:t>
      </w:r>
      <w:r>
        <w:rPr>
          <w:rFonts w:hint="eastAsia" w:ascii="仿宋_GB2312" w:hAnsi="仿宋_GB2312" w:eastAsia="仿宋_GB2312" w:cs="仿宋_GB2312"/>
          <w:sz w:val="30"/>
          <w:szCs w:val="30"/>
        </w:rPr>
        <w:t>西安市未央区三桥社区卫生服务中心</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2021年11月26日</w:t>
      </w:r>
    </w:p>
    <w:sectPr>
      <w:footerReference r:id="rId4" w:type="default"/>
      <w:pgSz w:w="11906" w:h="16838"/>
      <w:pgMar w:top="2098" w:right="1474" w:bottom="1984" w:left="1587"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6"/>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path/>
          <v:fill on="f" focussize="0,0"/>
          <v:stroke on="f" weight="0.5pt" joinstyle="miter"/>
          <v:imagedata o:title=""/>
          <o:lock v:ext="edit"/>
          <v:textbox inset="0mm,0mm,0mm,0mm">
            <w:txbxContent>
              <w:p>
                <w:pPr>
                  <w:pStyle w:val="6"/>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12</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1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AA6038"/>
    <w:rsid w:val="00002435"/>
    <w:rsid w:val="00006393"/>
    <w:rsid w:val="00011BA1"/>
    <w:rsid w:val="00025D72"/>
    <w:rsid w:val="000311E8"/>
    <w:rsid w:val="000357AA"/>
    <w:rsid w:val="00050E89"/>
    <w:rsid w:val="00063680"/>
    <w:rsid w:val="000753FB"/>
    <w:rsid w:val="00082E39"/>
    <w:rsid w:val="000C3568"/>
    <w:rsid w:val="000D0A36"/>
    <w:rsid w:val="000D4DC5"/>
    <w:rsid w:val="000F4BC6"/>
    <w:rsid w:val="00102AC6"/>
    <w:rsid w:val="00106238"/>
    <w:rsid w:val="00121310"/>
    <w:rsid w:val="0012577D"/>
    <w:rsid w:val="001275C8"/>
    <w:rsid w:val="00136026"/>
    <w:rsid w:val="00146787"/>
    <w:rsid w:val="00157451"/>
    <w:rsid w:val="00164001"/>
    <w:rsid w:val="00182D70"/>
    <w:rsid w:val="00194811"/>
    <w:rsid w:val="00197CDF"/>
    <w:rsid w:val="001A0783"/>
    <w:rsid w:val="001B06AA"/>
    <w:rsid w:val="001C1D5F"/>
    <w:rsid w:val="001D3B90"/>
    <w:rsid w:val="001D7568"/>
    <w:rsid w:val="001E4219"/>
    <w:rsid w:val="001F5109"/>
    <w:rsid w:val="00210C79"/>
    <w:rsid w:val="002131BF"/>
    <w:rsid w:val="00225000"/>
    <w:rsid w:val="00227897"/>
    <w:rsid w:val="002424C8"/>
    <w:rsid w:val="00252C02"/>
    <w:rsid w:val="0026682F"/>
    <w:rsid w:val="00267B75"/>
    <w:rsid w:val="002A07B0"/>
    <w:rsid w:val="002A7893"/>
    <w:rsid w:val="002C5007"/>
    <w:rsid w:val="002F0DF2"/>
    <w:rsid w:val="0030523C"/>
    <w:rsid w:val="00316230"/>
    <w:rsid w:val="00332C8F"/>
    <w:rsid w:val="003364E9"/>
    <w:rsid w:val="00346545"/>
    <w:rsid w:val="003564A1"/>
    <w:rsid w:val="00360745"/>
    <w:rsid w:val="00362121"/>
    <w:rsid w:val="00372BE1"/>
    <w:rsid w:val="00376C7E"/>
    <w:rsid w:val="003810A9"/>
    <w:rsid w:val="00381272"/>
    <w:rsid w:val="003A4819"/>
    <w:rsid w:val="003A5F0B"/>
    <w:rsid w:val="003A6F0C"/>
    <w:rsid w:val="003B2F8A"/>
    <w:rsid w:val="003C0C75"/>
    <w:rsid w:val="003C1988"/>
    <w:rsid w:val="003C203E"/>
    <w:rsid w:val="003C26F0"/>
    <w:rsid w:val="003F0096"/>
    <w:rsid w:val="00411703"/>
    <w:rsid w:val="00425E07"/>
    <w:rsid w:val="0043174E"/>
    <w:rsid w:val="00452E2E"/>
    <w:rsid w:val="00455D56"/>
    <w:rsid w:val="00460A30"/>
    <w:rsid w:val="00462BCF"/>
    <w:rsid w:val="00475BDD"/>
    <w:rsid w:val="004768CF"/>
    <w:rsid w:val="004B1208"/>
    <w:rsid w:val="004B2BF3"/>
    <w:rsid w:val="004B6D6E"/>
    <w:rsid w:val="004F3563"/>
    <w:rsid w:val="004F6C83"/>
    <w:rsid w:val="005058BD"/>
    <w:rsid w:val="0053404C"/>
    <w:rsid w:val="0053465F"/>
    <w:rsid w:val="00535A08"/>
    <w:rsid w:val="005657B6"/>
    <w:rsid w:val="00577F3E"/>
    <w:rsid w:val="005817B7"/>
    <w:rsid w:val="00593E95"/>
    <w:rsid w:val="005E060D"/>
    <w:rsid w:val="00611582"/>
    <w:rsid w:val="00620046"/>
    <w:rsid w:val="0062341F"/>
    <w:rsid w:val="00631E1D"/>
    <w:rsid w:val="00642976"/>
    <w:rsid w:val="0066388D"/>
    <w:rsid w:val="00680442"/>
    <w:rsid w:val="0068286B"/>
    <w:rsid w:val="006B2CFE"/>
    <w:rsid w:val="006B5718"/>
    <w:rsid w:val="006C41D4"/>
    <w:rsid w:val="006C4C64"/>
    <w:rsid w:val="006D257E"/>
    <w:rsid w:val="006F794B"/>
    <w:rsid w:val="00706951"/>
    <w:rsid w:val="007120F5"/>
    <w:rsid w:val="00716148"/>
    <w:rsid w:val="007407C4"/>
    <w:rsid w:val="00742EF0"/>
    <w:rsid w:val="00750A0B"/>
    <w:rsid w:val="007525C3"/>
    <w:rsid w:val="00754A3A"/>
    <w:rsid w:val="00755EB6"/>
    <w:rsid w:val="00785634"/>
    <w:rsid w:val="00787743"/>
    <w:rsid w:val="007978E3"/>
    <w:rsid w:val="007B44D5"/>
    <w:rsid w:val="007C0077"/>
    <w:rsid w:val="007C6B55"/>
    <w:rsid w:val="007D3B7E"/>
    <w:rsid w:val="007D6563"/>
    <w:rsid w:val="007D7AEA"/>
    <w:rsid w:val="007F4819"/>
    <w:rsid w:val="00803A47"/>
    <w:rsid w:val="00813F4A"/>
    <w:rsid w:val="008168DD"/>
    <w:rsid w:val="00830296"/>
    <w:rsid w:val="00833935"/>
    <w:rsid w:val="00834333"/>
    <w:rsid w:val="008849F3"/>
    <w:rsid w:val="00886190"/>
    <w:rsid w:val="0089378E"/>
    <w:rsid w:val="008B387B"/>
    <w:rsid w:val="008B6F99"/>
    <w:rsid w:val="008B7880"/>
    <w:rsid w:val="008D598C"/>
    <w:rsid w:val="008E2741"/>
    <w:rsid w:val="008F2FC4"/>
    <w:rsid w:val="00900DD9"/>
    <w:rsid w:val="00904878"/>
    <w:rsid w:val="00905754"/>
    <w:rsid w:val="00916B77"/>
    <w:rsid w:val="0093742F"/>
    <w:rsid w:val="00937DA8"/>
    <w:rsid w:val="00961C49"/>
    <w:rsid w:val="00966661"/>
    <w:rsid w:val="00973D84"/>
    <w:rsid w:val="009856BA"/>
    <w:rsid w:val="00993FC0"/>
    <w:rsid w:val="00996088"/>
    <w:rsid w:val="009A141B"/>
    <w:rsid w:val="009A61A0"/>
    <w:rsid w:val="009B3D50"/>
    <w:rsid w:val="009C7842"/>
    <w:rsid w:val="009D2B35"/>
    <w:rsid w:val="009E6ED6"/>
    <w:rsid w:val="009F2187"/>
    <w:rsid w:val="00A13BED"/>
    <w:rsid w:val="00A4641B"/>
    <w:rsid w:val="00A47C64"/>
    <w:rsid w:val="00A5599A"/>
    <w:rsid w:val="00A71451"/>
    <w:rsid w:val="00A759FB"/>
    <w:rsid w:val="00A82095"/>
    <w:rsid w:val="00AA2C2D"/>
    <w:rsid w:val="00AA4347"/>
    <w:rsid w:val="00AC4D53"/>
    <w:rsid w:val="00AD2765"/>
    <w:rsid w:val="00B21EBD"/>
    <w:rsid w:val="00B23A0F"/>
    <w:rsid w:val="00B307AF"/>
    <w:rsid w:val="00B408CD"/>
    <w:rsid w:val="00B70C7D"/>
    <w:rsid w:val="00B76FB4"/>
    <w:rsid w:val="00B80218"/>
    <w:rsid w:val="00B80654"/>
    <w:rsid w:val="00B92313"/>
    <w:rsid w:val="00BE4498"/>
    <w:rsid w:val="00C144A5"/>
    <w:rsid w:val="00C15483"/>
    <w:rsid w:val="00C34398"/>
    <w:rsid w:val="00C44C4D"/>
    <w:rsid w:val="00C65F40"/>
    <w:rsid w:val="00C90402"/>
    <w:rsid w:val="00C9227F"/>
    <w:rsid w:val="00C94224"/>
    <w:rsid w:val="00C95ADA"/>
    <w:rsid w:val="00CA69E1"/>
    <w:rsid w:val="00CC36D4"/>
    <w:rsid w:val="00CD0D14"/>
    <w:rsid w:val="00CF3B38"/>
    <w:rsid w:val="00CF693D"/>
    <w:rsid w:val="00D033CE"/>
    <w:rsid w:val="00D12000"/>
    <w:rsid w:val="00D16382"/>
    <w:rsid w:val="00D22CFA"/>
    <w:rsid w:val="00D23CB2"/>
    <w:rsid w:val="00D32423"/>
    <w:rsid w:val="00D55D0B"/>
    <w:rsid w:val="00D67227"/>
    <w:rsid w:val="00D717B8"/>
    <w:rsid w:val="00D76981"/>
    <w:rsid w:val="00DE05EA"/>
    <w:rsid w:val="00DE094E"/>
    <w:rsid w:val="00DF67FD"/>
    <w:rsid w:val="00E1266B"/>
    <w:rsid w:val="00E27D6D"/>
    <w:rsid w:val="00E413F8"/>
    <w:rsid w:val="00E4431D"/>
    <w:rsid w:val="00E45A8F"/>
    <w:rsid w:val="00E76949"/>
    <w:rsid w:val="00E8111E"/>
    <w:rsid w:val="00EC605F"/>
    <w:rsid w:val="00EF6123"/>
    <w:rsid w:val="00EF7B49"/>
    <w:rsid w:val="00F0717A"/>
    <w:rsid w:val="00F11E8F"/>
    <w:rsid w:val="00F137AB"/>
    <w:rsid w:val="00F167B8"/>
    <w:rsid w:val="00F25DC6"/>
    <w:rsid w:val="00F6749E"/>
    <w:rsid w:val="00F82400"/>
    <w:rsid w:val="00F912E9"/>
    <w:rsid w:val="00F97CAD"/>
    <w:rsid w:val="00FA0380"/>
    <w:rsid w:val="00FC6625"/>
    <w:rsid w:val="00FE7C27"/>
    <w:rsid w:val="013B79AC"/>
    <w:rsid w:val="01BE4C9B"/>
    <w:rsid w:val="044F2F80"/>
    <w:rsid w:val="08241EB5"/>
    <w:rsid w:val="08E138AF"/>
    <w:rsid w:val="08E42EAC"/>
    <w:rsid w:val="0AEE0FEB"/>
    <w:rsid w:val="10BB651B"/>
    <w:rsid w:val="125E2600"/>
    <w:rsid w:val="132E46A0"/>
    <w:rsid w:val="135556F4"/>
    <w:rsid w:val="14411117"/>
    <w:rsid w:val="1586116E"/>
    <w:rsid w:val="17B06807"/>
    <w:rsid w:val="18BB4AD7"/>
    <w:rsid w:val="1B4A3FDA"/>
    <w:rsid w:val="1B524C98"/>
    <w:rsid w:val="1C5E2F73"/>
    <w:rsid w:val="1D6E0C0D"/>
    <w:rsid w:val="1EF768A5"/>
    <w:rsid w:val="20813690"/>
    <w:rsid w:val="20EF4457"/>
    <w:rsid w:val="221C15BB"/>
    <w:rsid w:val="23E4344C"/>
    <w:rsid w:val="25282613"/>
    <w:rsid w:val="26AB3C95"/>
    <w:rsid w:val="29785A6B"/>
    <w:rsid w:val="29FB3800"/>
    <w:rsid w:val="2ADF4385"/>
    <w:rsid w:val="2B547244"/>
    <w:rsid w:val="2D1F3974"/>
    <w:rsid w:val="2D657953"/>
    <w:rsid w:val="2DB52EF2"/>
    <w:rsid w:val="2DEB3EEC"/>
    <w:rsid w:val="317F6056"/>
    <w:rsid w:val="318C1BE0"/>
    <w:rsid w:val="31AA6038"/>
    <w:rsid w:val="33887EE3"/>
    <w:rsid w:val="34677C61"/>
    <w:rsid w:val="361F381B"/>
    <w:rsid w:val="3734653D"/>
    <w:rsid w:val="38F75809"/>
    <w:rsid w:val="3B121AD1"/>
    <w:rsid w:val="3C0D61D4"/>
    <w:rsid w:val="3CFD0D2E"/>
    <w:rsid w:val="41603979"/>
    <w:rsid w:val="41CF436B"/>
    <w:rsid w:val="443B2E6C"/>
    <w:rsid w:val="4619368A"/>
    <w:rsid w:val="488E138F"/>
    <w:rsid w:val="4D6E0FDF"/>
    <w:rsid w:val="4E5B104F"/>
    <w:rsid w:val="4EE4307A"/>
    <w:rsid w:val="5153143F"/>
    <w:rsid w:val="539A713C"/>
    <w:rsid w:val="53CE3F8A"/>
    <w:rsid w:val="54F12DEE"/>
    <w:rsid w:val="55147C14"/>
    <w:rsid w:val="554E4E96"/>
    <w:rsid w:val="580836DC"/>
    <w:rsid w:val="5B8D564A"/>
    <w:rsid w:val="621F1FC7"/>
    <w:rsid w:val="64437B54"/>
    <w:rsid w:val="65074FBA"/>
    <w:rsid w:val="65C90F91"/>
    <w:rsid w:val="66377D5A"/>
    <w:rsid w:val="71086DB5"/>
    <w:rsid w:val="73565E35"/>
    <w:rsid w:val="754F4216"/>
    <w:rsid w:val="75C31473"/>
    <w:rsid w:val="763B2EA0"/>
    <w:rsid w:val="76675743"/>
    <w:rsid w:val="79395F1D"/>
    <w:rsid w:val="79493CBE"/>
    <w:rsid w:val="7C165591"/>
    <w:rsid w:val="7C301F89"/>
    <w:rsid w:val="7C3E5E46"/>
    <w:rsid w:val="7EE759C2"/>
    <w:rsid w:val="7F1C2F6E"/>
    <w:rsid w:val="7F26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caption"/>
    <w:basedOn w:val="1"/>
    <w:next w:val="1"/>
    <w:unhideWhenUsed/>
    <w:qFormat/>
    <w:uiPriority w:val="0"/>
    <w:rPr>
      <w:rFonts w:ascii="Cambria" w:hAnsi="Cambria" w:eastAsia="黑体" w:cs="Times New Roman"/>
      <w:sz w:val="20"/>
      <w:szCs w:val="20"/>
    </w:rPr>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6"/>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character" w:styleId="14">
    <w:name w:val="annotation reference"/>
    <w:basedOn w:val="11"/>
    <w:qFormat/>
    <w:uiPriority w:val="0"/>
    <w:rPr>
      <w:sz w:val="21"/>
      <w:szCs w:val="21"/>
    </w:rPr>
  </w:style>
  <w:style w:type="character" w:customStyle="1" w:styleId="15">
    <w:name w:val="批注文字 Char"/>
    <w:basedOn w:val="11"/>
    <w:link w:val="4"/>
    <w:qFormat/>
    <w:uiPriority w:val="0"/>
    <w:rPr>
      <w:rFonts w:ascii="Calibri" w:hAnsi="Calibri" w:cs="黑体"/>
      <w:kern w:val="2"/>
      <w:sz w:val="21"/>
      <w:szCs w:val="24"/>
    </w:rPr>
  </w:style>
  <w:style w:type="character" w:customStyle="1" w:styleId="16">
    <w:name w:val="批注主题 Char"/>
    <w:basedOn w:val="15"/>
    <w:link w:val="8"/>
    <w:qFormat/>
    <w:uiPriority w:val="0"/>
    <w:rPr>
      <w:rFonts w:ascii="Calibri" w:hAnsi="Calibri" w:cs="黑体"/>
      <w:b/>
      <w:bCs/>
      <w:kern w:val="2"/>
      <w:sz w:val="21"/>
      <w:szCs w:val="24"/>
    </w:rPr>
  </w:style>
  <w:style w:type="character" w:customStyle="1" w:styleId="17">
    <w:name w:val="批注框文本 Char"/>
    <w:basedOn w:val="11"/>
    <w:link w:val="5"/>
    <w:qFormat/>
    <w:uiPriority w:val="0"/>
    <w:rPr>
      <w:rFonts w:ascii="Calibri" w:hAnsi="Calibri" w:cs="黑体"/>
      <w:kern w:val="2"/>
      <w:sz w:val="18"/>
      <w:szCs w:val="18"/>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人员构成图</c:v>
                </c:pt>
              </c:strCache>
            </c:strRef>
          </c:tx>
          <c:explosion val="0"/>
          <c:dPt>
            <c:idx val="0"/>
            <c:bubble3D val="0"/>
          </c:dPt>
          <c:dPt>
            <c:idx val="1"/>
            <c:bubble3D val="0"/>
          </c:dPt>
          <c:dPt>
            <c:idx val="2"/>
            <c:bubble3D val="0"/>
          </c:dPt>
          <c:dLbls>
            <c:dLbl>
              <c:idx val="0"/>
              <c:layout>
                <c:manualLayout>
                  <c:x val="-0.133981540868917"/>
                  <c:y val="0.12446313917600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t>在编人员</a:t>
                    </a:r>
                    <a:r>
                      <a:rPr lang="en-US"/>
                      <a:t>65</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t>临聘人员</a:t>
                    </a:r>
                    <a:r>
                      <a:rPr lang="en-US"/>
                      <a:t>49</a:t>
                    </a:r>
                    <a:endParaRPr lang="en-US"/>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t>退休人员</a:t>
                    </a:r>
                    <a:r>
                      <a:rPr lang="en-US"/>
                      <a:t>94</a:t>
                    </a:r>
                    <a:endParaRPr lang="en-US"/>
                  </a:p>
                </c:rich>
              </c:tx>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在编人员</c:v>
                </c:pt>
                <c:pt idx="1">
                  <c:v>临聘人员</c:v>
                </c:pt>
                <c:pt idx="2">
                  <c:v>退休人员</c:v>
                </c:pt>
              </c:strCache>
            </c:strRef>
          </c:cat>
          <c:val>
            <c:numRef>
              <c:f>Sheet1!$B$2:$B$4</c:f>
              <c:numCache>
                <c:formatCode>General</c:formatCode>
                <c:ptCount val="3"/>
                <c:pt idx="0">
                  <c:v>65</c:v>
                </c:pt>
                <c:pt idx="1">
                  <c:v>49</c:v>
                </c:pt>
                <c:pt idx="2">
                  <c:v>94</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2019年收入</c:v>
                </c:pt>
              </c:strCache>
            </c:strRef>
          </c:tx>
          <c:invertIfNegative val="0"/>
          <c:dLbls>
            <c:delete val="1"/>
          </c:dLbls>
          <c:cat>
            <c:strRef>
              <c:f>Sheet1!$A$2</c:f>
              <c:strCache>
                <c:ptCount val="1"/>
                <c:pt idx="0">
                  <c:v>收入情况对比</c:v>
                </c:pt>
              </c:strCache>
            </c:strRef>
          </c:cat>
          <c:val>
            <c:numRef>
              <c:f>Sheet1!$B$2</c:f>
              <c:numCache>
                <c:formatCode>General</c:formatCode>
                <c:ptCount val="1"/>
                <c:pt idx="0">
                  <c:v>3244.59</c:v>
                </c:pt>
              </c:numCache>
            </c:numRef>
          </c:val>
        </c:ser>
        <c:ser>
          <c:idx val="1"/>
          <c:order val="1"/>
          <c:tx>
            <c:strRef>
              <c:f>Sheet1!$C$1</c:f>
              <c:strCache>
                <c:ptCount val="1"/>
                <c:pt idx="0">
                  <c:v>2020年收入</c:v>
                </c:pt>
              </c:strCache>
            </c:strRef>
          </c:tx>
          <c:invertIfNegative val="0"/>
          <c:dLbls>
            <c:delete val="1"/>
          </c:dLbls>
          <c:cat>
            <c:strRef>
              <c:f>Sheet1!$A$2</c:f>
              <c:strCache>
                <c:ptCount val="1"/>
                <c:pt idx="0">
                  <c:v>收入情况对比</c:v>
                </c:pt>
              </c:strCache>
            </c:strRef>
          </c:cat>
          <c:val>
            <c:numRef>
              <c:f>Sheet1!$C$2</c:f>
              <c:numCache>
                <c:formatCode>General</c:formatCode>
                <c:ptCount val="1"/>
                <c:pt idx="0">
                  <c:v>3424.06</c:v>
                </c:pt>
              </c:numCache>
            </c:numRef>
          </c:val>
        </c:ser>
        <c:dLbls>
          <c:showLegendKey val="0"/>
          <c:showVal val="0"/>
          <c:showCatName val="0"/>
          <c:showSerName val="0"/>
          <c:showPercent val="0"/>
          <c:showBubbleSize val="0"/>
        </c:dLbls>
        <c:gapWidth val="150"/>
        <c:axId val="14405632"/>
        <c:axId val="14407168"/>
      </c:barChart>
      <c:catAx>
        <c:axId val="144056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07168"/>
        <c:crosses val="autoZero"/>
        <c:auto val="1"/>
        <c:lblAlgn val="ctr"/>
        <c:lblOffset val="100"/>
        <c:noMultiLvlLbl val="0"/>
      </c:catAx>
      <c:valAx>
        <c:axId val="14407168"/>
        <c:scaling>
          <c:orientation val="minMax"/>
          <c:max val="4000"/>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05632"/>
        <c:crosses val="autoZero"/>
        <c:crossBetween val="between"/>
        <c:majorUnit val="40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2019年支出</c:v>
                </c:pt>
              </c:strCache>
            </c:strRef>
          </c:tx>
          <c:invertIfNegative val="0"/>
          <c:dLbls>
            <c:delete val="1"/>
          </c:dLbls>
          <c:cat>
            <c:strRef>
              <c:f>Sheet1!$A$2</c:f>
              <c:strCache>
                <c:ptCount val="1"/>
                <c:pt idx="0">
                  <c:v>支出情况对比</c:v>
                </c:pt>
              </c:strCache>
            </c:strRef>
          </c:cat>
          <c:val>
            <c:numRef>
              <c:f>Sheet1!$B$2</c:f>
              <c:numCache>
                <c:formatCode>General</c:formatCode>
                <c:ptCount val="1"/>
                <c:pt idx="0">
                  <c:v>3249.31</c:v>
                </c:pt>
              </c:numCache>
            </c:numRef>
          </c:val>
        </c:ser>
        <c:ser>
          <c:idx val="1"/>
          <c:order val="1"/>
          <c:tx>
            <c:strRef>
              <c:f>Sheet1!$C$1</c:f>
              <c:strCache>
                <c:ptCount val="1"/>
                <c:pt idx="0">
                  <c:v>2020年支出</c:v>
                </c:pt>
              </c:strCache>
            </c:strRef>
          </c:tx>
          <c:invertIfNegative val="0"/>
          <c:dLbls>
            <c:delete val="1"/>
          </c:dLbls>
          <c:cat>
            <c:strRef>
              <c:f>Sheet1!$A$2</c:f>
              <c:strCache>
                <c:ptCount val="1"/>
                <c:pt idx="0">
                  <c:v>支出情况对比</c:v>
                </c:pt>
              </c:strCache>
            </c:strRef>
          </c:cat>
          <c:val>
            <c:numRef>
              <c:f>Sheet1!$C$2</c:f>
              <c:numCache>
                <c:formatCode>General</c:formatCode>
                <c:ptCount val="1"/>
                <c:pt idx="0">
                  <c:v>2975.26</c:v>
                </c:pt>
              </c:numCache>
            </c:numRef>
          </c:val>
        </c:ser>
        <c:dLbls>
          <c:showLegendKey val="0"/>
          <c:showVal val="0"/>
          <c:showCatName val="0"/>
          <c:showSerName val="0"/>
          <c:showPercent val="0"/>
          <c:showBubbleSize val="0"/>
        </c:dLbls>
        <c:gapWidth val="150"/>
        <c:axId val="14304768"/>
        <c:axId val="14306304"/>
      </c:barChart>
      <c:catAx>
        <c:axId val="143047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06304"/>
        <c:crosses val="autoZero"/>
        <c:auto val="1"/>
        <c:lblAlgn val="ctr"/>
        <c:lblOffset val="100"/>
        <c:noMultiLvlLbl val="0"/>
      </c:catAx>
      <c:valAx>
        <c:axId val="14306304"/>
        <c:scaling>
          <c:orientation val="minMax"/>
          <c:max val="3000"/>
          <c:min val="2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04768"/>
        <c:crosses val="autoZero"/>
        <c:crossBetween val="between"/>
        <c:majorUnit val="100"/>
        <c:minorUnit val="5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2020</a:t>
            </a:r>
            <a:r>
              <a:rPr lang="zh-CN"/>
              <a:t>年收入构成</a:t>
            </a:r>
            <a:endParaRPr lang="zh-CN"/>
          </a:p>
        </c:rich>
      </c:tx>
      <c:layout/>
      <c:overlay val="0"/>
    </c:title>
    <c:autoTitleDeleted val="0"/>
    <c:plotArea>
      <c:layout/>
      <c:pieChart>
        <c:varyColors val="1"/>
        <c:ser>
          <c:idx val="0"/>
          <c:order val="0"/>
          <c:tx>
            <c:strRef>
              <c:f>Sheet1!$B$1</c:f>
              <c:strCache>
                <c:ptCount val="1"/>
                <c:pt idx="0">
                  <c:v>2020年收入构成</c:v>
                </c:pt>
              </c:strCache>
            </c:strRef>
          </c:tx>
          <c:explosion val="0"/>
          <c:dPt>
            <c:idx val="0"/>
            <c:bubble3D val="0"/>
          </c:dPt>
          <c:dPt>
            <c:idx val="1"/>
            <c:bubble3D val="0"/>
          </c:dPt>
          <c:dPt>
            <c:idx val="2"/>
            <c:bubble3D val="0"/>
          </c:dPt>
          <c:dPt>
            <c:idx val="3"/>
            <c:bubble3D val="0"/>
          </c:dPt>
          <c:dLbls>
            <c:dLbl>
              <c:idx val="0"/>
              <c:layout>
                <c:manualLayout>
                  <c:x val="-0.10339880778756"/>
                  <c:y val="-0.17798729127171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2559.57</a:t>
                    </a:r>
                    <a:endParaRPr 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772.63</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27.25</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事业收入</c:v>
                </c:pt>
                <c:pt idx="2">
                  <c:v>其他收入</c:v>
                </c:pt>
                <c:pt idx="3">
                  <c:v>政府性基金预算收入</c:v>
                </c:pt>
              </c:strCache>
            </c:strRef>
          </c:cat>
          <c:val>
            <c:numRef>
              <c:f>Sheet1!$B$2:$B$5</c:f>
              <c:numCache>
                <c:formatCode>General</c:formatCode>
                <c:ptCount val="4"/>
                <c:pt idx="0">
                  <c:v>2559.57</c:v>
                </c:pt>
                <c:pt idx="1">
                  <c:v>772.63</c:v>
                </c:pt>
                <c:pt idx="2">
                  <c:v>27.25</c:v>
                </c:pt>
                <c:pt idx="3">
                  <c:v>64.61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年支出构成</a:t>
            </a:r>
            <a:endParaRPr lang="zh-CN" altLang="en-US"/>
          </a:p>
        </c:rich>
      </c:tx>
      <c:layout/>
      <c:overlay val="0"/>
      <c:spPr>
        <a:noFill/>
        <a:ln w="25399">
          <a:noFill/>
        </a:ln>
      </c:spPr>
    </c:title>
    <c:autoTitleDeleted val="0"/>
    <c:plotArea>
      <c:layout/>
      <c:pieChart>
        <c:varyColors val="1"/>
        <c:ser>
          <c:idx val="0"/>
          <c:order val="0"/>
          <c:tx>
            <c:strRef>
              <c:f>Sheet1!$B$1</c:f>
              <c:strCache>
                <c:ptCount val="1"/>
                <c:pt idx="0">
                  <c:v>2020年支出构成</c:v>
                </c:pt>
              </c:strCache>
            </c:strRef>
          </c:tx>
          <c:explosion val="0"/>
          <c:dPt>
            <c:idx val="0"/>
            <c:bubble3D val="0"/>
          </c:dPt>
          <c:dPt>
            <c:idx val="1"/>
            <c:bubble3D val="0"/>
          </c:dPt>
          <c:dLbls>
            <c:dLbl>
              <c:idx val="0"/>
              <c:layout>
                <c:manualLayout>
                  <c:x val="-0.142447732499607"/>
                  <c:y val="-0.03003044717557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9278881976979"/>
                  <c:y val="0.07963515394829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1653.11</c:v>
                </c:pt>
                <c:pt idx="1">
                  <c:v>1322.15</c:v>
                </c:pt>
              </c:numCache>
            </c:numRef>
          </c:val>
        </c:ser>
        <c:dLbls>
          <c:showLegendKey val="0"/>
          <c:showVal val="1"/>
          <c:showCatName val="0"/>
          <c:showSerName val="0"/>
          <c:showPercent val="0"/>
          <c:showBubbleSize val="0"/>
          <c:showLeaderLines val="1"/>
        </c:dLbls>
        <c:firstSliceAng val="0"/>
      </c:pieChart>
      <c:spPr>
        <a:noFill/>
        <a:ln w="25399">
          <a:noFill/>
        </a:ln>
      </c:spPr>
    </c:plotArea>
    <c:legend>
      <c:legendPos val="r"/>
      <c:layout/>
      <c:overlay val="0"/>
      <c:spPr>
        <a:noFill/>
        <a:ln w="25399">
          <a:no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2019年财政拨款</c:v>
                </c:pt>
              </c:strCache>
            </c:strRef>
          </c:tx>
          <c:invertIfNegative val="0"/>
          <c:dLbls>
            <c:delete val="1"/>
          </c:dLbls>
          <c:cat>
            <c:strRef>
              <c:f>Sheet1!$A$2</c:f>
              <c:strCache>
                <c:ptCount val="1"/>
                <c:pt idx="0">
                  <c:v>财政拨款收入情况表</c:v>
                </c:pt>
              </c:strCache>
            </c:strRef>
          </c:cat>
          <c:val>
            <c:numRef>
              <c:f>Sheet1!$B$2</c:f>
              <c:numCache>
                <c:formatCode>General</c:formatCode>
                <c:ptCount val="1"/>
                <c:pt idx="0">
                  <c:v>2532.86</c:v>
                </c:pt>
              </c:numCache>
            </c:numRef>
          </c:val>
        </c:ser>
        <c:ser>
          <c:idx val="1"/>
          <c:order val="1"/>
          <c:tx>
            <c:strRef>
              <c:f>Sheet1!$C$1</c:f>
              <c:strCache>
                <c:ptCount val="1"/>
                <c:pt idx="0">
                  <c:v>2020年财政拨款</c:v>
                </c:pt>
              </c:strCache>
            </c:strRef>
          </c:tx>
          <c:invertIfNegative val="0"/>
          <c:dLbls>
            <c:delete val="1"/>
          </c:dLbls>
          <c:cat>
            <c:strRef>
              <c:f>Sheet1!$A$2</c:f>
              <c:strCache>
                <c:ptCount val="1"/>
                <c:pt idx="0">
                  <c:v>财政拨款收入情况表</c:v>
                </c:pt>
              </c:strCache>
            </c:strRef>
          </c:cat>
          <c:val>
            <c:numRef>
              <c:f>Sheet1!$C$2</c:f>
              <c:numCache>
                <c:formatCode>General</c:formatCode>
                <c:ptCount val="1"/>
                <c:pt idx="0">
                  <c:v>2559.57</c:v>
                </c:pt>
              </c:numCache>
            </c:numRef>
          </c:val>
        </c:ser>
        <c:dLbls>
          <c:showLegendKey val="0"/>
          <c:showVal val="0"/>
          <c:showCatName val="0"/>
          <c:showSerName val="0"/>
          <c:showPercent val="0"/>
          <c:showBubbleSize val="0"/>
        </c:dLbls>
        <c:gapWidth val="150"/>
        <c:axId val="40976384"/>
        <c:axId val="40977920"/>
      </c:barChart>
      <c:catAx>
        <c:axId val="409763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77920"/>
        <c:crosses val="autoZero"/>
        <c:auto val="1"/>
        <c:lblAlgn val="ctr"/>
        <c:lblOffset val="100"/>
        <c:noMultiLvlLbl val="0"/>
      </c:catAx>
      <c:valAx>
        <c:axId val="40977920"/>
        <c:scaling>
          <c:orientation val="minMax"/>
          <c:max val="5000"/>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76384"/>
        <c:crosses val="autoZero"/>
        <c:crossBetween val="between"/>
        <c:majorUnit val="50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2019年财政拨款支出</c:v>
                </c:pt>
              </c:strCache>
            </c:strRef>
          </c:tx>
          <c:invertIfNegative val="0"/>
          <c:dLbls>
            <c:delete val="1"/>
          </c:dLbls>
          <c:cat>
            <c:strRef>
              <c:f>Sheet1!$A$2</c:f>
              <c:strCache>
                <c:ptCount val="1"/>
                <c:pt idx="0">
                  <c:v>财政拨款支出情况表</c:v>
                </c:pt>
              </c:strCache>
            </c:strRef>
          </c:cat>
          <c:val>
            <c:numRef>
              <c:f>Sheet1!$B$2</c:f>
              <c:numCache>
                <c:formatCode>General</c:formatCode>
                <c:ptCount val="1"/>
                <c:pt idx="0">
                  <c:v>2537.58</c:v>
                </c:pt>
              </c:numCache>
            </c:numRef>
          </c:val>
        </c:ser>
        <c:ser>
          <c:idx val="1"/>
          <c:order val="1"/>
          <c:tx>
            <c:strRef>
              <c:f>Sheet1!$C$1</c:f>
              <c:strCache>
                <c:ptCount val="1"/>
                <c:pt idx="0">
                  <c:v>2020年财政拨款支出</c:v>
                </c:pt>
              </c:strCache>
            </c:strRef>
          </c:tx>
          <c:invertIfNegative val="0"/>
          <c:dLbls>
            <c:delete val="1"/>
          </c:dLbls>
          <c:cat>
            <c:strRef>
              <c:f>Sheet1!$A$2</c:f>
              <c:strCache>
                <c:ptCount val="1"/>
                <c:pt idx="0">
                  <c:v>财政拨款支出情况表</c:v>
                </c:pt>
              </c:strCache>
            </c:strRef>
          </c:cat>
          <c:val>
            <c:numRef>
              <c:f>Sheet1!$C$2</c:f>
              <c:numCache>
                <c:formatCode>General</c:formatCode>
                <c:ptCount val="1"/>
                <c:pt idx="0">
                  <c:v>2294.73</c:v>
                </c:pt>
              </c:numCache>
            </c:numRef>
          </c:val>
        </c:ser>
        <c:dLbls>
          <c:showLegendKey val="0"/>
          <c:showVal val="0"/>
          <c:showCatName val="0"/>
          <c:showSerName val="0"/>
          <c:showPercent val="0"/>
          <c:showBubbleSize val="0"/>
        </c:dLbls>
        <c:gapWidth val="150"/>
        <c:axId val="14317056"/>
        <c:axId val="14318592"/>
      </c:barChart>
      <c:catAx>
        <c:axId val="143170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18592"/>
        <c:crosses val="autoZero"/>
        <c:auto val="1"/>
        <c:lblAlgn val="ctr"/>
        <c:lblOffset val="100"/>
        <c:noMultiLvlLbl val="0"/>
      </c:catAx>
      <c:valAx>
        <c:axId val="14318592"/>
        <c:scaling>
          <c:orientation val="minMax"/>
          <c:max val="3000"/>
          <c:min val="1000"/>
        </c:scaling>
        <c:delete val="0"/>
        <c:axPos val="l"/>
        <c:majorGridlines/>
        <c:numFmt formatCode="#,##0.00;[Red]\-#,##0.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17056"/>
        <c:crosses val="autoZero"/>
        <c:crossBetween val="between"/>
        <c:majorUnit val="500"/>
        <c:minorUnit val="50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总支出</c:v>
                </c:pt>
              </c:strCache>
            </c:strRef>
          </c:tx>
          <c:invertIfNegative val="0"/>
          <c:dLbls>
            <c:delete val="1"/>
          </c:dLbls>
          <c:cat>
            <c:strRef>
              <c:f>Sheet1!$A$2</c:f>
              <c:strCache>
                <c:ptCount val="1"/>
                <c:pt idx="0">
                  <c:v>2020年支出情况表</c:v>
                </c:pt>
              </c:strCache>
            </c:strRef>
          </c:cat>
          <c:val>
            <c:numRef>
              <c:f>Sheet1!$B$2</c:f>
              <c:numCache>
                <c:formatCode>General</c:formatCode>
                <c:ptCount val="1"/>
                <c:pt idx="0">
                  <c:v>2975.26</c:v>
                </c:pt>
              </c:numCache>
            </c:numRef>
          </c:val>
        </c:ser>
        <c:ser>
          <c:idx val="1"/>
          <c:order val="1"/>
          <c:tx>
            <c:strRef>
              <c:f>Sheet1!$C$1</c:f>
              <c:strCache>
                <c:ptCount val="1"/>
                <c:pt idx="0">
                  <c:v>财政拨款支出</c:v>
                </c:pt>
              </c:strCache>
            </c:strRef>
          </c:tx>
          <c:invertIfNegative val="0"/>
          <c:dLbls>
            <c:delete val="1"/>
          </c:dLbls>
          <c:cat>
            <c:strRef>
              <c:f>Sheet1!$A$2</c:f>
              <c:strCache>
                <c:ptCount val="1"/>
                <c:pt idx="0">
                  <c:v>2020年支出情况表</c:v>
                </c:pt>
              </c:strCache>
            </c:strRef>
          </c:cat>
          <c:val>
            <c:numRef>
              <c:f>Sheet1!$C$2</c:f>
              <c:numCache>
                <c:formatCode>General</c:formatCode>
                <c:ptCount val="1"/>
                <c:pt idx="0">
                  <c:v>2230.12</c:v>
                </c:pt>
              </c:numCache>
            </c:numRef>
          </c:val>
        </c:ser>
        <c:dLbls>
          <c:showLegendKey val="0"/>
          <c:showVal val="0"/>
          <c:showCatName val="0"/>
          <c:showSerName val="0"/>
          <c:showPercent val="0"/>
          <c:showBubbleSize val="0"/>
        </c:dLbls>
        <c:gapWidth val="150"/>
        <c:axId val="14302208"/>
        <c:axId val="40964864"/>
      </c:barChart>
      <c:catAx>
        <c:axId val="143022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64864"/>
        <c:crosses val="autoZero"/>
        <c:auto val="1"/>
        <c:lblAlgn val="ctr"/>
        <c:lblOffset val="100"/>
        <c:noMultiLvlLbl val="0"/>
      </c:catAx>
      <c:valAx>
        <c:axId val="409648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022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AEC844-4F2E-45C8-A76F-A7956604A40A}">
  <ds:schemaRefs/>
</ds:datastoreItem>
</file>

<file path=docProps/app.xml><?xml version="1.0" encoding="utf-8"?>
<Properties xmlns="http://schemas.openxmlformats.org/officeDocument/2006/extended-properties" xmlns:vt="http://schemas.openxmlformats.org/officeDocument/2006/docPropsVTypes">
  <Template>Normal</Template>
  <Pages>28</Pages>
  <Words>1732</Words>
  <Characters>9877</Characters>
  <Lines>82</Lines>
  <Paragraphs>23</Paragraphs>
  <TotalTime>0</TotalTime>
  <ScaleCrop>false</ScaleCrop>
  <LinksUpToDate>false</LinksUpToDate>
  <CharactersWithSpaces>11586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风平浪静</cp:lastModifiedBy>
  <cp:lastPrinted>2021-11-05T07:13:00Z</cp:lastPrinted>
  <dcterms:modified xsi:type="dcterms:W3CDTF">2021-12-03T09:37:07Z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9A12013AD27A4DB4B2B93ADD2B4AE959</vt:lpwstr>
  </property>
</Properties>
</file>