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微软雅黑" w:cs="微软雅黑"/>
          <w:b w:val="0"/>
          <w:bCs w:val="0"/>
          <w:i w:val="0"/>
          <w:iCs w:val="0"/>
          <w:caps w:val="0"/>
          <w:color w:val="333333"/>
          <w:spacing w:val="0"/>
          <w:sz w:val="44"/>
          <w:szCs w:val="44"/>
          <w:shd w:val="clear" w:fill="FFFFFF"/>
        </w:rPr>
      </w:pPr>
      <w:r>
        <w:rPr>
          <w:rFonts w:hint="default" w:ascii="Times New Roman" w:hAnsi="Times New Roman" w:eastAsia="微软雅黑" w:cs="微软雅黑"/>
          <w:b w:val="0"/>
          <w:bCs w:val="0"/>
          <w:i w:val="0"/>
          <w:iCs w:val="0"/>
          <w:caps w:val="0"/>
          <w:color w:val="333333"/>
          <w:spacing w:val="0"/>
          <w:sz w:val="44"/>
          <w:szCs w:val="44"/>
          <w:shd w:val="clear" w:fill="FFFFFF"/>
          <w:lang w:eastAsia="zh-CN"/>
        </w:rPr>
        <w:t>建章路街道</w:t>
      </w:r>
      <w:r>
        <w:rPr>
          <w:rFonts w:hint="default" w:ascii="Times New Roman" w:hAnsi="Times New Roman" w:eastAsia="微软雅黑" w:cs="微软雅黑"/>
          <w:b w:val="0"/>
          <w:bCs w:val="0"/>
          <w:i w:val="0"/>
          <w:iCs w:val="0"/>
          <w:caps w:val="0"/>
          <w:color w:val="333333"/>
          <w:spacing w:val="0"/>
          <w:sz w:val="44"/>
          <w:szCs w:val="44"/>
          <w:shd w:val="clear" w:fill="FFFFFF"/>
        </w:rPr>
        <w:t>事处2021年度政府信息公开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微软雅黑" w:cs="微软雅黑"/>
          <w:b w:val="0"/>
          <w:bCs w:val="0"/>
          <w:i w:val="0"/>
          <w:iCs w:val="0"/>
          <w:caps w:val="0"/>
          <w:color w:val="333333"/>
          <w:spacing w:val="0"/>
          <w:sz w:val="44"/>
          <w:szCs w:val="44"/>
        </w:rPr>
      </w:pPr>
      <w:r>
        <w:rPr>
          <w:rFonts w:hint="default" w:ascii="Times New Roman" w:hAnsi="Times New Roman" w:eastAsia="微软雅黑" w:cs="微软雅黑"/>
          <w:b w:val="0"/>
          <w:bCs w:val="0"/>
          <w:i w:val="0"/>
          <w:iCs w:val="0"/>
          <w:caps w:val="0"/>
          <w:color w:val="333333"/>
          <w:spacing w:val="0"/>
          <w:sz w:val="44"/>
          <w:szCs w:val="44"/>
          <w:shd w:val="clear" w:fill="FFFFFF"/>
        </w:rPr>
        <w:t>工作年度报告</w:t>
      </w:r>
    </w:p>
    <w:p>
      <w:pPr>
        <w:ind w:firstLine="640"/>
        <w:rPr>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Times New Roman" w:hAnsi="Times New Roman" w:eastAsia="仿宋_GB2312" w:cs="仿宋_GB2312"/>
          <w:color w:val="2B2B2B"/>
          <w:kern w:val="0"/>
          <w:sz w:val="32"/>
          <w:szCs w:val="32"/>
          <w:lang w:val="en-US" w:eastAsia="zh-CN" w:bidi="ar-SA"/>
        </w:rPr>
      </w:pPr>
      <w:r>
        <w:rPr>
          <w:rFonts w:hint="eastAsia" w:ascii="Times New Roman" w:hAnsi="Times New Roman" w:eastAsia="仿宋_GB2312" w:cs="仿宋_GB2312"/>
          <w:color w:val="2B2B2B"/>
          <w:kern w:val="0"/>
          <w:sz w:val="32"/>
          <w:szCs w:val="32"/>
          <w:lang w:val="en-US" w:eastAsia="zh-CN" w:bidi="ar-SA"/>
        </w:rPr>
        <w:t>依据《中华人民共和国政府信息公开条例》（以下称《条例》）第五十条的相关要求，建章路街道按照沣东新城管理委员会《关于信息公开工作年度报告有关事项的通知》文件精神，结合工作实际，对建章路街道办事处2021年度政府信息公开工作总体情况报告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微软雅黑" w:hAnsi="微软雅黑" w:eastAsia="微软雅黑" w:cs="微软雅黑"/>
          <w:b/>
          <w:bCs/>
          <w:i w:val="0"/>
          <w:iCs w:val="0"/>
          <w:caps w:val="0"/>
          <w:color w:val="333333"/>
          <w:spacing w:val="0"/>
          <w:sz w:val="27"/>
          <w:szCs w:val="27"/>
        </w:rPr>
      </w:pPr>
      <w:r>
        <w:rPr>
          <w:rFonts w:hint="eastAsia" w:ascii="微软雅黑" w:hAnsi="微软雅黑" w:eastAsia="微软雅黑" w:cs="微软雅黑"/>
          <w:b/>
          <w:bCs/>
          <w:i w:val="0"/>
          <w:iCs w:val="0"/>
          <w:caps w:val="0"/>
          <w:color w:val="333333"/>
          <w:spacing w:val="0"/>
          <w:sz w:val="27"/>
          <w:szCs w:val="27"/>
          <w:shd w:val="clear" w:fill="FFFFFF"/>
        </w:rPr>
        <w:t>一、总体概述：</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eastAsia" w:ascii="Times New Roman" w:hAnsi="Times New Roman" w:eastAsia="仿宋_GB2312" w:cs="仿宋_GB2312"/>
          <w:color w:val="2B2B2B"/>
          <w:kern w:val="0"/>
          <w:sz w:val="32"/>
          <w:szCs w:val="32"/>
        </w:rPr>
      </w:pPr>
      <w:r>
        <w:rPr>
          <w:rFonts w:hint="eastAsia" w:ascii="Times New Roman" w:hAnsi="Times New Roman" w:eastAsia="仿宋_GB2312" w:cs="仿宋_GB2312"/>
          <w:color w:val="2B2B2B"/>
          <w:kern w:val="0"/>
          <w:sz w:val="32"/>
          <w:szCs w:val="32"/>
        </w:rPr>
        <w:t>20</w:t>
      </w:r>
      <w:r>
        <w:rPr>
          <w:rFonts w:hint="eastAsia" w:ascii="Times New Roman" w:hAnsi="Times New Roman" w:eastAsia="仿宋_GB2312" w:cs="仿宋_GB2312"/>
          <w:color w:val="2B2B2B"/>
          <w:kern w:val="0"/>
          <w:sz w:val="32"/>
          <w:szCs w:val="32"/>
          <w:lang w:val="en-US" w:eastAsia="zh-CN"/>
        </w:rPr>
        <w:t>21</w:t>
      </w:r>
      <w:r>
        <w:rPr>
          <w:rFonts w:hint="eastAsia" w:ascii="Times New Roman" w:hAnsi="Times New Roman" w:eastAsia="仿宋_GB2312" w:cs="仿宋_GB2312"/>
          <w:color w:val="2B2B2B"/>
          <w:kern w:val="0"/>
          <w:sz w:val="32"/>
          <w:szCs w:val="32"/>
        </w:rPr>
        <w:t>年，建章路街道街道办事处政府信息公开严格按照《中华人民共和国政府信息公开条例》要求，坚持依法行政，突出重点领域信息公开力度，不断增强政府工作透明度，切实保障了人民群众的知情权、参与权和监督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Times New Roman" w:hAnsi="Times New Roman" w:eastAsia="仿宋_GB2312" w:cs="仿宋_GB2312"/>
          <w:b/>
          <w:bCs/>
          <w:color w:val="2B2B2B"/>
          <w:kern w:val="0"/>
          <w:sz w:val="32"/>
          <w:szCs w:val="32"/>
          <w:lang w:val="en-US" w:eastAsia="zh-CN" w:bidi="ar-SA"/>
        </w:rPr>
      </w:pPr>
      <w:r>
        <w:rPr>
          <w:rFonts w:hint="eastAsia" w:ascii="Times New Roman" w:hAnsi="Times New Roman" w:eastAsia="仿宋_GB2312" w:cs="仿宋_GB2312"/>
          <w:b/>
          <w:bCs/>
          <w:color w:val="2B2B2B"/>
          <w:kern w:val="0"/>
          <w:sz w:val="32"/>
          <w:szCs w:val="32"/>
          <w:lang w:val="en-US" w:eastAsia="zh-CN" w:bidi="ar-SA"/>
        </w:rPr>
        <w:t>（一）主动公开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Times New Roman" w:hAnsi="Times New Roman" w:eastAsia="仿宋_GB2312" w:cs="仿宋_GB2312"/>
          <w:color w:val="2B2B2B"/>
          <w:kern w:val="0"/>
          <w:sz w:val="32"/>
          <w:szCs w:val="32"/>
          <w:lang w:val="en-US" w:eastAsia="zh-CN" w:bidi="ar-SA"/>
        </w:rPr>
      </w:pPr>
      <w:r>
        <w:rPr>
          <w:rFonts w:hint="eastAsia" w:ascii="Times New Roman" w:hAnsi="Times New Roman" w:eastAsia="仿宋_GB2312" w:cs="仿宋_GB2312"/>
          <w:color w:val="2B2B2B"/>
          <w:kern w:val="0"/>
          <w:sz w:val="32"/>
          <w:szCs w:val="32"/>
          <w:lang w:val="en-US" w:eastAsia="zh-CN" w:bidi="ar-SA"/>
        </w:rPr>
        <w:t>1、街道以沣东新城门户网站政府信息公开平台为主阵地对我街道财政预算信息等进行公开。2021年我街道主动公开重点工作信息，全面涉及街道党工委、宣传、文化、工会、安全生产等工作内容以及群众关心的焦点问题等信息。</w:t>
      </w:r>
    </w:p>
    <w:p>
      <w:pPr>
        <w:keepNext w:val="0"/>
        <w:keepLines w:val="0"/>
        <w:pageBreakBefore w:val="0"/>
        <w:widowControl/>
        <w:kinsoku/>
        <w:wordWrap/>
        <w:overflowPunct/>
        <w:topLinePunct w:val="0"/>
        <w:autoSpaceDE/>
        <w:autoSpaceDN/>
        <w:bidi w:val="0"/>
        <w:adjustRightInd/>
        <w:snapToGrid/>
        <w:spacing w:line="540" w:lineRule="exact"/>
        <w:ind w:firstLine="482"/>
        <w:jc w:val="left"/>
        <w:textAlignment w:val="auto"/>
        <w:rPr>
          <w:rFonts w:hint="eastAsia" w:ascii="Times New Roman" w:hAnsi="Times New Roman" w:eastAsia="仿宋_GB2312" w:cs="仿宋_GB2312"/>
          <w:color w:val="2B2B2B"/>
          <w:kern w:val="0"/>
          <w:sz w:val="32"/>
          <w:szCs w:val="32"/>
        </w:rPr>
      </w:pPr>
      <w:r>
        <w:rPr>
          <w:rFonts w:hint="eastAsia" w:ascii="Times New Roman" w:hAnsi="Times New Roman" w:eastAsia="仿宋_GB2312" w:cs="仿宋_GB2312"/>
          <w:color w:val="2B2B2B"/>
          <w:kern w:val="0"/>
          <w:sz w:val="32"/>
          <w:szCs w:val="32"/>
          <w:lang w:val="en-US" w:eastAsia="zh-CN" w:bidi="ar-SA"/>
        </w:rPr>
        <w:t>2、2021年街道不断加强主动发布机制，扩大公开范围，细化公开内容，拓展公开渠道。通过沣东政务网站、政务公开专区及街道微信公众号等多形式多层次多方面公开信息。通过地方政府留言板公开信息365条，受理</w:t>
      </w:r>
      <w:r>
        <w:rPr>
          <w:rFonts w:hint="eastAsia" w:ascii="Times New Roman" w:hAnsi="Times New Roman" w:eastAsia="仿宋_GB2312" w:cs="仿宋_GB2312"/>
          <w:color w:val="2B2B2B"/>
          <w:kern w:val="0"/>
          <w:sz w:val="32"/>
          <w:szCs w:val="32"/>
        </w:rPr>
        <w:t>办理政务网领导信箱</w:t>
      </w:r>
      <w:r>
        <w:rPr>
          <w:rFonts w:hint="eastAsia" w:ascii="Times New Roman" w:hAnsi="Times New Roman" w:eastAsia="仿宋_GB2312" w:cs="仿宋_GB2312"/>
          <w:color w:val="2B2B2B"/>
          <w:kern w:val="0"/>
          <w:sz w:val="32"/>
          <w:szCs w:val="32"/>
          <w:lang w:val="en-US" w:eastAsia="zh-CN"/>
        </w:rPr>
        <w:t>15</w:t>
      </w:r>
      <w:r>
        <w:rPr>
          <w:rFonts w:hint="eastAsia" w:ascii="Times New Roman" w:hAnsi="Times New Roman" w:eastAsia="仿宋_GB2312" w:cs="仿宋_GB2312"/>
          <w:color w:val="2B2B2B"/>
          <w:kern w:val="0"/>
          <w:sz w:val="32"/>
          <w:szCs w:val="32"/>
        </w:rPr>
        <w:t>件，办结率100%。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Times New Roman" w:hAnsi="Times New Roman" w:eastAsia="仿宋_GB2312" w:cs="仿宋_GB2312"/>
          <w:b/>
          <w:bCs/>
          <w:color w:val="2B2B2B"/>
          <w:kern w:val="0"/>
          <w:sz w:val="32"/>
          <w:szCs w:val="32"/>
          <w:lang w:val="en-US" w:eastAsia="zh-CN" w:bidi="ar-SA"/>
        </w:rPr>
      </w:pPr>
      <w:r>
        <w:rPr>
          <w:rFonts w:hint="eastAsia" w:ascii="Times New Roman" w:hAnsi="Times New Roman" w:eastAsia="仿宋_GB2312" w:cs="仿宋_GB2312"/>
          <w:b/>
          <w:bCs/>
          <w:color w:val="2B2B2B"/>
          <w:kern w:val="0"/>
          <w:sz w:val="32"/>
          <w:szCs w:val="32"/>
          <w:lang w:val="en-US" w:eastAsia="zh-CN" w:bidi="ar-SA"/>
        </w:rPr>
        <w:t>（二）依申请公开</w:t>
      </w:r>
    </w:p>
    <w:p>
      <w:pPr>
        <w:keepNext w:val="0"/>
        <w:keepLines w:val="0"/>
        <w:pageBreakBefore w:val="0"/>
        <w:widowControl/>
        <w:kinsoku/>
        <w:wordWrap/>
        <w:overflowPunct/>
        <w:topLinePunct w:val="0"/>
        <w:autoSpaceDE/>
        <w:autoSpaceDN/>
        <w:bidi w:val="0"/>
        <w:adjustRightInd/>
        <w:snapToGrid/>
        <w:spacing w:line="540" w:lineRule="exact"/>
        <w:ind w:firstLine="482"/>
        <w:jc w:val="left"/>
        <w:textAlignment w:val="auto"/>
        <w:rPr>
          <w:rFonts w:hint="eastAsia" w:ascii="Times New Roman" w:hAnsi="Times New Roman" w:eastAsia="仿宋_GB2312" w:cs="仿宋_GB2312"/>
          <w:color w:val="2B2B2B"/>
          <w:kern w:val="0"/>
          <w:sz w:val="32"/>
          <w:szCs w:val="32"/>
        </w:rPr>
      </w:pPr>
      <w:r>
        <w:rPr>
          <w:rFonts w:hint="eastAsia" w:ascii="Times New Roman" w:hAnsi="Times New Roman" w:eastAsia="仿宋_GB2312" w:cs="仿宋_GB2312"/>
          <w:color w:val="2B2B2B"/>
          <w:kern w:val="0"/>
          <w:sz w:val="32"/>
          <w:szCs w:val="32"/>
          <w:lang w:val="en-US" w:eastAsia="zh-CN" w:bidi="ar-SA"/>
        </w:rPr>
        <w:t>1、依法依规、及时妥善地办理公众提交的政府信息公开申请情况，应对处理行政复议和行政诉讼的情况，全年</w:t>
      </w:r>
      <w:r>
        <w:rPr>
          <w:rFonts w:hint="eastAsia" w:ascii="Times New Roman" w:hAnsi="Times New Roman" w:eastAsia="仿宋_GB2312" w:cs="仿宋_GB2312"/>
          <w:color w:val="2B2B2B"/>
          <w:kern w:val="0"/>
          <w:sz w:val="32"/>
          <w:szCs w:val="32"/>
        </w:rPr>
        <w:t>未接到提出公开政府信息的申请。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Times New Roman" w:hAnsi="Times New Roman" w:eastAsia="仿宋_GB2312" w:cs="仿宋_GB2312"/>
          <w:color w:val="2B2B2B"/>
          <w:kern w:val="0"/>
          <w:sz w:val="32"/>
          <w:szCs w:val="32"/>
          <w:lang w:val="en-US" w:eastAsia="zh-CN" w:bidi="ar-SA"/>
        </w:rPr>
      </w:pPr>
      <w:r>
        <w:rPr>
          <w:rFonts w:hint="eastAsia" w:ascii="Times New Roman" w:hAnsi="Times New Roman" w:eastAsia="仿宋_GB2312" w:cs="仿宋_GB2312"/>
          <w:color w:val="2B2B2B"/>
          <w:kern w:val="0"/>
          <w:sz w:val="32"/>
          <w:szCs w:val="32"/>
          <w:lang w:val="en-US" w:eastAsia="zh-CN" w:bidi="ar-SA"/>
        </w:rPr>
        <w:t>2.依申请公开收费情况，2021年度我街道未收到申请人提出的依申请公开收费申请。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Times New Roman" w:hAnsi="Times New Roman" w:eastAsia="仿宋_GB2312" w:cs="仿宋_GB2312"/>
          <w:b/>
          <w:bCs/>
          <w:color w:val="2B2B2B"/>
          <w:kern w:val="0"/>
          <w:sz w:val="32"/>
          <w:szCs w:val="32"/>
          <w:lang w:val="en-US" w:eastAsia="zh-CN" w:bidi="ar-SA"/>
        </w:rPr>
      </w:pPr>
      <w:r>
        <w:rPr>
          <w:rFonts w:hint="eastAsia" w:ascii="Times New Roman" w:hAnsi="Times New Roman" w:eastAsia="仿宋_GB2312" w:cs="仿宋_GB2312"/>
          <w:b/>
          <w:bCs/>
          <w:color w:val="2B2B2B"/>
          <w:kern w:val="0"/>
          <w:sz w:val="32"/>
          <w:szCs w:val="32"/>
          <w:lang w:val="en-US" w:eastAsia="zh-CN" w:bidi="ar-SA"/>
        </w:rPr>
        <w:t>（三）政府信息管理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Times New Roman" w:hAnsi="Times New Roman" w:eastAsia="仿宋_GB2312" w:cs="仿宋_GB2312"/>
          <w:color w:val="2B2B2B"/>
          <w:kern w:val="0"/>
          <w:sz w:val="32"/>
          <w:szCs w:val="32"/>
          <w:lang w:val="en-US" w:eastAsia="zh-CN" w:bidi="ar-SA"/>
        </w:rPr>
      </w:pPr>
      <w:r>
        <w:rPr>
          <w:rFonts w:hint="eastAsia" w:ascii="Times New Roman" w:hAnsi="Times New Roman" w:eastAsia="仿宋_GB2312" w:cs="仿宋_GB2312"/>
          <w:color w:val="2B2B2B"/>
          <w:kern w:val="0"/>
          <w:sz w:val="32"/>
          <w:szCs w:val="32"/>
          <w:lang w:val="en-US" w:eastAsia="zh-CN" w:bidi="ar-SA"/>
        </w:rPr>
        <w:t>2021年街道加强政府信息公开日常管理工作，做好公开、更新、监督等各环节工作。此外，街道逐步开展重要政府信息解读，主动回应社会关切，对涉及民生、专业性强、公众关注度高的规范性文件、重大决定等政府信息进行解读，方便公众理解重要的政府信息。坚持正面引导舆论，切实做好社会关切事项回应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Times New Roman" w:hAnsi="Times New Roman" w:eastAsia="仿宋_GB2312" w:cs="仿宋_GB2312"/>
          <w:b/>
          <w:bCs/>
          <w:color w:val="2B2B2B"/>
          <w:kern w:val="0"/>
          <w:sz w:val="32"/>
          <w:szCs w:val="32"/>
          <w:lang w:val="en-US" w:eastAsia="zh-CN" w:bidi="ar-SA"/>
        </w:rPr>
      </w:pPr>
      <w:r>
        <w:rPr>
          <w:rFonts w:hint="eastAsia" w:ascii="Times New Roman" w:hAnsi="Times New Roman" w:eastAsia="仿宋_GB2312" w:cs="仿宋_GB2312"/>
          <w:b/>
          <w:bCs/>
          <w:color w:val="2B2B2B"/>
          <w:kern w:val="0"/>
          <w:sz w:val="32"/>
          <w:szCs w:val="32"/>
          <w:lang w:val="en-US" w:eastAsia="zh-CN" w:bidi="ar-SA"/>
        </w:rPr>
        <w:t>（四）平台建设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Times New Roman" w:hAnsi="Times New Roman" w:eastAsia="仿宋_GB2312" w:cs="仿宋_GB2312"/>
          <w:color w:val="2B2B2B"/>
          <w:kern w:val="0"/>
          <w:sz w:val="32"/>
          <w:szCs w:val="32"/>
          <w:lang w:val="en-US" w:eastAsia="zh-CN" w:bidi="ar-SA"/>
        </w:rPr>
      </w:pPr>
      <w:r>
        <w:rPr>
          <w:rFonts w:hint="eastAsia" w:ascii="Times New Roman" w:hAnsi="Times New Roman" w:eastAsia="仿宋_GB2312" w:cs="仿宋_GB2312"/>
          <w:color w:val="2B2B2B"/>
          <w:kern w:val="0"/>
          <w:sz w:val="32"/>
          <w:szCs w:val="32"/>
          <w:lang w:val="en-US" w:eastAsia="zh-CN" w:bidi="ar-SA"/>
        </w:rPr>
        <w:t>2021年度街道始终坚持以沣东新城门户网站政府信息公开平台为主阵地，同时继续加强对微信公众号等新媒体建设管理。一是进一步强化微信公众号日常管理维护，对信息采集、审核、发布进行规范化，对发布信息的真实性、准确性、可靠性、时效性、适用性、合理性负责。二是进一步强化工作人员业务培训，使发布的信息既符合有关法律法规，又做到内容简洁、文字表达清晰，语言生动风趣，图文并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Times New Roman" w:hAnsi="Times New Roman" w:eastAsia="仿宋_GB2312" w:cs="仿宋_GB2312"/>
          <w:b/>
          <w:bCs/>
          <w:color w:val="2B2B2B"/>
          <w:kern w:val="0"/>
          <w:sz w:val="32"/>
          <w:szCs w:val="32"/>
          <w:lang w:val="en-US" w:eastAsia="zh-CN" w:bidi="ar-SA"/>
        </w:rPr>
      </w:pPr>
      <w:r>
        <w:rPr>
          <w:rFonts w:hint="eastAsia" w:ascii="Times New Roman" w:hAnsi="Times New Roman" w:eastAsia="仿宋_GB2312" w:cs="仿宋_GB2312"/>
          <w:b/>
          <w:bCs/>
          <w:color w:val="2B2B2B"/>
          <w:kern w:val="0"/>
          <w:sz w:val="32"/>
          <w:szCs w:val="32"/>
          <w:lang w:val="en-US" w:eastAsia="zh-CN" w:bidi="ar-SA"/>
        </w:rPr>
        <w:t>（五）监督保障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eastAsia" w:ascii="Times New Roman" w:hAnsi="Times New Roman" w:eastAsia="仿宋_GB2312" w:cs="仿宋_GB2312"/>
          <w:color w:val="2B2B2B"/>
          <w:kern w:val="0"/>
          <w:sz w:val="32"/>
          <w:szCs w:val="32"/>
          <w:lang w:val="en-US" w:eastAsia="zh-CN" w:bidi="ar-SA"/>
        </w:rPr>
      </w:pPr>
      <w:r>
        <w:rPr>
          <w:rFonts w:hint="eastAsia" w:ascii="Times New Roman" w:hAnsi="Times New Roman" w:eastAsia="仿宋_GB2312" w:cs="仿宋_GB2312"/>
          <w:color w:val="2B2B2B"/>
          <w:kern w:val="0"/>
          <w:sz w:val="32"/>
          <w:szCs w:val="32"/>
          <w:lang w:val="en-US" w:eastAsia="zh-CN" w:bidi="ar-SA"/>
        </w:rPr>
        <w:t>街道为做好信息公开监督管理保障工作，加强政府信息公开前的审查力度，特别是做好对公开内容表述，避免发生信息发布失实、失信、影响社会稳定等问题。依法保护好相关人员个人隐私，公开方式和范围合理恰当。</w:t>
      </w:r>
    </w:p>
    <w:p>
      <w:pPr>
        <w:pStyle w:val="2"/>
        <w:keepNext w:val="0"/>
        <w:keepLines w:val="0"/>
        <w:pageBreakBefore w:val="0"/>
        <w:widowControl w:val="0"/>
        <w:numPr>
          <w:ilvl w:val="0"/>
          <w:numId w:val="1"/>
        </w:numPr>
        <w:kinsoku/>
        <w:wordWrap/>
        <w:overflowPunct/>
        <w:topLinePunct w:val="0"/>
        <w:autoSpaceDE/>
        <w:autoSpaceDN/>
        <w:bidi w:val="0"/>
        <w:adjustRightInd/>
        <w:snapToGrid/>
        <w:spacing w:after="0" w:line="560" w:lineRule="exact"/>
        <w:ind w:left="-10" w:leftChars="0" w:firstLine="640" w:firstLineChars="0"/>
        <w:textAlignment w:val="auto"/>
        <w:rPr>
          <w:rFonts w:hint="eastAsia" w:ascii="黑体" w:hAnsi="黑体" w:eastAsia="黑体" w:cs="黑体"/>
          <w:i w:val="0"/>
          <w:iCs w:val="0"/>
          <w:caps w:val="0"/>
          <w:color w:val="auto"/>
          <w:spacing w:val="0"/>
          <w:sz w:val="32"/>
          <w:szCs w:val="32"/>
          <w:shd w:val="clear" w:fill="FFFFFF"/>
        </w:rPr>
      </w:pPr>
      <w:r>
        <w:rPr>
          <w:rFonts w:hint="eastAsia" w:ascii="黑体" w:hAnsi="黑体" w:eastAsia="黑体" w:cs="黑体"/>
          <w:i w:val="0"/>
          <w:iCs w:val="0"/>
          <w:caps w:val="0"/>
          <w:color w:val="auto"/>
          <w:spacing w:val="0"/>
          <w:sz w:val="32"/>
          <w:szCs w:val="32"/>
          <w:shd w:val="clear" w:fill="FFFFFF"/>
        </w:rPr>
        <w:t>主动公开政府信息情况汇总表</w:t>
      </w:r>
    </w:p>
    <w:tbl>
      <w:tblPr>
        <w:tblStyle w:val="5"/>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both"/>
              <w:rPr>
                <w:rFonts w:ascii="宋体" w:hAnsi="宋体" w:cs="宋体"/>
                <w:color w:val="auto"/>
                <w:kern w:val="0"/>
                <w:sz w:val="24"/>
                <w:szCs w:val="24"/>
              </w:rPr>
            </w:pPr>
            <w:r>
              <w:rPr>
                <w:rFonts w:hint="eastAsia" w:ascii="宋体" w:hAnsi="宋体" w:cs="宋体"/>
                <w:color w:val="auto"/>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both"/>
              <w:rPr>
                <w:rFonts w:ascii="宋体" w:hAnsi="宋体" w:cs="宋体"/>
                <w:color w:val="auto"/>
                <w:kern w:val="0"/>
                <w:sz w:val="24"/>
                <w:szCs w:val="24"/>
              </w:rPr>
            </w:pPr>
            <w:r>
              <w:rPr>
                <w:rFonts w:hint="eastAsia" w:ascii="宋体" w:hAnsi="宋体" w:cs="宋体"/>
                <w:color w:val="auto"/>
                <w:kern w:val="0"/>
                <w:sz w:val="20"/>
                <w:szCs w:val="20"/>
              </w:rPr>
              <w:t>信息内容</w:t>
            </w:r>
          </w:p>
        </w:tc>
        <w:tc>
          <w:tcPr>
            <w:tcW w:w="2435"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both"/>
              <w:rPr>
                <w:rFonts w:ascii="宋体" w:hAnsi="宋体" w:cs="宋体"/>
                <w:color w:val="auto"/>
                <w:kern w:val="0"/>
                <w:sz w:val="24"/>
                <w:szCs w:val="24"/>
              </w:rPr>
            </w:pPr>
            <w:r>
              <w:rPr>
                <w:rFonts w:hint="eastAsia" w:ascii="宋体" w:hAnsi="宋体" w:cs="宋体"/>
                <w:color w:val="auto"/>
                <w:kern w:val="0"/>
                <w:sz w:val="20"/>
                <w:szCs w:val="20"/>
              </w:rPr>
              <w:t>本年</w:t>
            </w:r>
            <w:r>
              <w:rPr>
                <w:rFonts w:ascii="宋体" w:hAnsi="宋体" w:cs="Calibri"/>
                <w:color w:val="auto"/>
                <w:kern w:val="0"/>
                <w:sz w:val="20"/>
                <w:szCs w:val="20"/>
              </w:rPr>
              <w:t>制</w:t>
            </w:r>
            <w:r>
              <w:rPr>
                <w:rFonts w:hint="eastAsia" w:ascii="宋体" w:hAnsi="宋体" w:cs="宋体"/>
                <w:color w:val="auto"/>
                <w:kern w:val="0"/>
                <w:sz w:val="20"/>
                <w:szCs w:val="20"/>
              </w:rPr>
              <w:t>发件</w:t>
            </w:r>
            <w:r>
              <w:rPr>
                <w:rFonts w:ascii="宋体" w:hAnsi="宋体" w:cs="Calibri"/>
                <w:color w:val="auto"/>
                <w:kern w:val="0"/>
                <w:sz w:val="20"/>
                <w:szCs w:val="20"/>
              </w:rPr>
              <w:t>数</w:t>
            </w:r>
          </w:p>
        </w:tc>
        <w:tc>
          <w:tcPr>
            <w:tcW w:w="2435"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both"/>
              <w:rPr>
                <w:rFonts w:ascii="宋体" w:hAnsi="宋体" w:cs="宋体"/>
                <w:color w:val="auto"/>
                <w:kern w:val="0"/>
                <w:sz w:val="24"/>
                <w:szCs w:val="24"/>
              </w:rPr>
            </w:pPr>
            <w:r>
              <w:rPr>
                <w:rFonts w:hint="eastAsia" w:ascii="宋体" w:hAnsi="宋体" w:cs="宋体"/>
                <w:color w:val="auto"/>
                <w:kern w:val="0"/>
                <w:sz w:val="20"/>
                <w:szCs w:val="20"/>
              </w:rPr>
              <w:t>本年废止件数</w:t>
            </w:r>
          </w:p>
        </w:tc>
        <w:tc>
          <w:tcPr>
            <w:tcW w:w="2435"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both"/>
              <w:rPr>
                <w:rFonts w:ascii="宋体" w:hAnsi="宋体" w:cs="宋体"/>
                <w:color w:val="auto"/>
                <w:kern w:val="0"/>
                <w:sz w:val="24"/>
                <w:szCs w:val="24"/>
              </w:rPr>
            </w:pPr>
            <w:r>
              <w:rPr>
                <w:rFonts w:hint="eastAsia" w:ascii="宋体" w:hAnsi="宋体" w:cs="宋体"/>
                <w:color w:val="auto"/>
                <w:kern w:val="0"/>
                <w:sz w:val="20"/>
                <w:szCs w:val="20"/>
              </w:rPr>
              <w:t>现行有效件</w:t>
            </w:r>
            <w:r>
              <w:rPr>
                <w:rFonts w:ascii="宋体" w:hAnsi="宋体" w:cs="Calibri"/>
                <w:color w:val="auto"/>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both"/>
              <w:rPr>
                <w:rFonts w:ascii="宋体" w:hAnsi="宋体" w:cs="宋体"/>
                <w:color w:val="auto"/>
                <w:kern w:val="0"/>
                <w:sz w:val="24"/>
                <w:szCs w:val="24"/>
              </w:rPr>
            </w:pPr>
            <w:r>
              <w:rPr>
                <w:rFonts w:hint="eastAsia" w:ascii="宋体" w:hAnsi="宋体" w:cs="宋体"/>
                <w:color w:val="auto"/>
                <w:kern w:val="0"/>
                <w:sz w:val="20"/>
                <w:szCs w:val="20"/>
              </w:rPr>
              <w:t>规章</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both"/>
              <w:rPr>
                <w:rFonts w:hint="eastAsia" w:ascii="宋体" w:hAnsi="宋体" w:eastAsia="宋体" w:cs="宋体"/>
                <w:color w:val="auto"/>
                <w:kern w:val="0"/>
                <w:sz w:val="24"/>
                <w:szCs w:val="24"/>
                <w:lang w:val="en-US" w:eastAsia="zh-CN"/>
              </w:rPr>
            </w:pPr>
            <w:r>
              <w:rPr>
                <w:rFonts w:hint="eastAsia" w:ascii="宋体" w:hAnsi="宋体" w:cs="宋体"/>
                <w:color w:val="auto"/>
                <w:kern w:val="0"/>
                <w:sz w:val="20"/>
                <w:szCs w:val="20"/>
                <w:lang w:val="en-US" w:eastAsia="zh-C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both"/>
              <w:rPr>
                <w:rFonts w:hint="eastAsia" w:ascii="宋体" w:hAnsi="宋体" w:eastAsia="宋体" w:cs="宋体"/>
                <w:color w:val="auto"/>
                <w:kern w:val="0"/>
                <w:sz w:val="24"/>
                <w:szCs w:val="24"/>
                <w:lang w:val="en-US" w:eastAsia="zh-CN"/>
              </w:rPr>
            </w:pPr>
            <w:r>
              <w:rPr>
                <w:rFonts w:hint="eastAsia" w:ascii="宋体" w:hAnsi="宋体" w:cs="宋体"/>
                <w:color w:val="auto"/>
                <w:kern w:val="0"/>
                <w:sz w:val="20"/>
                <w:szCs w:val="20"/>
                <w:lang w:val="en-US" w:eastAsia="zh-C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both"/>
              <w:rPr>
                <w:rFonts w:hint="eastAsia" w:ascii="宋体" w:hAnsi="宋体" w:eastAsia="宋体" w:cs="宋体"/>
                <w:color w:val="auto"/>
                <w:kern w:val="0"/>
                <w:sz w:val="24"/>
                <w:szCs w:val="24"/>
                <w:lang w:val="en-US" w:eastAsia="zh-CN"/>
              </w:rPr>
            </w:pPr>
            <w:r>
              <w:rPr>
                <w:rFonts w:hint="eastAsia" w:cs="Calibri"/>
                <w:color w:val="auto"/>
                <w:kern w:val="0"/>
                <w:szCs w:val="21"/>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both"/>
              <w:rPr>
                <w:rFonts w:ascii="宋体" w:hAnsi="宋体" w:cs="宋体"/>
                <w:color w:val="auto"/>
                <w:kern w:val="0"/>
                <w:sz w:val="24"/>
                <w:szCs w:val="24"/>
              </w:rPr>
            </w:pPr>
            <w:r>
              <w:rPr>
                <w:rFonts w:hint="eastAsia" w:ascii="宋体" w:hAnsi="宋体" w:cs="宋体"/>
                <w:color w:val="auto"/>
                <w:kern w:val="0"/>
                <w:sz w:val="20"/>
                <w:szCs w:val="20"/>
              </w:rPr>
              <w:t>行政规范性文件</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both"/>
              <w:rPr>
                <w:rFonts w:hint="eastAsia" w:ascii="宋体" w:hAnsi="宋体" w:eastAsia="宋体" w:cs="宋体"/>
                <w:color w:val="auto"/>
                <w:kern w:val="0"/>
                <w:sz w:val="24"/>
                <w:szCs w:val="24"/>
                <w:lang w:val="en-US" w:eastAsia="zh-CN"/>
              </w:rPr>
            </w:pPr>
            <w:r>
              <w:rPr>
                <w:rFonts w:hint="eastAsia" w:ascii="宋体" w:hAnsi="宋体" w:cs="宋体"/>
                <w:color w:val="auto"/>
                <w:kern w:val="0"/>
                <w:sz w:val="20"/>
                <w:szCs w:val="20"/>
                <w:lang w:val="en-US" w:eastAsia="zh-C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both"/>
              <w:rPr>
                <w:rFonts w:hint="eastAsia" w:ascii="宋体" w:hAnsi="宋体" w:eastAsia="宋体" w:cs="宋体"/>
                <w:color w:val="auto"/>
                <w:kern w:val="0"/>
                <w:sz w:val="24"/>
                <w:szCs w:val="24"/>
                <w:lang w:val="en-US" w:eastAsia="zh-CN"/>
              </w:rPr>
            </w:pPr>
            <w:r>
              <w:rPr>
                <w:rFonts w:hint="eastAsia" w:ascii="宋体" w:hAnsi="宋体" w:cs="宋体"/>
                <w:color w:val="auto"/>
                <w:kern w:val="0"/>
                <w:sz w:val="20"/>
                <w:szCs w:val="20"/>
                <w:lang w:val="en-US" w:eastAsia="zh-C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both"/>
              <w:rPr>
                <w:rFonts w:hint="eastAsia" w:ascii="宋体" w:hAnsi="宋体" w:eastAsia="宋体" w:cs="宋体"/>
                <w:color w:val="auto"/>
                <w:kern w:val="0"/>
                <w:sz w:val="24"/>
                <w:szCs w:val="24"/>
                <w:lang w:val="en-US" w:eastAsia="zh-CN"/>
              </w:rPr>
            </w:pPr>
            <w:r>
              <w:rPr>
                <w:rFonts w:hint="eastAsia" w:cs="Calibri"/>
                <w:color w:val="auto"/>
                <w:kern w:val="0"/>
                <w:szCs w:val="21"/>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both"/>
              <w:rPr>
                <w:rFonts w:ascii="宋体" w:hAnsi="宋体" w:cs="宋体"/>
                <w:color w:val="auto"/>
                <w:kern w:val="0"/>
                <w:sz w:val="24"/>
                <w:szCs w:val="24"/>
              </w:rPr>
            </w:pPr>
            <w:r>
              <w:rPr>
                <w:rFonts w:hint="eastAsia" w:ascii="宋体" w:hAnsi="宋体" w:cs="宋体"/>
                <w:color w:val="auto"/>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both"/>
              <w:rPr>
                <w:rFonts w:ascii="宋体" w:hAnsi="宋体" w:cs="宋体"/>
                <w:color w:val="auto"/>
                <w:kern w:val="0"/>
                <w:sz w:val="24"/>
                <w:szCs w:val="24"/>
              </w:rPr>
            </w:pPr>
            <w:r>
              <w:rPr>
                <w:rFonts w:hint="eastAsia" w:ascii="宋体" w:hAnsi="宋体" w:cs="宋体"/>
                <w:color w:val="auto"/>
                <w:kern w:val="0"/>
                <w:sz w:val="20"/>
                <w:szCs w:val="20"/>
              </w:rPr>
              <w:t>信息内容</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both"/>
              <w:rPr>
                <w:rFonts w:ascii="宋体" w:hAnsi="宋体" w:cs="宋体"/>
                <w:color w:val="auto"/>
                <w:kern w:val="0"/>
                <w:sz w:val="24"/>
                <w:szCs w:val="24"/>
              </w:rPr>
            </w:pPr>
            <w:r>
              <w:rPr>
                <w:rFonts w:hint="eastAsia" w:ascii="宋体" w:hAnsi="宋体" w:cs="宋体"/>
                <w:color w:val="auto"/>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both"/>
              <w:rPr>
                <w:rFonts w:ascii="宋体" w:hAnsi="宋体" w:cs="宋体"/>
                <w:color w:val="auto"/>
                <w:kern w:val="0"/>
                <w:sz w:val="24"/>
                <w:szCs w:val="24"/>
              </w:rPr>
            </w:pPr>
            <w:r>
              <w:rPr>
                <w:rFonts w:hint="eastAsia" w:ascii="宋体" w:hAnsi="宋体" w:cs="宋体"/>
                <w:color w:val="auto"/>
                <w:kern w:val="0"/>
                <w:sz w:val="20"/>
                <w:szCs w:val="20"/>
              </w:rPr>
              <w:t>行政许可</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both"/>
              <w:rPr>
                <w:rFonts w:hint="eastAsia" w:ascii="宋体" w:hAnsi="宋体" w:eastAsia="宋体" w:cs="宋体"/>
                <w:color w:val="auto"/>
                <w:kern w:val="0"/>
                <w:sz w:val="24"/>
                <w:szCs w:val="24"/>
                <w:lang w:val="en-US" w:eastAsia="zh-CN"/>
              </w:rPr>
            </w:pPr>
            <w:r>
              <w:rPr>
                <w:rFonts w:hint="eastAsia" w:cs="Calibri"/>
                <w:color w:val="auto"/>
                <w:kern w:val="0"/>
                <w:szCs w:val="21"/>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both"/>
              <w:rPr>
                <w:rFonts w:ascii="宋体" w:hAnsi="宋体" w:cs="宋体"/>
                <w:color w:val="auto"/>
                <w:kern w:val="0"/>
                <w:sz w:val="24"/>
                <w:szCs w:val="24"/>
              </w:rPr>
            </w:pPr>
            <w:r>
              <w:rPr>
                <w:rFonts w:hint="eastAsia" w:ascii="宋体" w:hAnsi="宋体" w:cs="宋体"/>
                <w:color w:val="auto"/>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both"/>
              <w:rPr>
                <w:rFonts w:ascii="宋体" w:hAnsi="宋体" w:cs="宋体"/>
                <w:color w:val="auto"/>
                <w:kern w:val="0"/>
                <w:sz w:val="24"/>
                <w:szCs w:val="24"/>
              </w:rPr>
            </w:pPr>
            <w:r>
              <w:rPr>
                <w:rFonts w:hint="eastAsia" w:ascii="宋体" w:hAnsi="宋体" w:cs="宋体"/>
                <w:color w:val="auto"/>
                <w:kern w:val="0"/>
                <w:sz w:val="20"/>
                <w:szCs w:val="20"/>
              </w:rPr>
              <w:t>信息内容</w:t>
            </w:r>
          </w:p>
        </w:tc>
        <w:tc>
          <w:tcPr>
            <w:tcW w:w="7305" w:type="dxa"/>
            <w:gridSpan w:val="3"/>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both"/>
              <w:rPr>
                <w:rFonts w:ascii="宋体" w:hAnsi="宋体" w:cs="宋体"/>
                <w:color w:val="auto"/>
                <w:kern w:val="0"/>
                <w:sz w:val="24"/>
                <w:szCs w:val="24"/>
              </w:rPr>
            </w:pPr>
            <w:r>
              <w:rPr>
                <w:rFonts w:hint="eastAsia" w:ascii="宋体" w:hAnsi="宋体" w:cs="宋体"/>
                <w:color w:val="auto"/>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both"/>
              <w:rPr>
                <w:rFonts w:ascii="宋体" w:hAnsi="宋体" w:cs="宋体"/>
                <w:color w:val="auto"/>
                <w:kern w:val="0"/>
                <w:sz w:val="24"/>
                <w:szCs w:val="24"/>
              </w:rPr>
            </w:pPr>
            <w:r>
              <w:rPr>
                <w:rFonts w:hint="eastAsia" w:ascii="宋体" w:hAnsi="宋体" w:cs="宋体"/>
                <w:color w:val="auto"/>
                <w:kern w:val="0"/>
                <w:sz w:val="20"/>
                <w:szCs w:val="20"/>
              </w:rPr>
              <w:t>行政处罚</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both"/>
              <w:rPr>
                <w:rFonts w:hint="eastAsia" w:ascii="宋体" w:hAnsi="宋体" w:eastAsia="宋体" w:cs="宋体"/>
                <w:color w:val="auto"/>
                <w:kern w:val="0"/>
                <w:sz w:val="24"/>
                <w:szCs w:val="24"/>
                <w:lang w:val="en-US" w:eastAsia="zh-CN"/>
              </w:rPr>
            </w:pPr>
            <w:r>
              <w:rPr>
                <w:rFonts w:hint="eastAsia" w:ascii="宋体" w:hAnsi="宋体" w:cs="宋体"/>
                <w:color w:val="auto"/>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both"/>
              <w:rPr>
                <w:rFonts w:ascii="宋体" w:hAnsi="宋体" w:cs="宋体"/>
                <w:color w:val="auto"/>
                <w:kern w:val="0"/>
                <w:sz w:val="24"/>
                <w:szCs w:val="24"/>
              </w:rPr>
            </w:pPr>
            <w:r>
              <w:rPr>
                <w:rFonts w:hint="eastAsia" w:ascii="宋体" w:hAnsi="宋体" w:cs="宋体"/>
                <w:color w:val="auto"/>
                <w:kern w:val="0"/>
                <w:sz w:val="20"/>
                <w:szCs w:val="20"/>
              </w:rPr>
              <w:t>行政强制</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both"/>
              <w:rPr>
                <w:rFonts w:hint="eastAsia" w:ascii="宋体" w:hAnsi="宋体" w:eastAsia="宋体" w:cs="宋体"/>
                <w:color w:val="auto"/>
                <w:kern w:val="0"/>
                <w:sz w:val="24"/>
                <w:szCs w:val="24"/>
                <w:lang w:val="en-US" w:eastAsia="zh-CN"/>
              </w:rPr>
            </w:pPr>
            <w:r>
              <w:rPr>
                <w:rFonts w:hint="eastAsia" w:ascii="宋体" w:hAnsi="宋体" w:cs="宋体"/>
                <w:color w:val="auto"/>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both"/>
              <w:rPr>
                <w:rFonts w:ascii="宋体" w:hAnsi="宋体" w:cs="宋体"/>
                <w:color w:val="auto"/>
                <w:kern w:val="0"/>
                <w:sz w:val="24"/>
                <w:szCs w:val="24"/>
              </w:rPr>
            </w:pPr>
            <w:r>
              <w:rPr>
                <w:rFonts w:hint="eastAsia" w:ascii="宋体" w:hAnsi="宋体" w:cs="宋体"/>
                <w:color w:val="auto"/>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both"/>
              <w:rPr>
                <w:rFonts w:ascii="宋体" w:hAnsi="宋体" w:cs="宋体"/>
                <w:color w:val="auto"/>
                <w:kern w:val="0"/>
                <w:sz w:val="24"/>
                <w:szCs w:val="24"/>
              </w:rPr>
            </w:pPr>
            <w:r>
              <w:rPr>
                <w:rFonts w:hint="eastAsia" w:ascii="宋体" w:hAnsi="宋体" w:cs="宋体"/>
                <w:color w:val="auto"/>
                <w:kern w:val="0"/>
                <w:sz w:val="20"/>
                <w:szCs w:val="20"/>
              </w:rPr>
              <w:t>信息内容</w:t>
            </w:r>
          </w:p>
        </w:tc>
        <w:tc>
          <w:tcPr>
            <w:tcW w:w="7305" w:type="dxa"/>
            <w:gridSpan w:val="3"/>
            <w:tcBorders>
              <w:top w:val="nil"/>
              <w:left w:val="nil"/>
              <w:bottom w:val="single" w:color="auto" w:sz="8" w:space="0"/>
              <w:right w:val="single" w:color="000000" w:sz="8" w:space="0"/>
            </w:tcBorders>
            <w:noWrap w:val="0"/>
            <w:tcMar>
              <w:top w:w="0" w:type="dxa"/>
              <w:left w:w="57" w:type="dxa"/>
              <w:bottom w:w="0" w:type="dxa"/>
              <w:right w:w="57" w:type="dxa"/>
            </w:tcMar>
            <w:vAlign w:val="center"/>
          </w:tcPr>
          <w:p>
            <w:pPr>
              <w:widowControl/>
              <w:jc w:val="both"/>
              <w:rPr>
                <w:rFonts w:ascii="宋体" w:hAnsi="宋体" w:cs="宋体"/>
                <w:color w:val="auto"/>
                <w:kern w:val="0"/>
                <w:sz w:val="24"/>
                <w:szCs w:val="24"/>
              </w:rPr>
            </w:pPr>
            <w:r>
              <w:rPr>
                <w:rFonts w:hint="eastAsia" w:ascii="宋体" w:hAnsi="宋体" w:cs="宋体"/>
                <w:color w:val="auto"/>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both"/>
              <w:rPr>
                <w:rFonts w:ascii="宋体" w:hAnsi="宋体" w:cs="宋体"/>
                <w:color w:val="auto"/>
                <w:kern w:val="0"/>
                <w:sz w:val="24"/>
                <w:szCs w:val="24"/>
              </w:rPr>
            </w:pPr>
            <w:r>
              <w:rPr>
                <w:rFonts w:hint="eastAsia" w:ascii="宋体" w:hAnsi="宋体" w:cs="宋体"/>
                <w:color w:val="auto"/>
                <w:kern w:val="0"/>
                <w:sz w:val="20"/>
                <w:szCs w:val="20"/>
              </w:rPr>
              <w:t>行政事业性收费</w:t>
            </w:r>
          </w:p>
        </w:tc>
        <w:tc>
          <w:tcPr>
            <w:tcW w:w="7305" w:type="dxa"/>
            <w:gridSpan w:val="3"/>
            <w:tcBorders>
              <w:top w:val="nil"/>
              <w:left w:val="nil"/>
              <w:bottom w:val="single" w:color="auto" w:sz="8" w:space="0"/>
              <w:right w:val="single" w:color="000000" w:sz="8" w:space="0"/>
            </w:tcBorders>
            <w:noWrap w:val="0"/>
            <w:tcMar>
              <w:top w:w="0" w:type="dxa"/>
              <w:left w:w="57" w:type="dxa"/>
              <w:bottom w:w="0" w:type="dxa"/>
              <w:right w:w="57" w:type="dxa"/>
            </w:tcMar>
            <w:vAlign w:val="center"/>
          </w:tcPr>
          <w:p>
            <w:pPr>
              <w:widowControl/>
              <w:jc w:val="both"/>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0</w:t>
            </w:r>
          </w:p>
        </w:tc>
      </w:tr>
    </w:tbl>
    <w:p>
      <w:pPr>
        <w:pStyle w:val="2"/>
        <w:keepNext w:val="0"/>
        <w:keepLines w:val="0"/>
        <w:pageBreakBefore w:val="0"/>
        <w:widowControl w:val="0"/>
        <w:numPr>
          <w:ilvl w:val="0"/>
          <w:numId w:val="1"/>
        </w:numPr>
        <w:kinsoku/>
        <w:wordWrap/>
        <w:overflowPunct/>
        <w:topLinePunct w:val="0"/>
        <w:autoSpaceDE/>
        <w:autoSpaceDN/>
        <w:bidi w:val="0"/>
        <w:adjustRightInd/>
        <w:snapToGrid/>
        <w:spacing w:after="0" w:line="560" w:lineRule="exact"/>
        <w:ind w:left="-10" w:leftChars="0" w:firstLine="640" w:firstLineChars="0"/>
        <w:textAlignment w:val="auto"/>
        <w:rPr>
          <w:rFonts w:hint="eastAsia" w:ascii="黑体" w:hAnsi="黑体" w:eastAsia="黑体" w:cs="黑体"/>
          <w:bCs/>
          <w:color w:val="auto"/>
          <w:kern w:val="0"/>
          <w:sz w:val="32"/>
          <w:szCs w:val="32"/>
        </w:rPr>
      </w:pPr>
      <w:r>
        <w:rPr>
          <w:rFonts w:hint="eastAsia" w:ascii="黑体" w:hAnsi="黑体" w:eastAsia="黑体" w:cs="黑体"/>
          <w:bCs/>
          <w:color w:val="auto"/>
          <w:kern w:val="0"/>
          <w:sz w:val="32"/>
          <w:szCs w:val="32"/>
        </w:rPr>
        <w:t>收到和处理政府信息公开申请情况汇总表</w:t>
      </w:r>
    </w:p>
    <w:tbl>
      <w:tblPr>
        <w:tblStyle w:val="5"/>
        <w:tblW w:w="9748" w:type="dxa"/>
        <w:jc w:val="center"/>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inset"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color w:val="auto"/>
                <w:kern w:val="0"/>
                <w:sz w:val="24"/>
                <w:szCs w:val="24"/>
              </w:rPr>
            </w:pPr>
            <w:r>
              <w:rPr>
                <w:rFonts w:hint="eastAsia" w:ascii="楷体" w:hAnsi="楷体" w:eastAsia="楷体" w:cs="宋体"/>
                <w:color w:val="auto"/>
                <w:kern w:val="0"/>
                <w:sz w:val="20"/>
                <w:szCs w:val="20"/>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ascii="宋体" w:hAnsi="宋体" w:cs="宋体"/>
                <w:color w:val="auto"/>
                <w:kern w:val="0"/>
                <w:sz w:val="20"/>
                <w:szCs w:val="20"/>
              </w:rPr>
              <w:t>申请人情况</w:t>
            </w:r>
          </w:p>
        </w:tc>
      </w:tr>
      <w:tr>
        <w:tblPrEx>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inset" w:color="auto" w:sz="8" w:space="0"/>
              <w:right w:val="single" w:color="auto" w:sz="8" w:space="0"/>
            </w:tcBorders>
            <w:noWrap w:val="0"/>
            <w:vAlign w:val="center"/>
          </w:tcPr>
          <w:p>
            <w:pPr>
              <w:widowControl/>
              <w:jc w:val="left"/>
              <w:rPr>
                <w:rFonts w:ascii="宋体" w:hAnsi="宋体" w:cs="宋体"/>
                <w:color w:val="auto"/>
                <w:kern w:val="0"/>
                <w:sz w:val="24"/>
                <w:szCs w:val="24"/>
              </w:rPr>
            </w:pPr>
          </w:p>
        </w:tc>
        <w:tc>
          <w:tcPr>
            <w:tcW w:w="688" w:type="dxa"/>
            <w:vMerge w:val="restart"/>
            <w:tcBorders>
              <w:top w:val="single" w:color="auto" w:sz="0"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ascii="宋体" w:hAnsi="宋体" w:cs="宋体"/>
                <w:color w:val="auto"/>
                <w:kern w:val="0"/>
                <w:sz w:val="20"/>
                <w:szCs w:val="20"/>
              </w:rPr>
              <w:t>自然人</w:t>
            </w:r>
          </w:p>
        </w:tc>
        <w:tc>
          <w:tcPr>
            <w:tcW w:w="3440" w:type="dxa"/>
            <w:gridSpan w:val="5"/>
            <w:tcBorders>
              <w:top w:val="single" w:color="auto" w:sz="8"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ascii="宋体" w:hAnsi="宋体" w:cs="宋体"/>
                <w:color w:val="auto"/>
                <w:kern w:val="0"/>
                <w:sz w:val="20"/>
                <w:szCs w:val="20"/>
              </w:rPr>
              <w:t>法人或其他组织</w:t>
            </w:r>
          </w:p>
        </w:tc>
        <w:tc>
          <w:tcPr>
            <w:tcW w:w="689" w:type="dxa"/>
            <w:vMerge w:val="restart"/>
            <w:tcBorders>
              <w:top w:val="single" w:color="auto" w:sz="8"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ascii="宋体" w:hAnsi="宋体" w:cs="宋体"/>
                <w:color w:val="auto"/>
                <w:kern w:val="0"/>
                <w:sz w:val="20"/>
                <w:szCs w:val="20"/>
              </w:rPr>
              <w:t>总计</w:t>
            </w:r>
          </w:p>
        </w:tc>
      </w:tr>
      <w:tr>
        <w:tblPrEx>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inset" w:color="auto" w:sz="8" w:space="0"/>
              <w:right w:val="single" w:color="auto" w:sz="8" w:space="0"/>
            </w:tcBorders>
            <w:noWrap w:val="0"/>
            <w:vAlign w:val="center"/>
          </w:tcPr>
          <w:p>
            <w:pPr>
              <w:widowControl/>
              <w:jc w:val="left"/>
              <w:rPr>
                <w:rFonts w:ascii="宋体" w:hAnsi="宋体" w:cs="宋体"/>
                <w:color w:val="auto"/>
                <w:kern w:val="0"/>
                <w:sz w:val="24"/>
                <w:szCs w:val="24"/>
              </w:rPr>
            </w:pPr>
          </w:p>
        </w:tc>
        <w:tc>
          <w:tcPr>
            <w:tcW w:w="688" w:type="dxa"/>
            <w:vMerge w:val="continue"/>
            <w:tcBorders>
              <w:top w:val="single" w:color="auto" w:sz="0" w:space="0"/>
              <w:left w:val="single" w:color="auto" w:sz="0" w:space="0"/>
              <w:bottom w:val="single" w:color="auto" w:sz="8" w:space="0"/>
              <w:right w:val="single" w:color="auto" w:sz="8" w:space="0"/>
            </w:tcBorders>
            <w:noWrap w:val="0"/>
            <w:vAlign w:val="center"/>
          </w:tcPr>
          <w:p>
            <w:pPr>
              <w:widowControl/>
              <w:jc w:val="center"/>
              <w:rPr>
                <w:rFonts w:ascii="宋体" w:hAnsi="宋体" w:cs="宋体"/>
                <w:color w:val="auto"/>
                <w:kern w:val="0"/>
                <w:sz w:val="24"/>
                <w:szCs w:val="24"/>
              </w:rPr>
            </w:pPr>
          </w:p>
        </w:tc>
        <w:tc>
          <w:tcPr>
            <w:tcW w:w="688" w:type="dxa"/>
            <w:tcBorders>
              <w:top w:val="single" w:color="auto" w:sz="0"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ascii="宋体" w:hAnsi="宋体" w:cs="宋体"/>
                <w:color w:val="auto"/>
                <w:kern w:val="0"/>
                <w:sz w:val="20"/>
                <w:szCs w:val="20"/>
              </w:rPr>
              <w:t>商业</w:t>
            </w:r>
          </w:p>
          <w:p>
            <w:pPr>
              <w:widowControl/>
              <w:jc w:val="center"/>
              <w:rPr>
                <w:rFonts w:ascii="宋体" w:hAnsi="宋体" w:cs="宋体"/>
                <w:color w:val="auto"/>
                <w:kern w:val="0"/>
                <w:sz w:val="24"/>
                <w:szCs w:val="24"/>
              </w:rPr>
            </w:pPr>
            <w:r>
              <w:rPr>
                <w:rFonts w:hint="eastAsia" w:ascii="宋体" w:hAnsi="宋体" w:cs="宋体"/>
                <w:color w:val="auto"/>
                <w:kern w:val="0"/>
                <w:sz w:val="20"/>
                <w:szCs w:val="20"/>
              </w:rPr>
              <w:t>企业</w:t>
            </w:r>
          </w:p>
        </w:tc>
        <w:tc>
          <w:tcPr>
            <w:tcW w:w="688" w:type="dxa"/>
            <w:tcBorders>
              <w:top w:val="single" w:color="auto" w:sz="0"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ascii="宋体" w:hAnsi="宋体" w:cs="宋体"/>
                <w:color w:val="auto"/>
                <w:kern w:val="0"/>
                <w:sz w:val="20"/>
                <w:szCs w:val="20"/>
              </w:rPr>
              <w:t>科研</w:t>
            </w:r>
          </w:p>
          <w:p>
            <w:pPr>
              <w:widowControl/>
              <w:jc w:val="center"/>
              <w:rPr>
                <w:rFonts w:ascii="宋体" w:hAnsi="宋体" w:cs="宋体"/>
                <w:color w:val="auto"/>
                <w:kern w:val="0"/>
                <w:sz w:val="24"/>
                <w:szCs w:val="24"/>
              </w:rPr>
            </w:pPr>
            <w:r>
              <w:rPr>
                <w:rFonts w:hint="eastAsia" w:ascii="宋体" w:hAnsi="宋体" w:cs="宋体"/>
                <w:color w:val="auto"/>
                <w:kern w:val="0"/>
                <w:sz w:val="20"/>
                <w:szCs w:val="20"/>
              </w:rPr>
              <w:t>机构</w:t>
            </w:r>
          </w:p>
        </w:tc>
        <w:tc>
          <w:tcPr>
            <w:tcW w:w="688" w:type="dxa"/>
            <w:tcBorders>
              <w:top w:val="single" w:color="auto" w:sz="8"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ascii="宋体" w:hAnsi="宋体" w:cs="宋体"/>
                <w:color w:val="auto"/>
                <w:kern w:val="0"/>
                <w:sz w:val="20"/>
                <w:szCs w:val="20"/>
              </w:rPr>
              <w:t>社会公益组织</w:t>
            </w:r>
          </w:p>
        </w:tc>
        <w:tc>
          <w:tcPr>
            <w:tcW w:w="688" w:type="dxa"/>
            <w:tcBorders>
              <w:top w:val="single" w:color="auto" w:sz="8"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ascii="宋体" w:hAnsi="宋体" w:cs="宋体"/>
                <w:color w:val="auto"/>
                <w:kern w:val="0"/>
                <w:sz w:val="20"/>
                <w:szCs w:val="20"/>
              </w:rPr>
              <w:t>法律服务机构</w:t>
            </w:r>
          </w:p>
        </w:tc>
        <w:tc>
          <w:tcPr>
            <w:tcW w:w="688" w:type="dxa"/>
            <w:tcBorders>
              <w:top w:val="single" w:color="auto" w:sz="8"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ascii="宋体" w:hAnsi="宋体" w:cs="宋体"/>
                <w:color w:val="auto"/>
                <w:kern w:val="0"/>
                <w:sz w:val="20"/>
                <w:szCs w:val="20"/>
              </w:rPr>
              <w:t>其他</w:t>
            </w:r>
          </w:p>
        </w:tc>
        <w:tc>
          <w:tcPr>
            <w:tcW w:w="0" w:type="auto"/>
            <w:vMerge w:val="continue"/>
            <w:tcBorders>
              <w:top w:val="single" w:color="auto" w:sz="8" w:space="0"/>
              <w:left w:val="single" w:color="auto" w:sz="0" w:space="0"/>
              <w:bottom w:val="inset" w:color="auto" w:sz="8" w:space="0"/>
              <w:right w:val="single" w:color="auto" w:sz="8" w:space="0"/>
            </w:tcBorders>
            <w:noWrap w:val="0"/>
            <w:vAlign w:val="center"/>
          </w:tcPr>
          <w:p>
            <w:pPr>
              <w:widowControl/>
              <w:jc w:val="center"/>
              <w:rPr>
                <w:rFonts w:ascii="宋体" w:hAnsi="宋体" w:cs="宋体"/>
                <w:color w:val="auto"/>
                <w:kern w:val="0"/>
                <w:sz w:val="24"/>
                <w:szCs w:val="24"/>
              </w:rPr>
            </w:pPr>
          </w:p>
        </w:tc>
      </w:tr>
      <w:tr>
        <w:tblPrEx>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color w:val="auto"/>
                <w:kern w:val="0"/>
                <w:sz w:val="24"/>
                <w:szCs w:val="24"/>
              </w:rPr>
            </w:pPr>
            <w:r>
              <w:rPr>
                <w:rFonts w:hint="eastAsia" w:ascii="宋体" w:hAnsi="宋体" w:cs="宋体"/>
                <w:color w:val="auto"/>
                <w:kern w:val="0"/>
                <w:sz w:val="20"/>
                <w:szCs w:val="20"/>
              </w:rPr>
              <w:t>一、本年新收政府信息公开申请数量</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auto"/>
                <w:kern w:val="0"/>
                <w:sz w:val="24"/>
                <w:szCs w:val="24"/>
                <w:lang w:val="en-US" w:eastAsia="zh-CN"/>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cs="Calibri"/>
                <w:color w:val="auto"/>
                <w:kern w:val="0"/>
                <w:sz w:val="20"/>
                <w:szCs w:val="20"/>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auto"/>
                <w:kern w:val="0"/>
                <w:sz w:val="24"/>
                <w:szCs w:val="24"/>
                <w:lang w:val="en-US" w:eastAsia="zh-CN"/>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cs="Calibri"/>
                <w:color w:val="auto"/>
                <w:kern w:val="0"/>
                <w:sz w:val="20"/>
                <w:szCs w:val="20"/>
                <w:lang w:val="en-US" w:eastAsia="zh-CN"/>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r>
      <w:tr>
        <w:tblPrEx>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color w:val="auto"/>
                <w:kern w:val="0"/>
                <w:sz w:val="24"/>
                <w:szCs w:val="24"/>
              </w:rPr>
            </w:pPr>
            <w:r>
              <w:rPr>
                <w:rFonts w:hint="eastAsia" w:ascii="宋体" w:hAnsi="宋体" w:cs="宋体"/>
                <w:color w:val="auto"/>
                <w:kern w:val="0"/>
                <w:sz w:val="20"/>
                <w:szCs w:val="20"/>
              </w:rPr>
              <w:t>二、上年结转政府信息公开申请数量</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r>
      <w:tr>
        <w:tblPrEx>
          <w:tblCellMar>
            <w:top w:w="0" w:type="dxa"/>
            <w:left w:w="0" w:type="dxa"/>
            <w:bottom w:w="0" w:type="dxa"/>
            <w:right w:w="0" w:type="dxa"/>
          </w:tblCellMar>
        </w:tblPrEx>
        <w:trPr>
          <w:jc w:val="center"/>
        </w:trPr>
        <w:tc>
          <w:tcPr>
            <w:tcW w:w="768" w:type="dxa"/>
            <w:vMerge w:val="restart"/>
            <w:tcBorders>
              <w:top w:val="single" w:color="auto" w:sz="0" w:space="0"/>
              <w:left w:val="single" w:color="auto" w:sz="8" w:space="0"/>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color w:val="auto"/>
                <w:kern w:val="0"/>
                <w:sz w:val="24"/>
                <w:szCs w:val="24"/>
              </w:rPr>
            </w:pPr>
            <w:r>
              <w:rPr>
                <w:rFonts w:hint="eastAsia" w:ascii="宋体" w:hAnsi="宋体" w:cs="宋体"/>
                <w:color w:val="auto"/>
                <w:kern w:val="0"/>
                <w:sz w:val="20"/>
                <w:szCs w:val="20"/>
              </w:rPr>
              <w:t>三、本年度办理结果</w:t>
            </w:r>
          </w:p>
        </w:tc>
        <w:tc>
          <w:tcPr>
            <w:tcW w:w="4163"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color w:val="auto"/>
                <w:kern w:val="0"/>
                <w:sz w:val="24"/>
                <w:szCs w:val="24"/>
              </w:rPr>
            </w:pPr>
            <w:r>
              <w:rPr>
                <w:rFonts w:hint="eastAsia" w:ascii="宋体" w:hAnsi="宋体" w:cs="宋体"/>
                <w:color w:val="auto"/>
                <w:kern w:val="0"/>
                <w:sz w:val="20"/>
                <w:szCs w:val="20"/>
              </w:rPr>
              <w:t>（一）予以公开</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auto"/>
                <w:kern w:val="0"/>
                <w:sz w:val="24"/>
                <w:szCs w:val="24"/>
                <w:lang w:val="en-US" w:eastAsia="zh-CN"/>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auto"/>
                <w:kern w:val="0"/>
                <w:sz w:val="24"/>
                <w:szCs w:val="24"/>
                <w:lang w:val="en-US" w:eastAsia="zh-CN"/>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9"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color w:val="auto"/>
                <w:kern w:val="0"/>
                <w:sz w:val="24"/>
                <w:szCs w:val="24"/>
              </w:rPr>
            </w:pPr>
          </w:p>
        </w:tc>
        <w:tc>
          <w:tcPr>
            <w:tcW w:w="4163"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color w:val="auto"/>
                <w:kern w:val="0"/>
                <w:sz w:val="24"/>
                <w:szCs w:val="24"/>
              </w:rPr>
            </w:pPr>
            <w:r>
              <w:rPr>
                <w:rFonts w:hint="eastAsia" w:ascii="宋体" w:hAnsi="宋体" w:cs="宋体"/>
                <w:color w:val="auto"/>
                <w:kern w:val="0"/>
                <w:sz w:val="20"/>
                <w:szCs w:val="20"/>
              </w:rPr>
              <w:t>（二）部分公开</w:t>
            </w:r>
            <w:r>
              <w:rPr>
                <w:rFonts w:hint="eastAsia" w:ascii="楷体" w:hAnsi="楷体" w:eastAsia="楷体" w:cs="宋体"/>
                <w:color w:val="auto"/>
                <w:kern w:val="0"/>
                <w:sz w:val="20"/>
                <w:szCs w:val="20"/>
              </w:rPr>
              <w:t>（区分处理的，只计这一情形，不计其他情形）</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auto"/>
                <w:kern w:val="0"/>
                <w:sz w:val="24"/>
                <w:szCs w:val="24"/>
                <w:lang w:val="en-US" w:eastAsia="zh-CN"/>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auto"/>
                <w:kern w:val="0"/>
                <w:sz w:val="24"/>
                <w:szCs w:val="24"/>
                <w:lang w:val="en-US" w:eastAsia="zh-CN"/>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auto"/>
                <w:kern w:val="0"/>
                <w:sz w:val="24"/>
                <w:szCs w:val="24"/>
                <w:lang w:val="en-US" w:eastAsia="zh-CN"/>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auto"/>
                <w:kern w:val="0"/>
                <w:sz w:val="24"/>
                <w:szCs w:val="24"/>
                <w:lang w:val="en-US" w:eastAsia="zh-CN"/>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cs="Calibri"/>
                <w:color w:val="auto"/>
                <w:kern w:val="0"/>
                <w:sz w:val="20"/>
                <w:szCs w:val="20"/>
                <w:lang w:val="en-US" w:eastAsia="zh-CN"/>
              </w:rPr>
            </w:pPr>
            <w:r>
              <w:rPr>
                <w:rFonts w:hint="eastAsia" w:cs="Calibri"/>
                <w:color w:val="auto"/>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color w:val="auto"/>
                <w:kern w:val="0"/>
                <w:sz w:val="24"/>
                <w:szCs w:val="24"/>
              </w:rPr>
            </w:pPr>
          </w:p>
        </w:tc>
        <w:tc>
          <w:tcPr>
            <w:tcW w:w="943" w:type="dxa"/>
            <w:vMerge w:val="restart"/>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color w:val="auto"/>
                <w:kern w:val="0"/>
                <w:sz w:val="24"/>
                <w:szCs w:val="24"/>
              </w:rPr>
            </w:pPr>
            <w:r>
              <w:rPr>
                <w:rFonts w:hint="eastAsia" w:ascii="宋体" w:hAnsi="宋体" w:cs="宋体"/>
                <w:color w:val="auto"/>
                <w:kern w:val="0"/>
                <w:sz w:val="20"/>
                <w:szCs w:val="20"/>
              </w:rPr>
              <w:t>（三）不予公开</w:t>
            </w: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color w:val="auto"/>
                <w:kern w:val="0"/>
                <w:sz w:val="24"/>
                <w:szCs w:val="24"/>
              </w:rPr>
            </w:pPr>
            <w:r>
              <w:rPr>
                <w:rFonts w:hint="eastAsia" w:ascii="宋体" w:hAnsi="宋体" w:cs="宋体"/>
                <w:color w:val="auto"/>
                <w:kern w:val="0"/>
                <w:sz w:val="20"/>
                <w:szCs w:val="20"/>
              </w:rPr>
              <w:t>1.属于国家秘密</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9"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color w:val="auto"/>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color w:val="auto"/>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color w:val="auto"/>
                <w:kern w:val="0"/>
                <w:sz w:val="24"/>
                <w:szCs w:val="24"/>
              </w:rPr>
            </w:pPr>
            <w:r>
              <w:rPr>
                <w:rFonts w:hint="eastAsia" w:ascii="宋体" w:hAnsi="宋体" w:cs="宋体"/>
                <w:color w:val="auto"/>
                <w:kern w:val="0"/>
                <w:sz w:val="20"/>
                <w:szCs w:val="20"/>
              </w:rPr>
              <w:t>2.其他法律行政法规禁止公开</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color w:val="auto"/>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color w:val="auto"/>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color w:val="auto"/>
                <w:kern w:val="0"/>
                <w:sz w:val="24"/>
                <w:szCs w:val="24"/>
              </w:rPr>
            </w:pPr>
            <w:r>
              <w:rPr>
                <w:rFonts w:hint="eastAsia" w:ascii="宋体" w:hAnsi="宋体" w:cs="宋体"/>
                <w:color w:val="auto"/>
                <w:kern w:val="0"/>
                <w:sz w:val="20"/>
                <w:szCs w:val="20"/>
              </w:rPr>
              <w:t>3.危及“三安全一稳定”</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color w:val="auto"/>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color w:val="auto"/>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color w:val="auto"/>
                <w:kern w:val="0"/>
                <w:sz w:val="24"/>
                <w:szCs w:val="24"/>
              </w:rPr>
            </w:pPr>
            <w:r>
              <w:rPr>
                <w:rFonts w:hint="eastAsia" w:ascii="宋体" w:hAnsi="宋体" w:cs="宋体"/>
                <w:color w:val="auto"/>
                <w:kern w:val="0"/>
                <w:sz w:val="20"/>
                <w:szCs w:val="20"/>
              </w:rPr>
              <w:t>4.保护第三方合法权益</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color w:val="auto"/>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color w:val="auto"/>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color w:val="auto"/>
                <w:kern w:val="0"/>
                <w:sz w:val="24"/>
                <w:szCs w:val="24"/>
              </w:rPr>
            </w:pPr>
            <w:r>
              <w:rPr>
                <w:rFonts w:hint="eastAsia" w:ascii="宋体" w:hAnsi="宋体" w:cs="宋体"/>
                <w:color w:val="auto"/>
                <w:kern w:val="0"/>
                <w:sz w:val="20"/>
                <w:szCs w:val="20"/>
              </w:rPr>
              <w:t>5.属于三类内部事务信息</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color w:val="auto"/>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color w:val="auto"/>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color w:val="auto"/>
                <w:kern w:val="0"/>
                <w:sz w:val="24"/>
                <w:szCs w:val="24"/>
              </w:rPr>
            </w:pPr>
            <w:r>
              <w:rPr>
                <w:rFonts w:hint="eastAsia" w:ascii="宋体" w:hAnsi="宋体" w:cs="宋体"/>
                <w:color w:val="auto"/>
                <w:kern w:val="0"/>
                <w:sz w:val="20"/>
                <w:szCs w:val="20"/>
              </w:rPr>
              <w:t>6.属于四类过程性信息</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color w:val="auto"/>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color w:val="auto"/>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color w:val="auto"/>
                <w:kern w:val="0"/>
                <w:sz w:val="24"/>
                <w:szCs w:val="24"/>
              </w:rPr>
            </w:pPr>
            <w:r>
              <w:rPr>
                <w:rFonts w:hint="eastAsia" w:ascii="宋体" w:hAnsi="宋体" w:cs="宋体"/>
                <w:color w:val="auto"/>
                <w:kern w:val="0"/>
                <w:sz w:val="20"/>
                <w:szCs w:val="20"/>
              </w:rPr>
              <w:t>7.属于行政执法案卷</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color w:val="auto"/>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color w:val="auto"/>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color w:val="auto"/>
                <w:kern w:val="0"/>
                <w:sz w:val="24"/>
                <w:szCs w:val="24"/>
              </w:rPr>
            </w:pPr>
            <w:r>
              <w:rPr>
                <w:rFonts w:hint="eastAsia" w:ascii="宋体" w:hAnsi="宋体" w:cs="宋体"/>
                <w:color w:val="auto"/>
                <w:kern w:val="0"/>
                <w:sz w:val="20"/>
                <w:szCs w:val="20"/>
              </w:rPr>
              <w:t>8.属于行政查询事项</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color w:val="auto"/>
                <w:kern w:val="0"/>
                <w:sz w:val="24"/>
                <w:szCs w:val="24"/>
              </w:rPr>
            </w:pPr>
          </w:p>
        </w:tc>
        <w:tc>
          <w:tcPr>
            <w:tcW w:w="943" w:type="dxa"/>
            <w:vMerge w:val="restart"/>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color w:val="auto"/>
                <w:kern w:val="0"/>
                <w:sz w:val="24"/>
                <w:szCs w:val="24"/>
              </w:rPr>
            </w:pPr>
            <w:r>
              <w:rPr>
                <w:rFonts w:hint="eastAsia" w:ascii="宋体" w:hAnsi="宋体" w:cs="宋体"/>
                <w:color w:val="auto"/>
                <w:kern w:val="0"/>
                <w:sz w:val="20"/>
                <w:szCs w:val="20"/>
              </w:rPr>
              <w:t>（四）无法提供</w:t>
            </w: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color w:val="auto"/>
                <w:kern w:val="0"/>
                <w:sz w:val="24"/>
                <w:szCs w:val="24"/>
              </w:rPr>
            </w:pPr>
            <w:r>
              <w:rPr>
                <w:rFonts w:hint="eastAsia" w:ascii="宋体" w:hAnsi="宋体" w:cs="宋体"/>
                <w:color w:val="auto"/>
                <w:kern w:val="0"/>
                <w:sz w:val="20"/>
                <w:szCs w:val="20"/>
              </w:rPr>
              <w:t>1.本机关不掌握相关政府信息</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cs="宋体"/>
                <w:color w:val="auto"/>
                <w:kern w:val="0"/>
                <w:sz w:val="24"/>
                <w:szCs w:val="24"/>
                <w:lang w:val="en-US"/>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auto"/>
                <w:kern w:val="0"/>
                <w:sz w:val="24"/>
                <w:szCs w:val="24"/>
                <w:lang w:val="en-US" w:eastAsia="zh-CN"/>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auto"/>
                <w:kern w:val="0"/>
                <w:sz w:val="24"/>
                <w:szCs w:val="24"/>
                <w:lang w:val="en-US" w:eastAsia="zh-CN"/>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auto"/>
                <w:kern w:val="0"/>
                <w:sz w:val="24"/>
                <w:szCs w:val="24"/>
                <w:lang w:val="en-US" w:eastAsia="zh-CN"/>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auto"/>
                <w:kern w:val="0"/>
                <w:sz w:val="24"/>
                <w:szCs w:val="24"/>
                <w:lang w:val="en-US" w:eastAsia="zh-CN"/>
              </w:rPr>
            </w:pPr>
            <w:r>
              <w:rPr>
                <w:rFonts w:hint="eastAsia" w:cs="Calibri"/>
                <w:color w:val="auto"/>
                <w:kern w:val="0"/>
                <w:sz w:val="20"/>
                <w:szCs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eastAsia="宋体" w:cs="宋体"/>
                <w:color w:val="auto"/>
                <w:kern w:val="0"/>
                <w:sz w:val="24"/>
                <w:szCs w:val="24"/>
                <w:lang w:val="en-US" w:eastAsia="zh-CN"/>
              </w:rPr>
            </w:pPr>
            <w:r>
              <w:rPr>
                <w:rFonts w:hint="eastAsia" w:cs="Calibri"/>
                <w:color w:val="auto"/>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color w:val="auto"/>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color w:val="auto"/>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color w:val="auto"/>
                <w:kern w:val="0"/>
                <w:sz w:val="24"/>
                <w:szCs w:val="24"/>
              </w:rPr>
            </w:pPr>
            <w:r>
              <w:rPr>
                <w:rFonts w:hint="eastAsia" w:ascii="宋体" w:hAnsi="宋体" w:cs="宋体"/>
                <w:color w:val="auto"/>
                <w:kern w:val="0"/>
                <w:sz w:val="20"/>
                <w:szCs w:val="20"/>
              </w:rPr>
              <w:t>2.没有现成信息需要另行制作</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lang w:val="en-US" w:eastAsia="zh-CN" w:bidi="ar-SA"/>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color w:val="auto"/>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color w:val="auto"/>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color w:val="auto"/>
                <w:kern w:val="0"/>
                <w:sz w:val="24"/>
                <w:szCs w:val="24"/>
              </w:rPr>
            </w:pPr>
            <w:r>
              <w:rPr>
                <w:rFonts w:hint="eastAsia" w:ascii="宋体" w:hAnsi="宋体" w:cs="宋体"/>
                <w:color w:val="auto"/>
                <w:kern w:val="0"/>
                <w:sz w:val="20"/>
                <w:szCs w:val="20"/>
              </w:rPr>
              <w:t>3.补正后申请内容仍不明确</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color w:val="auto"/>
                <w:kern w:val="0"/>
                <w:sz w:val="24"/>
                <w:szCs w:val="24"/>
              </w:rPr>
            </w:pPr>
          </w:p>
        </w:tc>
        <w:tc>
          <w:tcPr>
            <w:tcW w:w="943" w:type="dxa"/>
            <w:vMerge w:val="restart"/>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color w:val="auto"/>
                <w:kern w:val="0"/>
                <w:sz w:val="24"/>
                <w:szCs w:val="24"/>
              </w:rPr>
            </w:pPr>
            <w:r>
              <w:rPr>
                <w:rFonts w:hint="eastAsia" w:ascii="宋体" w:hAnsi="宋体" w:cs="宋体"/>
                <w:color w:val="auto"/>
                <w:kern w:val="0"/>
                <w:sz w:val="20"/>
                <w:szCs w:val="20"/>
              </w:rPr>
              <w:t>（五）不予处理</w:t>
            </w: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color w:val="auto"/>
                <w:kern w:val="0"/>
                <w:sz w:val="24"/>
                <w:szCs w:val="24"/>
              </w:rPr>
            </w:pPr>
            <w:r>
              <w:rPr>
                <w:rFonts w:hint="eastAsia" w:ascii="宋体" w:hAnsi="宋体" w:cs="宋体"/>
                <w:color w:val="auto"/>
                <w:kern w:val="0"/>
                <w:sz w:val="20"/>
                <w:szCs w:val="20"/>
              </w:rPr>
              <w:t>1.信访举报投诉类申请</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color w:val="auto"/>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color w:val="auto"/>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color w:val="auto"/>
                <w:kern w:val="0"/>
                <w:sz w:val="24"/>
                <w:szCs w:val="24"/>
              </w:rPr>
            </w:pPr>
            <w:r>
              <w:rPr>
                <w:rFonts w:hint="eastAsia" w:ascii="宋体" w:hAnsi="宋体" w:cs="宋体"/>
                <w:color w:val="auto"/>
                <w:kern w:val="0"/>
                <w:sz w:val="20"/>
                <w:szCs w:val="20"/>
              </w:rPr>
              <w:t>2.重复申请</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color w:val="auto"/>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color w:val="auto"/>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color w:val="auto"/>
                <w:kern w:val="0"/>
                <w:sz w:val="24"/>
                <w:szCs w:val="24"/>
              </w:rPr>
            </w:pPr>
            <w:r>
              <w:rPr>
                <w:rFonts w:hint="eastAsia" w:ascii="宋体" w:hAnsi="宋体" w:cs="宋体"/>
                <w:color w:val="auto"/>
                <w:kern w:val="0"/>
                <w:sz w:val="20"/>
                <w:szCs w:val="20"/>
              </w:rPr>
              <w:t>3.要求提供公开出版物</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color w:val="auto"/>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color w:val="auto"/>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color w:val="auto"/>
                <w:kern w:val="0"/>
                <w:sz w:val="24"/>
                <w:szCs w:val="24"/>
              </w:rPr>
            </w:pPr>
            <w:r>
              <w:rPr>
                <w:rFonts w:hint="eastAsia" w:ascii="宋体" w:hAnsi="宋体" w:cs="宋体"/>
                <w:color w:val="auto"/>
                <w:kern w:val="0"/>
                <w:sz w:val="20"/>
                <w:szCs w:val="20"/>
              </w:rPr>
              <w:t>4.无正当理由大量反复申请</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r>
      <w:tr>
        <w:tblPrEx>
          <w:tblCellMar>
            <w:top w:w="0" w:type="dxa"/>
            <w:left w:w="0" w:type="dxa"/>
            <w:bottom w:w="0" w:type="dxa"/>
            <w:right w:w="0" w:type="dxa"/>
          </w:tblCellMar>
        </w:tblPrEx>
        <w:trPr>
          <w:trHeight w:val="779" w:hRule="atLeast"/>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color w:val="auto"/>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color w:val="auto"/>
                <w:kern w:val="0"/>
                <w:sz w:val="24"/>
                <w:szCs w:val="24"/>
              </w:rPr>
            </w:pPr>
          </w:p>
        </w:tc>
        <w:tc>
          <w:tcPr>
            <w:tcW w:w="3220"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rPr>
                <w:rFonts w:ascii="宋体" w:hAnsi="宋体" w:cs="宋体"/>
                <w:color w:val="auto"/>
                <w:kern w:val="0"/>
                <w:sz w:val="24"/>
                <w:szCs w:val="24"/>
              </w:rPr>
            </w:pPr>
            <w:r>
              <w:rPr>
                <w:rFonts w:hint="eastAsia" w:ascii="宋体" w:hAnsi="宋体" w:cs="宋体"/>
                <w:color w:val="auto"/>
                <w:kern w:val="0"/>
                <w:sz w:val="20"/>
                <w:szCs w:val="20"/>
              </w:rPr>
              <w:t>5.要求行政机关确认或重新出具已获取信息</w:t>
            </w:r>
          </w:p>
        </w:tc>
        <w:tc>
          <w:tcPr>
            <w:tcW w:w="688"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9"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color w:val="auto"/>
                <w:kern w:val="0"/>
                <w:sz w:val="24"/>
                <w:szCs w:val="24"/>
              </w:rPr>
            </w:pPr>
          </w:p>
        </w:tc>
        <w:tc>
          <w:tcPr>
            <w:tcW w:w="943" w:type="dxa"/>
            <w:vMerge w:val="restart"/>
            <w:tcBorders>
              <w:top w:val="inset" w:color="auto" w:sz="8"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color w:val="auto"/>
                <w:kern w:val="0"/>
                <w:sz w:val="24"/>
                <w:szCs w:val="24"/>
              </w:rPr>
            </w:pPr>
            <w:r>
              <w:rPr>
                <w:rFonts w:hint="eastAsia" w:ascii="宋体" w:hAnsi="宋体" w:cs="宋体"/>
                <w:color w:val="auto"/>
                <w:kern w:val="0"/>
                <w:sz w:val="20"/>
                <w:szCs w:val="20"/>
              </w:rPr>
              <w:t>（六）其他处理</w:t>
            </w: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rPr>
                <w:rFonts w:ascii="宋体" w:hAnsi="宋体" w:cs="宋体"/>
                <w:color w:val="auto"/>
                <w:kern w:val="0"/>
                <w:sz w:val="24"/>
                <w:szCs w:val="24"/>
              </w:rPr>
            </w:pPr>
            <w:r>
              <w:rPr>
                <w:rFonts w:hint="eastAsia" w:ascii="宋体" w:hAnsi="宋体" w:cs="宋体"/>
                <w:color w:val="auto"/>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color w:val="auto"/>
                <w:kern w:val="0"/>
                <w:sz w:val="24"/>
                <w:szCs w:val="24"/>
              </w:rPr>
            </w:pPr>
          </w:p>
        </w:tc>
        <w:tc>
          <w:tcPr>
            <w:tcW w:w="0" w:type="auto"/>
            <w:vMerge w:val="continue"/>
            <w:tcBorders>
              <w:top w:val="inset" w:color="auto" w:sz="8" w:space="0"/>
              <w:left w:val="single" w:color="auto" w:sz="0" w:space="0"/>
              <w:bottom w:val="inset" w:color="auto" w:sz="8" w:space="0"/>
              <w:right w:val="single" w:color="auto" w:sz="8" w:space="0"/>
            </w:tcBorders>
            <w:noWrap w:val="0"/>
            <w:vAlign w:val="center"/>
          </w:tcPr>
          <w:p>
            <w:pPr>
              <w:widowControl/>
              <w:jc w:val="left"/>
              <w:rPr>
                <w:rFonts w:ascii="宋体" w:hAnsi="宋体" w:cs="宋体"/>
                <w:color w:val="auto"/>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rPr>
                <w:rFonts w:ascii="宋体" w:hAnsi="宋体" w:cs="宋体"/>
                <w:color w:val="auto"/>
                <w:kern w:val="0"/>
                <w:sz w:val="24"/>
                <w:szCs w:val="24"/>
              </w:rPr>
            </w:pPr>
            <w:r>
              <w:rPr>
                <w:rFonts w:hint="eastAsia" w:ascii="宋体" w:hAnsi="宋体" w:cs="宋体"/>
                <w:color w:val="auto"/>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color w:val="auto"/>
                <w:kern w:val="0"/>
                <w:sz w:val="24"/>
                <w:szCs w:val="24"/>
              </w:rPr>
            </w:pPr>
          </w:p>
        </w:tc>
        <w:tc>
          <w:tcPr>
            <w:tcW w:w="0" w:type="auto"/>
            <w:vMerge w:val="continue"/>
            <w:tcBorders>
              <w:top w:val="inset" w:color="auto" w:sz="8" w:space="0"/>
              <w:left w:val="single" w:color="auto" w:sz="0" w:space="0"/>
              <w:bottom w:val="inset" w:color="auto" w:sz="8" w:space="0"/>
              <w:right w:val="single" w:color="auto" w:sz="8" w:space="0"/>
            </w:tcBorders>
            <w:noWrap w:val="0"/>
            <w:vAlign w:val="center"/>
          </w:tcPr>
          <w:p>
            <w:pPr>
              <w:widowControl/>
              <w:jc w:val="left"/>
              <w:rPr>
                <w:rFonts w:ascii="宋体" w:hAnsi="宋体" w:cs="宋体"/>
                <w:color w:val="auto"/>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color w:val="auto"/>
                <w:kern w:val="0"/>
                <w:sz w:val="24"/>
                <w:szCs w:val="24"/>
              </w:rPr>
            </w:pPr>
            <w:r>
              <w:rPr>
                <w:rFonts w:hint="eastAsia" w:ascii="宋体" w:hAnsi="宋体" w:cs="宋体"/>
                <w:color w:val="auto"/>
                <w:kern w:val="0"/>
                <w:sz w:val="20"/>
                <w:szCs w:val="20"/>
              </w:rPr>
              <w:t>3.其他</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auto"/>
                <w:kern w:val="0"/>
                <w:sz w:val="24"/>
                <w:szCs w:val="24"/>
                <w:lang w:val="en-US" w:eastAsia="zh-CN"/>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color w:val="auto"/>
                <w:kern w:val="0"/>
                <w:sz w:val="24"/>
                <w:szCs w:val="24"/>
              </w:rPr>
            </w:pPr>
          </w:p>
        </w:tc>
        <w:tc>
          <w:tcPr>
            <w:tcW w:w="4163"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color w:val="auto"/>
                <w:kern w:val="0"/>
                <w:sz w:val="24"/>
                <w:szCs w:val="24"/>
              </w:rPr>
            </w:pPr>
            <w:r>
              <w:rPr>
                <w:rFonts w:hint="eastAsia" w:ascii="宋体" w:hAnsi="宋体" w:cs="宋体"/>
                <w:color w:val="auto"/>
                <w:kern w:val="0"/>
                <w:sz w:val="20"/>
                <w:szCs w:val="20"/>
              </w:rPr>
              <w:t>（七）总计</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13</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auto"/>
                <w:kern w:val="0"/>
                <w:sz w:val="24"/>
                <w:szCs w:val="24"/>
                <w:lang w:val="en-US" w:eastAsia="zh-CN"/>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auto"/>
                <w:kern w:val="0"/>
                <w:sz w:val="24"/>
                <w:szCs w:val="24"/>
                <w:lang w:val="en-US" w:eastAsia="zh-CN"/>
              </w:rPr>
            </w:pPr>
            <w:r>
              <w:rPr>
                <w:rFonts w:hint="eastAsia" w:cs="Calibri"/>
                <w:color w:val="auto"/>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auto"/>
                <w:kern w:val="0"/>
                <w:sz w:val="24"/>
                <w:szCs w:val="24"/>
                <w:lang w:val="en-US" w:eastAsia="zh-CN"/>
              </w:rPr>
            </w:pPr>
            <w:r>
              <w:rPr>
                <w:rFonts w:hint="eastAsia" w:cs="Calibri"/>
                <w:color w:val="auto"/>
                <w:kern w:val="0"/>
                <w:sz w:val="20"/>
                <w:szCs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eastAsia="宋体" w:cs="宋体"/>
                <w:color w:val="auto"/>
                <w:kern w:val="0"/>
                <w:sz w:val="24"/>
                <w:szCs w:val="24"/>
                <w:lang w:val="en-US" w:eastAsia="zh-CN"/>
              </w:rPr>
            </w:pPr>
            <w:r>
              <w:rPr>
                <w:rFonts w:hint="eastAsia" w:cs="Calibri"/>
                <w:color w:val="auto"/>
                <w:kern w:val="0"/>
                <w:sz w:val="20"/>
                <w:szCs w:val="20"/>
                <w:lang w:val="en-US" w:eastAsia="zh-CN"/>
              </w:rPr>
              <w:t>13</w:t>
            </w:r>
          </w:p>
        </w:tc>
      </w:tr>
      <w:tr>
        <w:tblPrEx>
          <w:tblCellMar>
            <w:top w:w="0" w:type="dxa"/>
            <w:left w:w="0" w:type="dxa"/>
            <w:bottom w:w="0" w:type="dxa"/>
            <w:right w:w="0" w:type="dxa"/>
          </w:tblCellMar>
        </w:tblPrEx>
        <w:trPr>
          <w:trHeight w:val="90" w:hRule="atLeast"/>
          <w:jc w:val="center"/>
        </w:trPr>
        <w:tc>
          <w:tcPr>
            <w:tcW w:w="4931" w:type="dxa"/>
            <w:gridSpan w:val="3"/>
            <w:tcBorders>
              <w:top w:val="nil"/>
              <w:left w:val="single" w:color="auto" w:sz="8" w:space="0"/>
              <w:bottom w:val="nil"/>
              <w:right w:val="single" w:color="auto" w:sz="8" w:space="0"/>
            </w:tcBorders>
            <w:noWrap w:val="0"/>
            <w:tcMar>
              <w:top w:w="0" w:type="dxa"/>
              <w:left w:w="57" w:type="dxa"/>
              <w:bottom w:w="0" w:type="dxa"/>
              <w:right w:w="57" w:type="dxa"/>
            </w:tcMar>
            <w:vAlign w:val="center"/>
          </w:tcPr>
          <w:p>
            <w:pPr>
              <w:widowControl/>
              <w:jc w:val="left"/>
              <w:rPr>
                <w:rFonts w:ascii="宋体" w:hAnsi="宋体" w:cs="宋体"/>
                <w:color w:val="auto"/>
                <w:kern w:val="0"/>
                <w:sz w:val="24"/>
                <w:szCs w:val="24"/>
              </w:rPr>
            </w:pPr>
            <w:r>
              <w:rPr>
                <w:rFonts w:hint="eastAsia" w:ascii="宋体" w:hAnsi="宋体" w:cs="宋体"/>
                <w:color w:val="auto"/>
                <w:kern w:val="0"/>
                <w:sz w:val="20"/>
                <w:szCs w:val="20"/>
              </w:rPr>
              <w:t>四、结转下年度继续办理</w:t>
            </w:r>
          </w:p>
        </w:tc>
        <w:tc>
          <w:tcPr>
            <w:tcW w:w="688" w:type="dxa"/>
            <w:tcBorders>
              <w:top w:val="nil"/>
              <w:left w:val="nil"/>
              <w:bottom w:val="nil"/>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nil"/>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nil"/>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nil"/>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nil"/>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8" w:type="dxa"/>
            <w:tcBorders>
              <w:top w:val="nil"/>
              <w:left w:val="nil"/>
              <w:bottom w:val="nil"/>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c>
          <w:tcPr>
            <w:tcW w:w="689" w:type="dxa"/>
            <w:tcBorders>
              <w:top w:val="nil"/>
              <w:left w:val="nil"/>
              <w:bottom w:val="nil"/>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r>
              <w:rPr>
                <w:rFonts w:hint="eastAsia" w:cs="Calibri"/>
                <w:color w:val="auto"/>
                <w:kern w:val="0"/>
                <w:sz w:val="20"/>
                <w:szCs w:val="20"/>
                <w:lang w:val="en-US" w:eastAsia="zh-CN"/>
              </w:rPr>
              <w:t>0</w:t>
            </w:r>
          </w:p>
        </w:tc>
      </w:tr>
      <w:tr>
        <w:tblPrEx>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hint="eastAsia" w:ascii="宋体" w:hAnsi="宋体" w:cs="宋体"/>
                <w:color w:val="auto"/>
                <w:kern w:val="0"/>
                <w:sz w:val="20"/>
                <w:szCs w:val="20"/>
              </w:rPr>
            </w:pP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cs="Calibri"/>
                <w:color w:val="auto"/>
                <w:kern w:val="0"/>
                <w:sz w:val="20"/>
                <w:szCs w:val="20"/>
              </w:rPr>
            </w:pP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cs="Calibri"/>
                <w:color w:val="auto"/>
                <w:kern w:val="0"/>
                <w:sz w:val="20"/>
                <w:szCs w:val="20"/>
              </w:rPr>
            </w:pP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cs="Calibri"/>
                <w:color w:val="auto"/>
                <w:kern w:val="0"/>
                <w:sz w:val="20"/>
                <w:szCs w:val="20"/>
              </w:rPr>
            </w:pP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cs="Calibri"/>
                <w:color w:val="auto"/>
                <w:kern w:val="0"/>
                <w:sz w:val="20"/>
                <w:szCs w:val="20"/>
              </w:rPr>
            </w:pP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cs="Calibri"/>
                <w:color w:val="auto"/>
                <w:kern w:val="0"/>
                <w:sz w:val="20"/>
                <w:szCs w:val="20"/>
              </w:rPr>
            </w:pP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cs="Calibri"/>
                <w:color w:val="auto"/>
                <w:kern w:val="0"/>
                <w:sz w:val="20"/>
                <w:szCs w:val="20"/>
              </w:rPr>
            </w:pP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auto"/>
                <w:kern w:val="0"/>
                <w:sz w:val="24"/>
                <w:szCs w:val="24"/>
              </w:rPr>
            </w:pPr>
          </w:p>
        </w:tc>
      </w:tr>
    </w:tbl>
    <w:p>
      <w:pPr>
        <w:widowControl/>
        <w:shd w:val="clear" w:color="auto" w:fill="FFFFFF"/>
        <w:spacing w:line="560" w:lineRule="exact"/>
        <w:ind w:firstLine="640" w:firstLineChars="200"/>
        <w:rPr>
          <w:rFonts w:hint="eastAsia" w:ascii="黑体" w:hAnsi="黑体" w:eastAsia="黑体" w:cs="宋体"/>
          <w:bCs/>
          <w:color w:val="auto"/>
          <w:kern w:val="0"/>
          <w:sz w:val="32"/>
          <w:szCs w:val="32"/>
        </w:rPr>
      </w:pPr>
      <w:r>
        <w:rPr>
          <w:rFonts w:hint="eastAsia" w:ascii="黑体" w:hAnsi="黑体" w:eastAsia="黑体" w:cs="宋体"/>
          <w:bCs/>
          <w:color w:val="auto"/>
          <w:kern w:val="0"/>
          <w:sz w:val="32"/>
          <w:szCs w:val="32"/>
          <w:lang w:val="en-US" w:eastAsia="zh-CN"/>
        </w:rPr>
        <w:t>四、</w:t>
      </w:r>
      <w:r>
        <w:rPr>
          <w:rFonts w:hint="eastAsia" w:ascii="黑体" w:hAnsi="黑体" w:eastAsia="黑体" w:cs="宋体"/>
          <w:bCs/>
          <w:color w:val="auto"/>
          <w:kern w:val="0"/>
          <w:sz w:val="32"/>
          <w:szCs w:val="32"/>
        </w:rPr>
        <w:t>政府信息公开行政复议、行政诉讼情况</w:t>
      </w:r>
    </w:p>
    <w:tbl>
      <w:tblPr>
        <w:tblStyle w:val="5"/>
        <w:tblW w:w="9748" w:type="dxa"/>
        <w:jc w:val="center"/>
        <w:tblLayout w:type="autofit"/>
        <w:tblCellMar>
          <w:top w:w="0" w:type="dxa"/>
          <w:left w:w="0" w:type="dxa"/>
          <w:bottom w:w="0" w:type="dxa"/>
          <w:right w:w="0" w:type="dxa"/>
        </w:tblCellMar>
      </w:tblPr>
      <w:tblGrid>
        <w:gridCol w:w="650"/>
        <w:gridCol w:w="650"/>
        <w:gridCol w:w="650"/>
        <w:gridCol w:w="650"/>
        <w:gridCol w:w="650"/>
        <w:gridCol w:w="649"/>
        <w:gridCol w:w="649"/>
        <w:gridCol w:w="650"/>
        <w:gridCol w:w="650"/>
        <w:gridCol w:w="650"/>
        <w:gridCol w:w="650"/>
        <w:gridCol w:w="650"/>
        <w:gridCol w:w="650"/>
        <w:gridCol w:w="650"/>
        <w:gridCol w:w="650"/>
      </w:tblGrid>
      <w:tr>
        <w:trPr>
          <w:jc w:val="center"/>
        </w:trPr>
        <w:tc>
          <w:tcPr>
            <w:tcW w:w="3250"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auto"/>
                <w:kern w:val="0"/>
                <w:sz w:val="24"/>
                <w:szCs w:val="24"/>
              </w:rPr>
            </w:pPr>
            <w:r>
              <w:rPr>
                <w:rFonts w:hint="eastAsia" w:ascii="宋体" w:hAnsi="宋体" w:cs="宋体"/>
                <w:color w:val="auto"/>
                <w:kern w:val="0"/>
                <w:sz w:val="20"/>
                <w:szCs w:val="20"/>
              </w:rPr>
              <w:t>行政复议</w:t>
            </w:r>
          </w:p>
        </w:tc>
        <w:tc>
          <w:tcPr>
            <w:tcW w:w="6498" w:type="dxa"/>
            <w:gridSpan w:val="10"/>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auto"/>
                <w:kern w:val="0"/>
                <w:sz w:val="24"/>
                <w:szCs w:val="24"/>
              </w:rPr>
            </w:pPr>
            <w:r>
              <w:rPr>
                <w:rFonts w:hint="eastAsia" w:ascii="宋体" w:hAnsi="宋体" w:cs="宋体"/>
                <w:color w:val="auto"/>
                <w:kern w:val="0"/>
                <w:sz w:val="20"/>
                <w:szCs w:val="20"/>
              </w:rPr>
              <w:t>行政诉讼</w:t>
            </w:r>
          </w:p>
        </w:tc>
      </w:tr>
      <w:tr>
        <w:tblPrEx>
          <w:tblCellMar>
            <w:top w:w="0" w:type="dxa"/>
            <w:left w:w="0" w:type="dxa"/>
            <w:bottom w:w="0" w:type="dxa"/>
            <w:right w:w="0" w:type="dxa"/>
          </w:tblCellMar>
        </w:tblPrEx>
        <w:trPr>
          <w:jc w:val="center"/>
        </w:trPr>
        <w:tc>
          <w:tcPr>
            <w:tcW w:w="650"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auto"/>
                <w:kern w:val="0"/>
                <w:sz w:val="24"/>
                <w:szCs w:val="24"/>
              </w:rPr>
            </w:pPr>
            <w:r>
              <w:rPr>
                <w:rFonts w:hint="eastAsia" w:ascii="宋体" w:hAnsi="宋体" w:cs="宋体"/>
                <w:color w:val="auto"/>
                <w:kern w:val="0"/>
                <w:sz w:val="20"/>
                <w:szCs w:val="20"/>
              </w:rPr>
              <w:t>结果维持</w:t>
            </w:r>
          </w:p>
        </w:tc>
        <w:tc>
          <w:tcPr>
            <w:tcW w:w="650"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auto"/>
                <w:kern w:val="0"/>
                <w:sz w:val="24"/>
                <w:szCs w:val="24"/>
              </w:rPr>
            </w:pPr>
            <w:r>
              <w:rPr>
                <w:rFonts w:hint="eastAsia" w:ascii="宋体" w:hAnsi="宋体" w:cs="宋体"/>
                <w:color w:val="auto"/>
                <w:kern w:val="0"/>
                <w:sz w:val="20"/>
                <w:szCs w:val="20"/>
              </w:rPr>
              <w:t>结果</w:t>
            </w:r>
            <w:r>
              <w:rPr>
                <w:rFonts w:hint="eastAsia" w:ascii="宋体" w:hAnsi="宋体" w:cs="宋体"/>
                <w:color w:val="auto"/>
                <w:kern w:val="0"/>
                <w:sz w:val="20"/>
                <w:szCs w:val="20"/>
              </w:rPr>
              <w:br w:type="textWrapping"/>
            </w:r>
            <w:r>
              <w:rPr>
                <w:rFonts w:hint="eastAsia" w:ascii="宋体" w:hAnsi="宋体" w:cs="宋体"/>
                <w:color w:val="auto"/>
                <w:kern w:val="0"/>
                <w:sz w:val="20"/>
                <w:szCs w:val="20"/>
              </w:rPr>
              <w:t>纠正</w:t>
            </w:r>
          </w:p>
        </w:tc>
        <w:tc>
          <w:tcPr>
            <w:tcW w:w="650"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auto"/>
                <w:kern w:val="0"/>
                <w:sz w:val="24"/>
                <w:szCs w:val="24"/>
              </w:rPr>
            </w:pPr>
            <w:r>
              <w:rPr>
                <w:rFonts w:hint="eastAsia" w:ascii="宋体" w:hAnsi="宋体" w:cs="宋体"/>
                <w:color w:val="auto"/>
                <w:kern w:val="0"/>
                <w:sz w:val="20"/>
                <w:szCs w:val="20"/>
              </w:rPr>
              <w:t>其他</w:t>
            </w:r>
            <w:r>
              <w:rPr>
                <w:rFonts w:hint="eastAsia" w:ascii="宋体" w:hAnsi="宋体" w:cs="宋体"/>
                <w:color w:val="auto"/>
                <w:kern w:val="0"/>
                <w:sz w:val="20"/>
                <w:szCs w:val="20"/>
              </w:rPr>
              <w:br w:type="textWrapping"/>
            </w:r>
            <w:r>
              <w:rPr>
                <w:rFonts w:hint="eastAsia" w:ascii="宋体" w:hAnsi="宋体" w:cs="宋体"/>
                <w:color w:val="auto"/>
                <w:kern w:val="0"/>
                <w:sz w:val="20"/>
                <w:szCs w:val="20"/>
              </w:rPr>
              <w:t>结果</w:t>
            </w:r>
          </w:p>
        </w:tc>
        <w:tc>
          <w:tcPr>
            <w:tcW w:w="650"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auto"/>
                <w:kern w:val="0"/>
                <w:sz w:val="24"/>
                <w:szCs w:val="24"/>
              </w:rPr>
            </w:pPr>
            <w:r>
              <w:rPr>
                <w:rFonts w:hint="eastAsia" w:ascii="宋体" w:hAnsi="宋体" w:cs="宋体"/>
                <w:color w:val="auto"/>
                <w:kern w:val="0"/>
                <w:sz w:val="20"/>
                <w:szCs w:val="20"/>
              </w:rPr>
              <w:t>尚未</w:t>
            </w:r>
            <w:r>
              <w:rPr>
                <w:rFonts w:hint="eastAsia" w:ascii="宋体" w:hAnsi="宋体" w:cs="宋体"/>
                <w:color w:val="auto"/>
                <w:kern w:val="0"/>
                <w:sz w:val="20"/>
                <w:szCs w:val="20"/>
              </w:rPr>
              <w:br w:type="textWrapping"/>
            </w:r>
            <w:r>
              <w:rPr>
                <w:rFonts w:hint="eastAsia" w:ascii="宋体" w:hAnsi="宋体" w:cs="宋体"/>
                <w:color w:val="auto"/>
                <w:kern w:val="0"/>
                <w:sz w:val="20"/>
                <w:szCs w:val="20"/>
              </w:rPr>
              <w:t>审结</w:t>
            </w:r>
          </w:p>
        </w:tc>
        <w:tc>
          <w:tcPr>
            <w:tcW w:w="650"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auto"/>
                <w:kern w:val="0"/>
                <w:sz w:val="24"/>
                <w:szCs w:val="24"/>
              </w:rPr>
            </w:pPr>
            <w:r>
              <w:rPr>
                <w:rFonts w:hint="eastAsia" w:ascii="宋体" w:hAnsi="宋体" w:cs="宋体"/>
                <w:color w:val="auto"/>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auto"/>
                <w:kern w:val="0"/>
                <w:sz w:val="24"/>
                <w:szCs w:val="24"/>
              </w:rPr>
            </w:pPr>
            <w:r>
              <w:rPr>
                <w:rFonts w:hint="eastAsia" w:ascii="宋体" w:hAnsi="宋体" w:cs="宋体"/>
                <w:color w:val="auto"/>
                <w:kern w:val="0"/>
                <w:sz w:val="20"/>
                <w:szCs w:val="20"/>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auto"/>
                <w:kern w:val="0"/>
                <w:sz w:val="24"/>
                <w:szCs w:val="24"/>
              </w:rPr>
            </w:pPr>
            <w:r>
              <w:rPr>
                <w:rFonts w:hint="eastAsia" w:ascii="宋体" w:hAnsi="宋体" w:cs="宋体"/>
                <w:color w:val="auto"/>
                <w:kern w:val="0"/>
                <w:sz w:val="20"/>
                <w:szCs w:val="20"/>
              </w:rPr>
              <w:t>复议后起诉</w:t>
            </w:r>
          </w:p>
        </w:tc>
      </w:tr>
      <w:tr>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auto"/>
                <w:kern w:val="0"/>
                <w:sz w:val="24"/>
                <w:szCs w:val="24"/>
              </w:rPr>
            </w:pPr>
          </w:p>
        </w:tc>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auto"/>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color w:val="auto"/>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color w:val="auto"/>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color w:val="auto"/>
                <w:kern w:val="0"/>
                <w:sz w:val="24"/>
                <w:szCs w:val="24"/>
              </w:rPr>
            </w:pPr>
          </w:p>
        </w:tc>
        <w:tc>
          <w:tcPr>
            <w:tcW w:w="64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auto"/>
                <w:kern w:val="0"/>
                <w:sz w:val="24"/>
                <w:szCs w:val="24"/>
              </w:rPr>
            </w:pPr>
            <w:r>
              <w:rPr>
                <w:rFonts w:hint="eastAsia" w:ascii="宋体" w:hAnsi="宋体" w:cs="宋体"/>
                <w:color w:val="auto"/>
                <w:kern w:val="0"/>
                <w:sz w:val="20"/>
                <w:szCs w:val="20"/>
              </w:rPr>
              <w:t>结果</w:t>
            </w:r>
            <w:r>
              <w:rPr>
                <w:rFonts w:hint="eastAsia" w:ascii="宋体" w:hAnsi="宋体" w:cs="宋体"/>
                <w:color w:val="auto"/>
                <w:kern w:val="0"/>
                <w:sz w:val="20"/>
                <w:szCs w:val="20"/>
              </w:rPr>
              <w:br w:type="textWrapping"/>
            </w:r>
            <w:r>
              <w:rPr>
                <w:rFonts w:hint="eastAsia" w:ascii="宋体" w:hAnsi="宋体" w:cs="宋体"/>
                <w:color w:val="auto"/>
                <w:kern w:val="0"/>
                <w:sz w:val="20"/>
                <w:szCs w:val="20"/>
              </w:rPr>
              <w:t>维持</w:t>
            </w:r>
          </w:p>
        </w:tc>
        <w:tc>
          <w:tcPr>
            <w:tcW w:w="64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auto"/>
                <w:kern w:val="0"/>
                <w:sz w:val="24"/>
                <w:szCs w:val="24"/>
              </w:rPr>
            </w:pPr>
            <w:r>
              <w:rPr>
                <w:rFonts w:hint="eastAsia" w:ascii="宋体" w:hAnsi="宋体" w:cs="宋体"/>
                <w:color w:val="auto"/>
                <w:kern w:val="0"/>
                <w:sz w:val="20"/>
                <w:szCs w:val="20"/>
              </w:rPr>
              <w:t>结果</w:t>
            </w:r>
            <w:r>
              <w:rPr>
                <w:rFonts w:hint="eastAsia" w:ascii="宋体" w:hAnsi="宋体" w:cs="宋体"/>
                <w:color w:val="auto"/>
                <w:kern w:val="0"/>
                <w:sz w:val="20"/>
                <w:szCs w:val="20"/>
              </w:rPr>
              <w:br w:type="textWrapping"/>
            </w:r>
            <w:r>
              <w:rPr>
                <w:rFonts w:hint="eastAsia" w:ascii="宋体" w:hAnsi="宋体" w:cs="宋体"/>
                <w:color w:val="auto"/>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auto"/>
                <w:kern w:val="0"/>
                <w:sz w:val="24"/>
                <w:szCs w:val="24"/>
              </w:rPr>
            </w:pPr>
            <w:r>
              <w:rPr>
                <w:rFonts w:hint="eastAsia" w:ascii="宋体" w:hAnsi="宋体" w:cs="宋体"/>
                <w:color w:val="auto"/>
                <w:kern w:val="0"/>
                <w:sz w:val="20"/>
                <w:szCs w:val="20"/>
              </w:rPr>
              <w:t>其他</w:t>
            </w:r>
            <w:r>
              <w:rPr>
                <w:rFonts w:hint="eastAsia" w:ascii="宋体" w:hAnsi="宋体" w:cs="宋体"/>
                <w:color w:val="auto"/>
                <w:kern w:val="0"/>
                <w:sz w:val="20"/>
                <w:szCs w:val="20"/>
              </w:rPr>
              <w:br w:type="textWrapping"/>
            </w:r>
            <w:r>
              <w:rPr>
                <w:rFonts w:hint="eastAsia" w:ascii="宋体" w:hAnsi="宋体" w:cs="宋体"/>
                <w:color w:val="auto"/>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auto"/>
                <w:kern w:val="0"/>
                <w:sz w:val="24"/>
                <w:szCs w:val="24"/>
              </w:rPr>
            </w:pPr>
            <w:r>
              <w:rPr>
                <w:rFonts w:hint="eastAsia" w:ascii="宋体" w:hAnsi="宋体" w:cs="宋体"/>
                <w:color w:val="auto"/>
                <w:kern w:val="0"/>
                <w:sz w:val="20"/>
                <w:szCs w:val="20"/>
              </w:rPr>
              <w:t>尚未</w:t>
            </w:r>
            <w:r>
              <w:rPr>
                <w:rFonts w:hint="eastAsia" w:ascii="宋体" w:hAnsi="宋体" w:cs="宋体"/>
                <w:color w:val="auto"/>
                <w:kern w:val="0"/>
                <w:sz w:val="20"/>
                <w:szCs w:val="20"/>
              </w:rPr>
              <w:br w:type="textWrapping"/>
            </w:r>
            <w:r>
              <w:rPr>
                <w:rFonts w:hint="eastAsia" w:ascii="宋体" w:hAnsi="宋体" w:cs="宋体"/>
                <w:color w:val="auto"/>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auto"/>
                <w:kern w:val="0"/>
                <w:sz w:val="24"/>
                <w:szCs w:val="24"/>
              </w:rPr>
            </w:pPr>
            <w:r>
              <w:rPr>
                <w:rFonts w:hint="eastAsia" w:ascii="宋体" w:hAnsi="宋体" w:cs="宋体"/>
                <w:color w:val="auto"/>
                <w:kern w:val="0"/>
                <w:sz w:val="20"/>
                <w:szCs w:val="20"/>
              </w:rPr>
              <w:t>总计</w:t>
            </w:r>
          </w:p>
        </w:tc>
        <w:tc>
          <w:tcPr>
            <w:tcW w:w="65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auto"/>
                <w:kern w:val="0"/>
                <w:sz w:val="24"/>
                <w:szCs w:val="24"/>
              </w:rPr>
            </w:pPr>
            <w:r>
              <w:rPr>
                <w:rFonts w:hint="eastAsia" w:ascii="宋体" w:hAnsi="宋体" w:cs="宋体"/>
                <w:color w:val="auto"/>
                <w:kern w:val="0"/>
                <w:sz w:val="20"/>
                <w:szCs w:val="20"/>
              </w:rPr>
              <w:t>结果</w:t>
            </w:r>
            <w:r>
              <w:rPr>
                <w:rFonts w:hint="eastAsia" w:ascii="宋体" w:hAnsi="宋体" w:cs="宋体"/>
                <w:color w:val="auto"/>
                <w:kern w:val="0"/>
                <w:sz w:val="20"/>
                <w:szCs w:val="20"/>
              </w:rPr>
              <w:br w:type="textWrapping"/>
            </w:r>
            <w:r>
              <w:rPr>
                <w:rFonts w:hint="eastAsia" w:ascii="宋体" w:hAnsi="宋体" w:cs="宋体"/>
                <w:color w:val="auto"/>
                <w:kern w:val="0"/>
                <w:sz w:val="20"/>
                <w:szCs w:val="20"/>
              </w:rPr>
              <w:t>维持</w:t>
            </w:r>
          </w:p>
        </w:tc>
        <w:tc>
          <w:tcPr>
            <w:tcW w:w="65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auto"/>
                <w:kern w:val="0"/>
                <w:sz w:val="24"/>
                <w:szCs w:val="24"/>
              </w:rPr>
            </w:pPr>
            <w:r>
              <w:rPr>
                <w:rFonts w:hint="eastAsia" w:ascii="宋体" w:hAnsi="宋体" w:cs="宋体"/>
                <w:color w:val="auto"/>
                <w:kern w:val="0"/>
                <w:sz w:val="20"/>
                <w:szCs w:val="20"/>
              </w:rPr>
              <w:t>结果</w:t>
            </w:r>
            <w:r>
              <w:rPr>
                <w:rFonts w:hint="eastAsia" w:ascii="宋体" w:hAnsi="宋体" w:cs="宋体"/>
                <w:color w:val="auto"/>
                <w:kern w:val="0"/>
                <w:sz w:val="20"/>
                <w:szCs w:val="20"/>
              </w:rPr>
              <w:br w:type="textWrapping"/>
            </w:r>
            <w:r>
              <w:rPr>
                <w:rFonts w:hint="eastAsia" w:ascii="宋体" w:hAnsi="宋体" w:cs="宋体"/>
                <w:color w:val="auto"/>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auto"/>
                <w:kern w:val="0"/>
                <w:sz w:val="24"/>
                <w:szCs w:val="24"/>
              </w:rPr>
            </w:pPr>
            <w:r>
              <w:rPr>
                <w:rFonts w:hint="eastAsia" w:ascii="宋体" w:hAnsi="宋体" w:cs="宋体"/>
                <w:color w:val="auto"/>
                <w:kern w:val="0"/>
                <w:sz w:val="20"/>
                <w:szCs w:val="20"/>
              </w:rPr>
              <w:t>其他</w:t>
            </w:r>
            <w:r>
              <w:rPr>
                <w:rFonts w:hint="eastAsia" w:ascii="宋体" w:hAnsi="宋体" w:cs="宋体"/>
                <w:color w:val="auto"/>
                <w:kern w:val="0"/>
                <w:sz w:val="20"/>
                <w:szCs w:val="20"/>
              </w:rPr>
              <w:br w:type="textWrapping"/>
            </w:r>
            <w:r>
              <w:rPr>
                <w:rFonts w:hint="eastAsia" w:ascii="宋体" w:hAnsi="宋体" w:cs="宋体"/>
                <w:color w:val="auto"/>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auto"/>
                <w:kern w:val="0"/>
                <w:sz w:val="24"/>
                <w:szCs w:val="24"/>
              </w:rPr>
            </w:pPr>
            <w:r>
              <w:rPr>
                <w:rFonts w:hint="eastAsia" w:ascii="宋体" w:hAnsi="宋体" w:cs="宋体"/>
                <w:color w:val="auto"/>
                <w:kern w:val="0"/>
                <w:sz w:val="20"/>
                <w:szCs w:val="20"/>
              </w:rPr>
              <w:t>尚未</w:t>
            </w:r>
            <w:r>
              <w:rPr>
                <w:rFonts w:hint="eastAsia" w:ascii="宋体" w:hAnsi="宋体" w:cs="宋体"/>
                <w:color w:val="auto"/>
                <w:kern w:val="0"/>
                <w:sz w:val="20"/>
                <w:szCs w:val="20"/>
              </w:rPr>
              <w:br w:type="textWrapping"/>
            </w:r>
            <w:r>
              <w:rPr>
                <w:rFonts w:hint="eastAsia" w:ascii="宋体" w:hAnsi="宋体" w:cs="宋体"/>
                <w:color w:val="auto"/>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auto"/>
                <w:kern w:val="0"/>
                <w:sz w:val="24"/>
                <w:szCs w:val="24"/>
              </w:rPr>
            </w:pPr>
            <w:r>
              <w:rPr>
                <w:rFonts w:hint="eastAsia" w:ascii="宋体" w:hAnsi="宋体" w:cs="宋体"/>
                <w:color w:val="auto"/>
                <w:kern w:val="0"/>
                <w:sz w:val="20"/>
                <w:szCs w:val="20"/>
              </w:rPr>
              <w:t>总计</w:t>
            </w:r>
          </w:p>
        </w:tc>
      </w:tr>
      <w:tr>
        <w:tblPrEx>
          <w:tblCellMar>
            <w:top w:w="0" w:type="dxa"/>
            <w:left w:w="0" w:type="dxa"/>
            <w:bottom w:w="0" w:type="dxa"/>
            <w:right w:w="0" w:type="dxa"/>
          </w:tblCellMar>
        </w:tblPrEx>
        <w:trPr>
          <w:trHeight w:val="672" w:hRule="atLeast"/>
          <w:jc w:val="center"/>
        </w:trPr>
        <w:tc>
          <w:tcPr>
            <w:tcW w:w="65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0"/>
                <w:szCs w:val="20"/>
                <w:lang w:val="en-US" w:eastAsia="zh-CN"/>
              </w:rPr>
              <w:t>0</w:t>
            </w:r>
          </w:p>
        </w:tc>
        <w:tc>
          <w:tcPr>
            <w:tcW w:w="65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0"/>
                <w:szCs w:val="20"/>
                <w:lang w:val="en-US" w:eastAsia="zh-CN"/>
              </w:rPr>
              <w:t>0</w:t>
            </w:r>
          </w:p>
        </w:tc>
        <w:tc>
          <w:tcPr>
            <w:tcW w:w="65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0"/>
                <w:szCs w:val="20"/>
                <w:lang w:val="en-US" w:eastAsia="zh-CN"/>
              </w:rPr>
              <w:t>0</w:t>
            </w:r>
          </w:p>
        </w:tc>
        <w:tc>
          <w:tcPr>
            <w:tcW w:w="65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0"/>
                <w:szCs w:val="20"/>
                <w:lang w:val="en-US" w:eastAsia="zh-CN"/>
              </w:rPr>
              <w:t>0</w:t>
            </w:r>
          </w:p>
        </w:tc>
        <w:tc>
          <w:tcPr>
            <w:tcW w:w="65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0"/>
                <w:szCs w:val="20"/>
                <w:lang w:val="en-US" w:eastAsia="zh-CN"/>
              </w:rPr>
              <w:t>0</w:t>
            </w:r>
          </w:p>
        </w:tc>
        <w:tc>
          <w:tcPr>
            <w:tcW w:w="64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0</w:t>
            </w:r>
          </w:p>
        </w:tc>
        <w:tc>
          <w:tcPr>
            <w:tcW w:w="64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0</w:t>
            </w:r>
          </w:p>
        </w:tc>
        <w:tc>
          <w:tcPr>
            <w:tcW w:w="65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0</w:t>
            </w:r>
          </w:p>
        </w:tc>
        <w:tc>
          <w:tcPr>
            <w:tcW w:w="65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0</w:t>
            </w:r>
          </w:p>
        </w:tc>
        <w:tc>
          <w:tcPr>
            <w:tcW w:w="65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0</w:t>
            </w:r>
          </w:p>
        </w:tc>
        <w:tc>
          <w:tcPr>
            <w:tcW w:w="65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0</w:t>
            </w:r>
          </w:p>
        </w:tc>
        <w:tc>
          <w:tcPr>
            <w:tcW w:w="65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0</w:t>
            </w:r>
          </w:p>
        </w:tc>
        <w:tc>
          <w:tcPr>
            <w:tcW w:w="65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0</w:t>
            </w:r>
          </w:p>
        </w:tc>
        <w:tc>
          <w:tcPr>
            <w:tcW w:w="65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0</w:t>
            </w:r>
          </w:p>
        </w:tc>
        <w:tc>
          <w:tcPr>
            <w:tcW w:w="65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0</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0" w:leftChars="0"/>
        <w:textAlignment w:val="auto"/>
        <w:rPr>
          <w:rFonts w:hint="eastAsia" w:ascii="黑体" w:hAnsi="黑体" w:eastAsia="黑体" w:cs="黑体"/>
          <w:i w:val="0"/>
          <w:iCs w:val="0"/>
          <w:caps w:val="0"/>
          <w:color w:val="auto"/>
          <w:spacing w:val="0"/>
          <w:sz w:val="32"/>
          <w:szCs w:val="32"/>
          <w:shd w:val="clear" w:fill="FFFFFF"/>
        </w:rPr>
      </w:pPr>
      <w:r>
        <w:rPr>
          <w:rFonts w:hint="eastAsia" w:ascii="黑体" w:hAnsi="黑体" w:eastAsia="黑体" w:cs="黑体"/>
          <w:i w:val="0"/>
          <w:iCs w:val="0"/>
          <w:caps w:val="0"/>
          <w:color w:val="auto"/>
          <w:spacing w:val="0"/>
          <w:sz w:val="32"/>
          <w:szCs w:val="32"/>
          <w:shd w:val="clear" w:fill="FFFFFF"/>
          <w:lang w:eastAsia="zh-CN"/>
        </w:rPr>
        <w:t>五、</w:t>
      </w:r>
      <w:r>
        <w:rPr>
          <w:rFonts w:hint="eastAsia" w:ascii="黑体" w:hAnsi="黑体" w:eastAsia="黑体" w:cs="黑体"/>
          <w:i w:val="0"/>
          <w:iCs w:val="0"/>
          <w:caps w:val="0"/>
          <w:color w:val="auto"/>
          <w:spacing w:val="0"/>
          <w:sz w:val="32"/>
          <w:szCs w:val="32"/>
          <w:shd w:val="clear" w:fill="FFFFFF"/>
        </w:rPr>
        <w:t>存在的主要问题及改进情况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Times New Roman" w:hAnsi="Times New Roman" w:eastAsia="仿宋_GB2312" w:cs="仿宋_GB2312"/>
          <w:color w:val="2B2B2B"/>
          <w:kern w:val="0"/>
          <w:sz w:val="32"/>
          <w:szCs w:val="32"/>
          <w:lang w:val="en-US" w:eastAsia="zh-CN" w:bidi="ar-SA"/>
        </w:rPr>
      </w:pPr>
      <w:r>
        <w:rPr>
          <w:rFonts w:hint="eastAsia" w:ascii="仿宋_GB2312" w:hAnsi="仿宋_GB2312" w:eastAsia="仿宋_GB2312" w:cs="仿宋_GB2312"/>
          <w:b/>
          <w:bCs/>
          <w:i w:val="0"/>
          <w:iCs w:val="0"/>
          <w:caps w:val="0"/>
          <w:color w:val="auto"/>
          <w:spacing w:val="0"/>
          <w:sz w:val="32"/>
          <w:szCs w:val="32"/>
          <w:shd w:val="clear" w:fill="FFFFFF"/>
          <w:lang w:val="en-US" w:eastAsia="zh-CN"/>
        </w:rPr>
        <w:t>1、</w:t>
      </w:r>
      <w:r>
        <w:rPr>
          <w:rFonts w:hint="eastAsia" w:ascii="仿宋_GB2312" w:hAnsi="仿宋_GB2312" w:eastAsia="仿宋_GB2312" w:cs="仿宋_GB2312"/>
          <w:b/>
          <w:bCs/>
          <w:i w:val="0"/>
          <w:iCs w:val="0"/>
          <w:caps w:val="0"/>
          <w:color w:val="auto"/>
          <w:spacing w:val="0"/>
          <w:sz w:val="32"/>
          <w:szCs w:val="32"/>
          <w:shd w:val="clear" w:fill="FFFFFF"/>
        </w:rPr>
        <w:t>存在的主要问题：</w:t>
      </w:r>
      <w:r>
        <w:rPr>
          <w:rFonts w:hint="eastAsia" w:ascii="Times New Roman" w:hAnsi="Times New Roman" w:eastAsia="仿宋_GB2312" w:cs="仿宋_GB2312"/>
          <w:color w:val="2B2B2B"/>
          <w:kern w:val="0"/>
          <w:sz w:val="32"/>
          <w:szCs w:val="32"/>
          <w:lang w:val="en-US" w:eastAsia="zh-CN" w:bidi="ar-SA"/>
        </w:rPr>
        <w:t>一是日常信息公开还不够及时、准确、到位；二是信息公开的内容、形式不够丰富，存在单一化、表面化；三是政务公开的深度及广度还有待提高。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Times New Roman" w:hAnsi="Times New Roman" w:eastAsia="仿宋_GB2312" w:cs="仿宋_GB2312"/>
          <w:color w:val="2B2B2B"/>
          <w:kern w:val="0"/>
          <w:sz w:val="32"/>
          <w:szCs w:val="32"/>
          <w:lang w:val="en-US" w:eastAsia="zh-CN" w:bidi="ar-SA"/>
        </w:rPr>
      </w:pPr>
      <w:r>
        <w:rPr>
          <w:rFonts w:hint="eastAsia" w:ascii="仿宋_GB2312" w:hAnsi="仿宋_GB2312" w:eastAsia="仿宋_GB2312" w:cs="仿宋_GB2312"/>
          <w:b/>
          <w:bCs/>
          <w:i w:val="0"/>
          <w:iCs w:val="0"/>
          <w:caps w:val="0"/>
          <w:color w:val="auto"/>
          <w:spacing w:val="0"/>
          <w:sz w:val="32"/>
          <w:szCs w:val="32"/>
          <w:shd w:val="clear" w:fill="FFFFFF"/>
        </w:rPr>
        <w:t>2、改进措施</w:t>
      </w:r>
      <w:r>
        <w:rPr>
          <w:rFonts w:hint="eastAsia" w:ascii="仿宋_GB2312" w:hAnsi="仿宋_GB2312" w:eastAsia="仿宋_GB2312" w:cs="仿宋_GB2312"/>
          <w:color w:val="auto"/>
          <w:sz w:val="32"/>
          <w:szCs w:val="32"/>
          <w:lang w:val="en-US" w:eastAsia="zh-CN"/>
        </w:rPr>
        <w:t>：</w:t>
      </w:r>
      <w:r>
        <w:rPr>
          <w:rFonts w:hint="eastAsia" w:ascii="Times New Roman" w:hAnsi="Times New Roman" w:eastAsia="仿宋_GB2312" w:cs="仿宋_GB2312"/>
          <w:color w:val="2B2B2B"/>
          <w:kern w:val="0"/>
          <w:sz w:val="32"/>
          <w:szCs w:val="32"/>
          <w:lang w:val="en-US" w:eastAsia="zh-CN" w:bidi="ar-SA"/>
        </w:rPr>
        <w:t>一是对政府信息公开实行规范化管理，不断加强日常监管，进一步充实公开内容；二是加强人员培训，不断提高三桥街道政府信息公开化水平；三是夯实责任，严格按照基层政务公开标准目录做好各项政府信息公开。</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0" w:leftChars="0"/>
        <w:textAlignment w:val="auto"/>
        <w:rPr>
          <w:rFonts w:hint="eastAsia" w:ascii="黑体" w:hAnsi="黑体" w:eastAsia="黑体" w:cs="黑体"/>
          <w:i w:val="0"/>
          <w:iCs w:val="0"/>
          <w:caps w:val="0"/>
          <w:color w:val="auto"/>
          <w:spacing w:val="0"/>
          <w:sz w:val="32"/>
          <w:szCs w:val="32"/>
          <w:shd w:val="clear" w:fill="FFFFFF"/>
          <w:lang w:val="en-US" w:eastAsia="zh-CN"/>
        </w:rPr>
      </w:pPr>
      <w:r>
        <w:rPr>
          <w:rFonts w:hint="eastAsia" w:ascii="黑体" w:hAnsi="黑体" w:eastAsia="黑体" w:cs="黑体"/>
          <w:i w:val="0"/>
          <w:iCs w:val="0"/>
          <w:caps w:val="0"/>
          <w:color w:val="auto"/>
          <w:spacing w:val="0"/>
          <w:sz w:val="32"/>
          <w:szCs w:val="32"/>
          <w:shd w:val="clear" w:fill="FFFFFF"/>
          <w:lang w:val="en-US" w:eastAsia="zh-CN"/>
        </w:rPr>
        <w:t>六、其他需要报告的事项</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无</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0" w:firstLine="640" w:firstLineChars="200"/>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建章路街道办事处</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0" w:firstLine="640" w:firstLineChars="200"/>
        <w:jc w:val="center"/>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2022年1月24日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DFCCE3"/>
    <w:multiLevelType w:val="singleLevel"/>
    <w:tmpl w:val="D0DFCCE3"/>
    <w:lvl w:ilvl="0" w:tentative="0">
      <w:start w:val="1"/>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0D65CA"/>
    <w:rsid w:val="088272AD"/>
    <w:rsid w:val="173D63A7"/>
    <w:rsid w:val="251026F8"/>
    <w:rsid w:val="28890C53"/>
    <w:rsid w:val="2A2A2648"/>
    <w:rsid w:val="2AB7486D"/>
    <w:rsid w:val="33DD5959"/>
    <w:rsid w:val="4AC938AF"/>
    <w:rsid w:val="4D3F08E5"/>
    <w:rsid w:val="4F8E1BF7"/>
    <w:rsid w:val="54E40F6A"/>
    <w:rsid w:val="5F135879"/>
    <w:rsid w:val="64FF3DE6"/>
    <w:rsid w:val="6A742B45"/>
    <w:rsid w:val="72CE5CE3"/>
    <w:rsid w:val="76561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2022-01-24T06:16:00Z</dcterms:created>
  <dc:creator>Administrator</dc:creator>
  <cp:lastModifiedBy>Administrator</cp:lastModifiedBy>
  <cp:lastPrinted>2022-01-24T07:25:00Z</cp:lastPrinted>
  <dcterms:modified xsi:type="dcterms:W3CDTF">2022-01-27T09:34:48Z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7AD544E391F64E6F8542E5588D84E3BE</vt:lpwstr>
  </property>
</Properties>
</file>