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推进A级景区创建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lang w:val="en-US" w:eastAsia="zh-CN"/>
              </w:rPr>
              <w:t>对新评定为国家5A级景区、4A级景区的奖补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《西咸新区促进文化旅游产业高质量发展奖补政策》第十条 推进A级景区创建。新评定为国家5A级景区、4A级景区，分别给予300万元、100万元的一次性奖补。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9"/>
        <w:gridCol w:w="1410"/>
        <w:gridCol w:w="1488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营业执照、法定代表人身份证等材料复印件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财务审计报告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景区创建成功正式批复文件</w:t>
            </w:r>
          </w:p>
        </w:tc>
        <w:tc>
          <w:tcPr>
            <w:tcW w:w="141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48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推进A级景区创建项目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推进A级景区创建项目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w w:val="90"/>
          <w:sz w:val="44"/>
          <w:szCs w:val="44"/>
          <w:lang w:val="en-US" w:eastAsia="zh-CN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推进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A级景区创建</w:t>
      </w:r>
      <w:r>
        <w:rPr>
          <w:rFonts w:hint="eastAsia" w:ascii="Times New Roman" w:hAnsi="Times New Roman" w:eastAsia="方正小标宋简体" w:cs="方正小标宋简体"/>
          <w:w w:val="90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887"/>
        <w:gridCol w:w="1985"/>
        <w:gridCol w:w="1984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项目单位概况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项目概况</w:t>
            </w:r>
          </w:p>
        </w:tc>
        <w:tc>
          <w:tcPr>
            <w:tcW w:w="7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2FDE3E90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861340"/>
    <w:rsid w:val="508B21B3"/>
    <w:rsid w:val="50B37E70"/>
    <w:rsid w:val="53FD145A"/>
    <w:rsid w:val="5B48496A"/>
    <w:rsid w:val="5EA26C4A"/>
    <w:rsid w:val="5F5FA274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7682346D"/>
    <w:rsid w:val="7C635AEE"/>
    <w:rsid w:val="7C9C4486"/>
    <w:rsid w:val="7DA72AC8"/>
    <w:rsid w:val="7E175980"/>
    <w:rsid w:val="7EFEF84E"/>
    <w:rsid w:val="9FB74184"/>
    <w:rsid w:val="D73FF1DB"/>
    <w:rsid w:val="EAF3B106"/>
    <w:rsid w:val="EFE7B245"/>
    <w:rsid w:val="FBE4B276"/>
    <w:rsid w:val="FB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2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3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guest</cp:lastModifiedBy>
  <cp:lastPrinted>2020-05-13T07:19:00Z</cp:lastPrinted>
  <dcterms:modified xsi:type="dcterms:W3CDTF">2022-10-11T17:55:30Z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