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D57920">
      <w:pPr>
        <w:rPr>
          <w:sz w:val="36"/>
          <w:szCs w:val="36"/>
        </w:rPr>
      </w:pPr>
      <w:bookmarkStart w:id="0" w:name="_Hlk78467549"/>
    </w:p>
    <w:p w14:paraId="5ECDD9D1">
      <w:pPr>
        <w:rPr>
          <w:sz w:val="36"/>
          <w:szCs w:val="36"/>
        </w:rPr>
      </w:pPr>
    </w:p>
    <w:p w14:paraId="5DC84C2A">
      <w:pPr>
        <w:rPr>
          <w:sz w:val="36"/>
          <w:szCs w:val="36"/>
        </w:rPr>
      </w:pPr>
    </w:p>
    <w:p w14:paraId="691A5411">
      <w:pPr>
        <w:rPr>
          <w:sz w:val="36"/>
          <w:szCs w:val="36"/>
        </w:rPr>
      </w:pPr>
    </w:p>
    <w:p w14:paraId="7D51C8E2">
      <w:pPr>
        <w:jc w:val="center"/>
        <w:rPr>
          <w:sz w:val="36"/>
          <w:szCs w:val="36"/>
        </w:rPr>
      </w:pPr>
    </w:p>
    <w:p w14:paraId="4D88338A">
      <w:pPr>
        <w:jc w:val="center"/>
        <w:rPr>
          <w:bCs/>
          <w:sz w:val="72"/>
          <w:szCs w:val="72"/>
        </w:rPr>
      </w:pPr>
      <w:r>
        <w:rPr>
          <w:bCs/>
          <w:sz w:val="72"/>
          <w:szCs w:val="72"/>
        </w:rPr>
        <w:t>建设项目环境影响报告表</w:t>
      </w:r>
    </w:p>
    <w:p w14:paraId="24B1666F">
      <w:pPr>
        <w:jc w:val="center"/>
        <w:rPr>
          <w:bCs/>
          <w:sz w:val="48"/>
          <w:szCs w:val="48"/>
        </w:rPr>
      </w:pPr>
      <w:r>
        <w:rPr>
          <w:bCs/>
          <w:sz w:val="48"/>
          <w:szCs w:val="48"/>
        </w:rPr>
        <w:t>（污染影响类）</w:t>
      </w:r>
    </w:p>
    <w:p w14:paraId="49DC632A">
      <w:pPr>
        <w:jc w:val="center"/>
        <w:rPr>
          <w:kern w:val="44"/>
          <w:sz w:val="44"/>
          <w:szCs w:val="44"/>
        </w:rPr>
      </w:pPr>
    </w:p>
    <w:p w14:paraId="1D0C93CD">
      <w:pPr>
        <w:jc w:val="center"/>
        <w:rPr>
          <w:sz w:val="52"/>
          <w:szCs w:val="52"/>
        </w:rPr>
      </w:pPr>
    </w:p>
    <w:p w14:paraId="49B55E33">
      <w:pPr>
        <w:jc w:val="center"/>
        <w:rPr>
          <w:sz w:val="44"/>
          <w:szCs w:val="44"/>
        </w:rPr>
      </w:pPr>
    </w:p>
    <w:p w14:paraId="691DD6F3">
      <w:pPr>
        <w:jc w:val="center"/>
        <w:rPr>
          <w:sz w:val="44"/>
          <w:szCs w:val="44"/>
        </w:rPr>
      </w:pPr>
    </w:p>
    <w:p w14:paraId="7BAFCC02">
      <w:pPr>
        <w:jc w:val="center"/>
        <w:rPr>
          <w:sz w:val="44"/>
          <w:szCs w:val="44"/>
        </w:rPr>
      </w:pPr>
    </w:p>
    <w:p w14:paraId="223376B4">
      <w:pPr>
        <w:ind w:left="1800" w:hanging="1800" w:hangingChars="500"/>
        <w:rPr>
          <w:sz w:val="36"/>
          <w:szCs w:val="36"/>
          <w:u w:val="single"/>
        </w:rPr>
      </w:pPr>
      <w:r>
        <w:rPr>
          <w:sz w:val="36"/>
          <w:szCs w:val="36"/>
        </w:rPr>
        <w:t>项目名称：</w:t>
      </w:r>
      <w:r>
        <w:rPr>
          <w:rFonts w:hint="eastAsia"/>
          <w:sz w:val="36"/>
          <w:szCs w:val="36"/>
          <w:u w:val="single"/>
        </w:rPr>
        <w:t>国检测试控股集团陕西京诚检测有限公司</w:t>
      </w:r>
    </w:p>
    <w:p w14:paraId="3D2CCCA5">
      <w:pPr>
        <w:ind w:left="1800" w:leftChars="750"/>
        <w:rPr>
          <w:sz w:val="36"/>
          <w:szCs w:val="36"/>
          <w:u w:val="single"/>
        </w:rPr>
      </w:pPr>
      <w:r>
        <w:rPr>
          <w:rFonts w:hint="eastAsia"/>
          <w:sz w:val="36"/>
          <w:szCs w:val="36"/>
          <w:u w:val="single"/>
        </w:rPr>
        <w:t xml:space="preserve">           实验室建设项目           </w:t>
      </w:r>
    </w:p>
    <w:p w14:paraId="7944D6C1">
      <w:pPr>
        <w:ind w:left="1800" w:hanging="1800" w:hangingChars="500"/>
        <w:rPr>
          <w:sz w:val="36"/>
          <w:szCs w:val="36"/>
          <w:u w:val="single"/>
        </w:rPr>
      </w:pPr>
      <w:r>
        <w:rPr>
          <w:sz w:val="36"/>
          <w:szCs w:val="36"/>
        </w:rPr>
        <w:t>建设单位：</w:t>
      </w:r>
      <w:r>
        <w:rPr>
          <w:rFonts w:hint="eastAsia"/>
          <w:sz w:val="36"/>
          <w:szCs w:val="36"/>
          <w:u w:val="single"/>
        </w:rPr>
        <w:t>国检测试控股集团陕西京诚检测有限公司</w:t>
      </w:r>
    </w:p>
    <w:p w14:paraId="66ED2E99">
      <w:pPr>
        <w:rPr>
          <w:sz w:val="36"/>
          <w:szCs w:val="36"/>
          <w:u w:val="single"/>
        </w:rPr>
      </w:pPr>
      <w:r>
        <w:rPr>
          <w:sz w:val="36"/>
          <w:szCs w:val="36"/>
        </w:rPr>
        <w:t>编制日期：</w:t>
      </w:r>
      <w:r>
        <w:rPr>
          <w:sz w:val="36"/>
          <w:szCs w:val="36"/>
          <w:u w:val="single"/>
        </w:rPr>
        <w:t xml:space="preserve">    </w:t>
      </w:r>
      <w:r>
        <w:rPr>
          <w:rFonts w:hint="eastAsia"/>
          <w:sz w:val="36"/>
          <w:szCs w:val="36"/>
          <w:u w:val="single"/>
        </w:rPr>
        <w:t xml:space="preserve"> </w:t>
      </w:r>
      <w:r>
        <w:rPr>
          <w:sz w:val="36"/>
          <w:szCs w:val="36"/>
          <w:u w:val="single"/>
        </w:rPr>
        <w:t xml:space="preserve">   </w:t>
      </w:r>
      <w:r>
        <w:rPr>
          <w:rFonts w:hint="eastAsia"/>
          <w:sz w:val="36"/>
          <w:szCs w:val="36"/>
          <w:u w:val="single"/>
        </w:rPr>
        <w:t xml:space="preserve">     2024</w:t>
      </w:r>
      <w:r>
        <w:rPr>
          <w:sz w:val="36"/>
          <w:szCs w:val="36"/>
          <w:u w:val="single"/>
        </w:rPr>
        <w:t>年</w:t>
      </w:r>
      <w:r>
        <w:rPr>
          <w:rFonts w:hint="eastAsia"/>
          <w:sz w:val="36"/>
          <w:szCs w:val="36"/>
          <w:u w:val="single"/>
        </w:rPr>
        <w:t>8</w:t>
      </w:r>
      <w:r>
        <w:rPr>
          <w:sz w:val="36"/>
          <w:szCs w:val="36"/>
          <w:u w:val="single"/>
        </w:rPr>
        <w:t xml:space="preserve">月   </w:t>
      </w:r>
      <w:r>
        <w:rPr>
          <w:rFonts w:hint="eastAsia"/>
          <w:sz w:val="36"/>
          <w:szCs w:val="36"/>
          <w:u w:val="single"/>
        </w:rPr>
        <w:t xml:space="preserve">       </w:t>
      </w:r>
      <w:r>
        <w:rPr>
          <w:sz w:val="36"/>
          <w:szCs w:val="36"/>
          <w:u w:val="single"/>
        </w:rPr>
        <w:t xml:space="preserve"> </w:t>
      </w:r>
      <w:r>
        <w:rPr>
          <w:rFonts w:hint="eastAsia"/>
          <w:sz w:val="36"/>
          <w:szCs w:val="36"/>
          <w:u w:val="single"/>
        </w:rPr>
        <w:t xml:space="preserve">  </w:t>
      </w:r>
    </w:p>
    <w:p w14:paraId="2EFD72E5">
      <w:pPr>
        <w:jc w:val="center"/>
        <w:rPr>
          <w:sz w:val="36"/>
          <w:szCs w:val="36"/>
          <w:u w:val="single"/>
        </w:rPr>
      </w:pPr>
    </w:p>
    <w:p w14:paraId="4D06AA33">
      <w:pPr>
        <w:adjustRightInd w:val="0"/>
        <w:snapToGrid w:val="0"/>
        <w:spacing w:line="288" w:lineRule="auto"/>
        <w:rPr>
          <w:sz w:val="36"/>
          <w:szCs w:val="36"/>
        </w:rPr>
      </w:pPr>
    </w:p>
    <w:p w14:paraId="748F841A">
      <w:pPr>
        <w:adjustRightInd w:val="0"/>
        <w:snapToGrid w:val="0"/>
        <w:spacing w:line="288" w:lineRule="auto"/>
        <w:rPr>
          <w:sz w:val="36"/>
          <w:szCs w:val="36"/>
        </w:rPr>
      </w:pPr>
    </w:p>
    <w:p w14:paraId="1E2C3A63">
      <w:pPr>
        <w:adjustRightInd w:val="0"/>
        <w:snapToGrid w:val="0"/>
        <w:spacing w:line="288" w:lineRule="auto"/>
        <w:rPr>
          <w:sz w:val="36"/>
          <w:szCs w:val="36"/>
        </w:rPr>
      </w:pPr>
    </w:p>
    <w:p w14:paraId="3F7231BF">
      <w:pPr>
        <w:adjustRightInd w:val="0"/>
        <w:snapToGrid w:val="0"/>
        <w:spacing w:line="288" w:lineRule="auto"/>
        <w:rPr>
          <w:sz w:val="36"/>
          <w:szCs w:val="36"/>
        </w:rPr>
      </w:pPr>
    </w:p>
    <w:p w14:paraId="6388D9D0">
      <w:pPr>
        <w:adjustRightInd w:val="0"/>
        <w:snapToGrid w:val="0"/>
        <w:spacing w:line="288" w:lineRule="auto"/>
        <w:jc w:val="center"/>
        <w:rPr>
          <w:sz w:val="36"/>
          <w:szCs w:val="36"/>
        </w:rPr>
      </w:pPr>
      <w:r>
        <w:rPr>
          <w:sz w:val="36"/>
          <w:szCs w:val="36"/>
        </w:rPr>
        <w:t>中华人民共和国生态环境部制</w:t>
      </w:r>
    </w:p>
    <w:p w14:paraId="0B331EEE">
      <w:pPr>
        <w:adjustRightInd w:val="0"/>
        <w:snapToGrid w:val="0"/>
        <w:spacing w:line="288" w:lineRule="auto"/>
        <w:jc w:val="center"/>
        <w:rPr>
          <w:sz w:val="36"/>
          <w:szCs w:val="36"/>
        </w:rPr>
      </w:pPr>
    </w:p>
    <w:p w14:paraId="1318561E">
      <w:pPr>
        <w:sectPr>
          <w:pgSz w:w="11906" w:h="16838"/>
          <w:pgMar w:top="1701" w:right="1531" w:bottom="1701" w:left="1531" w:header="851" w:footer="992" w:gutter="0"/>
          <w:cols w:space="425" w:num="1"/>
          <w:docGrid w:type="lines" w:linePitch="312" w:charSpace="0"/>
        </w:sectPr>
      </w:pPr>
    </w:p>
    <w:p w14:paraId="3229D667">
      <w:pPr>
        <w:pStyle w:val="18"/>
        <w:spacing w:before="312" w:beforeLines="100" w:beforeAutospacing="0" w:after="312" w:afterLines="100" w:afterAutospacing="0"/>
        <w:jc w:val="center"/>
        <w:rPr>
          <w:rFonts w:eastAsia="宋体"/>
          <w:b/>
          <w:bCs/>
          <w:sz w:val="44"/>
          <w:szCs w:val="44"/>
        </w:rPr>
      </w:pPr>
      <w:r>
        <w:rPr>
          <w:rFonts w:hint="eastAsia" w:eastAsia="宋体"/>
          <w:b/>
          <w:bCs/>
          <w:sz w:val="44"/>
          <w:szCs w:val="44"/>
        </w:rPr>
        <w:t>目录</w:t>
      </w:r>
      <w:bookmarkStart w:id="13" w:name="_GoBack"/>
      <w:bookmarkEnd w:id="13"/>
    </w:p>
    <w:p w14:paraId="7CE1FA75">
      <w:pPr>
        <w:pStyle w:val="15"/>
        <w:tabs>
          <w:tab w:val="right" w:leader="dot" w:pos="8306"/>
        </w:tabs>
        <w:spacing w:line="560" w:lineRule="exact"/>
        <w:rPr>
          <w:sz w:val="28"/>
          <w:szCs w:val="28"/>
        </w:rPr>
      </w:pPr>
      <w:r>
        <w:fldChar w:fldCharType="begin"/>
      </w:r>
      <w:r>
        <w:instrText xml:space="preserve">TOC \o "1-1" \h \u </w:instrText>
      </w:r>
      <w:r>
        <w:fldChar w:fldCharType="separate"/>
      </w:r>
      <w:r>
        <w:fldChar w:fldCharType="begin"/>
      </w:r>
      <w:r>
        <w:instrText xml:space="preserve"> HYPERLINK \l "_Toc8848" </w:instrText>
      </w:r>
      <w:r>
        <w:fldChar w:fldCharType="separate"/>
      </w:r>
      <w:r>
        <w:rPr>
          <w:rFonts w:hint="eastAsia"/>
          <w:bCs/>
          <w:sz w:val="28"/>
          <w:szCs w:val="32"/>
        </w:rPr>
        <w:t>一、</w:t>
      </w:r>
      <w:r>
        <w:rPr>
          <w:bCs/>
          <w:sz w:val="28"/>
          <w:szCs w:val="32"/>
        </w:rPr>
        <w:t>建设项目基本情况</w:t>
      </w:r>
      <w:r>
        <w:rPr>
          <w:sz w:val="28"/>
          <w:szCs w:val="28"/>
        </w:rPr>
        <w:tab/>
      </w:r>
      <w:r>
        <w:rPr>
          <w:sz w:val="28"/>
          <w:szCs w:val="28"/>
        </w:rPr>
        <w:fldChar w:fldCharType="begin"/>
      </w:r>
      <w:r>
        <w:rPr>
          <w:sz w:val="28"/>
          <w:szCs w:val="28"/>
        </w:rPr>
        <w:instrText xml:space="preserve"> PAGEREF _Toc8848 \h </w:instrText>
      </w:r>
      <w:r>
        <w:rPr>
          <w:sz w:val="28"/>
          <w:szCs w:val="28"/>
        </w:rPr>
        <w:fldChar w:fldCharType="separate"/>
      </w:r>
      <w:r>
        <w:rPr>
          <w:sz w:val="28"/>
          <w:szCs w:val="28"/>
        </w:rPr>
        <w:t>1</w:t>
      </w:r>
      <w:r>
        <w:rPr>
          <w:sz w:val="28"/>
          <w:szCs w:val="28"/>
        </w:rPr>
        <w:fldChar w:fldCharType="end"/>
      </w:r>
      <w:r>
        <w:rPr>
          <w:sz w:val="28"/>
          <w:szCs w:val="28"/>
        </w:rPr>
        <w:fldChar w:fldCharType="end"/>
      </w:r>
    </w:p>
    <w:p w14:paraId="36C5A7F2">
      <w:pPr>
        <w:pStyle w:val="15"/>
        <w:tabs>
          <w:tab w:val="right" w:leader="dot" w:pos="8306"/>
        </w:tabs>
        <w:spacing w:line="560" w:lineRule="exact"/>
        <w:rPr>
          <w:sz w:val="28"/>
          <w:szCs w:val="28"/>
        </w:rPr>
      </w:pPr>
      <w:r>
        <w:fldChar w:fldCharType="begin"/>
      </w:r>
      <w:r>
        <w:instrText xml:space="preserve"> HYPERLINK \l "_Toc15776" </w:instrText>
      </w:r>
      <w:r>
        <w:fldChar w:fldCharType="separate"/>
      </w:r>
      <w:r>
        <w:rPr>
          <w:bCs/>
          <w:sz w:val="28"/>
          <w:szCs w:val="32"/>
        </w:rPr>
        <w:t>二、建设项目工程分析</w:t>
      </w:r>
      <w:r>
        <w:rPr>
          <w:sz w:val="28"/>
          <w:szCs w:val="28"/>
        </w:rPr>
        <w:tab/>
      </w:r>
      <w:r>
        <w:rPr>
          <w:sz w:val="28"/>
          <w:szCs w:val="28"/>
        </w:rPr>
        <w:fldChar w:fldCharType="begin"/>
      </w:r>
      <w:r>
        <w:rPr>
          <w:sz w:val="28"/>
          <w:szCs w:val="28"/>
        </w:rPr>
        <w:instrText xml:space="preserve"> PAGEREF _Toc15776 \h </w:instrText>
      </w:r>
      <w:r>
        <w:rPr>
          <w:sz w:val="28"/>
          <w:szCs w:val="28"/>
        </w:rPr>
        <w:fldChar w:fldCharType="separate"/>
      </w:r>
      <w:r>
        <w:rPr>
          <w:sz w:val="28"/>
          <w:szCs w:val="28"/>
        </w:rPr>
        <w:t>24</w:t>
      </w:r>
      <w:r>
        <w:rPr>
          <w:sz w:val="28"/>
          <w:szCs w:val="28"/>
        </w:rPr>
        <w:fldChar w:fldCharType="end"/>
      </w:r>
      <w:r>
        <w:rPr>
          <w:sz w:val="28"/>
          <w:szCs w:val="28"/>
        </w:rPr>
        <w:fldChar w:fldCharType="end"/>
      </w:r>
    </w:p>
    <w:p w14:paraId="59D70F63">
      <w:pPr>
        <w:pStyle w:val="15"/>
        <w:tabs>
          <w:tab w:val="right" w:leader="dot" w:pos="8306"/>
        </w:tabs>
        <w:spacing w:line="560" w:lineRule="exact"/>
        <w:rPr>
          <w:sz w:val="28"/>
          <w:szCs w:val="28"/>
        </w:rPr>
      </w:pPr>
      <w:r>
        <w:fldChar w:fldCharType="begin"/>
      </w:r>
      <w:r>
        <w:instrText xml:space="preserve"> HYPERLINK \l "_Toc23157" </w:instrText>
      </w:r>
      <w:r>
        <w:fldChar w:fldCharType="separate"/>
      </w:r>
      <w:r>
        <w:rPr>
          <w:bCs/>
          <w:sz w:val="28"/>
          <w:szCs w:val="32"/>
        </w:rPr>
        <w:t>三、区域环境质量现状、环境保护目标及评价标准</w:t>
      </w:r>
      <w:r>
        <w:rPr>
          <w:sz w:val="28"/>
          <w:szCs w:val="28"/>
        </w:rPr>
        <w:tab/>
      </w:r>
      <w:r>
        <w:rPr>
          <w:sz w:val="28"/>
          <w:szCs w:val="28"/>
        </w:rPr>
        <w:fldChar w:fldCharType="begin"/>
      </w:r>
      <w:r>
        <w:rPr>
          <w:sz w:val="28"/>
          <w:szCs w:val="28"/>
        </w:rPr>
        <w:instrText xml:space="preserve"> PAGEREF _Toc23157 \h </w:instrText>
      </w:r>
      <w:r>
        <w:rPr>
          <w:sz w:val="28"/>
          <w:szCs w:val="28"/>
        </w:rPr>
        <w:fldChar w:fldCharType="separate"/>
      </w:r>
      <w:r>
        <w:rPr>
          <w:sz w:val="28"/>
          <w:szCs w:val="28"/>
        </w:rPr>
        <w:t>50</w:t>
      </w:r>
      <w:r>
        <w:rPr>
          <w:sz w:val="28"/>
          <w:szCs w:val="28"/>
        </w:rPr>
        <w:fldChar w:fldCharType="end"/>
      </w:r>
      <w:r>
        <w:rPr>
          <w:sz w:val="28"/>
          <w:szCs w:val="28"/>
        </w:rPr>
        <w:fldChar w:fldCharType="end"/>
      </w:r>
    </w:p>
    <w:p w14:paraId="7718AB83">
      <w:pPr>
        <w:pStyle w:val="15"/>
        <w:tabs>
          <w:tab w:val="right" w:leader="dot" w:pos="8306"/>
        </w:tabs>
        <w:spacing w:line="560" w:lineRule="exact"/>
        <w:rPr>
          <w:sz w:val="28"/>
          <w:szCs w:val="28"/>
        </w:rPr>
      </w:pPr>
      <w:r>
        <w:fldChar w:fldCharType="begin"/>
      </w:r>
      <w:r>
        <w:instrText xml:space="preserve"> HYPERLINK \l "_Toc4888" </w:instrText>
      </w:r>
      <w:r>
        <w:fldChar w:fldCharType="separate"/>
      </w:r>
      <w:r>
        <w:rPr>
          <w:bCs/>
          <w:sz w:val="28"/>
          <w:szCs w:val="32"/>
        </w:rPr>
        <w:t>四、主要环境影响和保护措施</w:t>
      </w:r>
      <w:r>
        <w:rPr>
          <w:sz w:val="28"/>
          <w:szCs w:val="28"/>
        </w:rPr>
        <w:tab/>
      </w:r>
      <w:r>
        <w:rPr>
          <w:sz w:val="28"/>
          <w:szCs w:val="28"/>
        </w:rPr>
        <w:fldChar w:fldCharType="begin"/>
      </w:r>
      <w:r>
        <w:rPr>
          <w:sz w:val="28"/>
          <w:szCs w:val="28"/>
        </w:rPr>
        <w:instrText xml:space="preserve"> PAGEREF _Toc4888 \h </w:instrText>
      </w:r>
      <w:r>
        <w:rPr>
          <w:sz w:val="28"/>
          <w:szCs w:val="28"/>
        </w:rPr>
        <w:fldChar w:fldCharType="separate"/>
      </w:r>
      <w:r>
        <w:rPr>
          <w:sz w:val="28"/>
          <w:szCs w:val="28"/>
        </w:rPr>
        <w:t>58</w:t>
      </w:r>
      <w:r>
        <w:rPr>
          <w:sz w:val="28"/>
          <w:szCs w:val="28"/>
        </w:rPr>
        <w:fldChar w:fldCharType="end"/>
      </w:r>
      <w:r>
        <w:rPr>
          <w:sz w:val="28"/>
          <w:szCs w:val="28"/>
        </w:rPr>
        <w:fldChar w:fldCharType="end"/>
      </w:r>
    </w:p>
    <w:p w14:paraId="7E9E4887">
      <w:pPr>
        <w:pStyle w:val="15"/>
        <w:tabs>
          <w:tab w:val="right" w:leader="dot" w:pos="8306"/>
        </w:tabs>
        <w:spacing w:line="560" w:lineRule="exact"/>
        <w:rPr>
          <w:sz w:val="28"/>
          <w:szCs w:val="28"/>
        </w:rPr>
      </w:pPr>
      <w:r>
        <w:fldChar w:fldCharType="begin"/>
      </w:r>
      <w:r>
        <w:instrText xml:space="preserve"> HYPERLINK \l "_Toc28729" </w:instrText>
      </w:r>
      <w:r>
        <w:fldChar w:fldCharType="separate"/>
      </w:r>
      <w:r>
        <w:rPr>
          <w:bCs/>
          <w:sz w:val="28"/>
          <w:szCs w:val="32"/>
        </w:rPr>
        <w:t>五、环境保护措施监督检查清单</w:t>
      </w:r>
      <w:r>
        <w:rPr>
          <w:sz w:val="28"/>
          <w:szCs w:val="28"/>
        </w:rPr>
        <w:tab/>
      </w:r>
      <w:r>
        <w:rPr>
          <w:sz w:val="28"/>
          <w:szCs w:val="28"/>
        </w:rPr>
        <w:fldChar w:fldCharType="begin"/>
      </w:r>
      <w:r>
        <w:rPr>
          <w:sz w:val="28"/>
          <w:szCs w:val="28"/>
        </w:rPr>
        <w:instrText xml:space="preserve"> PAGEREF _Toc28729 \h </w:instrText>
      </w:r>
      <w:r>
        <w:rPr>
          <w:sz w:val="28"/>
          <w:szCs w:val="28"/>
        </w:rPr>
        <w:fldChar w:fldCharType="separate"/>
      </w:r>
      <w:r>
        <w:rPr>
          <w:sz w:val="28"/>
          <w:szCs w:val="28"/>
        </w:rPr>
        <w:t>92</w:t>
      </w:r>
      <w:r>
        <w:rPr>
          <w:sz w:val="28"/>
          <w:szCs w:val="28"/>
        </w:rPr>
        <w:fldChar w:fldCharType="end"/>
      </w:r>
      <w:r>
        <w:rPr>
          <w:sz w:val="28"/>
          <w:szCs w:val="28"/>
        </w:rPr>
        <w:fldChar w:fldCharType="end"/>
      </w:r>
    </w:p>
    <w:p w14:paraId="34170684">
      <w:pPr>
        <w:pStyle w:val="15"/>
        <w:tabs>
          <w:tab w:val="right" w:leader="dot" w:pos="8306"/>
        </w:tabs>
        <w:spacing w:line="560" w:lineRule="exact"/>
        <w:rPr>
          <w:sz w:val="28"/>
          <w:szCs w:val="28"/>
        </w:rPr>
      </w:pPr>
      <w:r>
        <w:fldChar w:fldCharType="begin"/>
      </w:r>
      <w:r>
        <w:instrText xml:space="preserve"> HYPERLINK \l "_Toc26218" </w:instrText>
      </w:r>
      <w:r>
        <w:fldChar w:fldCharType="separate"/>
      </w:r>
      <w:r>
        <w:rPr>
          <w:bCs/>
          <w:sz w:val="28"/>
          <w:szCs w:val="32"/>
        </w:rPr>
        <w:t>六、结论</w:t>
      </w:r>
      <w:r>
        <w:rPr>
          <w:sz w:val="28"/>
          <w:szCs w:val="28"/>
        </w:rPr>
        <w:tab/>
      </w:r>
      <w:r>
        <w:rPr>
          <w:sz w:val="28"/>
          <w:szCs w:val="28"/>
        </w:rPr>
        <w:fldChar w:fldCharType="begin"/>
      </w:r>
      <w:r>
        <w:rPr>
          <w:sz w:val="28"/>
          <w:szCs w:val="28"/>
        </w:rPr>
        <w:instrText xml:space="preserve"> PAGEREF _Toc26218 \h </w:instrText>
      </w:r>
      <w:r>
        <w:rPr>
          <w:sz w:val="28"/>
          <w:szCs w:val="28"/>
        </w:rPr>
        <w:fldChar w:fldCharType="separate"/>
      </w:r>
      <w:r>
        <w:rPr>
          <w:sz w:val="28"/>
          <w:szCs w:val="28"/>
        </w:rPr>
        <w:t>94</w:t>
      </w:r>
      <w:r>
        <w:rPr>
          <w:sz w:val="28"/>
          <w:szCs w:val="28"/>
        </w:rPr>
        <w:fldChar w:fldCharType="end"/>
      </w:r>
      <w:r>
        <w:rPr>
          <w:sz w:val="28"/>
          <w:szCs w:val="28"/>
        </w:rPr>
        <w:fldChar w:fldCharType="end"/>
      </w:r>
    </w:p>
    <w:p w14:paraId="1B452B81">
      <w:pPr>
        <w:pStyle w:val="15"/>
        <w:tabs>
          <w:tab w:val="right" w:leader="dot" w:pos="8306"/>
        </w:tabs>
        <w:spacing w:line="560" w:lineRule="exact"/>
      </w:pPr>
      <w:r>
        <w:fldChar w:fldCharType="begin"/>
      </w:r>
      <w:r>
        <w:instrText xml:space="preserve"> HYPERLINK \l "_Toc30668" </w:instrText>
      </w:r>
      <w:r>
        <w:fldChar w:fldCharType="separate"/>
      </w:r>
      <w:r>
        <w:rPr>
          <w:bCs/>
          <w:sz w:val="28"/>
          <w:szCs w:val="44"/>
        </w:rPr>
        <w:t>建设项目污染物排放量汇总表</w:t>
      </w:r>
      <w:r>
        <w:rPr>
          <w:sz w:val="28"/>
          <w:szCs w:val="28"/>
        </w:rPr>
        <w:tab/>
      </w:r>
      <w:r>
        <w:rPr>
          <w:sz w:val="28"/>
          <w:szCs w:val="28"/>
        </w:rPr>
        <w:fldChar w:fldCharType="begin"/>
      </w:r>
      <w:r>
        <w:rPr>
          <w:sz w:val="28"/>
          <w:szCs w:val="28"/>
        </w:rPr>
        <w:instrText xml:space="preserve"> PAGEREF _Toc30668 \h </w:instrText>
      </w:r>
      <w:r>
        <w:rPr>
          <w:sz w:val="28"/>
          <w:szCs w:val="28"/>
        </w:rPr>
        <w:fldChar w:fldCharType="separate"/>
      </w:r>
      <w:r>
        <w:rPr>
          <w:sz w:val="28"/>
          <w:szCs w:val="28"/>
        </w:rPr>
        <w:t>95</w:t>
      </w:r>
      <w:r>
        <w:rPr>
          <w:sz w:val="28"/>
          <w:szCs w:val="28"/>
        </w:rPr>
        <w:fldChar w:fldCharType="end"/>
      </w:r>
      <w:r>
        <w:rPr>
          <w:sz w:val="28"/>
          <w:szCs w:val="28"/>
        </w:rPr>
        <w:fldChar w:fldCharType="end"/>
      </w:r>
    </w:p>
    <w:p w14:paraId="32276A16">
      <w:pPr>
        <w:tabs>
          <w:tab w:val="left" w:pos="294"/>
        </w:tabs>
        <w:spacing w:before="156" w:beforeLines="50" w:line="360" w:lineRule="auto"/>
        <w:rPr>
          <w:sz w:val="28"/>
          <w:szCs w:val="28"/>
        </w:rPr>
      </w:pPr>
      <w:r>
        <w:fldChar w:fldCharType="end"/>
      </w:r>
      <w:r>
        <w:rPr>
          <w:rFonts w:hint="eastAsia"/>
          <w:sz w:val="28"/>
          <w:szCs w:val="28"/>
        </w:rPr>
        <w:t>附图：</w:t>
      </w:r>
    </w:p>
    <w:p w14:paraId="57FB9870">
      <w:pPr>
        <w:tabs>
          <w:tab w:val="left" w:pos="294"/>
        </w:tabs>
        <w:spacing w:line="360" w:lineRule="auto"/>
        <w:ind w:firstLine="560" w:firstLineChars="200"/>
        <w:rPr>
          <w:kern w:val="0"/>
          <w:sz w:val="28"/>
          <w:szCs w:val="28"/>
          <w:lang w:bidi="ar"/>
        </w:rPr>
      </w:pPr>
      <w:r>
        <w:rPr>
          <w:rFonts w:hint="eastAsia"/>
          <w:kern w:val="0"/>
          <w:sz w:val="28"/>
          <w:szCs w:val="28"/>
          <w:lang w:bidi="ar"/>
        </w:rPr>
        <w:t>1、</w:t>
      </w:r>
      <w:r>
        <w:rPr>
          <w:kern w:val="0"/>
          <w:sz w:val="28"/>
          <w:szCs w:val="28"/>
          <w:lang w:bidi="ar"/>
        </w:rPr>
        <w:t>项目地理位置图</w:t>
      </w:r>
    </w:p>
    <w:p w14:paraId="12EDDCAF">
      <w:pPr>
        <w:widowControl/>
        <w:spacing w:line="360" w:lineRule="auto"/>
        <w:ind w:firstLine="560" w:firstLineChars="200"/>
        <w:rPr>
          <w:sz w:val="28"/>
          <w:szCs w:val="28"/>
        </w:rPr>
      </w:pPr>
      <w:r>
        <w:rPr>
          <w:sz w:val="28"/>
          <w:szCs w:val="28"/>
        </w:rPr>
        <w:t>2、</w:t>
      </w:r>
      <w:r>
        <w:rPr>
          <w:rFonts w:hint="eastAsia"/>
          <w:sz w:val="28"/>
          <w:szCs w:val="28"/>
        </w:rPr>
        <w:t>项目</w:t>
      </w:r>
      <w:r>
        <w:rPr>
          <w:rFonts w:hint="eastAsia"/>
          <w:kern w:val="0"/>
          <w:sz w:val="28"/>
          <w:szCs w:val="28"/>
          <w:lang w:bidi="ar"/>
        </w:rPr>
        <w:t>四邻关系图</w:t>
      </w:r>
    </w:p>
    <w:p w14:paraId="0A0550CF">
      <w:pPr>
        <w:widowControl/>
        <w:spacing w:line="360" w:lineRule="auto"/>
        <w:ind w:firstLine="560" w:firstLineChars="200"/>
        <w:rPr>
          <w:kern w:val="0"/>
          <w:sz w:val="28"/>
          <w:szCs w:val="28"/>
          <w:lang w:bidi="ar"/>
        </w:rPr>
      </w:pPr>
      <w:r>
        <w:rPr>
          <w:rFonts w:hint="eastAsia"/>
          <w:kern w:val="0"/>
          <w:sz w:val="28"/>
          <w:szCs w:val="28"/>
          <w:lang w:bidi="ar"/>
        </w:rPr>
        <w:t>3</w:t>
      </w:r>
      <w:r>
        <w:rPr>
          <w:kern w:val="0"/>
          <w:sz w:val="28"/>
          <w:szCs w:val="28"/>
          <w:lang w:bidi="ar"/>
        </w:rPr>
        <w:t>、</w:t>
      </w:r>
      <w:r>
        <w:rPr>
          <w:rFonts w:hint="eastAsia"/>
          <w:kern w:val="0"/>
          <w:sz w:val="28"/>
          <w:szCs w:val="28"/>
          <w:lang w:bidi="ar"/>
        </w:rPr>
        <w:t>项目平面布置图</w:t>
      </w:r>
    </w:p>
    <w:p w14:paraId="5BADF763">
      <w:pPr>
        <w:widowControl/>
        <w:spacing w:line="360" w:lineRule="auto"/>
        <w:ind w:firstLine="560" w:firstLineChars="200"/>
        <w:rPr>
          <w:kern w:val="0"/>
          <w:sz w:val="28"/>
          <w:szCs w:val="28"/>
          <w:lang w:bidi="ar"/>
        </w:rPr>
      </w:pPr>
      <w:r>
        <w:rPr>
          <w:rFonts w:hint="eastAsia"/>
          <w:kern w:val="0"/>
          <w:sz w:val="28"/>
          <w:szCs w:val="28"/>
          <w:lang w:bidi="ar"/>
        </w:rPr>
        <w:t>4</w:t>
      </w:r>
      <w:r>
        <w:rPr>
          <w:kern w:val="0"/>
          <w:sz w:val="28"/>
          <w:szCs w:val="28"/>
          <w:lang w:bidi="ar"/>
        </w:rPr>
        <w:t>、</w:t>
      </w:r>
      <w:r>
        <w:rPr>
          <w:rFonts w:hint="eastAsia"/>
          <w:kern w:val="0"/>
          <w:sz w:val="28"/>
          <w:szCs w:val="28"/>
          <w:lang w:bidi="ar"/>
        </w:rPr>
        <w:t>环境保护目标</w:t>
      </w:r>
      <w:r>
        <w:rPr>
          <w:kern w:val="0"/>
          <w:sz w:val="28"/>
          <w:szCs w:val="28"/>
          <w:lang w:bidi="ar"/>
        </w:rPr>
        <w:t>图</w:t>
      </w:r>
    </w:p>
    <w:p w14:paraId="779D93F5">
      <w:pPr>
        <w:widowControl/>
        <w:spacing w:line="360" w:lineRule="auto"/>
        <w:ind w:firstLine="560" w:firstLineChars="200"/>
        <w:rPr>
          <w:kern w:val="0"/>
          <w:sz w:val="28"/>
          <w:szCs w:val="28"/>
          <w:lang w:bidi="ar"/>
        </w:rPr>
      </w:pPr>
      <w:r>
        <w:rPr>
          <w:rFonts w:hint="eastAsia"/>
          <w:kern w:val="0"/>
          <w:sz w:val="28"/>
          <w:szCs w:val="28"/>
          <w:lang w:bidi="ar"/>
        </w:rPr>
        <w:t>5、大气环境监测点位图</w:t>
      </w:r>
    </w:p>
    <w:p w14:paraId="35577B31">
      <w:pPr>
        <w:widowControl/>
        <w:spacing w:line="360" w:lineRule="auto"/>
        <w:ind w:firstLine="560" w:firstLineChars="200"/>
        <w:rPr>
          <w:color w:val="auto"/>
          <w:kern w:val="0"/>
          <w:sz w:val="28"/>
          <w:szCs w:val="28"/>
          <w:lang w:bidi="ar"/>
        </w:rPr>
      </w:pPr>
      <w:r>
        <w:rPr>
          <w:rFonts w:hint="eastAsia"/>
          <w:color w:val="auto"/>
          <w:kern w:val="0"/>
          <w:sz w:val="28"/>
          <w:szCs w:val="28"/>
          <w:lang w:bidi="ar"/>
        </w:rPr>
        <w:t>6、项目与西咸新区—沣东新城分区规划（2010-2020）对照图</w:t>
      </w:r>
    </w:p>
    <w:p w14:paraId="481CE244">
      <w:pPr>
        <w:widowControl/>
        <w:spacing w:line="360" w:lineRule="auto"/>
        <w:rPr>
          <w:kern w:val="0"/>
          <w:sz w:val="28"/>
          <w:szCs w:val="28"/>
          <w:lang w:bidi="ar"/>
        </w:rPr>
      </w:pPr>
      <w:r>
        <w:rPr>
          <w:kern w:val="0"/>
          <w:sz w:val="28"/>
          <w:szCs w:val="28"/>
          <w:lang w:bidi="ar"/>
        </w:rPr>
        <w:t>附件：</w:t>
      </w:r>
    </w:p>
    <w:p w14:paraId="391136E6">
      <w:pPr>
        <w:widowControl/>
        <w:spacing w:line="360" w:lineRule="auto"/>
        <w:ind w:firstLine="560" w:firstLineChars="200"/>
        <w:rPr>
          <w:kern w:val="0"/>
          <w:sz w:val="28"/>
          <w:szCs w:val="28"/>
          <w:lang w:bidi="ar"/>
        </w:rPr>
      </w:pPr>
      <w:r>
        <w:rPr>
          <w:kern w:val="0"/>
          <w:sz w:val="28"/>
          <w:szCs w:val="28"/>
          <w:lang w:bidi="ar"/>
        </w:rPr>
        <w:t>1、委托书</w:t>
      </w:r>
    </w:p>
    <w:p w14:paraId="7F78981F">
      <w:pPr>
        <w:widowControl/>
        <w:spacing w:line="360" w:lineRule="auto"/>
        <w:ind w:firstLine="560" w:firstLineChars="200"/>
        <w:rPr>
          <w:kern w:val="0"/>
          <w:sz w:val="28"/>
          <w:szCs w:val="28"/>
          <w:lang w:bidi="ar"/>
        </w:rPr>
      </w:pPr>
      <w:r>
        <w:rPr>
          <w:kern w:val="0"/>
          <w:sz w:val="28"/>
          <w:szCs w:val="28"/>
          <w:lang w:bidi="ar"/>
        </w:rPr>
        <w:t>2、</w:t>
      </w:r>
      <w:r>
        <w:rPr>
          <w:rFonts w:hint="eastAsia"/>
          <w:kern w:val="0"/>
          <w:sz w:val="28"/>
          <w:szCs w:val="28"/>
          <w:lang w:bidi="ar"/>
        </w:rPr>
        <w:t>备案确认书</w:t>
      </w:r>
    </w:p>
    <w:p w14:paraId="24879B4A">
      <w:pPr>
        <w:widowControl/>
        <w:spacing w:line="360" w:lineRule="auto"/>
        <w:ind w:firstLine="560" w:firstLineChars="200"/>
        <w:rPr>
          <w:kern w:val="0"/>
          <w:sz w:val="28"/>
          <w:szCs w:val="28"/>
          <w:lang w:bidi="ar"/>
        </w:rPr>
      </w:pPr>
      <w:r>
        <w:rPr>
          <w:rFonts w:hint="eastAsia"/>
          <w:kern w:val="0"/>
          <w:sz w:val="28"/>
          <w:szCs w:val="28"/>
          <w:lang w:bidi="ar"/>
        </w:rPr>
        <w:t>3</w:t>
      </w:r>
      <w:r>
        <w:rPr>
          <w:kern w:val="0"/>
          <w:sz w:val="28"/>
          <w:szCs w:val="28"/>
          <w:lang w:bidi="ar"/>
        </w:rPr>
        <w:t>、</w:t>
      </w:r>
      <w:r>
        <w:rPr>
          <w:rFonts w:hint="eastAsia"/>
          <w:kern w:val="0"/>
          <w:sz w:val="28"/>
          <w:szCs w:val="28"/>
          <w:lang w:bidi="ar"/>
        </w:rPr>
        <w:t>更名文件</w:t>
      </w:r>
    </w:p>
    <w:p w14:paraId="4CFE4C6B">
      <w:pPr>
        <w:widowControl/>
        <w:spacing w:line="360" w:lineRule="auto"/>
        <w:ind w:firstLine="560" w:firstLineChars="200"/>
        <w:rPr>
          <w:kern w:val="0"/>
          <w:sz w:val="28"/>
          <w:szCs w:val="28"/>
          <w:lang w:bidi="ar"/>
        </w:rPr>
      </w:pPr>
      <w:r>
        <w:rPr>
          <w:rFonts w:hint="eastAsia"/>
          <w:kern w:val="0"/>
          <w:sz w:val="28"/>
          <w:szCs w:val="28"/>
          <w:lang w:bidi="ar"/>
        </w:rPr>
        <w:t>4、原环评批复</w:t>
      </w:r>
    </w:p>
    <w:p w14:paraId="223D537B">
      <w:pPr>
        <w:widowControl/>
        <w:spacing w:line="360" w:lineRule="auto"/>
        <w:ind w:firstLine="560" w:firstLineChars="200"/>
        <w:rPr>
          <w:kern w:val="0"/>
          <w:sz w:val="28"/>
          <w:szCs w:val="28"/>
          <w:lang w:bidi="ar"/>
        </w:rPr>
      </w:pPr>
      <w:r>
        <w:rPr>
          <w:rFonts w:hint="eastAsia"/>
          <w:kern w:val="0"/>
          <w:sz w:val="28"/>
          <w:szCs w:val="28"/>
          <w:lang w:bidi="ar"/>
        </w:rPr>
        <w:t>5、租赁合同</w:t>
      </w:r>
    </w:p>
    <w:p w14:paraId="0BC63152">
      <w:pPr>
        <w:spacing w:line="360" w:lineRule="auto"/>
        <w:ind w:firstLine="560" w:firstLineChars="200"/>
        <w:rPr>
          <w:kern w:val="0"/>
          <w:sz w:val="28"/>
          <w:szCs w:val="28"/>
          <w:lang w:bidi="ar"/>
        </w:rPr>
      </w:pPr>
      <w:r>
        <w:rPr>
          <w:rFonts w:hint="eastAsia"/>
          <w:kern w:val="0"/>
          <w:sz w:val="28"/>
          <w:szCs w:val="28"/>
          <w:lang w:bidi="ar"/>
        </w:rPr>
        <w:t>6、中国国检测试控股集团陕西有限公司环保手续</w:t>
      </w:r>
    </w:p>
    <w:p w14:paraId="651B7911">
      <w:pPr>
        <w:widowControl/>
        <w:spacing w:line="360" w:lineRule="auto"/>
        <w:ind w:firstLine="560" w:firstLineChars="200"/>
        <w:rPr>
          <w:kern w:val="0"/>
          <w:sz w:val="28"/>
          <w:szCs w:val="28"/>
          <w:lang w:bidi="ar"/>
        </w:rPr>
      </w:pPr>
      <w:r>
        <w:rPr>
          <w:rFonts w:hint="eastAsia"/>
          <w:kern w:val="0"/>
          <w:sz w:val="28"/>
          <w:szCs w:val="28"/>
          <w:lang w:bidi="ar"/>
        </w:rPr>
        <w:t>7、现有项目2024年例行检测报告</w:t>
      </w:r>
    </w:p>
    <w:p w14:paraId="01D2E59B">
      <w:pPr>
        <w:spacing w:line="360" w:lineRule="auto"/>
        <w:ind w:firstLine="560" w:firstLineChars="200"/>
        <w:rPr>
          <w:kern w:val="0"/>
          <w:sz w:val="28"/>
          <w:szCs w:val="28"/>
          <w:lang w:bidi="ar"/>
        </w:rPr>
      </w:pPr>
      <w:r>
        <w:rPr>
          <w:rFonts w:hint="eastAsia"/>
          <w:kern w:val="0"/>
          <w:sz w:val="28"/>
          <w:szCs w:val="28"/>
          <w:lang w:bidi="ar"/>
        </w:rPr>
        <w:t>8</w:t>
      </w:r>
      <w:r>
        <w:rPr>
          <w:kern w:val="0"/>
          <w:sz w:val="28"/>
          <w:szCs w:val="28"/>
          <w:lang w:bidi="ar"/>
        </w:rPr>
        <w:t>、</w:t>
      </w:r>
      <w:r>
        <w:rPr>
          <w:rFonts w:hint="eastAsia"/>
          <w:kern w:val="0"/>
          <w:sz w:val="28"/>
          <w:szCs w:val="28"/>
          <w:lang w:bidi="ar"/>
        </w:rPr>
        <w:t>大气环境监</w:t>
      </w:r>
      <w:r>
        <w:rPr>
          <w:kern w:val="0"/>
          <w:sz w:val="28"/>
          <w:szCs w:val="28"/>
          <w:lang w:bidi="ar"/>
        </w:rPr>
        <w:t>测报告</w:t>
      </w:r>
    </w:p>
    <w:p w14:paraId="0580CC27">
      <w:pPr>
        <w:spacing w:line="360" w:lineRule="auto"/>
        <w:ind w:firstLine="560" w:firstLineChars="200"/>
        <w:rPr>
          <w:rFonts w:hint="eastAsia"/>
          <w:color w:val="FF0000"/>
          <w:kern w:val="0"/>
          <w:sz w:val="28"/>
          <w:szCs w:val="28"/>
          <w:lang w:bidi="ar"/>
        </w:rPr>
      </w:pPr>
      <w:r>
        <w:rPr>
          <w:rFonts w:hint="eastAsia"/>
          <w:color w:val="FF0000"/>
          <w:kern w:val="0"/>
          <w:sz w:val="28"/>
          <w:szCs w:val="28"/>
          <w:lang w:bidi="ar"/>
        </w:rPr>
        <w:t>9、陕西省“三线一单”生态环境管控单元对照分析报告</w:t>
      </w:r>
    </w:p>
    <w:p w14:paraId="18900D93">
      <w:pPr>
        <w:spacing w:line="360" w:lineRule="auto"/>
        <w:ind w:firstLine="560" w:firstLineChars="200"/>
        <w:rPr>
          <w:rFonts w:hint="default" w:eastAsia="宋体"/>
          <w:color w:val="FF0000"/>
          <w:kern w:val="0"/>
          <w:sz w:val="28"/>
          <w:szCs w:val="28"/>
          <w:lang w:val="en-US" w:eastAsia="zh-CN" w:bidi="ar"/>
        </w:rPr>
      </w:pPr>
      <w:r>
        <w:rPr>
          <w:rFonts w:hint="eastAsia"/>
          <w:color w:val="FF0000"/>
          <w:kern w:val="0"/>
          <w:sz w:val="28"/>
          <w:szCs w:val="28"/>
          <w:lang w:val="en-US" w:eastAsia="zh-CN" w:bidi="ar"/>
        </w:rPr>
        <w:t>10、《中国建材检验认证集团股份有限公司西北基地项目竣工验收环境监测报告》（报告编号：XAH230112043120405）</w:t>
      </w:r>
    </w:p>
    <w:p w14:paraId="78BA1C71">
      <w:pPr>
        <w:pStyle w:val="2"/>
        <w:rPr>
          <w:rFonts w:hint="default"/>
        </w:rPr>
      </w:pPr>
    </w:p>
    <w:p w14:paraId="59795ECC">
      <w:pPr>
        <w:sectPr>
          <w:pgSz w:w="11906" w:h="16838"/>
          <w:pgMar w:top="1701" w:right="1531" w:bottom="1701" w:left="1531" w:header="851" w:footer="992" w:gutter="0"/>
          <w:cols w:space="425" w:num="1"/>
          <w:docGrid w:type="lines" w:linePitch="312" w:charSpace="0"/>
        </w:sectPr>
      </w:pPr>
    </w:p>
    <w:p w14:paraId="41BBCDA8">
      <w:pPr>
        <w:pStyle w:val="18"/>
        <w:jc w:val="center"/>
        <w:outlineLvl w:val="0"/>
        <w:rPr>
          <w:rFonts w:ascii="黑体" w:hAnsi="黑体" w:eastAsia="黑体" w:cs="Times New Roman"/>
          <w:snapToGrid w:val="0"/>
          <w:kern w:val="0"/>
          <w:sz w:val="30"/>
          <w:szCs w:val="30"/>
        </w:rPr>
      </w:pPr>
      <w:bookmarkStart w:id="1" w:name="_Toc8848"/>
      <w:r>
        <w:rPr>
          <w:rFonts w:hint="eastAsia" w:ascii="黑体" w:hAnsi="黑体" w:eastAsia="黑体" w:cs="Times New Roman"/>
          <w:snapToGrid w:val="0"/>
          <w:kern w:val="0"/>
          <w:sz w:val="30"/>
          <w:szCs w:val="30"/>
        </w:rPr>
        <w:t>一、建设项目基本情况</w:t>
      </w:r>
      <w:bookmarkEnd w:id="1"/>
    </w:p>
    <w:tbl>
      <w:tblPr>
        <w:tblStyle w:val="22"/>
        <w:tblW w:w="50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10"/>
        <w:gridCol w:w="2193"/>
        <w:gridCol w:w="1535"/>
        <w:gridCol w:w="3326"/>
      </w:tblGrid>
      <w:tr w14:paraId="2E5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shd w:val="clear" w:color="auto" w:fill="auto"/>
            <w:tcMar>
              <w:top w:w="16" w:type="dxa"/>
              <w:left w:w="16" w:type="dxa"/>
              <w:right w:w="16" w:type="dxa"/>
            </w:tcMar>
            <w:vAlign w:val="center"/>
          </w:tcPr>
          <w:p w14:paraId="66AABC5B">
            <w:pPr>
              <w:adjustRightInd w:val="0"/>
              <w:snapToGrid w:val="0"/>
              <w:spacing w:line="276" w:lineRule="auto"/>
              <w:jc w:val="center"/>
              <w:rPr>
                <w:szCs w:val="21"/>
              </w:rPr>
            </w:pPr>
            <w:r>
              <w:rPr>
                <w:szCs w:val="21"/>
              </w:rPr>
              <w:t>建设项目名称</w:t>
            </w:r>
          </w:p>
        </w:tc>
        <w:tc>
          <w:tcPr>
            <w:tcW w:w="3934" w:type="pct"/>
            <w:gridSpan w:val="3"/>
            <w:shd w:val="clear" w:color="auto" w:fill="auto"/>
            <w:vAlign w:val="center"/>
          </w:tcPr>
          <w:p w14:paraId="29080353">
            <w:pPr>
              <w:adjustRightInd w:val="0"/>
              <w:snapToGrid w:val="0"/>
              <w:spacing w:line="276" w:lineRule="auto"/>
              <w:jc w:val="center"/>
              <w:rPr>
                <w:szCs w:val="21"/>
              </w:rPr>
            </w:pPr>
            <w:r>
              <w:rPr>
                <w:szCs w:val="21"/>
              </w:rPr>
              <w:t>国检测试控股集团陕西京诚检测有限公司实验室建设项目</w:t>
            </w:r>
          </w:p>
        </w:tc>
      </w:tr>
      <w:tr w14:paraId="6E195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shd w:val="clear" w:color="auto" w:fill="auto"/>
            <w:tcMar>
              <w:top w:w="16" w:type="dxa"/>
              <w:left w:w="16" w:type="dxa"/>
              <w:right w:w="16" w:type="dxa"/>
            </w:tcMar>
            <w:vAlign w:val="center"/>
          </w:tcPr>
          <w:p w14:paraId="3D5977FF">
            <w:pPr>
              <w:adjustRightInd w:val="0"/>
              <w:snapToGrid w:val="0"/>
              <w:spacing w:line="276" w:lineRule="auto"/>
              <w:jc w:val="center"/>
              <w:rPr>
                <w:szCs w:val="21"/>
              </w:rPr>
            </w:pPr>
            <w:r>
              <w:rPr>
                <w:szCs w:val="21"/>
              </w:rPr>
              <w:t>项目代码</w:t>
            </w:r>
          </w:p>
        </w:tc>
        <w:tc>
          <w:tcPr>
            <w:tcW w:w="3934" w:type="pct"/>
            <w:gridSpan w:val="3"/>
            <w:shd w:val="clear" w:color="auto" w:fill="auto"/>
            <w:vAlign w:val="center"/>
          </w:tcPr>
          <w:p w14:paraId="520ED190">
            <w:pPr>
              <w:adjustRightInd w:val="0"/>
              <w:snapToGrid w:val="0"/>
              <w:spacing w:line="276" w:lineRule="auto"/>
              <w:jc w:val="center"/>
              <w:rPr>
                <w:szCs w:val="21"/>
              </w:rPr>
            </w:pPr>
            <w:r>
              <w:rPr>
                <w:szCs w:val="21"/>
              </w:rPr>
              <w:t>2404-611203-04-01-728889</w:t>
            </w:r>
          </w:p>
        </w:tc>
      </w:tr>
      <w:tr w14:paraId="5B6A7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shd w:val="clear" w:color="auto" w:fill="auto"/>
            <w:tcMar>
              <w:top w:w="16" w:type="dxa"/>
              <w:left w:w="16" w:type="dxa"/>
              <w:right w:w="16" w:type="dxa"/>
            </w:tcMar>
            <w:vAlign w:val="center"/>
          </w:tcPr>
          <w:p w14:paraId="741331D5">
            <w:pPr>
              <w:adjustRightInd w:val="0"/>
              <w:snapToGrid w:val="0"/>
              <w:spacing w:line="276" w:lineRule="auto"/>
              <w:jc w:val="center"/>
              <w:rPr>
                <w:szCs w:val="21"/>
              </w:rPr>
            </w:pPr>
            <w:r>
              <w:rPr>
                <w:szCs w:val="21"/>
              </w:rPr>
              <w:t>建设单位联系人</w:t>
            </w:r>
          </w:p>
        </w:tc>
        <w:tc>
          <w:tcPr>
            <w:tcW w:w="1223" w:type="pct"/>
            <w:shd w:val="clear" w:color="auto" w:fill="auto"/>
            <w:vAlign w:val="center"/>
          </w:tcPr>
          <w:p w14:paraId="31A2F071">
            <w:pPr>
              <w:adjustRightInd w:val="0"/>
              <w:snapToGrid w:val="0"/>
              <w:spacing w:line="276" w:lineRule="auto"/>
              <w:jc w:val="center"/>
              <w:rPr>
                <w:szCs w:val="21"/>
              </w:rPr>
            </w:pPr>
            <w:r>
              <w:rPr>
                <w:rFonts w:hint="eastAsia"/>
                <w:szCs w:val="21"/>
              </w:rPr>
              <w:t>赵智博</w:t>
            </w:r>
          </w:p>
        </w:tc>
        <w:tc>
          <w:tcPr>
            <w:tcW w:w="856" w:type="pct"/>
            <w:shd w:val="clear" w:color="auto" w:fill="auto"/>
            <w:vAlign w:val="center"/>
          </w:tcPr>
          <w:p w14:paraId="7113DEF0">
            <w:pPr>
              <w:adjustRightInd w:val="0"/>
              <w:snapToGrid w:val="0"/>
              <w:spacing w:line="276" w:lineRule="auto"/>
              <w:jc w:val="center"/>
              <w:rPr>
                <w:szCs w:val="21"/>
              </w:rPr>
            </w:pPr>
            <w:r>
              <w:rPr>
                <w:szCs w:val="21"/>
              </w:rPr>
              <w:t>联系方式</w:t>
            </w:r>
          </w:p>
        </w:tc>
        <w:tc>
          <w:tcPr>
            <w:tcW w:w="1854" w:type="pct"/>
            <w:shd w:val="clear" w:color="auto" w:fill="auto"/>
            <w:vAlign w:val="center"/>
          </w:tcPr>
          <w:p w14:paraId="37DF9076">
            <w:pPr>
              <w:adjustRightInd w:val="0"/>
              <w:snapToGrid w:val="0"/>
              <w:spacing w:line="276" w:lineRule="auto"/>
              <w:jc w:val="center"/>
              <w:rPr>
                <w:szCs w:val="21"/>
              </w:rPr>
            </w:pPr>
            <w:r>
              <w:rPr>
                <w:rFonts w:hint="eastAsia"/>
                <w:szCs w:val="21"/>
              </w:rPr>
              <w:t>17795917379</w:t>
            </w:r>
          </w:p>
        </w:tc>
      </w:tr>
      <w:tr w14:paraId="56AD9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tcMar>
              <w:top w:w="16" w:type="dxa"/>
              <w:left w:w="16" w:type="dxa"/>
              <w:right w:w="16" w:type="dxa"/>
            </w:tcMar>
            <w:vAlign w:val="center"/>
          </w:tcPr>
          <w:p w14:paraId="0BDE099E">
            <w:pPr>
              <w:adjustRightInd w:val="0"/>
              <w:snapToGrid w:val="0"/>
              <w:spacing w:line="276" w:lineRule="auto"/>
              <w:jc w:val="center"/>
              <w:rPr>
                <w:szCs w:val="21"/>
              </w:rPr>
            </w:pPr>
            <w:r>
              <w:rPr>
                <w:szCs w:val="21"/>
              </w:rPr>
              <w:t>建设地点</w:t>
            </w:r>
          </w:p>
        </w:tc>
        <w:tc>
          <w:tcPr>
            <w:tcW w:w="3934" w:type="pct"/>
            <w:gridSpan w:val="3"/>
            <w:vAlign w:val="center"/>
          </w:tcPr>
          <w:p w14:paraId="74AA1E4A">
            <w:pPr>
              <w:adjustRightInd w:val="0"/>
              <w:snapToGrid w:val="0"/>
              <w:spacing w:line="276" w:lineRule="auto"/>
              <w:jc w:val="center"/>
              <w:rPr>
                <w:szCs w:val="21"/>
              </w:rPr>
            </w:pPr>
            <w:r>
              <w:rPr>
                <w:rFonts w:hint="eastAsia"/>
                <w:szCs w:val="21"/>
              </w:rPr>
              <w:t>陕西省西咸新区沣东新城红光大道（沣东大道）以北、科源一路以西，中国国检测试控股集团陕西有限公司一号楼三、四层</w:t>
            </w:r>
          </w:p>
        </w:tc>
      </w:tr>
      <w:tr w14:paraId="6ECA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tcMar>
              <w:top w:w="16" w:type="dxa"/>
              <w:left w:w="16" w:type="dxa"/>
              <w:right w:w="16" w:type="dxa"/>
            </w:tcMar>
            <w:vAlign w:val="center"/>
          </w:tcPr>
          <w:p w14:paraId="6221BDE2">
            <w:pPr>
              <w:adjustRightInd w:val="0"/>
              <w:snapToGrid w:val="0"/>
              <w:spacing w:line="276" w:lineRule="auto"/>
              <w:jc w:val="center"/>
              <w:rPr>
                <w:szCs w:val="21"/>
              </w:rPr>
            </w:pPr>
            <w:r>
              <w:rPr>
                <w:szCs w:val="21"/>
              </w:rPr>
              <w:t>地理坐标</w:t>
            </w:r>
          </w:p>
        </w:tc>
        <w:tc>
          <w:tcPr>
            <w:tcW w:w="3934" w:type="pct"/>
            <w:gridSpan w:val="3"/>
            <w:vAlign w:val="center"/>
          </w:tcPr>
          <w:p w14:paraId="447E14C1">
            <w:pPr>
              <w:spacing w:line="276" w:lineRule="auto"/>
              <w:jc w:val="center"/>
            </w:pPr>
            <w:r>
              <w:t>E108°46′21.741″</w:t>
            </w:r>
            <w:r>
              <w:rPr>
                <w:rFonts w:hint="eastAsia"/>
              </w:rPr>
              <w:t>，</w:t>
            </w:r>
            <w:r>
              <w:t>N34°15′41.757″</w:t>
            </w:r>
          </w:p>
        </w:tc>
      </w:tr>
      <w:tr w14:paraId="37C71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065" w:type="pct"/>
            <w:tcMar>
              <w:top w:w="16" w:type="dxa"/>
              <w:left w:w="16" w:type="dxa"/>
              <w:right w:w="16" w:type="dxa"/>
            </w:tcMar>
            <w:vAlign w:val="center"/>
          </w:tcPr>
          <w:p w14:paraId="062D140C">
            <w:pPr>
              <w:adjustRightInd w:val="0"/>
              <w:snapToGrid w:val="0"/>
              <w:spacing w:line="276" w:lineRule="auto"/>
              <w:jc w:val="center"/>
              <w:rPr>
                <w:szCs w:val="21"/>
              </w:rPr>
            </w:pPr>
            <w:r>
              <w:rPr>
                <w:szCs w:val="21"/>
              </w:rPr>
              <w:t>国民经济</w:t>
            </w:r>
          </w:p>
          <w:p w14:paraId="721A0C9D">
            <w:pPr>
              <w:adjustRightInd w:val="0"/>
              <w:snapToGrid w:val="0"/>
              <w:spacing w:line="276" w:lineRule="auto"/>
              <w:jc w:val="center"/>
              <w:rPr>
                <w:szCs w:val="21"/>
              </w:rPr>
            </w:pPr>
            <w:r>
              <w:rPr>
                <w:szCs w:val="21"/>
              </w:rPr>
              <w:t>行业类别</w:t>
            </w:r>
          </w:p>
        </w:tc>
        <w:tc>
          <w:tcPr>
            <w:tcW w:w="1223" w:type="pct"/>
            <w:vAlign w:val="center"/>
          </w:tcPr>
          <w:p w14:paraId="2AC497B0">
            <w:pPr>
              <w:adjustRightInd w:val="0"/>
              <w:snapToGrid w:val="0"/>
              <w:spacing w:line="276" w:lineRule="auto"/>
              <w:jc w:val="center"/>
              <w:rPr>
                <w:szCs w:val="21"/>
              </w:rPr>
            </w:pPr>
            <w:r>
              <w:rPr>
                <w:rFonts w:hint="eastAsia"/>
              </w:rPr>
              <w:t>M7461环境保护监测</w:t>
            </w:r>
          </w:p>
        </w:tc>
        <w:tc>
          <w:tcPr>
            <w:tcW w:w="856" w:type="pct"/>
            <w:vAlign w:val="center"/>
          </w:tcPr>
          <w:p w14:paraId="50E181F2">
            <w:pPr>
              <w:adjustRightInd w:val="0"/>
              <w:snapToGrid w:val="0"/>
              <w:spacing w:line="276" w:lineRule="auto"/>
              <w:jc w:val="center"/>
              <w:rPr>
                <w:szCs w:val="21"/>
              </w:rPr>
            </w:pPr>
            <w:bookmarkStart w:id="2" w:name="_Hlk49843745"/>
            <w:r>
              <w:rPr>
                <w:szCs w:val="21"/>
              </w:rPr>
              <w:t>建设项目</w:t>
            </w:r>
          </w:p>
          <w:p w14:paraId="69872005">
            <w:pPr>
              <w:adjustRightInd w:val="0"/>
              <w:snapToGrid w:val="0"/>
              <w:spacing w:line="276" w:lineRule="auto"/>
              <w:jc w:val="center"/>
              <w:rPr>
                <w:szCs w:val="21"/>
              </w:rPr>
            </w:pPr>
            <w:r>
              <w:rPr>
                <w:szCs w:val="21"/>
              </w:rPr>
              <w:t>行业类别</w:t>
            </w:r>
            <w:bookmarkEnd w:id="2"/>
          </w:p>
        </w:tc>
        <w:tc>
          <w:tcPr>
            <w:tcW w:w="1854" w:type="pct"/>
            <w:vAlign w:val="center"/>
          </w:tcPr>
          <w:p w14:paraId="5A10A50E">
            <w:pPr>
              <w:adjustRightInd w:val="0"/>
              <w:snapToGrid w:val="0"/>
              <w:spacing w:line="276" w:lineRule="auto"/>
              <w:jc w:val="center"/>
            </w:pPr>
            <w:r>
              <w:t>四十五、研究和试验发展</w:t>
            </w:r>
          </w:p>
          <w:p w14:paraId="72DEE695">
            <w:pPr>
              <w:adjustRightInd w:val="0"/>
              <w:snapToGrid w:val="0"/>
              <w:spacing w:line="276" w:lineRule="auto"/>
              <w:jc w:val="center"/>
              <w:rPr>
                <w:szCs w:val="21"/>
              </w:rPr>
            </w:pPr>
            <w:r>
              <w:t>98专业实验室、研发（试验）基地—其</w:t>
            </w:r>
            <w:r>
              <w:rPr>
                <w:rFonts w:hint="eastAsia"/>
              </w:rPr>
              <w:t>他</w:t>
            </w:r>
          </w:p>
        </w:tc>
      </w:tr>
      <w:tr w14:paraId="5AA6B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065" w:type="pct"/>
            <w:tcMar>
              <w:top w:w="16" w:type="dxa"/>
              <w:left w:w="16" w:type="dxa"/>
              <w:right w:w="16" w:type="dxa"/>
            </w:tcMar>
            <w:vAlign w:val="center"/>
          </w:tcPr>
          <w:p w14:paraId="74108354">
            <w:pPr>
              <w:adjustRightInd w:val="0"/>
              <w:snapToGrid w:val="0"/>
              <w:spacing w:line="276" w:lineRule="auto"/>
              <w:jc w:val="center"/>
              <w:rPr>
                <w:szCs w:val="21"/>
              </w:rPr>
            </w:pPr>
            <w:r>
              <w:rPr>
                <w:szCs w:val="21"/>
              </w:rPr>
              <w:t>建设性质</w:t>
            </w:r>
          </w:p>
        </w:tc>
        <w:tc>
          <w:tcPr>
            <w:tcW w:w="1223" w:type="pct"/>
            <w:vAlign w:val="center"/>
          </w:tcPr>
          <w:p w14:paraId="0B4E6B14">
            <w:pPr>
              <w:spacing w:line="276" w:lineRule="auto"/>
              <w:rPr>
                <w:szCs w:val="21"/>
              </w:rPr>
            </w:pPr>
            <w:r>
              <w:rPr>
                <w:szCs w:val="21"/>
              </w:rPr>
              <w:sym w:font="Wingdings 2" w:char="0052"/>
            </w:r>
            <w:r>
              <w:rPr>
                <w:szCs w:val="21"/>
              </w:rPr>
              <w:t>新建（迁建）</w:t>
            </w:r>
          </w:p>
          <w:p w14:paraId="7F23C25E">
            <w:pPr>
              <w:spacing w:line="276" w:lineRule="auto"/>
              <w:rPr>
                <w:szCs w:val="21"/>
              </w:rPr>
            </w:pPr>
            <w:r>
              <w:rPr>
                <w:szCs w:val="21"/>
              </w:rPr>
              <w:sym w:font="Wingdings 2" w:char="00A3"/>
            </w:r>
            <w:r>
              <w:rPr>
                <w:szCs w:val="21"/>
              </w:rPr>
              <w:t>改建</w:t>
            </w:r>
          </w:p>
          <w:p w14:paraId="05017025">
            <w:pPr>
              <w:spacing w:line="276" w:lineRule="auto"/>
              <w:rPr>
                <w:szCs w:val="21"/>
              </w:rPr>
            </w:pPr>
            <w:r>
              <w:rPr>
                <w:szCs w:val="21"/>
              </w:rPr>
              <w:sym w:font="Wingdings 2" w:char="00A3"/>
            </w:r>
            <w:r>
              <w:rPr>
                <w:szCs w:val="21"/>
              </w:rPr>
              <w:t>扩建</w:t>
            </w:r>
          </w:p>
          <w:p w14:paraId="5C08DA10">
            <w:pPr>
              <w:spacing w:line="276" w:lineRule="auto"/>
              <w:rPr>
                <w:szCs w:val="21"/>
              </w:rPr>
            </w:pPr>
            <w:r>
              <w:rPr>
                <w:szCs w:val="21"/>
              </w:rPr>
              <w:sym w:font="Wingdings 2" w:char="00A3"/>
            </w:r>
            <w:r>
              <w:rPr>
                <w:szCs w:val="21"/>
              </w:rPr>
              <w:t>技术改造</w:t>
            </w:r>
          </w:p>
        </w:tc>
        <w:tc>
          <w:tcPr>
            <w:tcW w:w="856" w:type="pct"/>
            <w:vAlign w:val="center"/>
          </w:tcPr>
          <w:p w14:paraId="3E4C86C9">
            <w:pPr>
              <w:adjustRightInd w:val="0"/>
              <w:snapToGrid w:val="0"/>
              <w:spacing w:line="276" w:lineRule="auto"/>
              <w:jc w:val="center"/>
              <w:rPr>
                <w:szCs w:val="21"/>
              </w:rPr>
            </w:pPr>
            <w:r>
              <w:rPr>
                <w:szCs w:val="21"/>
              </w:rPr>
              <w:t>建设项目</w:t>
            </w:r>
          </w:p>
          <w:p w14:paraId="2CF3CAA0">
            <w:pPr>
              <w:adjustRightInd w:val="0"/>
              <w:snapToGrid w:val="0"/>
              <w:spacing w:line="276" w:lineRule="auto"/>
              <w:jc w:val="center"/>
              <w:rPr>
                <w:szCs w:val="21"/>
              </w:rPr>
            </w:pPr>
            <w:r>
              <w:rPr>
                <w:szCs w:val="21"/>
              </w:rPr>
              <w:t>申报情形</w:t>
            </w:r>
          </w:p>
        </w:tc>
        <w:tc>
          <w:tcPr>
            <w:tcW w:w="1854" w:type="pct"/>
            <w:vAlign w:val="center"/>
          </w:tcPr>
          <w:p w14:paraId="2BFE3CED">
            <w:pPr>
              <w:spacing w:line="276" w:lineRule="auto"/>
              <w:jc w:val="left"/>
              <w:rPr>
                <w:szCs w:val="21"/>
              </w:rPr>
            </w:pPr>
            <w:r>
              <w:rPr>
                <w:szCs w:val="21"/>
              </w:rPr>
              <w:sym w:font="Wingdings 2" w:char="0052"/>
            </w:r>
            <w:r>
              <w:rPr>
                <w:szCs w:val="21"/>
              </w:rPr>
              <w:t>首次申报项目</w:t>
            </w:r>
          </w:p>
          <w:p w14:paraId="48B38E4E">
            <w:pPr>
              <w:spacing w:line="276" w:lineRule="auto"/>
              <w:jc w:val="left"/>
              <w:rPr>
                <w:szCs w:val="21"/>
              </w:rPr>
            </w:pPr>
            <w:r>
              <w:rPr>
                <w:rFonts w:hint="eastAsia"/>
                <w:szCs w:val="21"/>
              </w:rPr>
              <w:t>□</w:t>
            </w:r>
            <w:r>
              <w:rPr>
                <w:szCs w:val="21"/>
              </w:rPr>
              <w:t>不予批准后再次申报项</w:t>
            </w:r>
          </w:p>
          <w:p w14:paraId="1BFBD5DC">
            <w:pPr>
              <w:spacing w:line="276" w:lineRule="auto"/>
              <w:jc w:val="left"/>
              <w:rPr>
                <w:szCs w:val="21"/>
              </w:rPr>
            </w:pPr>
            <w:r>
              <w:rPr>
                <w:rFonts w:hint="eastAsia"/>
                <w:szCs w:val="21"/>
              </w:rPr>
              <w:t>□</w:t>
            </w:r>
            <w:r>
              <w:rPr>
                <w:szCs w:val="21"/>
              </w:rPr>
              <w:t>超五年重新审核项目</w:t>
            </w:r>
          </w:p>
          <w:p w14:paraId="251563AB">
            <w:pPr>
              <w:spacing w:line="276" w:lineRule="auto"/>
              <w:jc w:val="left"/>
              <w:rPr>
                <w:szCs w:val="21"/>
              </w:rPr>
            </w:pPr>
            <w:r>
              <w:rPr>
                <w:rFonts w:hint="eastAsia"/>
                <w:szCs w:val="21"/>
              </w:rPr>
              <w:t>□</w:t>
            </w:r>
            <w:r>
              <w:rPr>
                <w:szCs w:val="21"/>
              </w:rPr>
              <w:t>重大变动重新报批项目</w:t>
            </w:r>
          </w:p>
        </w:tc>
      </w:tr>
      <w:tr w14:paraId="55A89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65" w:type="pct"/>
            <w:tcMar>
              <w:top w:w="16" w:type="dxa"/>
              <w:left w:w="16" w:type="dxa"/>
              <w:right w:w="16" w:type="dxa"/>
            </w:tcMar>
            <w:vAlign w:val="center"/>
          </w:tcPr>
          <w:p w14:paraId="70014959">
            <w:pPr>
              <w:adjustRightInd w:val="0"/>
              <w:snapToGrid w:val="0"/>
              <w:spacing w:line="276" w:lineRule="auto"/>
              <w:jc w:val="center"/>
              <w:rPr>
                <w:szCs w:val="21"/>
              </w:rPr>
            </w:pPr>
            <w:r>
              <w:rPr>
                <w:szCs w:val="21"/>
              </w:rPr>
              <w:t>项目审批（核准/</w:t>
            </w:r>
          </w:p>
          <w:p w14:paraId="5ADAD451">
            <w:pPr>
              <w:adjustRightInd w:val="0"/>
              <w:snapToGrid w:val="0"/>
              <w:spacing w:line="276" w:lineRule="auto"/>
              <w:jc w:val="center"/>
              <w:rPr>
                <w:szCs w:val="21"/>
              </w:rPr>
            </w:pPr>
            <w:r>
              <w:rPr>
                <w:szCs w:val="21"/>
              </w:rPr>
              <w:t>备案）部门（选填）</w:t>
            </w:r>
          </w:p>
        </w:tc>
        <w:tc>
          <w:tcPr>
            <w:tcW w:w="1223" w:type="pct"/>
            <w:vAlign w:val="center"/>
          </w:tcPr>
          <w:p w14:paraId="3723E002">
            <w:pPr>
              <w:adjustRightInd w:val="0"/>
              <w:snapToGrid w:val="0"/>
              <w:spacing w:line="276" w:lineRule="auto"/>
              <w:jc w:val="center"/>
              <w:rPr>
                <w:szCs w:val="21"/>
              </w:rPr>
            </w:pPr>
            <w:r>
              <w:rPr>
                <w:rFonts w:hint="eastAsia"/>
                <w:szCs w:val="21"/>
              </w:rPr>
              <w:t>陕西省西咸新区沣东新城管理委员会</w:t>
            </w:r>
          </w:p>
        </w:tc>
        <w:tc>
          <w:tcPr>
            <w:tcW w:w="856" w:type="pct"/>
            <w:vAlign w:val="center"/>
          </w:tcPr>
          <w:p w14:paraId="3B0B639E">
            <w:pPr>
              <w:adjustRightInd w:val="0"/>
              <w:snapToGrid w:val="0"/>
              <w:spacing w:line="276" w:lineRule="auto"/>
              <w:jc w:val="center"/>
              <w:rPr>
                <w:szCs w:val="21"/>
              </w:rPr>
            </w:pPr>
            <w:r>
              <w:rPr>
                <w:szCs w:val="21"/>
              </w:rPr>
              <w:t>项目审批（核准/备案）文号</w:t>
            </w:r>
          </w:p>
        </w:tc>
        <w:tc>
          <w:tcPr>
            <w:tcW w:w="1854" w:type="pct"/>
            <w:vAlign w:val="center"/>
          </w:tcPr>
          <w:p w14:paraId="4B565246">
            <w:pPr>
              <w:adjustRightInd w:val="0"/>
              <w:snapToGrid w:val="0"/>
              <w:spacing w:line="276" w:lineRule="auto"/>
              <w:jc w:val="center"/>
              <w:rPr>
                <w:szCs w:val="21"/>
              </w:rPr>
            </w:pPr>
            <w:r>
              <w:rPr>
                <w:rFonts w:hint="eastAsia"/>
                <w:szCs w:val="21"/>
              </w:rPr>
              <w:t>无</w:t>
            </w:r>
          </w:p>
        </w:tc>
      </w:tr>
      <w:tr w14:paraId="33A77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tcMar>
              <w:top w:w="16" w:type="dxa"/>
              <w:left w:w="16" w:type="dxa"/>
              <w:right w:w="16" w:type="dxa"/>
            </w:tcMar>
            <w:vAlign w:val="center"/>
          </w:tcPr>
          <w:p w14:paraId="6C4E0324">
            <w:pPr>
              <w:adjustRightInd w:val="0"/>
              <w:snapToGrid w:val="0"/>
              <w:spacing w:line="276" w:lineRule="auto"/>
              <w:jc w:val="center"/>
              <w:rPr>
                <w:szCs w:val="21"/>
              </w:rPr>
            </w:pPr>
            <w:r>
              <w:rPr>
                <w:szCs w:val="21"/>
              </w:rPr>
              <w:t>总投资（万元）</w:t>
            </w:r>
          </w:p>
        </w:tc>
        <w:tc>
          <w:tcPr>
            <w:tcW w:w="1223" w:type="pct"/>
            <w:vAlign w:val="center"/>
          </w:tcPr>
          <w:p w14:paraId="0E244780">
            <w:pPr>
              <w:adjustRightInd w:val="0"/>
              <w:snapToGrid w:val="0"/>
              <w:spacing w:line="276" w:lineRule="auto"/>
              <w:jc w:val="center"/>
              <w:rPr>
                <w:szCs w:val="21"/>
              </w:rPr>
            </w:pPr>
            <w:r>
              <w:rPr>
                <w:rFonts w:hint="eastAsia"/>
                <w:szCs w:val="21"/>
              </w:rPr>
              <w:t>700</w:t>
            </w:r>
          </w:p>
        </w:tc>
        <w:tc>
          <w:tcPr>
            <w:tcW w:w="856" w:type="pct"/>
            <w:tcMar>
              <w:top w:w="16" w:type="dxa"/>
              <w:left w:w="16" w:type="dxa"/>
              <w:right w:w="16" w:type="dxa"/>
            </w:tcMar>
            <w:vAlign w:val="center"/>
          </w:tcPr>
          <w:p w14:paraId="0FD3D1F2">
            <w:pPr>
              <w:adjustRightInd w:val="0"/>
              <w:snapToGrid w:val="0"/>
              <w:spacing w:line="276" w:lineRule="auto"/>
              <w:jc w:val="center"/>
              <w:rPr>
                <w:szCs w:val="21"/>
              </w:rPr>
            </w:pPr>
            <w:r>
              <w:rPr>
                <w:szCs w:val="21"/>
              </w:rPr>
              <w:t>环保投资</w:t>
            </w:r>
          </w:p>
          <w:p w14:paraId="3C0A9230">
            <w:pPr>
              <w:adjustRightInd w:val="0"/>
              <w:snapToGrid w:val="0"/>
              <w:spacing w:line="276" w:lineRule="auto"/>
              <w:jc w:val="center"/>
              <w:rPr>
                <w:szCs w:val="21"/>
              </w:rPr>
            </w:pPr>
            <w:r>
              <w:rPr>
                <w:szCs w:val="21"/>
              </w:rPr>
              <w:t>（万元）</w:t>
            </w:r>
          </w:p>
        </w:tc>
        <w:tc>
          <w:tcPr>
            <w:tcW w:w="1854" w:type="pct"/>
            <w:vAlign w:val="center"/>
          </w:tcPr>
          <w:p w14:paraId="2CDD8017">
            <w:pPr>
              <w:adjustRightInd w:val="0"/>
              <w:snapToGrid w:val="0"/>
              <w:spacing w:line="276" w:lineRule="auto"/>
              <w:jc w:val="center"/>
              <w:rPr>
                <w:szCs w:val="21"/>
              </w:rPr>
            </w:pPr>
            <w:r>
              <w:rPr>
                <w:rFonts w:hint="eastAsia"/>
                <w:szCs w:val="21"/>
              </w:rPr>
              <w:t>67</w:t>
            </w:r>
          </w:p>
        </w:tc>
      </w:tr>
      <w:tr w14:paraId="671B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tcMar>
              <w:top w:w="16" w:type="dxa"/>
              <w:left w:w="16" w:type="dxa"/>
              <w:right w:w="16" w:type="dxa"/>
            </w:tcMar>
            <w:vAlign w:val="center"/>
          </w:tcPr>
          <w:p w14:paraId="009FDE47">
            <w:pPr>
              <w:adjustRightInd w:val="0"/>
              <w:snapToGrid w:val="0"/>
              <w:spacing w:line="276" w:lineRule="auto"/>
              <w:jc w:val="center"/>
              <w:rPr>
                <w:szCs w:val="21"/>
              </w:rPr>
            </w:pPr>
            <w:r>
              <w:rPr>
                <w:szCs w:val="21"/>
              </w:rPr>
              <w:t>环保投资占比（%）</w:t>
            </w:r>
          </w:p>
        </w:tc>
        <w:tc>
          <w:tcPr>
            <w:tcW w:w="1223" w:type="pct"/>
            <w:vAlign w:val="center"/>
          </w:tcPr>
          <w:p w14:paraId="70BC886B">
            <w:pPr>
              <w:adjustRightInd w:val="0"/>
              <w:snapToGrid w:val="0"/>
              <w:spacing w:line="276" w:lineRule="auto"/>
              <w:jc w:val="center"/>
              <w:rPr>
                <w:szCs w:val="21"/>
              </w:rPr>
            </w:pPr>
            <w:r>
              <w:rPr>
                <w:rFonts w:hint="eastAsia"/>
                <w:szCs w:val="21"/>
              </w:rPr>
              <w:t>9.57</w:t>
            </w:r>
          </w:p>
        </w:tc>
        <w:tc>
          <w:tcPr>
            <w:tcW w:w="856" w:type="pct"/>
            <w:tcMar>
              <w:top w:w="16" w:type="dxa"/>
              <w:left w:w="16" w:type="dxa"/>
              <w:right w:w="16" w:type="dxa"/>
            </w:tcMar>
            <w:vAlign w:val="center"/>
          </w:tcPr>
          <w:p w14:paraId="2587CFE8">
            <w:pPr>
              <w:adjustRightInd w:val="0"/>
              <w:snapToGrid w:val="0"/>
              <w:spacing w:line="276" w:lineRule="auto"/>
              <w:jc w:val="center"/>
              <w:rPr>
                <w:szCs w:val="21"/>
              </w:rPr>
            </w:pPr>
            <w:r>
              <w:rPr>
                <w:szCs w:val="21"/>
              </w:rPr>
              <w:t>施工工期</w:t>
            </w:r>
          </w:p>
        </w:tc>
        <w:tc>
          <w:tcPr>
            <w:tcW w:w="1854" w:type="pct"/>
            <w:vAlign w:val="center"/>
          </w:tcPr>
          <w:p w14:paraId="1B2A50C1">
            <w:pPr>
              <w:adjustRightInd w:val="0"/>
              <w:snapToGrid w:val="0"/>
              <w:spacing w:line="276" w:lineRule="auto"/>
              <w:jc w:val="center"/>
              <w:rPr>
                <w:szCs w:val="21"/>
              </w:rPr>
            </w:pPr>
            <w:r>
              <w:rPr>
                <w:rFonts w:hint="eastAsia"/>
                <w:szCs w:val="21"/>
              </w:rPr>
              <w:t>2024.08-2024.09</w:t>
            </w:r>
          </w:p>
        </w:tc>
      </w:tr>
      <w:tr w14:paraId="4F0DE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65" w:type="pct"/>
            <w:tcBorders>
              <w:bottom w:val="single" w:color="auto" w:sz="4" w:space="0"/>
            </w:tcBorders>
            <w:tcMar>
              <w:top w:w="16" w:type="dxa"/>
              <w:left w:w="16" w:type="dxa"/>
              <w:right w:w="16" w:type="dxa"/>
            </w:tcMar>
            <w:vAlign w:val="center"/>
          </w:tcPr>
          <w:p w14:paraId="61F4F28B">
            <w:pPr>
              <w:adjustRightInd w:val="0"/>
              <w:snapToGrid w:val="0"/>
              <w:spacing w:line="276" w:lineRule="auto"/>
              <w:jc w:val="center"/>
              <w:rPr>
                <w:szCs w:val="21"/>
              </w:rPr>
            </w:pPr>
            <w:r>
              <w:rPr>
                <w:szCs w:val="21"/>
              </w:rPr>
              <w:t>是否开工建设</w:t>
            </w:r>
          </w:p>
        </w:tc>
        <w:tc>
          <w:tcPr>
            <w:tcW w:w="1223" w:type="pct"/>
            <w:tcBorders>
              <w:bottom w:val="single" w:color="auto" w:sz="4" w:space="0"/>
            </w:tcBorders>
            <w:vAlign w:val="center"/>
          </w:tcPr>
          <w:p w14:paraId="0459AA0E">
            <w:pPr>
              <w:adjustRightInd w:val="0"/>
              <w:snapToGrid w:val="0"/>
              <w:spacing w:line="276" w:lineRule="auto"/>
              <w:rPr>
                <w:szCs w:val="21"/>
              </w:rPr>
            </w:pPr>
            <w:r>
              <w:rPr>
                <w:szCs w:val="21"/>
              </w:rPr>
              <w:sym w:font="Wingdings 2" w:char="0052"/>
            </w:r>
            <w:r>
              <w:rPr>
                <w:szCs w:val="21"/>
              </w:rPr>
              <w:t>否</w:t>
            </w:r>
          </w:p>
          <w:p w14:paraId="04FB19F1">
            <w:pPr>
              <w:adjustRightInd w:val="0"/>
              <w:snapToGrid w:val="0"/>
              <w:spacing w:line="276" w:lineRule="auto"/>
              <w:rPr>
                <w:szCs w:val="21"/>
              </w:rPr>
            </w:pPr>
            <w:r>
              <w:rPr>
                <w:szCs w:val="21"/>
              </w:rPr>
              <w:sym w:font="Wingdings 2" w:char="00A3"/>
            </w:r>
            <w:r>
              <w:rPr>
                <w:szCs w:val="21"/>
              </w:rPr>
              <w:t>是：</w:t>
            </w:r>
            <w:r>
              <w:rPr>
                <w:szCs w:val="21"/>
                <w:u w:val="single"/>
              </w:rPr>
              <w:t xml:space="preserve">             </w:t>
            </w:r>
          </w:p>
        </w:tc>
        <w:tc>
          <w:tcPr>
            <w:tcW w:w="856" w:type="pct"/>
            <w:tcBorders>
              <w:bottom w:val="single" w:color="auto" w:sz="4" w:space="0"/>
            </w:tcBorders>
            <w:tcMar>
              <w:top w:w="16" w:type="dxa"/>
              <w:left w:w="16" w:type="dxa"/>
              <w:right w:w="16" w:type="dxa"/>
            </w:tcMar>
            <w:vAlign w:val="center"/>
          </w:tcPr>
          <w:p w14:paraId="6F645B7A">
            <w:pPr>
              <w:adjustRightInd w:val="0"/>
              <w:snapToGrid w:val="0"/>
              <w:spacing w:line="276" w:lineRule="auto"/>
              <w:jc w:val="center"/>
              <w:rPr>
                <w:spacing w:val="-6"/>
                <w:szCs w:val="21"/>
              </w:rPr>
            </w:pPr>
            <w:r>
              <w:rPr>
                <w:spacing w:val="-6"/>
                <w:szCs w:val="21"/>
              </w:rPr>
              <w:t>用地（用海）</w:t>
            </w:r>
          </w:p>
          <w:p w14:paraId="0B40537B">
            <w:pPr>
              <w:adjustRightInd w:val="0"/>
              <w:snapToGrid w:val="0"/>
              <w:spacing w:line="276" w:lineRule="auto"/>
              <w:jc w:val="center"/>
              <w:rPr>
                <w:szCs w:val="21"/>
              </w:rPr>
            </w:pPr>
            <w:r>
              <w:rPr>
                <w:spacing w:val="-6"/>
                <w:szCs w:val="21"/>
              </w:rPr>
              <w:t>面积（m</w:t>
            </w:r>
            <w:r>
              <w:rPr>
                <w:spacing w:val="-6"/>
                <w:szCs w:val="21"/>
                <w:vertAlign w:val="superscript"/>
              </w:rPr>
              <w:t>2</w:t>
            </w:r>
            <w:r>
              <w:rPr>
                <w:spacing w:val="-6"/>
                <w:szCs w:val="21"/>
              </w:rPr>
              <w:t>）</w:t>
            </w:r>
          </w:p>
        </w:tc>
        <w:tc>
          <w:tcPr>
            <w:tcW w:w="1854" w:type="pct"/>
            <w:tcBorders>
              <w:bottom w:val="single" w:color="auto" w:sz="4" w:space="0"/>
            </w:tcBorders>
            <w:vAlign w:val="center"/>
          </w:tcPr>
          <w:p w14:paraId="3958C5FB">
            <w:pPr>
              <w:adjustRightInd w:val="0"/>
              <w:snapToGrid w:val="0"/>
              <w:spacing w:line="276" w:lineRule="auto"/>
              <w:jc w:val="center"/>
              <w:rPr>
                <w:szCs w:val="21"/>
              </w:rPr>
            </w:pPr>
            <w:r>
              <w:rPr>
                <w:rFonts w:hint="eastAsia"/>
                <w:color w:val="auto"/>
                <w:lang w:val="en-US" w:eastAsia="zh-CN"/>
              </w:rPr>
              <w:t>1231.5</w:t>
            </w:r>
            <w:r>
              <w:rPr>
                <w:rFonts w:hint="eastAsia"/>
                <w:color w:val="auto"/>
              </w:rPr>
              <w:t>m</w:t>
            </w:r>
            <w:r>
              <w:rPr>
                <w:rFonts w:hint="eastAsia"/>
                <w:color w:val="auto"/>
                <w:vertAlign w:val="superscript"/>
              </w:rPr>
              <w:t>2</w:t>
            </w:r>
          </w:p>
        </w:tc>
      </w:tr>
      <w:tr w14:paraId="7528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065" w:type="pct"/>
            <w:vAlign w:val="center"/>
          </w:tcPr>
          <w:p w14:paraId="5D689161">
            <w:pPr>
              <w:autoSpaceDE w:val="0"/>
              <w:autoSpaceDN w:val="0"/>
              <w:adjustRightInd w:val="0"/>
              <w:snapToGrid w:val="0"/>
              <w:jc w:val="center"/>
              <w:rPr>
                <w:kern w:val="0"/>
                <w:szCs w:val="21"/>
              </w:rPr>
            </w:pPr>
            <w:r>
              <w:rPr>
                <w:kern w:val="0"/>
                <w:szCs w:val="21"/>
              </w:rPr>
              <w:t>专项评价设置情况</w:t>
            </w:r>
          </w:p>
        </w:tc>
        <w:tc>
          <w:tcPr>
            <w:tcW w:w="3934" w:type="pct"/>
            <w:gridSpan w:val="3"/>
            <w:vAlign w:val="center"/>
          </w:tcPr>
          <w:p w14:paraId="321957C3">
            <w:pPr>
              <w:pStyle w:val="6"/>
              <w:spacing w:before="156" w:beforeLines="50" w:after="0" w:line="240" w:lineRule="auto"/>
              <w:jc w:val="center"/>
              <w:rPr>
                <w:b/>
                <w:sz w:val="21"/>
                <w:szCs w:val="21"/>
                <w:lang w:val="en-US"/>
              </w:rPr>
            </w:pPr>
            <w:r>
              <w:rPr>
                <w:b/>
                <w:sz w:val="21"/>
                <w:szCs w:val="21"/>
                <w:lang w:val="en-US"/>
              </w:rPr>
              <w:t>表1-1  项目专项评价设置情况一览表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2591"/>
              <w:gridCol w:w="3344"/>
              <w:gridCol w:w="453"/>
            </w:tblGrid>
            <w:tr w14:paraId="6BFD2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2" w:type="pct"/>
                  <w:shd w:val="clear" w:color="auto" w:fill="auto"/>
                  <w:vAlign w:val="center"/>
                </w:tcPr>
                <w:p w14:paraId="04EF17A1">
                  <w:pPr>
                    <w:autoSpaceDE w:val="0"/>
                    <w:autoSpaceDN w:val="0"/>
                    <w:adjustRightInd w:val="0"/>
                    <w:snapToGrid w:val="0"/>
                    <w:jc w:val="center"/>
                    <w:rPr>
                      <w:b/>
                      <w:sz w:val="21"/>
                      <w:szCs w:val="21"/>
                    </w:rPr>
                  </w:pPr>
                  <w:r>
                    <w:rPr>
                      <w:b/>
                      <w:sz w:val="21"/>
                      <w:szCs w:val="21"/>
                    </w:rPr>
                    <w:t>类别</w:t>
                  </w:r>
                </w:p>
              </w:tc>
              <w:tc>
                <w:tcPr>
                  <w:tcW w:w="1896" w:type="pct"/>
                  <w:shd w:val="clear" w:color="auto" w:fill="auto"/>
                  <w:vAlign w:val="center"/>
                </w:tcPr>
                <w:p w14:paraId="4FCDDFA2">
                  <w:pPr>
                    <w:autoSpaceDE w:val="0"/>
                    <w:autoSpaceDN w:val="0"/>
                    <w:adjustRightInd w:val="0"/>
                    <w:snapToGrid w:val="0"/>
                    <w:jc w:val="center"/>
                    <w:rPr>
                      <w:b/>
                      <w:sz w:val="21"/>
                      <w:szCs w:val="21"/>
                    </w:rPr>
                  </w:pPr>
                  <w:r>
                    <w:rPr>
                      <w:b/>
                      <w:sz w:val="21"/>
                      <w:szCs w:val="21"/>
                    </w:rPr>
                    <w:t>涉及项目类别</w:t>
                  </w:r>
                </w:p>
              </w:tc>
              <w:tc>
                <w:tcPr>
                  <w:tcW w:w="2448" w:type="pct"/>
                  <w:shd w:val="clear" w:color="auto" w:fill="auto"/>
                  <w:vAlign w:val="center"/>
                </w:tcPr>
                <w:p w14:paraId="57AC2B1F">
                  <w:pPr>
                    <w:autoSpaceDE w:val="0"/>
                    <w:autoSpaceDN w:val="0"/>
                    <w:adjustRightInd w:val="0"/>
                    <w:snapToGrid w:val="0"/>
                    <w:jc w:val="center"/>
                    <w:rPr>
                      <w:b/>
                      <w:sz w:val="21"/>
                      <w:szCs w:val="21"/>
                    </w:rPr>
                  </w:pPr>
                  <w:r>
                    <w:rPr>
                      <w:b/>
                      <w:sz w:val="21"/>
                      <w:szCs w:val="21"/>
                    </w:rPr>
                    <w:t>本项目情况</w:t>
                  </w:r>
                </w:p>
              </w:tc>
              <w:tc>
                <w:tcPr>
                  <w:tcW w:w="332" w:type="pct"/>
                  <w:shd w:val="clear" w:color="auto" w:fill="auto"/>
                  <w:vAlign w:val="center"/>
                </w:tcPr>
                <w:p w14:paraId="217F99AE">
                  <w:pPr>
                    <w:autoSpaceDE w:val="0"/>
                    <w:autoSpaceDN w:val="0"/>
                    <w:adjustRightInd w:val="0"/>
                    <w:snapToGrid w:val="0"/>
                    <w:jc w:val="center"/>
                    <w:rPr>
                      <w:b/>
                      <w:sz w:val="21"/>
                      <w:szCs w:val="21"/>
                    </w:rPr>
                  </w:pPr>
                  <w:r>
                    <w:rPr>
                      <w:b/>
                      <w:sz w:val="21"/>
                      <w:szCs w:val="21"/>
                    </w:rPr>
                    <w:t>判定</w:t>
                  </w:r>
                </w:p>
              </w:tc>
            </w:tr>
            <w:tr w14:paraId="73220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2" w:type="pct"/>
                  <w:shd w:val="clear" w:color="auto" w:fill="auto"/>
                  <w:vAlign w:val="center"/>
                </w:tcPr>
                <w:p w14:paraId="5CE339CC">
                  <w:pPr>
                    <w:autoSpaceDE w:val="0"/>
                    <w:autoSpaceDN w:val="0"/>
                    <w:adjustRightInd w:val="0"/>
                    <w:snapToGrid w:val="0"/>
                    <w:jc w:val="center"/>
                    <w:rPr>
                      <w:bCs/>
                      <w:sz w:val="21"/>
                      <w:szCs w:val="21"/>
                    </w:rPr>
                  </w:pPr>
                  <w:r>
                    <w:rPr>
                      <w:bCs/>
                      <w:sz w:val="21"/>
                      <w:szCs w:val="21"/>
                    </w:rPr>
                    <w:t>大气</w:t>
                  </w:r>
                </w:p>
              </w:tc>
              <w:tc>
                <w:tcPr>
                  <w:tcW w:w="1896" w:type="pct"/>
                  <w:shd w:val="clear" w:color="auto" w:fill="auto"/>
                  <w:vAlign w:val="center"/>
                </w:tcPr>
                <w:p w14:paraId="6559494B">
                  <w:pPr>
                    <w:pStyle w:val="40"/>
                    <w:snapToGrid w:val="0"/>
                    <w:rPr>
                      <w:rFonts w:cs="Times New Roman"/>
                      <w:bCs/>
                      <w:color w:val="auto"/>
                      <w:sz w:val="21"/>
                      <w:szCs w:val="21"/>
                    </w:rPr>
                  </w:pPr>
                  <w:r>
                    <w:rPr>
                      <w:rFonts w:cs="Times New Roman"/>
                      <w:bCs/>
                      <w:color w:val="auto"/>
                      <w:sz w:val="21"/>
                      <w:szCs w:val="21"/>
                    </w:rPr>
                    <w:t>排放废气含有毒有害污染物、二噁英、苯并[a]芘、氰化物、氯气且厂界外500m范围内有环境空气保护目标的建设项目</w:t>
                  </w:r>
                </w:p>
              </w:tc>
              <w:tc>
                <w:tcPr>
                  <w:tcW w:w="2448" w:type="pct"/>
                  <w:shd w:val="clear" w:color="auto" w:fill="auto"/>
                  <w:vAlign w:val="center"/>
                </w:tcPr>
                <w:p w14:paraId="32475398">
                  <w:pPr>
                    <w:autoSpaceDE w:val="0"/>
                    <w:autoSpaceDN w:val="0"/>
                    <w:adjustRightInd w:val="0"/>
                    <w:snapToGrid w:val="0"/>
                    <w:rPr>
                      <w:bCs/>
                      <w:sz w:val="21"/>
                      <w:szCs w:val="21"/>
                    </w:rPr>
                  </w:pPr>
                  <w:r>
                    <w:rPr>
                      <w:bCs/>
                      <w:sz w:val="21"/>
                      <w:szCs w:val="21"/>
                    </w:rPr>
                    <w:t>本项目运行过程不产生二噁英、苯并[a]芘、氰化物、氯气及《有毒有害大气污染物名录》（2018年）中所列项目</w:t>
                  </w:r>
                  <w:r>
                    <w:rPr>
                      <w:rFonts w:hint="eastAsia"/>
                      <w:bCs/>
                      <w:sz w:val="21"/>
                      <w:szCs w:val="21"/>
                    </w:rPr>
                    <w:t>。</w:t>
                  </w:r>
                </w:p>
              </w:tc>
              <w:tc>
                <w:tcPr>
                  <w:tcW w:w="332" w:type="pct"/>
                  <w:shd w:val="clear" w:color="auto" w:fill="auto"/>
                  <w:vAlign w:val="center"/>
                </w:tcPr>
                <w:p w14:paraId="4C08EF16">
                  <w:pPr>
                    <w:autoSpaceDE w:val="0"/>
                    <w:autoSpaceDN w:val="0"/>
                    <w:adjustRightInd w:val="0"/>
                    <w:snapToGrid w:val="0"/>
                    <w:jc w:val="center"/>
                    <w:rPr>
                      <w:bCs/>
                      <w:sz w:val="21"/>
                      <w:szCs w:val="21"/>
                    </w:rPr>
                  </w:pPr>
                  <w:r>
                    <w:rPr>
                      <w:bCs/>
                      <w:sz w:val="21"/>
                      <w:szCs w:val="21"/>
                    </w:rPr>
                    <w:t>不设置</w:t>
                  </w:r>
                </w:p>
              </w:tc>
            </w:tr>
            <w:tr w14:paraId="58F72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2" w:type="pct"/>
                  <w:shd w:val="clear" w:color="auto" w:fill="auto"/>
                  <w:vAlign w:val="center"/>
                </w:tcPr>
                <w:p w14:paraId="2B2087C1">
                  <w:pPr>
                    <w:autoSpaceDE w:val="0"/>
                    <w:autoSpaceDN w:val="0"/>
                    <w:adjustRightInd w:val="0"/>
                    <w:snapToGrid w:val="0"/>
                    <w:jc w:val="center"/>
                    <w:rPr>
                      <w:bCs/>
                      <w:sz w:val="21"/>
                      <w:szCs w:val="21"/>
                    </w:rPr>
                  </w:pPr>
                  <w:r>
                    <w:rPr>
                      <w:bCs/>
                      <w:sz w:val="21"/>
                      <w:szCs w:val="21"/>
                    </w:rPr>
                    <w:t>地表水</w:t>
                  </w:r>
                </w:p>
              </w:tc>
              <w:tc>
                <w:tcPr>
                  <w:tcW w:w="1896" w:type="pct"/>
                  <w:shd w:val="clear" w:color="auto" w:fill="auto"/>
                  <w:vAlign w:val="center"/>
                </w:tcPr>
                <w:p w14:paraId="0D6F5B5B">
                  <w:pPr>
                    <w:pStyle w:val="40"/>
                    <w:snapToGrid w:val="0"/>
                    <w:rPr>
                      <w:rFonts w:cs="Times New Roman"/>
                      <w:bCs/>
                      <w:color w:val="auto"/>
                      <w:sz w:val="21"/>
                      <w:szCs w:val="21"/>
                    </w:rPr>
                  </w:pPr>
                  <w:r>
                    <w:rPr>
                      <w:rFonts w:cs="Times New Roman"/>
                      <w:bCs/>
                      <w:color w:val="auto"/>
                      <w:sz w:val="21"/>
                      <w:szCs w:val="21"/>
                    </w:rPr>
                    <w:t>新增工业废水直排建设项目（槽罐车外送污水处理厂的除外）；新增废水直排的污水集中处理厂</w:t>
                  </w:r>
                </w:p>
              </w:tc>
              <w:tc>
                <w:tcPr>
                  <w:tcW w:w="2448" w:type="pct"/>
                  <w:shd w:val="clear" w:color="auto" w:fill="auto"/>
                  <w:vAlign w:val="center"/>
                </w:tcPr>
                <w:p w14:paraId="622748B8">
                  <w:pPr>
                    <w:autoSpaceDE w:val="0"/>
                    <w:autoSpaceDN w:val="0"/>
                    <w:adjustRightInd w:val="0"/>
                    <w:snapToGrid w:val="0"/>
                    <w:rPr>
                      <w:bCs/>
                      <w:sz w:val="21"/>
                      <w:szCs w:val="21"/>
                    </w:rPr>
                  </w:pPr>
                  <w:r>
                    <w:rPr>
                      <w:bCs/>
                      <w:sz w:val="21"/>
                      <w:szCs w:val="21"/>
                    </w:rPr>
                    <w:t>本项目</w:t>
                  </w:r>
                  <w:r>
                    <w:rPr>
                      <w:rFonts w:hint="eastAsia"/>
                      <w:bCs/>
                      <w:sz w:val="21"/>
                      <w:szCs w:val="21"/>
                    </w:rPr>
                    <w:t>实验器皿清洗废水（不含一次清洗废水）、剩余一般水样和喷淋塔排水经自建废水处理设备（酸碱中和，1t/d）处理后排入园区化粪池；生活污水和其他废水（地面清洁废水、职工工作服清洗废水、超纯水制备排放浓水）排入园区化粪池处理，最终经市政污水管网排入西安净水处理有限责任公司第六再生水厂</w:t>
                  </w:r>
                  <w:r>
                    <w:rPr>
                      <w:rFonts w:hint="eastAsia"/>
                      <w:sz w:val="21"/>
                      <w:szCs w:val="21"/>
                    </w:rPr>
                    <w:t>，</w:t>
                  </w:r>
                  <w:r>
                    <w:rPr>
                      <w:bCs/>
                      <w:sz w:val="21"/>
                      <w:szCs w:val="21"/>
                    </w:rPr>
                    <w:t>属于间接排放</w:t>
                  </w:r>
                  <w:r>
                    <w:rPr>
                      <w:rFonts w:hint="eastAsia"/>
                      <w:bCs/>
                      <w:sz w:val="21"/>
                      <w:szCs w:val="21"/>
                    </w:rPr>
                    <w:t>。</w:t>
                  </w:r>
                </w:p>
              </w:tc>
              <w:tc>
                <w:tcPr>
                  <w:tcW w:w="332" w:type="pct"/>
                  <w:shd w:val="clear" w:color="auto" w:fill="auto"/>
                  <w:vAlign w:val="center"/>
                </w:tcPr>
                <w:p w14:paraId="3308FB78">
                  <w:pPr>
                    <w:autoSpaceDE w:val="0"/>
                    <w:autoSpaceDN w:val="0"/>
                    <w:adjustRightInd w:val="0"/>
                    <w:snapToGrid w:val="0"/>
                    <w:jc w:val="center"/>
                    <w:rPr>
                      <w:bCs/>
                      <w:sz w:val="21"/>
                      <w:szCs w:val="21"/>
                    </w:rPr>
                  </w:pPr>
                  <w:r>
                    <w:rPr>
                      <w:bCs/>
                      <w:sz w:val="21"/>
                      <w:szCs w:val="21"/>
                    </w:rPr>
                    <w:t>不设置</w:t>
                  </w:r>
                </w:p>
              </w:tc>
            </w:tr>
            <w:tr w14:paraId="0EAD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2" w:type="pct"/>
                  <w:shd w:val="clear" w:color="auto" w:fill="auto"/>
                  <w:vAlign w:val="center"/>
                </w:tcPr>
                <w:p w14:paraId="736D09D4">
                  <w:pPr>
                    <w:autoSpaceDE w:val="0"/>
                    <w:autoSpaceDN w:val="0"/>
                    <w:adjustRightInd w:val="0"/>
                    <w:snapToGrid w:val="0"/>
                    <w:jc w:val="center"/>
                    <w:rPr>
                      <w:bCs/>
                      <w:sz w:val="21"/>
                      <w:szCs w:val="21"/>
                    </w:rPr>
                  </w:pPr>
                  <w:r>
                    <w:rPr>
                      <w:bCs/>
                      <w:sz w:val="21"/>
                      <w:szCs w:val="21"/>
                    </w:rPr>
                    <w:t>环境风险</w:t>
                  </w:r>
                </w:p>
              </w:tc>
              <w:tc>
                <w:tcPr>
                  <w:tcW w:w="1896" w:type="pct"/>
                  <w:shd w:val="clear" w:color="auto" w:fill="auto"/>
                  <w:vAlign w:val="center"/>
                </w:tcPr>
                <w:p w14:paraId="279085DB">
                  <w:pPr>
                    <w:pStyle w:val="40"/>
                    <w:snapToGrid w:val="0"/>
                    <w:rPr>
                      <w:rFonts w:cs="Times New Roman"/>
                      <w:bCs/>
                      <w:color w:val="auto"/>
                      <w:sz w:val="21"/>
                      <w:szCs w:val="21"/>
                    </w:rPr>
                  </w:pPr>
                  <w:r>
                    <w:rPr>
                      <w:rFonts w:cs="Times New Roman"/>
                      <w:bCs/>
                      <w:color w:val="auto"/>
                      <w:sz w:val="21"/>
                      <w:szCs w:val="21"/>
                    </w:rPr>
                    <w:t>有毒有害和易燃易爆危险物质存储量超过临界量的建设项目</w:t>
                  </w:r>
                </w:p>
              </w:tc>
              <w:tc>
                <w:tcPr>
                  <w:tcW w:w="2448" w:type="pct"/>
                  <w:shd w:val="clear" w:color="auto" w:fill="auto"/>
                  <w:vAlign w:val="center"/>
                </w:tcPr>
                <w:p w14:paraId="56BB739C">
                  <w:pPr>
                    <w:autoSpaceDE w:val="0"/>
                    <w:autoSpaceDN w:val="0"/>
                    <w:adjustRightInd w:val="0"/>
                    <w:snapToGrid w:val="0"/>
                    <w:rPr>
                      <w:bCs/>
                      <w:sz w:val="21"/>
                      <w:szCs w:val="21"/>
                    </w:rPr>
                  </w:pPr>
                  <w:r>
                    <w:rPr>
                      <w:bCs/>
                      <w:sz w:val="21"/>
                      <w:szCs w:val="21"/>
                    </w:rPr>
                    <w:t>本项目涉及的有毒有害和易燃易爆危险物质</w:t>
                  </w:r>
                  <w:r>
                    <w:rPr>
                      <w:rFonts w:hint="eastAsia"/>
                      <w:bCs/>
                      <w:sz w:val="21"/>
                      <w:szCs w:val="21"/>
                    </w:rPr>
                    <w:t>存储量</w:t>
                  </w:r>
                  <w:r>
                    <w:rPr>
                      <w:bCs/>
                      <w:sz w:val="21"/>
                      <w:szCs w:val="21"/>
                    </w:rPr>
                    <w:t>均未超过临界量</w:t>
                  </w:r>
                  <w:r>
                    <w:rPr>
                      <w:rFonts w:hint="eastAsia"/>
                      <w:bCs/>
                      <w:sz w:val="21"/>
                      <w:szCs w:val="21"/>
                    </w:rPr>
                    <w:t>。</w:t>
                  </w:r>
                </w:p>
              </w:tc>
              <w:tc>
                <w:tcPr>
                  <w:tcW w:w="332" w:type="pct"/>
                  <w:shd w:val="clear" w:color="auto" w:fill="auto"/>
                  <w:vAlign w:val="center"/>
                </w:tcPr>
                <w:p w14:paraId="03F8BFDC">
                  <w:pPr>
                    <w:autoSpaceDE w:val="0"/>
                    <w:autoSpaceDN w:val="0"/>
                    <w:adjustRightInd w:val="0"/>
                    <w:snapToGrid w:val="0"/>
                    <w:jc w:val="center"/>
                    <w:rPr>
                      <w:bCs/>
                      <w:sz w:val="21"/>
                      <w:szCs w:val="21"/>
                    </w:rPr>
                  </w:pPr>
                  <w:r>
                    <w:rPr>
                      <w:bCs/>
                      <w:sz w:val="21"/>
                      <w:szCs w:val="21"/>
                    </w:rPr>
                    <w:t>不设置</w:t>
                  </w:r>
                </w:p>
              </w:tc>
            </w:tr>
            <w:tr w14:paraId="39CF6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2" w:type="pct"/>
                  <w:shd w:val="clear" w:color="auto" w:fill="auto"/>
                  <w:vAlign w:val="center"/>
                </w:tcPr>
                <w:p w14:paraId="4E8E2347">
                  <w:pPr>
                    <w:autoSpaceDE w:val="0"/>
                    <w:autoSpaceDN w:val="0"/>
                    <w:adjustRightInd w:val="0"/>
                    <w:snapToGrid w:val="0"/>
                    <w:jc w:val="center"/>
                    <w:rPr>
                      <w:bCs/>
                      <w:sz w:val="21"/>
                      <w:szCs w:val="21"/>
                    </w:rPr>
                  </w:pPr>
                  <w:r>
                    <w:rPr>
                      <w:bCs/>
                      <w:sz w:val="21"/>
                      <w:szCs w:val="21"/>
                    </w:rPr>
                    <w:t>生态</w:t>
                  </w:r>
                </w:p>
              </w:tc>
              <w:tc>
                <w:tcPr>
                  <w:tcW w:w="1896" w:type="pct"/>
                  <w:shd w:val="clear" w:color="auto" w:fill="auto"/>
                  <w:vAlign w:val="center"/>
                </w:tcPr>
                <w:p w14:paraId="23AFC165">
                  <w:pPr>
                    <w:pStyle w:val="40"/>
                    <w:snapToGrid w:val="0"/>
                    <w:rPr>
                      <w:rFonts w:cs="Times New Roman"/>
                      <w:bCs/>
                      <w:color w:val="auto"/>
                      <w:sz w:val="21"/>
                      <w:szCs w:val="21"/>
                    </w:rPr>
                  </w:pPr>
                  <w:r>
                    <w:rPr>
                      <w:rFonts w:cs="Times New Roman"/>
                      <w:bCs/>
                      <w:color w:val="auto"/>
                      <w:sz w:val="21"/>
                      <w:szCs w:val="21"/>
                    </w:rPr>
                    <w:t>取水口下游500m范围内有重要水生生物的自然产卵场、索饵场、越冬场和洄游通道的新增河道取水的污染类建设项目</w:t>
                  </w:r>
                </w:p>
              </w:tc>
              <w:tc>
                <w:tcPr>
                  <w:tcW w:w="2448" w:type="pct"/>
                  <w:shd w:val="clear" w:color="auto" w:fill="auto"/>
                  <w:vAlign w:val="center"/>
                </w:tcPr>
                <w:p w14:paraId="439C8B69">
                  <w:pPr>
                    <w:autoSpaceDE w:val="0"/>
                    <w:autoSpaceDN w:val="0"/>
                    <w:adjustRightInd w:val="0"/>
                    <w:snapToGrid w:val="0"/>
                    <w:rPr>
                      <w:bCs/>
                      <w:sz w:val="21"/>
                      <w:szCs w:val="21"/>
                    </w:rPr>
                  </w:pPr>
                  <w:r>
                    <w:rPr>
                      <w:bCs/>
                      <w:sz w:val="21"/>
                      <w:szCs w:val="21"/>
                    </w:rPr>
                    <w:t>本项目供水为市政自来水，不涉及取水作业</w:t>
                  </w:r>
                  <w:r>
                    <w:rPr>
                      <w:rFonts w:hint="eastAsia"/>
                      <w:bCs/>
                      <w:sz w:val="21"/>
                      <w:szCs w:val="21"/>
                    </w:rPr>
                    <w:t>。</w:t>
                  </w:r>
                </w:p>
              </w:tc>
              <w:tc>
                <w:tcPr>
                  <w:tcW w:w="332" w:type="pct"/>
                  <w:shd w:val="clear" w:color="auto" w:fill="auto"/>
                  <w:vAlign w:val="center"/>
                </w:tcPr>
                <w:p w14:paraId="38BDCA23">
                  <w:pPr>
                    <w:autoSpaceDE w:val="0"/>
                    <w:autoSpaceDN w:val="0"/>
                    <w:adjustRightInd w:val="0"/>
                    <w:snapToGrid w:val="0"/>
                    <w:jc w:val="center"/>
                    <w:rPr>
                      <w:bCs/>
                      <w:sz w:val="21"/>
                      <w:szCs w:val="21"/>
                    </w:rPr>
                  </w:pPr>
                  <w:r>
                    <w:rPr>
                      <w:bCs/>
                      <w:sz w:val="21"/>
                      <w:szCs w:val="21"/>
                    </w:rPr>
                    <w:t>不设置</w:t>
                  </w:r>
                </w:p>
              </w:tc>
            </w:tr>
          </w:tbl>
          <w:p w14:paraId="6E6B27D1">
            <w:pPr>
              <w:autoSpaceDE w:val="0"/>
              <w:autoSpaceDN w:val="0"/>
              <w:adjustRightInd w:val="0"/>
              <w:snapToGrid w:val="0"/>
              <w:spacing w:line="360" w:lineRule="auto"/>
              <w:rPr>
                <w:kern w:val="0"/>
                <w:szCs w:val="21"/>
              </w:rPr>
            </w:pPr>
          </w:p>
        </w:tc>
      </w:tr>
      <w:tr w14:paraId="0D72B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jc w:val="center"/>
        </w:trPr>
        <w:tc>
          <w:tcPr>
            <w:tcW w:w="1065" w:type="pct"/>
            <w:vAlign w:val="center"/>
          </w:tcPr>
          <w:p w14:paraId="33FCFE6A">
            <w:pPr>
              <w:autoSpaceDE w:val="0"/>
              <w:autoSpaceDN w:val="0"/>
              <w:adjustRightInd w:val="0"/>
              <w:snapToGrid w:val="0"/>
              <w:jc w:val="center"/>
              <w:rPr>
                <w:kern w:val="0"/>
                <w:szCs w:val="21"/>
              </w:rPr>
            </w:pPr>
            <w:r>
              <w:rPr>
                <w:szCs w:val="21"/>
              </w:rPr>
              <w:t>规划情况</w:t>
            </w:r>
          </w:p>
        </w:tc>
        <w:tc>
          <w:tcPr>
            <w:tcW w:w="3934" w:type="pct"/>
            <w:gridSpan w:val="3"/>
            <w:vAlign w:val="center"/>
          </w:tcPr>
          <w:p w14:paraId="13A49899">
            <w:pPr>
              <w:autoSpaceDE w:val="0"/>
              <w:autoSpaceDN w:val="0"/>
              <w:adjustRightInd w:val="0"/>
              <w:snapToGrid w:val="0"/>
              <w:spacing w:line="360" w:lineRule="auto"/>
              <w:rPr>
                <w:kern w:val="0"/>
                <w:szCs w:val="21"/>
              </w:rPr>
            </w:pPr>
            <w:r>
              <w:rPr>
                <w:rFonts w:hint="eastAsia"/>
                <w:kern w:val="0"/>
                <w:szCs w:val="21"/>
              </w:rPr>
              <w:t>规划名称：《西咸新区-沣东新城分区规划（2010-2020）》</w:t>
            </w:r>
          </w:p>
          <w:p w14:paraId="3064084D">
            <w:pPr>
              <w:autoSpaceDE w:val="0"/>
              <w:autoSpaceDN w:val="0"/>
              <w:adjustRightInd w:val="0"/>
              <w:snapToGrid w:val="0"/>
              <w:spacing w:line="360" w:lineRule="auto"/>
              <w:rPr>
                <w:shd w:val="clear" w:color="auto" w:fill="FFFFFF"/>
              </w:rPr>
            </w:pPr>
            <w:r>
              <w:rPr>
                <w:shd w:val="clear" w:color="auto" w:fill="FFFFFF"/>
              </w:rPr>
              <w:t>审查机关：陕西省人民政府</w:t>
            </w:r>
          </w:p>
          <w:p w14:paraId="79FC1BE3">
            <w:pPr>
              <w:autoSpaceDE w:val="0"/>
              <w:autoSpaceDN w:val="0"/>
              <w:adjustRightInd w:val="0"/>
              <w:snapToGrid w:val="0"/>
              <w:spacing w:line="360" w:lineRule="auto"/>
              <w:rPr>
                <w:shd w:val="clear" w:color="auto" w:fill="FFFFFF"/>
              </w:rPr>
            </w:pPr>
            <w:r>
              <w:rPr>
                <w:shd w:val="clear" w:color="auto" w:fill="FFFFFF"/>
              </w:rPr>
              <w:t>审查文件名称及文号：陕西省人民政府关于《西咸新区总体规划》的批复（陕政函</w:t>
            </w:r>
            <w:r>
              <w:rPr>
                <w:rFonts w:hint="eastAsia"/>
                <w:shd w:val="clear" w:color="auto" w:fill="FFFFFF"/>
              </w:rPr>
              <w:t>〔</w:t>
            </w:r>
            <w:r>
              <w:rPr>
                <w:shd w:val="clear" w:color="auto" w:fill="FFFFFF"/>
              </w:rPr>
              <w:t>2011</w:t>
            </w:r>
            <w:r>
              <w:rPr>
                <w:rFonts w:hint="eastAsia"/>
                <w:shd w:val="clear" w:color="auto" w:fill="FFFFFF"/>
              </w:rPr>
              <w:t>〕</w:t>
            </w:r>
            <w:r>
              <w:rPr>
                <w:shd w:val="clear" w:color="auto" w:fill="FFFFFF"/>
              </w:rPr>
              <w:t>110号）</w:t>
            </w:r>
          </w:p>
        </w:tc>
      </w:tr>
      <w:tr w14:paraId="5CE77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65" w:type="pct"/>
            <w:vAlign w:val="center"/>
          </w:tcPr>
          <w:p w14:paraId="2897C5A6">
            <w:pPr>
              <w:adjustRightInd w:val="0"/>
              <w:snapToGrid w:val="0"/>
              <w:jc w:val="center"/>
              <w:rPr>
                <w:kern w:val="0"/>
                <w:szCs w:val="21"/>
              </w:rPr>
            </w:pPr>
            <w:r>
              <w:rPr>
                <w:szCs w:val="21"/>
              </w:rPr>
              <w:t>规划环境影响评价情况</w:t>
            </w:r>
          </w:p>
        </w:tc>
        <w:tc>
          <w:tcPr>
            <w:tcW w:w="3934" w:type="pct"/>
            <w:gridSpan w:val="3"/>
            <w:vAlign w:val="center"/>
          </w:tcPr>
          <w:p w14:paraId="7E33EB2B">
            <w:pPr>
              <w:adjustRightInd w:val="0"/>
              <w:snapToGrid w:val="0"/>
              <w:spacing w:line="360" w:lineRule="auto"/>
              <w:rPr>
                <w:rFonts w:hAnsi="宋体"/>
              </w:rPr>
            </w:pPr>
            <w:r>
              <w:rPr>
                <w:rFonts w:hint="eastAsia" w:hAnsi="宋体"/>
              </w:rPr>
              <w:t>文件名称：《西咸新区-沣东新城分区规划（2010-2020）环境影响报告书》</w:t>
            </w:r>
          </w:p>
          <w:p w14:paraId="07E798D4">
            <w:pPr>
              <w:adjustRightInd w:val="0"/>
              <w:snapToGrid w:val="0"/>
              <w:spacing w:line="360" w:lineRule="auto"/>
              <w:rPr>
                <w:kern w:val="0"/>
                <w:szCs w:val="21"/>
              </w:rPr>
            </w:pPr>
            <w:r>
              <w:rPr>
                <w:kern w:val="0"/>
                <w:szCs w:val="21"/>
              </w:rPr>
              <w:t>审</w:t>
            </w:r>
            <w:r>
              <w:rPr>
                <w:rFonts w:hint="eastAsia"/>
                <w:kern w:val="0"/>
                <w:szCs w:val="21"/>
              </w:rPr>
              <w:t>查</w:t>
            </w:r>
            <w:r>
              <w:rPr>
                <w:kern w:val="0"/>
                <w:szCs w:val="21"/>
              </w:rPr>
              <w:t>机关：</w:t>
            </w:r>
            <w:r>
              <w:rPr>
                <w:rFonts w:hint="eastAsia"/>
                <w:kern w:val="0"/>
                <w:szCs w:val="21"/>
              </w:rPr>
              <w:t>西安市生态环境局（原</w:t>
            </w:r>
            <w:r>
              <w:t>西安市环境保护局</w:t>
            </w:r>
            <w:r>
              <w:rPr>
                <w:rFonts w:hint="eastAsia"/>
                <w:kern w:val="0"/>
                <w:szCs w:val="21"/>
              </w:rPr>
              <w:t>）（2014年3月31日）</w:t>
            </w:r>
          </w:p>
          <w:p w14:paraId="6C0D8858">
            <w:pPr>
              <w:adjustRightInd w:val="0"/>
              <w:snapToGrid w:val="0"/>
              <w:spacing w:line="360" w:lineRule="auto"/>
              <w:rPr>
                <w:kern w:val="0"/>
                <w:szCs w:val="21"/>
              </w:rPr>
            </w:pPr>
            <w:r>
              <w:rPr>
                <w:rFonts w:hint="eastAsia"/>
                <w:kern w:val="0"/>
                <w:szCs w:val="21"/>
              </w:rPr>
              <w:t>审查</w:t>
            </w:r>
            <w:r>
              <w:rPr>
                <w:kern w:val="0"/>
                <w:szCs w:val="21"/>
              </w:rPr>
              <w:t>文件</w:t>
            </w:r>
            <w:r>
              <w:rPr>
                <w:rFonts w:hint="eastAsia"/>
                <w:kern w:val="0"/>
                <w:szCs w:val="21"/>
              </w:rPr>
              <w:t>名称</w:t>
            </w:r>
            <w:r>
              <w:rPr>
                <w:kern w:val="0"/>
                <w:szCs w:val="21"/>
              </w:rPr>
              <w:t>及文号：</w:t>
            </w:r>
            <w:r>
              <w:rPr>
                <w:rFonts w:hint="eastAsia"/>
                <w:kern w:val="0"/>
                <w:szCs w:val="21"/>
              </w:rPr>
              <w:t>西安市环境保护局关于《西咸新区-沣东新城分区规划（2010-2020）环境影响报告书》的审查意见（市环函〔2014〕20号）</w:t>
            </w:r>
          </w:p>
        </w:tc>
      </w:tr>
      <w:tr w14:paraId="4FEF4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065" w:type="pct"/>
            <w:vAlign w:val="center"/>
          </w:tcPr>
          <w:p w14:paraId="3E2136F8">
            <w:pPr>
              <w:autoSpaceDE w:val="0"/>
              <w:autoSpaceDN w:val="0"/>
              <w:adjustRightInd w:val="0"/>
              <w:snapToGrid w:val="0"/>
              <w:jc w:val="center"/>
              <w:rPr>
                <w:kern w:val="0"/>
                <w:szCs w:val="21"/>
              </w:rPr>
            </w:pPr>
            <w:r>
              <w:rPr>
                <w:kern w:val="0"/>
                <w:szCs w:val="21"/>
              </w:rPr>
              <w:t>规划及规划环境影响评价符合性分析</w:t>
            </w:r>
          </w:p>
        </w:tc>
        <w:tc>
          <w:tcPr>
            <w:tcW w:w="3934" w:type="pct"/>
            <w:gridSpan w:val="3"/>
            <w:vAlign w:val="center"/>
          </w:tcPr>
          <w:p w14:paraId="538C8A63">
            <w:pPr>
              <w:autoSpaceDE w:val="0"/>
              <w:autoSpaceDN w:val="0"/>
              <w:adjustRightInd w:val="0"/>
              <w:snapToGrid w:val="0"/>
              <w:spacing w:before="156" w:beforeLines="50" w:line="360" w:lineRule="auto"/>
              <w:ind w:firstLine="480" w:firstLineChars="200"/>
              <w:jc w:val="left"/>
              <w:rPr>
                <w:b/>
                <w:sz w:val="21"/>
                <w:szCs w:val="21"/>
              </w:rPr>
            </w:pPr>
            <w:r>
              <w:rPr>
                <w:rFonts w:hint="eastAsia"/>
                <w:kern w:val="0"/>
                <w:szCs w:val="21"/>
              </w:rPr>
              <w:t>本项目与《西咸新区-沣东新城分区规划（2010-2020）》及规划环境影响评价符合性分析见表1-2。</w:t>
            </w:r>
          </w:p>
          <w:p w14:paraId="4516AEAE">
            <w:pPr>
              <w:adjustRightInd w:val="0"/>
              <w:snapToGrid w:val="0"/>
              <w:jc w:val="center"/>
              <w:rPr>
                <w:b/>
                <w:sz w:val="21"/>
                <w:szCs w:val="21"/>
              </w:rPr>
            </w:pPr>
            <w:r>
              <w:rPr>
                <w:b/>
                <w:sz w:val="21"/>
                <w:szCs w:val="21"/>
              </w:rPr>
              <w:t>表1-2  项目与规划及规划环评符合性分析一览表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739"/>
              <w:gridCol w:w="2125"/>
              <w:gridCol w:w="3124"/>
              <w:gridCol w:w="440"/>
            </w:tblGrid>
            <w:tr w14:paraId="25398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shd w:val="clear" w:color="auto" w:fill="auto"/>
                  <w:vAlign w:val="center"/>
                </w:tcPr>
                <w:p w14:paraId="0F042ACE">
                  <w:pPr>
                    <w:contextualSpacing/>
                    <w:jc w:val="center"/>
                    <w:rPr>
                      <w:b/>
                      <w:kern w:val="0"/>
                      <w:sz w:val="21"/>
                      <w:szCs w:val="21"/>
                    </w:rPr>
                  </w:pPr>
                  <w:r>
                    <w:rPr>
                      <w:rFonts w:hint="eastAsia"/>
                      <w:b/>
                      <w:kern w:val="0"/>
                      <w:sz w:val="21"/>
                      <w:szCs w:val="21"/>
                    </w:rPr>
                    <w:t>序号</w:t>
                  </w:r>
                </w:p>
              </w:tc>
              <w:tc>
                <w:tcPr>
                  <w:tcW w:w="541" w:type="pct"/>
                  <w:shd w:val="clear" w:color="auto" w:fill="auto"/>
                  <w:vAlign w:val="center"/>
                </w:tcPr>
                <w:p w14:paraId="3E4216A2">
                  <w:pPr>
                    <w:contextualSpacing/>
                    <w:jc w:val="center"/>
                    <w:rPr>
                      <w:b/>
                      <w:kern w:val="0"/>
                      <w:sz w:val="21"/>
                      <w:szCs w:val="21"/>
                    </w:rPr>
                  </w:pPr>
                  <w:r>
                    <w:rPr>
                      <w:b/>
                      <w:kern w:val="0"/>
                      <w:sz w:val="21"/>
                      <w:szCs w:val="21"/>
                    </w:rPr>
                    <w:t>文件</w:t>
                  </w:r>
                </w:p>
                <w:p w14:paraId="7ECA229F">
                  <w:pPr>
                    <w:contextualSpacing/>
                    <w:jc w:val="center"/>
                    <w:rPr>
                      <w:b/>
                      <w:kern w:val="0"/>
                      <w:sz w:val="21"/>
                      <w:szCs w:val="21"/>
                    </w:rPr>
                  </w:pPr>
                  <w:r>
                    <w:rPr>
                      <w:b/>
                      <w:kern w:val="0"/>
                      <w:sz w:val="21"/>
                      <w:szCs w:val="21"/>
                    </w:rPr>
                    <w:t>名称</w:t>
                  </w:r>
                </w:p>
              </w:tc>
              <w:tc>
                <w:tcPr>
                  <w:tcW w:w="1555" w:type="pct"/>
                  <w:shd w:val="clear" w:color="auto" w:fill="auto"/>
                  <w:vAlign w:val="center"/>
                </w:tcPr>
                <w:p w14:paraId="5DDD8A7F">
                  <w:pPr>
                    <w:contextualSpacing/>
                    <w:jc w:val="center"/>
                    <w:rPr>
                      <w:b/>
                      <w:kern w:val="0"/>
                      <w:sz w:val="21"/>
                      <w:szCs w:val="21"/>
                    </w:rPr>
                  </w:pPr>
                  <w:r>
                    <w:rPr>
                      <w:b/>
                      <w:kern w:val="0"/>
                      <w:sz w:val="21"/>
                      <w:szCs w:val="21"/>
                    </w:rPr>
                    <w:t>具体要求</w:t>
                  </w:r>
                </w:p>
              </w:tc>
              <w:tc>
                <w:tcPr>
                  <w:tcW w:w="2287" w:type="pct"/>
                  <w:shd w:val="clear" w:color="auto" w:fill="auto"/>
                  <w:vAlign w:val="center"/>
                </w:tcPr>
                <w:p w14:paraId="0628C67F">
                  <w:pPr>
                    <w:contextualSpacing/>
                    <w:jc w:val="center"/>
                    <w:rPr>
                      <w:b/>
                      <w:kern w:val="0"/>
                      <w:sz w:val="21"/>
                      <w:szCs w:val="21"/>
                    </w:rPr>
                  </w:pPr>
                  <w:r>
                    <w:rPr>
                      <w:b/>
                      <w:kern w:val="0"/>
                      <w:sz w:val="21"/>
                      <w:szCs w:val="21"/>
                    </w:rPr>
                    <w:t>本项目情况</w:t>
                  </w:r>
                </w:p>
              </w:tc>
              <w:tc>
                <w:tcPr>
                  <w:tcW w:w="322" w:type="pct"/>
                  <w:shd w:val="clear" w:color="auto" w:fill="auto"/>
                  <w:vAlign w:val="center"/>
                </w:tcPr>
                <w:p w14:paraId="4F5E88B9">
                  <w:pPr>
                    <w:contextualSpacing/>
                    <w:jc w:val="center"/>
                    <w:rPr>
                      <w:b/>
                      <w:kern w:val="0"/>
                      <w:sz w:val="21"/>
                      <w:szCs w:val="21"/>
                    </w:rPr>
                  </w:pPr>
                  <w:r>
                    <w:rPr>
                      <w:rFonts w:hint="eastAsia"/>
                      <w:b/>
                      <w:kern w:val="0"/>
                      <w:sz w:val="21"/>
                      <w:szCs w:val="21"/>
                    </w:rPr>
                    <w:t>相符性</w:t>
                  </w:r>
                </w:p>
              </w:tc>
            </w:tr>
            <w:tr w14:paraId="6D35C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shd w:val="clear" w:color="auto" w:fill="auto"/>
                  <w:vAlign w:val="center"/>
                </w:tcPr>
                <w:p w14:paraId="1C4AA108">
                  <w:pPr>
                    <w:pStyle w:val="63"/>
                    <w:autoSpaceDE w:val="0"/>
                    <w:autoSpaceDN w:val="0"/>
                    <w:rPr>
                      <w:sz w:val="21"/>
                      <w:szCs w:val="21"/>
                    </w:rPr>
                  </w:pPr>
                  <w:r>
                    <w:rPr>
                      <w:rFonts w:hint="eastAsia"/>
                      <w:sz w:val="21"/>
                      <w:szCs w:val="21"/>
                    </w:rPr>
                    <w:t>1</w:t>
                  </w:r>
                </w:p>
              </w:tc>
              <w:tc>
                <w:tcPr>
                  <w:tcW w:w="541" w:type="pct"/>
                  <w:shd w:val="clear" w:color="auto" w:fill="auto"/>
                  <w:vAlign w:val="center"/>
                </w:tcPr>
                <w:p w14:paraId="00B41C53">
                  <w:pPr>
                    <w:pStyle w:val="63"/>
                    <w:autoSpaceDE w:val="0"/>
                    <w:autoSpaceDN w:val="0"/>
                    <w:rPr>
                      <w:sz w:val="21"/>
                      <w:szCs w:val="21"/>
                    </w:rPr>
                  </w:pPr>
                  <w:r>
                    <w:rPr>
                      <w:sz w:val="21"/>
                      <w:szCs w:val="21"/>
                    </w:rPr>
                    <w:t>《西咸新区沣东新城分区规划》</w:t>
                  </w:r>
                  <w:r>
                    <w:rPr>
                      <w:rFonts w:hint="eastAsia"/>
                      <w:sz w:val="21"/>
                      <w:szCs w:val="21"/>
                    </w:rPr>
                    <w:t>（</w:t>
                  </w:r>
                  <w:r>
                    <w:rPr>
                      <w:sz w:val="21"/>
                      <w:szCs w:val="21"/>
                    </w:rPr>
                    <w:t>2010-2020</w:t>
                  </w:r>
                  <w:r>
                    <w:rPr>
                      <w:rFonts w:hint="eastAsia"/>
                      <w:sz w:val="21"/>
                      <w:szCs w:val="21"/>
                    </w:rPr>
                    <w:t>）</w:t>
                  </w:r>
                </w:p>
              </w:tc>
              <w:tc>
                <w:tcPr>
                  <w:tcW w:w="1555" w:type="pct"/>
                  <w:shd w:val="clear" w:color="auto" w:fill="auto"/>
                  <w:vAlign w:val="center"/>
                </w:tcPr>
                <w:p w14:paraId="1D5FEACB">
                  <w:pPr>
                    <w:pStyle w:val="63"/>
                    <w:autoSpaceDE w:val="0"/>
                    <w:autoSpaceDN w:val="0"/>
                    <w:jc w:val="both"/>
                    <w:rPr>
                      <w:sz w:val="21"/>
                      <w:szCs w:val="21"/>
                    </w:rPr>
                  </w:pPr>
                  <w:r>
                    <w:rPr>
                      <w:sz w:val="21"/>
                      <w:szCs w:val="21"/>
                    </w:rPr>
                    <w:t>规划确定沣东新城定位为：西部地区统筹科技资源示范基地，高新技术研发和会展中心，大西安建设国际化大都市引领区，未来将建设成为具有东方人文特色的生态化国际新城。</w:t>
                  </w:r>
                </w:p>
                <w:p w14:paraId="6A50FDB2">
                  <w:pPr>
                    <w:pStyle w:val="63"/>
                    <w:autoSpaceDE w:val="0"/>
                    <w:autoSpaceDN w:val="0"/>
                    <w:jc w:val="both"/>
                    <w:rPr>
                      <w:sz w:val="21"/>
                      <w:szCs w:val="21"/>
                    </w:rPr>
                  </w:pPr>
                  <w:r>
                    <w:rPr>
                      <w:sz w:val="21"/>
                      <w:szCs w:val="21"/>
                    </w:rPr>
                    <w:t>总体规划空间结构布局：</w:t>
                  </w:r>
                  <w:r>
                    <w:rPr>
                      <w:rFonts w:hint="eastAsia"/>
                      <w:sz w:val="21"/>
                      <w:szCs w:val="21"/>
                    </w:rPr>
                    <w:t>“</w:t>
                  </w:r>
                  <w:r>
                    <w:rPr>
                      <w:sz w:val="21"/>
                      <w:szCs w:val="21"/>
                    </w:rPr>
                    <w:t>两带、七板块</w:t>
                  </w:r>
                  <w:r>
                    <w:rPr>
                      <w:rFonts w:hint="eastAsia"/>
                      <w:sz w:val="21"/>
                      <w:szCs w:val="21"/>
                    </w:rPr>
                    <w:t>”</w:t>
                  </w:r>
                  <w:r>
                    <w:rPr>
                      <w:sz w:val="21"/>
                      <w:szCs w:val="21"/>
                    </w:rPr>
                    <w:t>，周秦汉历史文化景观带、沣河景观风貌带、沣河田园城市板块、六村堡现代产业板块、三桥现代商贸板块、科学城科技统筹板块、阿房宫人文旅游板块、昆明池生态文化板块、镐京立体城市板块。</w:t>
                  </w:r>
                </w:p>
              </w:tc>
              <w:tc>
                <w:tcPr>
                  <w:tcW w:w="2287" w:type="pct"/>
                  <w:shd w:val="clear" w:color="auto" w:fill="auto"/>
                  <w:vAlign w:val="center"/>
                </w:tcPr>
                <w:p w14:paraId="33C0FE2A">
                  <w:pPr>
                    <w:pStyle w:val="63"/>
                    <w:autoSpaceDE w:val="0"/>
                    <w:autoSpaceDN w:val="0"/>
                    <w:rPr>
                      <w:sz w:val="21"/>
                      <w:szCs w:val="21"/>
                    </w:rPr>
                  </w:pPr>
                  <w:r>
                    <w:rPr>
                      <w:sz w:val="21"/>
                      <w:szCs w:val="21"/>
                    </w:rPr>
                    <w:t>本项目位于西咸新区沣东新城红光大道（沣东大道）以北、科源一路以西，</w:t>
                  </w:r>
                  <w:r>
                    <w:rPr>
                      <w:rFonts w:hint="eastAsia"/>
                      <w:sz w:val="21"/>
                      <w:szCs w:val="21"/>
                    </w:rPr>
                    <w:t>中国</w:t>
                  </w:r>
                  <w:r>
                    <w:rPr>
                      <w:sz w:val="21"/>
                      <w:szCs w:val="21"/>
                    </w:rPr>
                    <w:t>国检测试控股集团陕西有限公司一号楼三、四层</w:t>
                  </w:r>
                  <w:r>
                    <w:rPr>
                      <w:rFonts w:hint="eastAsia"/>
                      <w:sz w:val="21"/>
                      <w:szCs w:val="21"/>
                    </w:rPr>
                    <w:t>，</w:t>
                  </w:r>
                  <w:r>
                    <w:rPr>
                      <w:sz w:val="21"/>
                      <w:szCs w:val="21"/>
                    </w:rPr>
                    <w:t>为</w:t>
                  </w:r>
                  <w:r>
                    <w:rPr>
                      <w:rFonts w:hint="eastAsia"/>
                      <w:sz w:val="21"/>
                      <w:szCs w:val="21"/>
                    </w:rPr>
                    <w:t>专业实验室建设</w:t>
                  </w:r>
                  <w:r>
                    <w:rPr>
                      <w:sz w:val="21"/>
                      <w:szCs w:val="21"/>
                    </w:rPr>
                    <w:t>项目，属于科学城科技统</w:t>
                  </w:r>
                  <w:r>
                    <w:rPr>
                      <w:color w:val="auto"/>
                      <w:sz w:val="21"/>
                      <w:szCs w:val="21"/>
                    </w:rPr>
                    <w:t>筹板块</w:t>
                  </w:r>
                  <w:r>
                    <w:rPr>
                      <w:rFonts w:hint="eastAsia"/>
                      <w:color w:val="auto"/>
                      <w:sz w:val="21"/>
                      <w:szCs w:val="21"/>
                    </w:rPr>
                    <w:t>（项目与</w:t>
                  </w:r>
                  <w:r>
                    <w:rPr>
                      <w:color w:val="auto"/>
                      <w:sz w:val="21"/>
                      <w:szCs w:val="21"/>
                    </w:rPr>
                    <w:t>西咸新区沣东新城分区规划</w:t>
                  </w:r>
                  <w:r>
                    <w:rPr>
                      <w:rFonts w:hint="eastAsia"/>
                      <w:color w:val="auto"/>
                      <w:sz w:val="21"/>
                      <w:szCs w:val="21"/>
                    </w:rPr>
                    <w:t>图的相对位置关系图见附图6），</w:t>
                  </w:r>
                  <w:r>
                    <w:rPr>
                      <w:color w:val="auto"/>
                      <w:sz w:val="21"/>
                      <w:szCs w:val="21"/>
                    </w:rPr>
                    <w:t>符合规划</w:t>
                  </w:r>
                  <w:r>
                    <w:rPr>
                      <w:rFonts w:hint="eastAsia"/>
                      <w:color w:val="auto"/>
                      <w:sz w:val="21"/>
                      <w:szCs w:val="21"/>
                    </w:rPr>
                    <w:t>要求。</w:t>
                  </w:r>
                </w:p>
              </w:tc>
              <w:tc>
                <w:tcPr>
                  <w:tcW w:w="322" w:type="pct"/>
                  <w:shd w:val="clear" w:color="auto" w:fill="auto"/>
                  <w:vAlign w:val="center"/>
                </w:tcPr>
                <w:p w14:paraId="192EE7EB">
                  <w:pPr>
                    <w:pStyle w:val="63"/>
                    <w:autoSpaceDE w:val="0"/>
                    <w:autoSpaceDN w:val="0"/>
                    <w:rPr>
                      <w:sz w:val="21"/>
                      <w:szCs w:val="21"/>
                      <w:lang w:eastAsia="en-US"/>
                    </w:rPr>
                  </w:pPr>
                  <w:r>
                    <w:rPr>
                      <w:sz w:val="21"/>
                      <w:szCs w:val="21"/>
                      <w:lang w:eastAsia="en-US"/>
                    </w:rPr>
                    <w:t>符合</w:t>
                  </w:r>
                </w:p>
              </w:tc>
            </w:tr>
            <w:tr w14:paraId="75258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restart"/>
                  <w:shd w:val="clear" w:color="auto" w:fill="auto"/>
                  <w:vAlign w:val="center"/>
                </w:tcPr>
                <w:p w14:paraId="79FB4F97">
                  <w:pPr>
                    <w:contextualSpacing/>
                    <w:jc w:val="center"/>
                    <w:rPr>
                      <w:kern w:val="0"/>
                      <w:sz w:val="21"/>
                      <w:szCs w:val="21"/>
                    </w:rPr>
                  </w:pPr>
                  <w:r>
                    <w:rPr>
                      <w:rFonts w:hint="eastAsia"/>
                      <w:kern w:val="0"/>
                      <w:sz w:val="21"/>
                      <w:szCs w:val="21"/>
                    </w:rPr>
                    <w:t>2</w:t>
                  </w:r>
                </w:p>
              </w:tc>
              <w:tc>
                <w:tcPr>
                  <w:tcW w:w="541" w:type="pct"/>
                  <w:vMerge w:val="restart"/>
                  <w:shd w:val="clear" w:color="auto" w:fill="auto"/>
                  <w:vAlign w:val="center"/>
                </w:tcPr>
                <w:p w14:paraId="12450E48">
                  <w:pPr>
                    <w:contextualSpacing/>
                    <w:jc w:val="center"/>
                    <w:rPr>
                      <w:kern w:val="0"/>
                      <w:sz w:val="21"/>
                      <w:szCs w:val="21"/>
                    </w:rPr>
                  </w:pPr>
                  <w:r>
                    <w:rPr>
                      <w:rFonts w:hint="eastAsia"/>
                      <w:kern w:val="0"/>
                      <w:sz w:val="21"/>
                      <w:szCs w:val="21"/>
                    </w:rPr>
                    <w:t>西咸新区-沣东新城分区规划（2010-2020）环境影响报告书及审查意见</w:t>
                  </w:r>
                </w:p>
              </w:tc>
              <w:tc>
                <w:tcPr>
                  <w:tcW w:w="1555" w:type="pct"/>
                  <w:shd w:val="clear" w:color="auto" w:fill="auto"/>
                  <w:vAlign w:val="center"/>
                </w:tcPr>
                <w:p w14:paraId="08EF6095">
                  <w:pPr>
                    <w:pStyle w:val="63"/>
                    <w:autoSpaceDE w:val="0"/>
                    <w:autoSpaceDN w:val="0"/>
                    <w:jc w:val="both"/>
                    <w:rPr>
                      <w:sz w:val="21"/>
                      <w:szCs w:val="21"/>
                    </w:rPr>
                  </w:pPr>
                  <w:r>
                    <w:rPr>
                      <w:sz w:val="21"/>
                      <w:szCs w:val="21"/>
                    </w:rPr>
                    <w:t>入区企业清洁生产必须达到国内先进水平，严禁</w:t>
                  </w:r>
                  <w:r>
                    <w:rPr>
                      <w:rFonts w:hint="eastAsia" w:ascii="宋体" w:hAnsi="宋体" w:cs="宋体"/>
                      <w:sz w:val="21"/>
                      <w:szCs w:val="21"/>
                    </w:rPr>
                    <w:t>“</w:t>
                  </w:r>
                  <w:r>
                    <w:rPr>
                      <w:sz w:val="21"/>
                      <w:szCs w:val="21"/>
                    </w:rPr>
                    <w:t>三高一低</w:t>
                  </w:r>
                  <w:r>
                    <w:rPr>
                      <w:rFonts w:hint="eastAsia" w:ascii="宋体" w:hAnsi="宋体" w:cs="宋体"/>
                      <w:sz w:val="21"/>
                      <w:szCs w:val="21"/>
                    </w:rPr>
                    <w:t>”</w:t>
                  </w:r>
                  <w:r>
                    <w:rPr>
                      <w:sz w:val="21"/>
                      <w:szCs w:val="21"/>
                    </w:rPr>
                    <w:t>企业入区、由总量指标</w:t>
                  </w:r>
                  <w:r>
                    <w:rPr>
                      <w:rFonts w:hint="eastAsia"/>
                      <w:sz w:val="21"/>
                      <w:szCs w:val="21"/>
                    </w:rPr>
                    <w:t>限值</w:t>
                  </w:r>
                  <w:r>
                    <w:rPr>
                      <w:sz w:val="21"/>
                      <w:szCs w:val="21"/>
                    </w:rPr>
                    <w:t>企业类型和规模、污染物排放指标等工业企业的准入条件。</w:t>
                  </w:r>
                </w:p>
              </w:tc>
              <w:tc>
                <w:tcPr>
                  <w:tcW w:w="2287" w:type="pct"/>
                  <w:shd w:val="clear" w:color="auto" w:fill="auto"/>
                  <w:vAlign w:val="center"/>
                </w:tcPr>
                <w:p w14:paraId="55D4F716">
                  <w:pPr>
                    <w:pStyle w:val="63"/>
                    <w:autoSpaceDE w:val="0"/>
                    <w:autoSpaceDN w:val="0"/>
                    <w:rPr>
                      <w:sz w:val="21"/>
                      <w:szCs w:val="21"/>
                    </w:rPr>
                  </w:pPr>
                  <w:r>
                    <w:rPr>
                      <w:sz w:val="21"/>
                      <w:szCs w:val="21"/>
                    </w:rPr>
                    <w:t>本项目</w:t>
                  </w:r>
                  <w:r>
                    <w:rPr>
                      <w:rFonts w:hint="eastAsia"/>
                      <w:sz w:val="21"/>
                      <w:szCs w:val="21"/>
                    </w:rPr>
                    <w:t>为</w:t>
                  </w:r>
                  <w:r>
                    <w:rPr>
                      <w:sz w:val="21"/>
                      <w:szCs w:val="21"/>
                    </w:rPr>
                    <w:t>专业实验室建设项目，主要</w:t>
                  </w:r>
                  <w:r>
                    <w:rPr>
                      <w:rFonts w:hint="eastAsia"/>
                      <w:sz w:val="21"/>
                      <w:szCs w:val="21"/>
                    </w:rPr>
                    <w:t>从事</w:t>
                  </w:r>
                  <w:r>
                    <w:rPr>
                      <w:sz w:val="21"/>
                      <w:szCs w:val="21"/>
                    </w:rPr>
                    <w:t>环境保护监测</w:t>
                  </w:r>
                  <w:r>
                    <w:rPr>
                      <w:rFonts w:hint="eastAsia"/>
                      <w:sz w:val="21"/>
                      <w:szCs w:val="21"/>
                    </w:rPr>
                    <w:t>服务</w:t>
                  </w:r>
                  <w:r>
                    <w:rPr>
                      <w:sz w:val="21"/>
                      <w:szCs w:val="21"/>
                    </w:rPr>
                    <w:t>，污染物产生量较少，均有进行治理或处置，不属于</w:t>
                  </w:r>
                  <w:r>
                    <w:rPr>
                      <w:rFonts w:hint="eastAsia" w:ascii="宋体" w:hAnsi="宋体" w:cs="宋体"/>
                      <w:sz w:val="21"/>
                      <w:szCs w:val="21"/>
                    </w:rPr>
                    <w:t>“</w:t>
                  </w:r>
                  <w:r>
                    <w:rPr>
                      <w:sz w:val="21"/>
                      <w:szCs w:val="21"/>
                    </w:rPr>
                    <w:t>三高一低</w:t>
                  </w:r>
                  <w:r>
                    <w:rPr>
                      <w:rFonts w:hint="eastAsia" w:ascii="宋体" w:hAnsi="宋体" w:cs="宋体"/>
                      <w:sz w:val="21"/>
                      <w:szCs w:val="21"/>
                    </w:rPr>
                    <w:t>”</w:t>
                  </w:r>
                  <w:r>
                    <w:rPr>
                      <w:sz w:val="21"/>
                      <w:szCs w:val="21"/>
                    </w:rPr>
                    <w:t>企业。</w:t>
                  </w:r>
                </w:p>
              </w:tc>
              <w:tc>
                <w:tcPr>
                  <w:tcW w:w="322" w:type="pct"/>
                  <w:shd w:val="clear" w:color="auto" w:fill="auto"/>
                  <w:vAlign w:val="center"/>
                </w:tcPr>
                <w:p w14:paraId="0AA9CA9E">
                  <w:pPr>
                    <w:pStyle w:val="63"/>
                    <w:autoSpaceDE w:val="0"/>
                    <w:autoSpaceDN w:val="0"/>
                    <w:rPr>
                      <w:sz w:val="21"/>
                      <w:szCs w:val="21"/>
                    </w:rPr>
                  </w:pPr>
                  <w:r>
                    <w:rPr>
                      <w:sz w:val="21"/>
                      <w:szCs w:val="21"/>
                      <w:lang w:eastAsia="en-US"/>
                    </w:rPr>
                    <w:t>符合</w:t>
                  </w:r>
                </w:p>
              </w:tc>
            </w:tr>
            <w:tr w14:paraId="7CD78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shd w:val="clear" w:color="auto" w:fill="auto"/>
                  <w:vAlign w:val="center"/>
                </w:tcPr>
                <w:p w14:paraId="66FEE879">
                  <w:pPr>
                    <w:contextualSpacing/>
                    <w:jc w:val="center"/>
                    <w:rPr>
                      <w:kern w:val="0"/>
                      <w:sz w:val="21"/>
                      <w:szCs w:val="21"/>
                    </w:rPr>
                  </w:pPr>
                </w:p>
              </w:tc>
              <w:tc>
                <w:tcPr>
                  <w:tcW w:w="541" w:type="pct"/>
                  <w:vMerge w:val="continue"/>
                  <w:shd w:val="clear" w:color="auto" w:fill="auto"/>
                  <w:vAlign w:val="center"/>
                </w:tcPr>
                <w:p w14:paraId="4F173871">
                  <w:pPr>
                    <w:contextualSpacing/>
                    <w:jc w:val="center"/>
                    <w:rPr>
                      <w:kern w:val="0"/>
                      <w:sz w:val="21"/>
                      <w:szCs w:val="21"/>
                    </w:rPr>
                  </w:pPr>
                </w:p>
              </w:tc>
              <w:tc>
                <w:tcPr>
                  <w:tcW w:w="1555" w:type="pct"/>
                  <w:shd w:val="clear" w:color="auto" w:fill="auto"/>
                  <w:vAlign w:val="center"/>
                </w:tcPr>
                <w:p w14:paraId="3814102F">
                  <w:pPr>
                    <w:pStyle w:val="63"/>
                    <w:autoSpaceDE w:val="0"/>
                    <w:autoSpaceDN w:val="0"/>
                    <w:jc w:val="both"/>
                    <w:rPr>
                      <w:sz w:val="21"/>
                      <w:szCs w:val="21"/>
                    </w:rPr>
                  </w:pPr>
                  <w:r>
                    <w:rPr>
                      <w:sz w:val="21"/>
                      <w:szCs w:val="21"/>
                    </w:rPr>
                    <w:t>设置新城产业准入大气环境标准，对排污量大的行业进行限制，防止对新城产生影响。</w:t>
                  </w:r>
                </w:p>
              </w:tc>
              <w:tc>
                <w:tcPr>
                  <w:tcW w:w="2287" w:type="pct"/>
                  <w:shd w:val="clear" w:color="auto" w:fill="auto"/>
                  <w:vAlign w:val="center"/>
                </w:tcPr>
                <w:p w14:paraId="1BC49563">
                  <w:pPr>
                    <w:pStyle w:val="63"/>
                    <w:autoSpaceDE w:val="0"/>
                    <w:autoSpaceDN w:val="0"/>
                    <w:rPr>
                      <w:sz w:val="21"/>
                      <w:szCs w:val="21"/>
                    </w:rPr>
                  </w:pPr>
                  <w:r>
                    <w:rPr>
                      <w:sz w:val="21"/>
                      <w:szCs w:val="21"/>
                    </w:rPr>
                    <w:t>本项目为</w:t>
                  </w:r>
                  <w:r>
                    <w:rPr>
                      <w:rFonts w:hint="eastAsia"/>
                      <w:sz w:val="21"/>
                      <w:szCs w:val="21"/>
                    </w:rPr>
                    <w:t>专业</w:t>
                  </w:r>
                  <w:r>
                    <w:rPr>
                      <w:sz w:val="21"/>
                      <w:szCs w:val="21"/>
                    </w:rPr>
                    <w:t>实验室项目，实验废气年排放量很小，不属于排污量大的行业，对环境空气影响可接受。</w:t>
                  </w:r>
                </w:p>
              </w:tc>
              <w:tc>
                <w:tcPr>
                  <w:tcW w:w="322" w:type="pct"/>
                  <w:shd w:val="clear" w:color="auto" w:fill="auto"/>
                  <w:vAlign w:val="center"/>
                </w:tcPr>
                <w:p w14:paraId="7C397C7C">
                  <w:pPr>
                    <w:pStyle w:val="63"/>
                    <w:autoSpaceDE w:val="0"/>
                    <w:autoSpaceDN w:val="0"/>
                    <w:rPr>
                      <w:sz w:val="21"/>
                      <w:szCs w:val="21"/>
                    </w:rPr>
                  </w:pPr>
                  <w:r>
                    <w:rPr>
                      <w:rFonts w:hint="eastAsia"/>
                      <w:sz w:val="21"/>
                      <w:szCs w:val="21"/>
                    </w:rPr>
                    <w:t>符合</w:t>
                  </w:r>
                </w:p>
              </w:tc>
            </w:tr>
            <w:tr w14:paraId="36AA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shd w:val="clear" w:color="auto" w:fill="auto"/>
                  <w:vAlign w:val="center"/>
                </w:tcPr>
                <w:p w14:paraId="6A6B4C05">
                  <w:pPr>
                    <w:contextualSpacing/>
                    <w:jc w:val="center"/>
                    <w:rPr>
                      <w:kern w:val="0"/>
                      <w:sz w:val="21"/>
                      <w:szCs w:val="21"/>
                    </w:rPr>
                  </w:pPr>
                </w:p>
              </w:tc>
              <w:tc>
                <w:tcPr>
                  <w:tcW w:w="541" w:type="pct"/>
                  <w:vMerge w:val="continue"/>
                  <w:shd w:val="clear" w:color="auto" w:fill="auto"/>
                  <w:vAlign w:val="center"/>
                </w:tcPr>
                <w:p w14:paraId="7898F615">
                  <w:pPr>
                    <w:contextualSpacing/>
                    <w:jc w:val="center"/>
                    <w:rPr>
                      <w:kern w:val="0"/>
                      <w:sz w:val="21"/>
                      <w:szCs w:val="21"/>
                    </w:rPr>
                  </w:pPr>
                </w:p>
              </w:tc>
              <w:tc>
                <w:tcPr>
                  <w:tcW w:w="1555" w:type="pct"/>
                  <w:shd w:val="clear" w:color="auto" w:fill="auto"/>
                  <w:vAlign w:val="center"/>
                </w:tcPr>
                <w:p w14:paraId="34627F89">
                  <w:pPr>
                    <w:pStyle w:val="63"/>
                    <w:autoSpaceDE w:val="0"/>
                    <w:autoSpaceDN w:val="0"/>
                    <w:jc w:val="both"/>
                    <w:rPr>
                      <w:sz w:val="21"/>
                      <w:szCs w:val="21"/>
                    </w:rPr>
                  </w:pPr>
                  <w:r>
                    <w:rPr>
                      <w:sz w:val="21"/>
                      <w:szCs w:val="21"/>
                    </w:rPr>
                    <w:t>做好规划区项目的环境保护准入工作，限制规划定位的产业以外项目进入，并依法对具体建设项目进行环境影响评价，规划区内不得建设电镀生产线及涉重金属排放企业。</w:t>
                  </w:r>
                </w:p>
              </w:tc>
              <w:tc>
                <w:tcPr>
                  <w:tcW w:w="2287" w:type="pct"/>
                  <w:shd w:val="clear" w:color="auto" w:fill="auto"/>
                  <w:vAlign w:val="center"/>
                </w:tcPr>
                <w:p w14:paraId="020E3095">
                  <w:pPr>
                    <w:pStyle w:val="63"/>
                    <w:autoSpaceDE w:val="0"/>
                    <w:autoSpaceDN w:val="0"/>
                    <w:rPr>
                      <w:sz w:val="21"/>
                      <w:szCs w:val="21"/>
                    </w:rPr>
                  </w:pPr>
                  <w:r>
                    <w:rPr>
                      <w:sz w:val="21"/>
                      <w:szCs w:val="21"/>
                    </w:rPr>
                    <w:t>本项目正在办理环评手续，本项目</w:t>
                  </w:r>
                  <w:r>
                    <w:rPr>
                      <w:rFonts w:hint="eastAsia"/>
                      <w:sz w:val="21"/>
                      <w:szCs w:val="21"/>
                    </w:rPr>
                    <w:t>主要从事环境保护监测服务，不属于</w:t>
                  </w:r>
                  <w:r>
                    <w:rPr>
                      <w:sz w:val="21"/>
                      <w:szCs w:val="21"/>
                    </w:rPr>
                    <w:t>规划定位的产业以外项目，不涉及电镀</w:t>
                  </w:r>
                  <w:r>
                    <w:rPr>
                      <w:rFonts w:hint="eastAsia"/>
                      <w:sz w:val="21"/>
                      <w:szCs w:val="21"/>
                    </w:rPr>
                    <w:t>生产线及涉重金属</w:t>
                  </w:r>
                  <w:r>
                    <w:rPr>
                      <w:sz w:val="21"/>
                      <w:szCs w:val="21"/>
                    </w:rPr>
                    <w:t>排放。</w:t>
                  </w:r>
                </w:p>
              </w:tc>
              <w:tc>
                <w:tcPr>
                  <w:tcW w:w="322" w:type="pct"/>
                  <w:shd w:val="clear" w:color="auto" w:fill="auto"/>
                  <w:vAlign w:val="center"/>
                </w:tcPr>
                <w:p w14:paraId="6E6ECFDD">
                  <w:pPr>
                    <w:pStyle w:val="63"/>
                    <w:autoSpaceDE w:val="0"/>
                    <w:autoSpaceDN w:val="0"/>
                    <w:rPr>
                      <w:sz w:val="21"/>
                      <w:szCs w:val="21"/>
                    </w:rPr>
                  </w:pPr>
                  <w:r>
                    <w:rPr>
                      <w:rFonts w:hint="eastAsia"/>
                      <w:sz w:val="21"/>
                      <w:szCs w:val="21"/>
                    </w:rPr>
                    <w:t>符合</w:t>
                  </w:r>
                </w:p>
              </w:tc>
            </w:tr>
            <w:tr w14:paraId="3E80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shd w:val="clear" w:color="auto" w:fill="auto"/>
                  <w:vAlign w:val="center"/>
                </w:tcPr>
                <w:p w14:paraId="3B3E7131">
                  <w:pPr>
                    <w:contextualSpacing/>
                    <w:jc w:val="center"/>
                    <w:rPr>
                      <w:kern w:val="0"/>
                      <w:sz w:val="21"/>
                      <w:szCs w:val="21"/>
                    </w:rPr>
                  </w:pPr>
                </w:p>
              </w:tc>
              <w:tc>
                <w:tcPr>
                  <w:tcW w:w="541" w:type="pct"/>
                  <w:vMerge w:val="continue"/>
                  <w:shd w:val="clear" w:color="auto" w:fill="auto"/>
                  <w:vAlign w:val="center"/>
                </w:tcPr>
                <w:p w14:paraId="7DF47716">
                  <w:pPr>
                    <w:contextualSpacing/>
                    <w:jc w:val="center"/>
                    <w:rPr>
                      <w:kern w:val="0"/>
                      <w:sz w:val="21"/>
                      <w:szCs w:val="21"/>
                    </w:rPr>
                  </w:pPr>
                </w:p>
              </w:tc>
              <w:tc>
                <w:tcPr>
                  <w:tcW w:w="1555" w:type="pct"/>
                  <w:shd w:val="clear" w:color="auto" w:fill="auto"/>
                  <w:vAlign w:val="center"/>
                </w:tcPr>
                <w:p w14:paraId="3A009FC8">
                  <w:pPr>
                    <w:pStyle w:val="63"/>
                    <w:autoSpaceDE w:val="0"/>
                    <w:autoSpaceDN w:val="0"/>
                    <w:jc w:val="both"/>
                    <w:rPr>
                      <w:sz w:val="21"/>
                      <w:szCs w:val="21"/>
                    </w:rPr>
                  </w:pPr>
                  <w:r>
                    <w:rPr>
                      <w:sz w:val="21"/>
                      <w:szCs w:val="21"/>
                    </w:rPr>
                    <w:t>水环境保护对策和措施：严格环境准入制度，防治企业污染排放。在规划建设中，要设置相应的环保准入门槛，限制造纸、化工、食品饮料加工、皮革、电镀等高耗水、重污染行业进入。</w:t>
                  </w:r>
                </w:p>
              </w:tc>
              <w:tc>
                <w:tcPr>
                  <w:tcW w:w="2287" w:type="pct"/>
                  <w:shd w:val="clear" w:color="auto" w:fill="auto"/>
                  <w:vAlign w:val="center"/>
                </w:tcPr>
                <w:p w14:paraId="05D2C7FE">
                  <w:pPr>
                    <w:pStyle w:val="63"/>
                    <w:autoSpaceDE w:val="0"/>
                    <w:autoSpaceDN w:val="0"/>
                    <w:rPr>
                      <w:sz w:val="21"/>
                      <w:szCs w:val="21"/>
                    </w:rPr>
                  </w:pPr>
                  <w:r>
                    <w:rPr>
                      <w:sz w:val="21"/>
                      <w:szCs w:val="21"/>
                    </w:rPr>
                    <w:t>本项目</w:t>
                  </w:r>
                  <w:r>
                    <w:rPr>
                      <w:rFonts w:hint="eastAsia"/>
                      <w:sz w:val="21"/>
                      <w:szCs w:val="21"/>
                    </w:rPr>
                    <w:t>实验器皿清洗废水（不含一次清洗废水）、剩余一般水样和喷淋塔排水经自建废水处理设备（酸碱中和，1t/d）处理后排入园区化粪池；生活污水和其他废水（地面清洁废水、职工工作服清洗废水、超纯水制备排放浓水）排入园区化粪池处理，最终经市政污水管网排入西安净水处理有限责任公司第六再生水厂。项目</w:t>
                  </w:r>
                  <w:r>
                    <w:rPr>
                      <w:sz w:val="21"/>
                      <w:szCs w:val="21"/>
                    </w:rPr>
                    <w:t>不属于造纸、化工、食品饮料加工、皮革、电镀等高耗水、重污染行业。</w:t>
                  </w:r>
                </w:p>
              </w:tc>
              <w:tc>
                <w:tcPr>
                  <w:tcW w:w="322" w:type="pct"/>
                  <w:shd w:val="clear" w:color="auto" w:fill="auto"/>
                  <w:vAlign w:val="center"/>
                </w:tcPr>
                <w:p w14:paraId="230558BA">
                  <w:pPr>
                    <w:pStyle w:val="63"/>
                    <w:autoSpaceDE w:val="0"/>
                    <w:autoSpaceDN w:val="0"/>
                    <w:rPr>
                      <w:sz w:val="21"/>
                      <w:szCs w:val="21"/>
                    </w:rPr>
                  </w:pPr>
                  <w:r>
                    <w:rPr>
                      <w:rFonts w:hint="eastAsia"/>
                      <w:sz w:val="21"/>
                      <w:szCs w:val="21"/>
                    </w:rPr>
                    <w:t>符合</w:t>
                  </w:r>
                </w:p>
              </w:tc>
            </w:tr>
            <w:tr w14:paraId="3A893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shd w:val="clear" w:color="auto" w:fill="auto"/>
                  <w:vAlign w:val="center"/>
                </w:tcPr>
                <w:p w14:paraId="4454A361">
                  <w:pPr>
                    <w:contextualSpacing/>
                    <w:jc w:val="center"/>
                    <w:rPr>
                      <w:kern w:val="0"/>
                      <w:sz w:val="21"/>
                      <w:szCs w:val="21"/>
                    </w:rPr>
                  </w:pPr>
                </w:p>
              </w:tc>
              <w:tc>
                <w:tcPr>
                  <w:tcW w:w="541" w:type="pct"/>
                  <w:vMerge w:val="continue"/>
                  <w:shd w:val="clear" w:color="auto" w:fill="auto"/>
                  <w:vAlign w:val="center"/>
                </w:tcPr>
                <w:p w14:paraId="7730023E">
                  <w:pPr>
                    <w:contextualSpacing/>
                    <w:jc w:val="center"/>
                    <w:rPr>
                      <w:kern w:val="0"/>
                      <w:sz w:val="21"/>
                      <w:szCs w:val="21"/>
                    </w:rPr>
                  </w:pPr>
                </w:p>
              </w:tc>
              <w:tc>
                <w:tcPr>
                  <w:tcW w:w="1555" w:type="pct"/>
                  <w:shd w:val="clear" w:color="auto" w:fill="auto"/>
                  <w:vAlign w:val="center"/>
                </w:tcPr>
                <w:p w14:paraId="69FA5911">
                  <w:pPr>
                    <w:pStyle w:val="63"/>
                    <w:autoSpaceDE w:val="0"/>
                    <w:autoSpaceDN w:val="0"/>
                    <w:jc w:val="both"/>
                    <w:rPr>
                      <w:sz w:val="21"/>
                      <w:szCs w:val="21"/>
                    </w:rPr>
                  </w:pPr>
                  <w:r>
                    <w:rPr>
                      <w:sz w:val="21"/>
                      <w:szCs w:val="21"/>
                    </w:rPr>
                    <w:t>大气环境保护对策和措施：严格产业准入制度，控制企业污染排放。设置新城产业准入大气环境标准，对排污量大的行业进行限制，防止对新城产生影响。</w:t>
                  </w:r>
                </w:p>
              </w:tc>
              <w:tc>
                <w:tcPr>
                  <w:tcW w:w="2287" w:type="pct"/>
                  <w:shd w:val="clear" w:color="auto" w:fill="auto"/>
                  <w:vAlign w:val="center"/>
                </w:tcPr>
                <w:p w14:paraId="3B29EA10">
                  <w:pPr>
                    <w:pStyle w:val="63"/>
                    <w:autoSpaceDE w:val="0"/>
                    <w:autoSpaceDN w:val="0"/>
                    <w:rPr>
                      <w:sz w:val="21"/>
                      <w:szCs w:val="21"/>
                    </w:rPr>
                  </w:pPr>
                  <w:r>
                    <w:rPr>
                      <w:sz w:val="21"/>
                      <w:szCs w:val="21"/>
                    </w:rPr>
                    <w:t>本项目废气主要为实验废气，污染物排放量很小，不属于排污量大的行业，</w:t>
                  </w:r>
                  <w:r>
                    <w:rPr>
                      <w:rFonts w:hint="eastAsia"/>
                      <w:sz w:val="21"/>
                      <w:szCs w:val="21"/>
                    </w:rPr>
                    <w:t>其中，有机前处理及实验检测过程产生的有机废气（以非甲烷总烃计）经通风橱/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上方排风管道收集后汇集到总排风管道上，引至楼顶两级活性炭吸附装置处理后经35m高排气筒（DA001）达标排放，无机前处理产生的无机酸性废气（硫酸雾、氯化氢、氮氧化物）经通风橱/</w:t>
                  </w:r>
                  <w:r>
                    <w:rPr>
                      <w:rFonts w:hint="eastAsia"/>
                      <w:sz w:val="21"/>
                      <w:szCs w:val="21"/>
                      <w:lang w:eastAsia="zh-CN"/>
                    </w:rPr>
                    <w:t>万向罩</w:t>
                  </w:r>
                  <w:r>
                    <w:rPr>
                      <w:rFonts w:hint="eastAsia"/>
                      <w:sz w:val="21"/>
                      <w:szCs w:val="21"/>
                    </w:rPr>
                    <w:t>/吸风罩上方排风管道收集后汇集到总排风管道上，引至楼顶喷淋塔装置处理后经35m高排气筒（DA002）达标排放，</w:t>
                  </w:r>
                  <w:r>
                    <w:rPr>
                      <w:sz w:val="21"/>
                      <w:szCs w:val="21"/>
                    </w:rPr>
                    <w:t>对环境空气影响</w:t>
                  </w:r>
                  <w:r>
                    <w:rPr>
                      <w:rFonts w:hint="eastAsia"/>
                      <w:sz w:val="21"/>
                      <w:szCs w:val="21"/>
                    </w:rPr>
                    <w:t>较小</w:t>
                  </w:r>
                  <w:r>
                    <w:rPr>
                      <w:sz w:val="21"/>
                      <w:szCs w:val="21"/>
                    </w:rPr>
                    <w:t>。</w:t>
                  </w:r>
                </w:p>
              </w:tc>
              <w:tc>
                <w:tcPr>
                  <w:tcW w:w="322" w:type="pct"/>
                  <w:shd w:val="clear" w:color="auto" w:fill="auto"/>
                  <w:vAlign w:val="center"/>
                </w:tcPr>
                <w:p w14:paraId="0D925576">
                  <w:pPr>
                    <w:pStyle w:val="63"/>
                    <w:autoSpaceDE w:val="0"/>
                    <w:autoSpaceDN w:val="0"/>
                    <w:rPr>
                      <w:sz w:val="21"/>
                      <w:szCs w:val="21"/>
                    </w:rPr>
                  </w:pPr>
                  <w:r>
                    <w:rPr>
                      <w:rFonts w:hint="eastAsia"/>
                      <w:sz w:val="21"/>
                      <w:szCs w:val="21"/>
                    </w:rPr>
                    <w:t>符合</w:t>
                  </w:r>
                </w:p>
              </w:tc>
            </w:tr>
            <w:tr w14:paraId="2F8E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shd w:val="clear" w:color="auto" w:fill="auto"/>
                  <w:vAlign w:val="center"/>
                </w:tcPr>
                <w:p w14:paraId="6B7EB85C">
                  <w:pPr>
                    <w:contextualSpacing/>
                    <w:jc w:val="center"/>
                    <w:rPr>
                      <w:kern w:val="0"/>
                      <w:sz w:val="21"/>
                      <w:szCs w:val="21"/>
                    </w:rPr>
                  </w:pPr>
                </w:p>
              </w:tc>
              <w:tc>
                <w:tcPr>
                  <w:tcW w:w="541" w:type="pct"/>
                  <w:vMerge w:val="continue"/>
                  <w:shd w:val="clear" w:color="auto" w:fill="auto"/>
                  <w:vAlign w:val="center"/>
                </w:tcPr>
                <w:p w14:paraId="1D809BFF">
                  <w:pPr>
                    <w:contextualSpacing/>
                    <w:jc w:val="center"/>
                    <w:rPr>
                      <w:kern w:val="0"/>
                      <w:sz w:val="21"/>
                      <w:szCs w:val="21"/>
                    </w:rPr>
                  </w:pPr>
                </w:p>
              </w:tc>
              <w:tc>
                <w:tcPr>
                  <w:tcW w:w="1555" w:type="pct"/>
                  <w:shd w:val="clear" w:color="auto" w:fill="auto"/>
                  <w:vAlign w:val="center"/>
                </w:tcPr>
                <w:p w14:paraId="294A551F">
                  <w:pPr>
                    <w:pStyle w:val="63"/>
                    <w:autoSpaceDE w:val="0"/>
                    <w:autoSpaceDN w:val="0"/>
                    <w:jc w:val="both"/>
                    <w:rPr>
                      <w:sz w:val="21"/>
                      <w:szCs w:val="21"/>
                    </w:rPr>
                  </w:pPr>
                  <w:r>
                    <w:rPr>
                      <w:sz w:val="21"/>
                      <w:szCs w:val="21"/>
                    </w:rPr>
                    <w:t>声环境保护对策和措施：加强环境噪声管理，建立完善的环境噪声管理办法。完善环境噪声达标区管理办法，加强对公共和个人娱乐区、商业区等环境噪声管理，加强对建筑噪声以及固定噪声源管理。</w:t>
                  </w:r>
                </w:p>
              </w:tc>
              <w:tc>
                <w:tcPr>
                  <w:tcW w:w="2287" w:type="pct"/>
                  <w:shd w:val="clear" w:color="auto" w:fill="auto"/>
                  <w:vAlign w:val="center"/>
                </w:tcPr>
                <w:p w14:paraId="3AC417BB">
                  <w:pPr>
                    <w:pStyle w:val="63"/>
                    <w:autoSpaceDE w:val="0"/>
                    <w:autoSpaceDN w:val="0"/>
                    <w:rPr>
                      <w:sz w:val="21"/>
                      <w:szCs w:val="21"/>
                    </w:rPr>
                  </w:pPr>
                  <w:r>
                    <w:rPr>
                      <w:sz w:val="21"/>
                      <w:szCs w:val="21"/>
                    </w:rPr>
                    <w:t>本项目</w:t>
                  </w:r>
                  <w:r>
                    <w:rPr>
                      <w:rFonts w:hint="eastAsia"/>
                      <w:sz w:val="21"/>
                      <w:szCs w:val="21"/>
                    </w:rPr>
                    <w:t>运营期设备均</w:t>
                  </w:r>
                  <w:r>
                    <w:rPr>
                      <w:sz w:val="21"/>
                      <w:szCs w:val="21"/>
                    </w:rPr>
                    <w:t>优先选用低噪声设备，并采取基础减振、隔声等措施，同时加强对设备的维修保养管理</w:t>
                  </w:r>
                  <w:r>
                    <w:rPr>
                      <w:rFonts w:hint="eastAsia"/>
                      <w:sz w:val="21"/>
                      <w:szCs w:val="21"/>
                    </w:rPr>
                    <w:t>，对周围环境影响较小。</w:t>
                  </w:r>
                </w:p>
              </w:tc>
              <w:tc>
                <w:tcPr>
                  <w:tcW w:w="322" w:type="pct"/>
                  <w:shd w:val="clear" w:color="auto" w:fill="auto"/>
                  <w:vAlign w:val="center"/>
                </w:tcPr>
                <w:p w14:paraId="46B5EF75">
                  <w:pPr>
                    <w:pStyle w:val="63"/>
                    <w:autoSpaceDE w:val="0"/>
                    <w:autoSpaceDN w:val="0"/>
                    <w:rPr>
                      <w:sz w:val="21"/>
                      <w:szCs w:val="21"/>
                    </w:rPr>
                  </w:pPr>
                  <w:r>
                    <w:rPr>
                      <w:rFonts w:hint="eastAsia"/>
                      <w:sz w:val="21"/>
                      <w:szCs w:val="21"/>
                    </w:rPr>
                    <w:t>符合</w:t>
                  </w:r>
                </w:p>
              </w:tc>
            </w:tr>
            <w:tr w14:paraId="4DB6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shd w:val="clear" w:color="auto" w:fill="auto"/>
                  <w:vAlign w:val="center"/>
                </w:tcPr>
                <w:p w14:paraId="62C90B11">
                  <w:pPr>
                    <w:contextualSpacing/>
                    <w:jc w:val="center"/>
                    <w:rPr>
                      <w:kern w:val="0"/>
                      <w:sz w:val="21"/>
                      <w:szCs w:val="21"/>
                    </w:rPr>
                  </w:pPr>
                </w:p>
              </w:tc>
              <w:tc>
                <w:tcPr>
                  <w:tcW w:w="541" w:type="pct"/>
                  <w:vMerge w:val="continue"/>
                  <w:shd w:val="clear" w:color="auto" w:fill="auto"/>
                  <w:vAlign w:val="center"/>
                </w:tcPr>
                <w:p w14:paraId="6A2C20BA">
                  <w:pPr>
                    <w:contextualSpacing/>
                    <w:jc w:val="center"/>
                    <w:rPr>
                      <w:kern w:val="0"/>
                      <w:sz w:val="21"/>
                      <w:szCs w:val="21"/>
                    </w:rPr>
                  </w:pPr>
                </w:p>
              </w:tc>
              <w:tc>
                <w:tcPr>
                  <w:tcW w:w="1555" w:type="pct"/>
                  <w:shd w:val="clear" w:color="auto" w:fill="auto"/>
                  <w:vAlign w:val="center"/>
                </w:tcPr>
                <w:p w14:paraId="21793D87">
                  <w:pPr>
                    <w:pStyle w:val="63"/>
                    <w:autoSpaceDE w:val="0"/>
                    <w:autoSpaceDN w:val="0"/>
                    <w:jc w:val="both"/>
                    <w:rPr>
                      <w:sz w:val="21"/>
                      <w:szCs w:val="21"/>
                    </w:rPr>
                  </w:pPr>
                  <w:r>
                    <w:rPr>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r>
                    <w:rPr>
                      <w:rFonts w:hint="eastAsia"/>
                      <w:sz w:val="21"/>
                      <w:szCs w:val="21"/>
                    </w:rPr>
                    <w:t>。</w:t>
                  </w:r>
                </w:p>
              </w:tc>
              <w:tc>
                <w:tcPr>
                  <w:tcW w:w="2287" w:type="pct"/>
                  <w:vMerge w:val="restart"/>
                  <w:shd w:val="clear" w:color="auto" w:fill="auto"/>
                  <w:vAlign w:val="center"/>
                </w:tcPr>
                <w:p w14:paraId="643E9519">
                  <w:pPr>
                    <w:pStyle w:val="63"/>
                    <w:autoSpaceDE w:val="0"/>
                    <w:autoSpaceDN w:val="0"/>
                    <w:rPr>
                      <w:sz w:val="21"/>
                      <w:szCs w:val="21"/>
                    </w:rPr>
                  </w:pPr>
                  <w:r>
                    <w:rPr>
                      <w:rFonts w:hint="eastAsia"/>
                      <w:sz w:val="21"/>
                      <w:szCs w:val="21"/>
                    </w:rPr>
                    <w:t>本项目运营期产生的</w:t>
                  </w:r>
                  <w:r>
                    <w:rPr>
                      <w:sz w:val="21"/>
                      <w:szCs w:val="21"/>
                    </w:rPr>
                    <w:t>生活垃圾</w:t>
                  </w:r>
                  <w:r>
                    <w:rPr>
                      <w:rFonts w:hint="eastAsia"/>
                      <w:sz w:val="21"/>
                      <w:szCs w:val="21"/>
                    </w:rPr>
                    <w:t>分类</w:t>
                  </w:r>
                  <w:r>
                    <w:rPr>
                      <w:sz w:val="21"/>
                      <w:szCs w:val="21"/>
                    </w:rPr>
                    <w:t>收集</w:t>
                  </w:r>
                  <w:r>
                    <w:rPr>
                      <w:kern w:val="0"/>
                      <w:sz w:val="21"/>
                      <w:szCs w:val="21"/>
                    </w:rPr>
                    <w:t>后运至园区指定地点</w:t>
                  </w:r>
                  <w:r>
                    <w:rPr>
                      <w:rFonts w:hint="eastAsia"/>
                      <w:kern w:val="0"/>
                      <w:sz w:val="21"/>
                      <w:szCs w:val="21"/>
                    </w:rPr>
                    <w:t>，</w:t>
                  </w:r>
                  <w:r>
                    <w:rPr>
                      <w:kern w:val="0"/>
                      <w:sz w:val="21"/>
                      <w:szCs w:val="21"/>
                    </w:rPr>
                    <w:t>由环卫</w:t>
                  </w:r>
                  <w:r>
                    <w:rPr>
                      <w:rFonts w:hint="eastAsia"/>
                      <w:kern w:val="0"/>
                      <w:sz w:val="21"/>
                      <w:szCs w:val="21"/>
                    </w:rPr>
                    <w:t>部门统一</w:t>
                  </w:r>
                  <w:r>
                    <w:rPr>
                      <w:kern w:val="0"/>
                      <w:sz w:val="21"/>
                      <w:szCs w:val="21"/>
                    </w:rPr>
                    <w:t>清运</w:t>
                  </w:r>
                  <w:r>
                    <w:rPr>
                      <w:rFonts w:hint="eastAsia"/>
                      <w:kern w:val="0"/>
                      <w:sz w:val="21"/>
                      <w:szCs w:val="21"/>
                    </w:rPr>
                    <w:t>；废滤芯由超纯水机厂家更换后带走处置；</w:t>
                  </w:r>
                  <w:r>
                    <w:rPr>
                      <w:kern w:val="0"/>
                      <w:sz w:val="21"/>
                      <w:szCs w:val="21"/>
                    </w:rPr>
                    <w:t>办公过程</w:t>
                  </w:r>
                  <w:r>
                    <w:rPr>
                      <w:rFonts w:hint="eastAsia"/>
                      <w:kern w:val="0"/>
                      <w:sz w:val="21"/>
                      <w:szCs w:val="21"/>
                    </w:rPr>
                    <w:t>中</w:t>
                  </w:r>
                  <w:r>
                    <w:rPr>
                      <w:kern w:val="0"/>
                      <w:sz w:val="21"/>
                      <w:szCs w:val="21"/>
                    </w:rPr>
                    <w:t>产生的废包装收集后外售</w:t>
                  </w:r>
                  <w:r>
                    <w:rPr>
                      <w:rFonts w:hint="eastAsia"/>
                      <w:kern w:val="0"/>
                      <w:sz w:val="21"/>
                      <w:szCs w:val="21"/>
                    </w:rPr>
                    <w:t>利用；一般剩余样品和废培养基（灭菌锅灭菌）收集后作为一般固废</w:t>
                  </w:r>
                  <w:r>
                    <w:rPr>
                      <w:kern w:val="0"/>
                      <w:sz w:val="21"/>
                      <w:szCs w:val="21"/>
                    </w:rPr>
                    <w:t>处置</w:t>
                  </w:r>
                  <w:r>
                    <w:rPr>
                      <w:rFonts w:hint="eastAsia"/>
                      <w:kern w:val="0"/>
                      <w:sz w:val="21"/>
                      <w:szCs w:val="21"/>
                    </w:rPr>
                    <w:t>，剩余超标样品</w:t>
                  </w:r>
                  <w:r>
                    <w:rPr>
                      <w:rFonts w:hint="eastAsia"/>
                      <w:sz w:val="21"/>
                      <w:szCs w:val="21"/>
                    </w:rPr>
                    <w:t>待出具检测报告后退回送检单位</w:t>
                  </w:r>
                  <w:r>
                    <w:rPr>
                      <w:rFonts w:hint="eastAsia"/>
                      <w:kern w:val="0"/>
                      <w:sz w:val="21"/>
                      <w:szCs w:val="21"/>
                    </w:rPr>
                    <w:t>；</w:t>
                  </w:r>
                  <w:r>
                    <w:rPr>
                      <w:sz w:val="21"/>
                      <w:szCs w:val="21"/>
                    </w:rPr>
                    <w:t>危险废物</w:t>
                  </w:r>
                  <w:r>
                    <w:rPr>
                      <w:rFonts w:hint="eastAsia"/>
                      <w:sz w:val="21"/>
                      <w:szCs w:val="21"/>
                    </w:rPr>
                    <w:t>（实验废液、一次清洗废水、废试剂瓶、过期试剂、废紫外灯管、废活性炭等）</w:t>
                  </w:r>
                  <w:r>
                    <w:rPr>
                      <w:sz w:val="21"/>
                      <w:szCs w:val="21"/>
                    </w:rPr>
                    <w:t>分类收集、分区储存</w:t>
                  </w:r>
                  <w:r>
                    <w:rPr>
                      <w:rFonts w:hint="eastAsia"/>
                      <w:sz w:val="21"/>
                      <w:szCs w:val="21"/>
                    </w:rPr>
                    <w:t>于危废贮存点（建筑面积约15.61</w:t>
                  </w:r>
                  <w:r>
                    <w:rPr>
                      <w:sz w:val="21"/>
                      <w:szCs w:val="21"/>
                    </w:rPr>
                    <w:t>m</w:t>
                  </w:r>
                  <w:r>
                    <w:rPr>
                      <w:sz w:val="21"/>
                      <w:szCs w:val="21"/>
                      <w:vertAlign w:val="superscript"/>
                    </w:rPr>
                    <w:t>2</w:t>
                  </w:r>
                  <w:r>
                    <w:rPr>
                      <w:rFonts w:hint="eastAsia"/>
                    </w:rPr>
                    <w:t>，</w:t>
                  </w:r>
                  <w:r>
                    <w:rPr>
                      <w:rFonts w:hint="eastAsia"/>
                      <w:sz w:val="21"/>
                      <w:szCs w:val="21"/>
                    </w:rPr>
                    <w:t>位于4层厂房东北角）</w:t>
                  </w:r>
                  <w:r>
                    <w:rPr>
                      <w:sz w:val="21"/>
                      <w:szCs w:val="21"/>
                    </w:rPr>
                    <w:t>，</w:t>
                  </w:r>
                  <w:r>
                    <w:rPr>
                      <w:rFonts w:hint="eastAsia"/>
                      <w:sz w:val="21"/>
                      <w:szCs w:val="21"/>
                    </w:rPr>
                    <w:t>定期交由有</w:t>
                  </w:r>
                  <w:r>
                    <w:rPr>
                      <w:sz w:val="21"/>
                      <w:szCs w:val="21"/>
                    </w:rPr>
                    <w:t>资质单位</w:t>
                  </w:r>
                  <w:r>
                    <w:rPr>
                      <w:rFonts w:hint="eastAsia"/>
                      <w:sz w:val="21"/>
                      <w:szCs w:val="21"/>
                    </w:rPr>
                    <w:t>处置。</w:t>
                  </w:r>
                </w:p>
              </w:tc>
              <w:tc>
                <w:tcPr>
                  <w:tcW w:w="322" w:type="pct"/>
                  <w:vMerge w:val="restart"/>
                  <w:shd w:val="clear" w:color="auto" w:fill="auto"/>
                  <w:vAlign w:val="center"/>
                </w:tcPr>
                <w:p w14:paraId="4BB57AA1">
                  <w:pPr>
                    <w:pStyle w:val="63"/>
                    <w:autoSpaceDE w:val="0"/>
                    <w:autoSpaceDN w:val="0"/>
                    <w:rPr>
                      <w:sz w:val="21"/>
                      <w:szCs w:val="21"/>
                    </w:rPr>
                  </w:pPr>
                  <w:r>
                    <w:rPr>
                      <w:rFonts w:hint="eastAsia"/>
                      <w:sz w:val="21"/>
                      <w:szCs w:val="21"/>
                    </w:rPr>
                    <w:t>符合</w:t>
                  </w:r>
                </w:p>
              </w:tc>
            </w:tr>
            <w:tr w14:paraId="58227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shd w:val="clear" w:color="auto" w:fill="auto"/>
                  <w:vAlign w:val="center"/>
                </w:tcPr>
                <w:p w14:paraId="5A21A89E">
                  <w:pPr>
                    <w:contextualSpacing/>
                    <w:jc w:val="center"/>
                    <w:rPr>
                      <w:kern w:val="0"/>
                      <w:sz w:val="21"/>
                      <w:szCs w:val="21"/>
                    </w:rPr>
                  </w:pPr>
                </w:p>
              </w:tc>
              <w:tc>
                <w:tcPr>
                  <w:tcW w:w="541" w:type="pct"/>
                  <w:vMerge w:val="continue"/>
                  <w:shd w:val="clear" w:color="auto" w:fill="auto"/>
                  <w:vAlign w:val="center"/>
                </w:tcPr>
                <w:p w14:paraId="021E783C">
                  <w:pPr>
                    <w:contextualSpacing/>
                    <w:jc w:val="center"/>
                    <w:rPr>
                      <w:kern w:val="0"/>
                      <w:sz w:val="21"/>
                      <w:szCs w:val="21"/>
                    </w:rPr>
                  </w:pPr>
                </w:p>
              </w:tc>
              <w:tc>
                <w:tcPr>
                  <w:tcW w:w="1555" w:type="pct"/>
                  <w:shd w:val="clear" w:color="auto" w:fill="auto"/>
                  <w:vAlign w:val="center"/>
                </w:tcPr>
                <w:p w14:paraId="2392D1B6">
                  <w:pPr>
                    <w:pStyle w:val="63"/>
                    <w:autoSpaceDE w:val="0"/>
                    <w:autoSpaceDN w:val="0"/>
                    <w:jc w:val="both"/>
                    <w:rPr>
                      <w:sz w:val="21"/>
                      <w:szCs w:val="21"/>
                    </w:rPr>
                  </w:pPr>
                  <w:r>
                    <w:rPr>
                      <w:sz w:val="21"/>
                      <w:szCs w:val="21"/>
                    </w:rPr>
                    <w:t>规划区内工业固废应分类收集处理、综合利用，危险废物由企业委托有资质的固体废弃物安全处置中心安全处置。</w:t>
                  </w:r>
                </w:p>
              </w:tc>
              <w:tc>
                <w:tcPr>
                  <w:tcW w:w="2287" w:type="pct"/>
                  <w:vMerge w:val="continue"/>
                  <w:shd w:val="clear" w:color="auto" w:fill="auto"/>
                  <w:vAlign w:val="center"/>
                </w:tcPr>
                <w:p w14:paraId="6495A6F2">
                  <w:pPr>
                    <w:pStyle w:val="63"/>
                    <w:autoSpaceDE w:val="0"/>
                    <w:autoSpaceDN w:val="0"/>
                    <w:rPr>
                      <w:sz w:val="21"/>
                      <w:szCs w:val="21"/>
                    </w:rPr>
                  </w:pPr>
                </w:p>
              </w:tc>
              <w:tc>
                <w:tcPr>
                  <w:tcW w:w="322" w:type="pct"/>
                  <w:vMerge w:val="continue"/>
                  <w:shd w:val="clear" w:color="auto" w:fill="auto"/>
                  <w:vAlign w:val="center"/>
                </w:tcPr>
                <w:p w14:paraId="113780AD">
                  <w:pPr>
                    <w:pStyle w:val="63"/>
                    <w:autoSpaceDE w:val="0"/>
                    <w:autoSpaceDN w:val="0"/>
                    <w:rPr>
                      <w:sz w:val="21"/>
                      <w:szCs w:val="21"/>
                    </w:rPr>
                  </w:pPr>
                </w:p>
              </w:tc>
            </w:tr>
          </w:tbl>
          <w:p w14:paraId="628D0A86">
            <w:pPr>
              <w:autoSpaceDE w:val="0"/>
              <w:autoSpaceDN w:val="0"/>
              <w:adjustRightInd w:val="0"/>
              <w:snapToGrid w:val="0"/>
              <w:spacing w:line="360" w:lineRule="auto"/>
              <w:ind w:firstLine="480" w:firstLineChars="200"/>
              <w:rPr>
                <w:kern w:val="0"/>
              </w:rPr>
            </w:pPr>
          </w:p>
        </w:tc>
      </w:tr>
      <w:tr w14:paraId="56AE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65" w:type="pct"/>
            <w:vAlign w:val="center"/>
          </w:tcPr>
          <w:p w14:paraId="1A12723D">
            <w:pPr>
              <w:autoSpaceDE w:val="0"/>
              <w:autoSpaceDN w:val="0"/>
              <w:adjustRightInd w:val="0"/>
              <w:snapToGrid w:val="0"/>
              <w:jc w:val="center"/>
              <w:rPr>
                <w:kern w:val="0"/>
                <w:szCs w:val="21"/>
              </w:rPr>
            </w:pPr>
            <w:r>
              <w:rPr>
                <w:kern w:val="0"/>
                <w:szCs w:val="21"/>
              </w:rPr>
              <w:t>其它符合性分析</w:t>
            </w:r>
          </w:p>
        </w:tc>
        <w:tc>
          <w:tcPr>
            <w:tcW w:w="3934" w:type="pct"/>
            <w:gridSpan w:val="3"/>
            <w:vAlign w:val="center"/>
          </w:tcPr>
          <w:p w14:paraId="285E732C">
            <w:pPr>
              <w:autoSpaceDE w:val="0"/>
              <w:autoSpaceDN w:val="0"/>
              <w:adjustRightInd w:val="0"/>
              <w:snapToGrid w:val="0"/>
              <w:spacing w:line="360" w:lineRule="auto"/>
              <w:ind w:firstLine="482" w:firstLineChars="200"/>
              <w:rPr>
                <w:b/>
                <w:bCs/>
                <w:kern w:val="0"/>
                <w:szCs w:val="21"/>
              </w:rPr>
            </w:pPr>
            <w:r>
              <w:rPr>
                <w:rFonts w:hint="eastAsia"/>
                <w:b/>
                <w:bCs/>
                <w:kern w:val="0"/>
                <w:szCs w:val="21"/>
              </w:rPr>
              <w:t>1</w:t>
            </w:r>
            <w:r>
              <w:rPr>
                <w:b/>
                <w:bCs/>
                <w:kern w:val="0"/>
                <w:szCs w:val="21"/>
              </w:rPr>
              <w:t>、产业政策符合性分析</w:t>
            </w:r>
          </w:p>
          <w:p w14:paraId="5BCFAF59">
            <w:pPr>
              <w:adjustRightInd w:val="0"/>
              <w:snapToGrid w:val="0"/>
              <w:spacing w:line="360" w:lineRule="auto"/>
              <w:ind w:firstLine="480" w:firstLineChars="200"/>
              <w:rPr>
                <w:szCs w:val="21"/>
              </w:rPr>
            </w:pPr>
            <w:r>
              <w:rPr>
                <w:szCs w:val="21"/>
              </w:rPr>
              <w:t>本项目属于《产业结构调整指导目录》（20</w:t>
            </w:r>
            <w:r>
              <w:rPr>
                <w:rFonts w:hint="eastAsia"/>
                <w:szCs w:val="21"/>
              </w:rPr>
              <w:t>24</w:t>
            </w:r>
            <w:r>
              <w:rPr>
                <w:szCs w:val="21"/>
              </w:rPr>
              <w:t>年本）鼓励类中</w:t>
            </w:r>
            <w:r>
              <w:rPr>
                <w:rFonts w:hint="eastAsia" w:ascii="宋体" w:hAnsi="宋体" w:cs="宋体"/>
                <w:szCs w:val="21"/>
              </w:rPr>
              <w:t>“</w:t>
            </w:r>
            <w:r>
              <w:rPr>
                <w:szCs w:val="21"/>
              </w:rPr>
              <w:t>三十一、科技服务业，1、工业设计、气象、生物</w:t>
            </w:r>
            <w:r>
              <w:rPr>
                <w:rFonts w:hint="eastAsia"/>
                <w:szCs w:val="21"/>
              </w:rPr>
              <w:t>及医药、</w:t>
            </w:r>
            <w:r>
              <w:rPr>
                <w:szCs w:val="21"/>
              </w:rPr>
              <w:t>新材料、新能源、节能、环保、测绘、海洋等专业科技服务，</w:t>
            </w:r>
            <w:r>
              <w:rPr>
                <w:rFonts w:hint="eastAsia"/>
                <w:szCs w:val="21"/>
              </w:rPr>
              <w:t>标准化服务、计量测试、</w:t>
            </w:r>
            <w:r>
              <w:rPr>
                <w:szCs w:val="21"/>
              </w:rPr>
              <w:t>质量认证和</w:t>
            </w:r>
            <w:r>
              <w:rPr>
                <w:rFonts w:hint="eastAsia"/>
                <w:szCs w:val="21"/>
              </w:rPr>
              <w:t>检验</w:t>
            </w:r>
            <w:r>
              <w:rPr>
                <w:szCs w:val="21"/>
              </w:rPr>
              <w:t>检测服务</w:t>
            </w:r>
            <w:r>
              <w:rPr>
                <w:rFonts w:hint="eastAsia"/>
                <w:szCs w:val="21"/>
              </w:rPr>
              <w:t>，</w:t>
            </w:r>
            <w:r>
              <w:rPr>
                <w:szCs w:val="21"/>
              </w:rPr>
              <w:t>科技普及</w:t>
            </w:r>
            <w:r>
              <w:rPr>
                <w:rFonts w:hint="eastAsia" w:ascii="宋体" w:hAnsi="宋体" w:cs="宋体"/>
                <w:szCs w:val="21"/>
              </w:rPr>
              <w:t>”之内容</w:t>
            </w:r>
            <w:r>
              <w:rPr>
                <w:szCs w:val="21"/>
              </w:rPr>
              <w:t>。</w:t>
            </w:r>
          </w:p>
          <w:p w14:paraId="17931BE4">
            <w:pPr>
              <w:adjustRightInd w:val="0"/>
              <w:snapToGrid w:val="0"/>
              <w:spacing w:line="360" w:lineRule="auto"/>
              <w:ind w:firstLine="480" w:firstLineChars="200"/>
            </w:pPr>
            <w:r>
              <w:rPr>
                <w:rFonts w:hint="eastAsia"/>
              </w:rPr>
              <w:t>根据《市场准入负面清单》（2022年版），项目不涉及禁止准入类，属于“二、许可准入类，（十三）科学研究和技术服务业，78未获得许可，不得从事检验、检测、认证业务”，本项目为</w:t>
            </w:r>
            <w:r>
              <w:rPr>
                <w:rFonts w:hint="eastAsia"/>
                <w:color w:val="auto"/>
              </w:rPr>
              <w:t>迁建项目</w:t>
            </w:r>
            <w:r>
              <w:rPr>
                <w:rFonts w:hint="eastAsia"/>
              </w:rPr>
              <w:t>，实验室已有相关检验检测机构资质认定，可从事检验、检测业务。</w:t>
            </w:r>
          </w:p>
          <w:p w14:paraId="0470B03D">
            <w:pPr>
              <w:adjustRightInd w:val="0"/>
              <w:snapToGrid w:val="0"/>
              <w:spacing w:line="360" w:lineRule="auto"/>
              <w:ind w:firstLine="480" w:firstLineChars="200"/>
              <w:rPr>
                <w:szCs w:val="21"/>
              </w:rPr>
            </w:pPr>
            <w:r>
              <w:rPr>
                <w:rFonts w:hint="eastAsia"/>
              </w:rPr>
              <w:t>2024年4月30日，陕西省西咸新区沣东新城管理委员会予以本项目备案，代码为2404-611203-04-01-728889</w:t>
            </w:r>
            <w:r>
              <w:rPr>
                <w:rFonts w:hint="eastAsia"/>
                <w:szCs w:val="21"/>
              </w:rPr>
              <w:t>。</w:t>
            </w:r>
          </w:p>
          <w:p w14:paraId="563E8542">
            <w:pPr>
              <w:adjustRightInd w:val="0"/>
              <w:snapToGrid w:val="0"/>
              <w:spacing w:line="360" w:lineRule="auto"/>
              <w:ind w:firstLine="480" w:firstLineChars="200"/>
            </w:pPr>
            <w:r>
              <w:rPr>
                <w:rFonts w:hint="eastAsia"/>
              </w:rPr>
              <w:t>综上，本项目符合国家和地方产业政策。</w:t>
            </w:r>
          </w:p>
          <w:p w14:paraId="3E416A1E">
            <w:pPr>
              <w:autoSpaceDE w:val="0"/>
              <w:autoSpaceDN w:val="0"/>
              <w:adjustRightInd w:val="0"/>
              <w:snapToGrid w:val="0"/>
              <w:spacing w:line="360" w:lineRule="auto"/>
              <w:ind w:firstLine="482" w:firstLineChars="200"/>
              <w:rPr>
                <w:b/>
                <w:bCs/>
                <w:kern w:val="0"/>
                <w:szCs w:val="21"/>
              </w:rPr>
            </w:pPr>
            <w:r>
              <w:rPr>
                <w:rFonts w:hint="eastAsia"/>
                <w:b/>
                <w:bCs/>
                <w:kern w:val="0"/>
                <w:szCs w:val="21"/>
              </w:rPr>
              <w:t>3、“三线一单”符合性分析</w:t>
            </w:r>
          </w:p>
          <w:p w14:paraId="355D0744">
            <w:pPr>
              <w:spacing w:line="360" w:lineRule="auto"/>
              <w:ind w:firstLine="480" w:firstLineChars="200"/>
              <w:rPr>
                <w:bCs/>
              </w:rPr>
            </w:pPr>
            <w:r>
              <w:rPr>
                <w:rFonts w:hint="eastAsia"/>
                <w:bCs/>
              </w:rPr>
              <w:t>根据《陕西省人民政府关于加快实施“三线一单”生态环境分区管控的意见》（陕政发〔</w:t>
            </w:r>
            <w:r>
              <w:rPr>
                <w:bCs/>
              </w:rPr>
              <w:t>2020</w:t>
            </w:r>
            <w:r>
              <w:rPr>
                <w:rFonts w:hint="eastAsia"/>
                <w:bCs/>
              </w:rPr>
              <w:t>〕</w:t>
            </w:r>
            <w:r>
              <w:rPr>
                <w:bCs/>
              </w:rPr>
              <w:t>11</w:t>
            </w:r>
            <w:r>
              <w:rPr>
                <w:rFonts w:hint="eastAsia"/>
                <w:bCs/>
              </w:rPr>
              <w:t>号）、《陕西省“三线一单”生态环境分区管控应用技术指南：环境影响评价（试行）》（陕环办发〔</w:t>
            </w:r>
            <w:r>
              <w:rPr>
                <w:bCs/>
              </w:rPr>
              <w:t>2022</w:t>
            </w:r>
            <w:r>
              <w:rPr>
                <w:rFonts w:hint="eastAsia"/>
                <w:bCs/>
              </w:rPr>
              <w:t>〕</w:t>
            </w:r>
            <w:r>
              <w:rPr>
                <w:bCs/>
              </w:rPr>
              <w:t>76</w:t>
            </w:r>
            <w:r>
              <w:rPr>
                <w:rFonts w:hint="eastAsia"/>
                <w:bCs/>
              </w:rPr>
              <w:t>号文）及《西安市人民政府关于印发“三线一单”生态环境分区管控方案的通知》（市政发〔2021〕22号）中相关要求，环评文件涉及“三线一单”生态环境分区管控符合性分析采取“一图一表一说明”的表达方式，并论证规划或建设项目的符合性。本项目租赁国检测试控股集团陕西有限公司一号楼三、四层，对所属厂房用地进行“三线一单”符合性分析。</w:t>
            </w:r>
          </w:p>
          <w:p w14:paraId="1A41E7C8">
            <w:pPr>
              <w:pStyle w:val="51"/>
              <w:numPr>
                <w:ilvl w:val="0"/>
                <w:numId w:val="3"/>
              </w:numPr>
              <w:spacing w:line="360" w:lineRule="auto"/>
              <w:rPr>
                <w:color w:val="auto"/>
              </w:rPr>
            </w:pPr>
            <w:r>
              <w:rPr>
                <w:rFonts w:hint="eastAsia"/>
                <w:color w:val="auto"/>
              </w:rPr>
              <w:t>一图：根据陕西省“三线一单”数据应用系统叠图分析可知，本项目属于重点管控单元，不涉及生态环保红线。项目与环境管控单位对照分析示意图见图1-1。</w:t>
            </w:r>
          </w:p>
          <w:p w14:paraId="7BEBCAD7">
            <w:pPr>
              <w:pStyle w:val="51"/>
              <w:spacing w:line="360" w:lineRule="auto"/>
              <w:ind w:firstLine="0"/>
              <w:rPr>
                <w:color w:val="auto"/>
              </w:rPr>
            </w:pPr>
          </w:p>
          <w:p w14:paraId="0326FEF3">
            <w:pPr>
              <w:pStyle w:val="6"/>
              <w:spacing w:before="0" w:after="0" w:line="240" w:lineRule="auto"/>
              <w:ind w:right="0"/>
              <w:jc w:val="center"/>
              <w:rPr>
                <w:lang w:val="en-US"/>
              </w:rPr>
            </w:pPr>
            <w:r>
              <w:rPr>
                <w:lang w:val="en-US"/>
              </w:rPr>
              <mc:AlternateContent>
                <mc:Choice Requires="wps">
                  <w:drawing>
                    <wp:anchor distT="0" distB="0" distL="114300" distR="114300" simplePos="0" relativeHeight="251659264" behindDoc="0" locked="0" layoutInCell="1" allowOverlap="1">
                      <wp:simplePos x="0" y="0"/>
                      <wp:positionH relativeFrom="column">
                        <wp:posOffset>2408555</wp:posOffset>
                      </wp:positionH>
                      <wp:positionV relativeFrom="paragraph">
                        <wp:posOffset>1412875</wp:posOffset>
                      </wp:positionV>
                      <wp:extent cx="687070" cy="305435"/>
                      <wp:effectExtent l="38100" t="4445" r="6350" b="330200"/>
                      <wp:wrapNone/>
                      <wp:docPr id="3" name="矩形标注 3"/>
                      <wp:cNvGraphicFramePr/>
                      <a:graphic xmlns:a="http://schemas.openxmlformats.org/drawingml/2006/main">
                        <a:graphicData uri="http://schemas.microsoft.com/office/word/2010/wordprocessingShape">
                          <wps:wsp>
                            <wps:cNvSpPr/>
                            <wps:spPr>
                              <a:xfrm>
                                <a:off x="4295140" y="1705610"/>
                                <a:ext cx="687070" cy="305435"/>
                              </a:xfrm>
                              <a:prstGeom prst="wedgeRectCallout">
                                <a:avLst>
                                  <a:gd name="adj1" fmla="val -54898"/>
                                  <a:gd name="adj2" fmla="val 153534"/>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B9D33BB">
                                  <w:pPr>
                                    <w:jc w:val="center"/>
                                    <w:rPr>
                                      <w:b/>
                                      <w:bCs/>
                                      <w:color w:val="FF0000"/>
                                      <w:highlight w:val="red"/>
                                    </w:rPr>
                                  </w:pPr>
                                  <w:r>
                                    <w:rPr>
                                      <w:rFonts w:hint="eastAsia"/>
                                      <w:b/>
                                      <w:bCs/>
                                      <w:color w:val="FF0000"/>
                                    </w:rPr>
                                    <w:t>项目地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89.65pt;margin-top:111.25pt;height:24.05pt;width:54.1pt;z-index:251659264;v-text-anchor:middle;mso-width-relative:page;mso-height-relative:page;" filled="f" stroked="t" coordsize="21600,21600" o:gfxdata="UEsDBAoAAAAAAIdO4kAAAAAAAAAAAAAAAAAEAAAAZHJzL1BLAwQUAAAACACHTuJAhV8iH9kAAAAL&#10;AQAADwAAAGRycy9kb3ducmV2LnhtbE2Py07DMBBF90j8gzVI7KjdlDYhxKlUJJYgUV5iN41NEmGP&#10;o9ht2r9nWJXdPI7unKnWR+/EwY6xD6RhPlMgLDXB9NRqeHt9vClAxIRk0AWyGk42wrq+vKiwNGGi&#10;F3vYplZwCMUSNXQpDaWUsemsxzgLgyXefYfRY+J2bKUZceJw72Sm1Ep67IkvdDjYh842P9u919DL&#10;abnJ8RM3LYVn83R6/yo+nNbXV3N1DyLZYzrD8KfP6lCz0y7syUThNCzyuwWjGrIsW4Jg4rbIudjx&#10;JFcrkHUl//9Q/wJQSwMEFAAAAAgAh07iQNWbc2CmAgAALgUAAA4AAABkcnMvZTJvRG9jLnhtbK1U&#10;zW7TQBC+I/EOq723tmO7SaM6VZSoCKmiFQVx3qzXsdH+sbuJU16AxyjiBGfOPA7lNZhdb9tQOPRA&#10;Ds5M5ss3M9/M+OR0JzjaMmM7JSucHaYYMUlV3cl1hd++OTuYYGQdkTXhSrIKXzOLT2fPn530espG&#10;qlW8ZgYBibTTXle4dU5Pk8TSlgliD5VmEoKNMoI4cM06qQ3pgV3wZJSmR0mvTK2Nosxa+HU5BHFk&#10;NE8hVE3TUbZUdCOYdAOrYZw4aMm2nbZ4FqptGkbdRdNY5hCvMHTqwhOSgL3yz2R2QqZrQ3Tb0VgC&#10;eUoJj3oSpJOQ9J5qSRxBG9P9RSU6apRVjTukSiRDI0ER6CJLH2lz1RLNQi8gtdX3otv/R0tfbS8N&#10;6uoK5xhJImDgv26+/fzx5fbzp9vvX1HuFeq1nQLwSl+a6Fkwfbu7xgj/DY2gXYWL0XGZFaDtNWzW&#10;OC2Psqgw2zlEAXA0GadjiFMA5GlZ5KXnTx6ItLHuBVMCeaPCPavX7DVMcUE4VxsXNCbbc+uC2HUs&#10;mdTvM4wawWF2W8LRQVlMjidxuHug0T4oK/MyL2L+yAmV3FXgE0h11nEedoRL1EP9eemrJ7D3Dewb&#10;mEKDdlauMSJ8DQdFnQlFWsW72v/b81izXi24QVAbLF34xLx/wHzqJbHtgAuhCOMSVPJjGIT3ltut&#10;dnEaK1VfwxSNGtbbanrWAdU5se6SGNAEaoaLdxfwaLiCPlS0MGqV+fiv3z0e1gyiGPVwH9Dkhw0x&#10;DCP+UsICHmeFH7QLTlGOR+CY/chqPyI3YqGgd5gSVBdMj3f8zmyMEu/gxTD3WSFEJIXcg5zRWbjh&#10;buHVQtl8HmBwRJq4c3mlqScfZjbfONV0zi+WF2pQJzpwRmHf4sn7O933A+rhNTf7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IVfIh/ZAAAACwEAAA8AAAAAAAAAAQAgAAAAIgAAAGRycy9kb3ducmV2&#10;LnhtbFBLAQIUABQAAAAIAIdO4kDVm3NgpgIAAC4FAAAOAAAAAAAAAAEAIAAAACgBAABkcnMvZTJv&#10;RG9jLnhtbFBLBQYAAAAABgAGAFkBAABABgAAAAA=&#10;" adj="-1058,43963">
                      <v:fill on="f" focussize="0,0"/>
                      <v:stroke weight="0.5pt" color="#000000 [3213]" joinstyle="round"/>
                      <v:imagedata o:title=""/>
                      <o:lock v:ext="edit" aspectratio="f"/>
                      <v:textbox>
                        <w:txbxContent>
                          <w:p w14:paraId="6B9D33BB">
                            <w:pPr>
                              <w:jc w:val="center"/>
                              <w:rPr>
                                <w:b/>
                                <w:bCs/>
                                <w:color w:val="FF0000"/>
                                <w:highlight w:val="red"/>
                              </w:rPr>
                            </w:pPr>
                            <w:r>
                              <w:rPr>
                                <w:rFonts w:hint="eastAsia"/>
                                <w:b/>
                                <w:bCs/>
                                <w:color w:val="FF0000"/>
                              </w:rPr>
                              <w:t>项目地</w:t>
                            </w:r>
                          </w:p>
                        </w:txbxContent>
                      </v:textbox>
                    </v:shape>
                  </w:pict>
                </mc:Fallback>
              </mc:AlternateContent>
            </w:r>
            <w:r>
              <w:drawing>
                <wp:inline distT="0" distB="0" distL="114300" distR="114300">
                  <wp:extent cx="3169920" cy="4853940"/>
                  <wp:effectExtent l="0" t="0" r="0" b="7620"/>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5"/>
                          <a:stretch>
                            <a:fillRect/>
                          </a:stretch>
                        </pic:blipFill>
                        <pic:spPr>
                          <a:xfrm>
                            <a:off x="0" y="0"/>
                            <a:ext cx="3169920" cy="4853940"/>
                          </a:xfrm>
                          <a:prstGeom prst="rect">
                            <a:avLst/>
                          </a:prstGeom>
                          <a:noFill/>
                          <a:ln>
                            <a:noFill/>
                          </a:ln>
                        </pic:spPr>
                      </pic:pic>
                    </a:graphicData>
                  </a:graphic>
                </wp:inline>
              </w:drawing>
            </w:r>
          </w:p>
          <w:p w14:paraId="5350CE3B">
            <w:pPr>
              <w:adjustRightInd w:val="0"/>
              <w:spacing w:after="156" w:afterLines="50"/>
              <w:jc w:val="center"/>
              <w:textAlignment w:val="baseline"/>
              <w:rPr>
                <w:b/>
                <w:bCs/>
                <w:sz w:val="21"/>
                <w:szCs w:val="21"/>
              </w:rPr>
            </w:pPr>
            <w:r>
              <w:rPr>
                <w:rFonts w:hint="eastAsia"/>
                <w:b/>
                <w:bCs/>
                <w:sz w:val="21"/>
                <w:szCs w:val="21"/>
              </w:rPr>
              <w:t>图1-1  项目与西安市生态环境管控单元比对示意图</w:t>
            </w:r>
          </w:p>
          <w:p w14:paraId="2BAA157C">
            <w:pPr>
              <w:numPr>
                <w:ilvl w:val="0"/>
                <w:numId w:val="3"/>
              </w:numPr>
              <w:spacing w:line="360" w:lineRule="auto"/>
              <w:ind w:firstLine="480"/>
              <w:rPr>
                <w:color w:val="auto"/>
              </w:rPr>
            </w:pPr>
            <w:r>
              <w:rPr>
                <w:rFonts w:hint="eastAsia"/>
              </w:rPr>
              <w:t>一表：本项目位于重</w:t>
            </w:r>
            <w:r>
              <w:rPr>
                <w:rFonts w:hint="eastAsia"/>
                <w:color w:val="auto"/>
              </w:rPr>
              <w:t>点管控单元（《陕西省“三线一单”生态环境管控单元对照分析报告》见附件9），与西安市“三线一单”分区管控方案对比结果见表1-3，</w:t>
            </w:r>
          </w:p>
          <w:p w14:paraId="77D80912">
            <w:pPr>
              <w:adjustRightInd w:val="0"/>
              <w:jc w:val="center"/>
              <w:textAlignment w:val="baseline"/>
              <w:rPr>
                <w:b/>
                <w:bCs/>
                <w:sz w:val="21"/>
                <w:szCs w:val="21"/>
              </w:rPr>
            </w:pPr>
            <w:r>
              <w:rPr>
                <w:rFonts w:hint="eastAsia"/>
                <w:b/>
                <w:bCs/>
                <w:sz w:val="21"/>
                <w:szCs w:val="21"/>
              </w:rPr>
              <w:t>表1-3  本项目与西安市生态环境管控单元管控要求的符合性分析</w:t>
            </w:r>
          </w:p>
          <w:tbl>
            <w:tblPr>
              <w:tblStyle w:val="22"/>
              <w:tblW w:w="498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399"/>
              <w:gridCol w:w="418"/>
              <w:gridCol w:w="406"/>
              <w:gridCol w:w="482"/>
              <w:gridCol w:w="413"/>
              <w:gridCol w:w="1608"/>
              <w:gridCol w:w="512"/>
              <w:gridCol w:w="1769"/>
              <w:gridCol w:w="403"/>
            </w:tblGrid>
            <w:tr w14:paraId="51667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92" w:type="pct"/>
                  <w:vAlign w:val="center"/>
                </w:tcPr>
                <w:p w14:paraId="16C7F86B">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序号</w:t>
                  </w:r>
                </w:p>
              </w:tc>
              <w:tc>
                <w:tcPr>
                  <w:tcW w:w="292" w:type="pct"/>
                  <w:vAlign w:val="center"/>
                </w:tcPr>
                <w:p w14:paraId="3ACDAF7F">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环境管控单元名称</w:t>
                  </w:r>
                </w:p>
              </w:tc>
              <w:tc>
                <w:tcPr>
                  <w:tcW w:w="307" w:type="pct"/>
                  <w:vAlign w:val="center"/>
                </w:tcPr>
                <w:p w14:paraId="5DC24047">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区县</w:t>
                  </w:r>
                </w:p>
              </w:tc>
              <w:tc>
                <w:tcPr>
                  <w:tcW w:w="298" w:type="pct"/>
                  <w:vAlign w:val="center"/>
                </w:tcPr>
                <w:p w14:paraId="6F48573E">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市（区）</w:t>
                  </w:r>
                </w:p>
              </w:tc>
              <w:tc>
                <w:tcPr>
                  <w:tcW w:w="354" w:type="pct"/>
                  <w:vAlign w:val="center"/>
                </w:tcPr>
                <w:p w14:paraId="1DF2AFA4">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单元要素属性</w:t>
                  </w:r>
                </w:p>
              </w:tc>
              <w:tc>
                <w:tcPr>
                  <w:tcW w:w="303" w:type="pct"/>
                  <w:vAlign w:val="center"/>
                </w:tcPr>
                <w:p w14:paraId="2D991FA2">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管控要求分类</w:t>
                  </w:r>
                </w:p>
              </w:tc>
              <w:tc>
                <w:tcPr>
                  <w:tcW w:w="1180" w:type="pct"/>
                  <w:vAlign w:val="center"/>
                </w:tcPr>
                <w:p w14:paraId="162CE239">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管控要求</w:t>
                  </w:r>
                </w:p>
              </w:tc>
              <w:tc>
                <w:tcPr>
                  <w:tcW w:w="376" w:type="pct"/>
                  <w:vAlign w:val="center"/>
                </w:tcPr>
                <w:p w14:paraId="7BD41E6F">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面积</w:t>
                  </w:r>
                </w:p>
              </w:tc>
              <w:tc>
                <w:tcPr>
                  <w:tcW w:w="1298" w:type="pct"/>
                  <w:vAlign w:val="center"/>
                </w:tcPr>
                <w:p w14:paraId="18608198">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本项目情况</w:t>
                  </w:r>
                </w:p>
              </w:tc>
              <w:tc>
                <w:tcPr>
                  <w:tcW w:w="296" w:type="pct"/>
                  <w:vAlign w:val="center"/>
                </w:tcPr>
                <w:p w14:paraId="2DED21AD">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相符性</w:t>
                  </w:r>
                </w:p>
              </w:tc>
            </w:tr>
            <w:tr w14:paraId="2DE29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92" w:type="pct"/>
                  <w:vMerge w:val="restart"/>
                  <w:vAlign w:val="center"/>
                </w:tcPr>
                <w:p w14:paraId="003559F0">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1</w:t>
                  </w:r>
                </w:p>
              </w:tc>
              <w:tc>
                <w:tcPr>
                  <w:tcW w:w="292" w:type="pct"/>
                  <w:vMerge w:val="restart"/>
                  <w:vAlign w:val="center"/>
                </w:tcPr>
                <w:p w14:paraId="196B9972">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陕西省西安市长安区重点管控单元4</w:t>
                  </w:r>
                </w:p>
              </w:tc>
              <w:tc>
                <w:tcPr>
                  <w:tcW w:w="307" w:type="pct"/>
                  <w:vMerge w:val="restart"/>
                  <w:vAlign w:val="center"/>
                </w:tcPr>
                <w:p w14:paraId="7AFED97A">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西安市</w:t>
                  </w:r>
                </w:p>
              </w:tc>
              <w:tc>
                <w:tcPr>
                  <w:tcW w:w="298" w:type="pct"/>
                  <w:vMerge w:val="restart"/>
                  <w:vAlign w:val="center"/>
                </w:tcPr>
                <w:p w14:paraId="15D10AFB">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长安区</w:t>
                  </w:r>
                </w:p>
              </w:tc>
              <w:tc>
                <w:tcPr>
                  <w:tcW w:w="354" w:type="pct"/>
                  <w:vMerge w:val="restart"/>
                  <w:vAlign w:val="center"/>
                </w:tcPr>
                <w:p w14:paraId="112D9853">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大气环境布局敏感重点管控区</w:t>
                  </w:r>
                </w:p>
              </w:tc>
              <w:tc>
                <w:tcPr>
                  <w:tcW w:w="303" w:type="pct"/>
                  <w:vAlign w:val="center"/>
                </w:tcPr>
                <w:p w14:paraId="25E56DA8">
                  <w:pPr>
                    <w:pStyle w:val="66"/>
                    <w:pBdr>
                      <w:top w:val="none" w:color="auto" w:sz="0" w:space="0"/>
                      <w:left w:val="none" w:color="auto" w:sz="0" w:space="0"/>
                      <w:bottom w:val="none" w:color="auto" w:sz="0" w:space="0"/>
                      <w:right w:val="none" w:color="auto" w:sz="0" w:space="0"/>
                    </w:pBdr>
                    <w:spacing w:line="240" w:lineRule="auto"/>
                    <w:jc w:val="both"/>
                    <w:rPr>
                      <w:kern w:val="2"/>
                    </w:rPr>
                  </w:pPr>
                  <w:r>
                    <w:rPr>
                      <w:rFonts w:hint="eastAsia"/>
                      <w:kern w:val="2"/>
                    </w:rPr>
                    <w:t>空间布局约束</w:t>
                  </w:r>
                </w:p>
              </w:tc>
              <w:tc>
                <w:tcPr>
                  <w:tcW w:w="1180" w:type="pct"/>
                  <w:vAlign w:val="center"/>
                </w:tcPr>
                <w:p w14:paraId="30E48A69">
                  <w:pPr>
                    <w:pStyle w:val="66"/>
                    <w:pBdr>
                      <w:top w:val="none" w:color="auto" w:sz="0" w:space="0"/>
                      <w:left w:val="none" w:color="auto" w:sz="0" w:space="0"/>
                      <w:bottom w:val="none" w:color="auto" w:sz="0" w:space="0"/>
                      <w:right w:val="none" w:color="auto" w:sz="0" w:space="0"/>
                    </w:pBdr>
                    <w:spacing w:line="240" w:lineRule="auto"/>
                    <w:jc w:val="both"/>
                    <w:rPr>
                      <w:kern w:val="2"/>
                    </w:rPr>
                  </w:pPr>
                  <w:r>
                    <w:rPr>
                      <w:kern w:val="2"/>
                    </w:rPr>
                    <w:t>1.严格控制新增《陕西省</w:t>
                  </w:r>
                  <w:r>
                    <w:rPr>
                      <w:rFonts w:hint="eastAsia"/>
                      <w:kern w:val="2"/>
                    </w:rPr>
                    <w:t>“</w:t>
                  </w:r>
                  <w:r>
                    <w:rPr>
                      <w:kern w:val="2"/>
                    </w:rPr>
                    <w:t>两高</w:t>
                  </w:r>
                  <w:r>
                    <w:rPr>
                      <w:rFonts w:hint="eastAsia"/>
                      <w:kern w:val="2"/>
                    </w:rPr>
                    <w:t>”</w:t>
                  </w:r>
                  <w:r>
                    <w:rPr>
                      <w:kern w:val="2"/>
                    </w:rPr>
                    <w:t>项目管理暂行目录》行业项目（民生等项目除外，后续对</w:t>
                  </w:r>
                  <w:r>
                    <w:rPr>
                      <w:rFonts w:hint="eastAsia"/>
                      <w:kern w:val="2"/>
                    </w:rPr>
                    <w:t>“</w:t>
                  </w:r>
                  <w:r>
                    <w:rPr>
                      <w:kern w:val="2"/>
                    </w:rPr>
                    <w:t>两高</w:t>
                  </w:r>
                  <w:r>
                    <w:rPr>
                      <w:rFonts w:hint="eastAsia"/>
                      <w:kern w:val="2"/>
                    </w:rPr>
                    <w:t>”</w:t>
                  </w:r>
                  <w:r>
                    <w:rPr>
                      <w:kern w:val="2"/>
                    </w:rPr>
                    <w:t>范围国家如有新规定的，从其规定）。2.严禁新增钢铁、焦化、水泥熟料、平板玻璃、电解铝、氧化铝、煤化工产能。3.推动重污染企业搬迁入园或依法关闭。</w:t>
                  </w:r>
                </w:p>
              </w:tc>
              <w:tc>
                <w:tcPr>
                  <w:tcW w:w="376" w:type="pct"/>
                  <w:vMerge w:val="restart"/>
                  <w:vAlign w:val="center"/>
                </w:tcPr>
                <w:p w14:paraId="7373EA7F">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color w:val="FF0000"/>
                    </w:rPr>
                    <w:t>12</w:t>
                  </w:r>
                  <w:r>
                    <w:rPr>
                      <w:rFonts w:hint="eastAsia"/>
                      <w:color w:val="FF0000"/>
                      <w:lang w:val="en-US" w:eastAsia="zh-CN"/>
                    </w:rPr>
                    <w:t>62.17</w:t>
                  </w:r>
                  <w:r>
                    <w:rPr>
                      <w:rFonts w:hint="eastAsia"/>
                      <w:color w:val="FF0000"/>
                      <w:kern w:val="2"/>
                    </w:rPr>
                    <w:t>m</w:t>
                  </w:r>
                  <w:r>
                    <w:rPr>
                      <w:rFonts w:hint="eastAsia"/>
                      <w:color w:val="FF0000"/>
                      <w:kern w:val="2"/>
                      <w:vertAlign w:val="superscript"/>
                    </w:rPr>
                    <w:t>2</w:t>
                  </w:r>
                </w:p>
              </w:tc>
              <w:tc>
                <w:tcPr>
                  <w:tcW w:w="1298" w:type="pct"/>
                  <w:vAlign w:val="center"/>
                </w:tcPr>
                <w:p w14:paraId="5708C854">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本项目属于</w:t>
                  </w:r>
                  <w:r>
                    <w:rPr>
                      <w:rFonts w:hint="eastAsia"/>
                    </w:rPr>
                    <w:t>研究和试验发展行业，不属于</w:t>
                  </w:r>
                  <w:r>
                    <w:rPr>
                      <w:kern w:val="2"/>
                    </w:rPr>
                    <w:t>《陕西省</w:t>
                  </w:r>
                  <w:r>
                    <w:rPr>
                      <w:rFonts w:hint="eastAsia"/>
                      <w:kern w:val="2"/>
                    </w:rPr>
                    <w:t>“</w:t>
                  </w:r>
                  <w:r>
                    <w:rPr>
                      <w:kern w:val="2"/>
                    </w:rPr>
                    <w:t>两高</w:t>
                  </w:r>
                  <w:r>
                    <w:rPr>
                      <w:rFonts w:hint="eastAsia"/>
                      <w:kern w:val="2"/>
                    </w:rPr>
                    <w:t>”</w:t>
                  </w:r>
                  <w:r>
                    <w:rPr>
                      <w:kern w:val="2"/>
                    </w:rPr>
                    <w:t>项目管理暂行目录》</w:t>
                  </w:r>
                  <w:r>
                    <w:rPr>
                      <w:rFonts w:hint="eastAsia"/>
                      <w:kern w:val="2"/>
                    </w:rPr>
                    <w:t>中所列“两高”</w:t>
                  </w:r>
                  <w:r>
                    <w:rPr>
                      <w:kern w:val="2"/>
                    </w:rPr>
                    <w:t>项目</w:t>
                  </w:r>
                  <w:r>
                    <w:rPr>
                      <w:rFonts w:hint="eastAsia"/>
                      <w:kern w:val="2"/>
                    </w:rPr>
                    <w:t>；不属于</w:t>
                  </w:r>
                  <w:r>
                    <w:rPr>
                      <w:kern w:val="2"/>
                    </w:rPr>
                    <w:t>钢铁、焦化、水泥熟料、平板玻璃、电解铝、氧化铝、煤化工产能</w:t>
                  </w:r>
                  <w:r>
                    <w:rPr>
                      <w:rFonts w:hint="eastAsia"/>
                      <w:kern w:val="2"/>
                    </w:rPr>
                    <w:t>；不属于重污染企业。</w:t>
                  </w:r>
                </w:p>
              </w:tc>
              <w:tc>
                <w:tcPr>
                  <w:tcW w:w="296" w:type="pct"/>
                  <w:vAlign w:val="center"/>
                </w:tcPr>
                <w:p w14:paraId="201C1C25">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符合</w:t>
                  </w:r>
                </w:p>
              </w:tc>
            </w:tr>
            <w:tr w14:paraId="0D798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92" w:type="pct"/>
                  <w:vMerge w:val="continue"/>
                  <w:vAlign w:val="center"/>
                </w:tcPr>
                <w:p w14:paraId="328B25CB">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2" w:type="pct"/>
                  <w:vMerge w:val="continue"/>
                  <w:vAlign w:val="center"/>
                </w:tcPr>
                <w:p w14:paraId="4425A764">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07" w:type="pct"/>
                  <w:vMerge w:val="continue"/>
                  <w:vAlign w:val="center"/>
                </w:tcPr>
                <w:p w14:paraId="53135885">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8" w:type="pct"/>
                  <w:vMerge w:val="continue"/>
                  <w:vAlign w:val="center"/>
                </w:tcPr>
                <w:p w14:paraId="1B021818">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54" w:type="pct"/>
                  <w:vMerge w:val="continue"/>
                  <w:vAlign w:val="center"/>
                </w:tcPr>
                <w:p w14:paraId="393AEBB6">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03" w:type="pct"/>
                  <w:vAlign w:val="center"/>
                </w:tcPr>
                <w:p w14:paraId="32BBAF4D">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污染物排放管控</w:t>
                  </w:r>
                </w:p>
              </w:tc>
              <w:tc>
                <w:tcPr>
                  <w:tcW w:w="1180" w:type="pct"/>
                  <w:vAlign w:val="center"/>
                </w:tcPr>
                <w:p w14:paraId="547F2064">
                  <w:pPr>
                    <w:pStyle w:val="66"/>
                    <w:pBdr>
                      <w:top w:val="none" w:color="auto" w:sz="0" w:space="0"/>
                      <w:left w:val="none" w:color="auto" w:sz="0" w:space="0"/>
                      <w:bottom w:val="none" w:color="auto" w:sz="0" w:space="0"/>
                      <w:right w:val="none" w:color="auto" w:sz="0" w:space="0"/>
                    </w:pBdr>
                    <w:spacing w:line="240" w:lineRule="auto"/>
                    <w:jc w:val="both"/>
                    <w:rPr>
                      <w:kern w:val="2"/>
                    </w:rPr>
                  </w:pPr>
                  <w:r>
                    <w:rPr>
                      <w:rFonts w:hint="eastAsia"/>
                      <w:kern w:val="2"/>
                    </w:rPr>
                    <w:t>1.鼓励将老旧车辆和非道路移动机械替换为清洁能源车辆。推进新能源或清洁能源汽车使用。</w:t>
                  </w:r>
                </w:p>
              </w:tc>
              <w:tc>
                <w:tcPr>
                  <w:tcW w:w="376" w:type="pct"/>
                  <w:vMerge w:val="continue"/>
                  <w:vAlign w:val="center"/>
                </w:tcPr>
                <w:p w14:paraId="7C6BCCAA">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1298" w:type="pct"/>
                  <w:vAlign w:val="center"/>
                </w:tcPr>
                <w:p w14:paraId="5E785008">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rPr>
                    <w:t>本项目采购新车辆，均为清洁能源汽车。</w:t>
                  </w:r>
                </w:p>
              </w:tc>
              <w:tc>
                <w:tcPr>
                  <w:tcW w:w="296" w:type="pct"/>
                  <w:vAlign w:val="center"/>
                </w:tcPr>
                <w:p w14:paraId="4B4D6128">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符合</w:t>
                  </w:r>
                </w:p>
              </w:tc>
            </w:tr>
            <w:tr w14:paraId="4D472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92" w:type="pct"/>
                  <w:vMerge w:val="continue"/>
                  <w:vAlign w:val="center"/>
                </w:tcPr>
                <w:p w14:paraId="70DF7A0A">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2" w:type="pct"/>
                  <w:vMerge w:val="continue"/>
                  <w:vAlign w:val="center"/>
                </w:tcPr>
                <w:p w14:paraId="05AFFCD2">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07" w:type="pct"/>
                  <w:vMerge w:val="continue"/>
                  <w:vAlign w:val="center"/>
                </w:tcPr>
                <w:p w14:paraId="17415ED7">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8" w:type="pct"/>
                  <w:vMerge w:val="continue"/>
                  <w:vAlign w:val="center"/>
                </w:tcPr>
                <w:p w14:paraId="46C142D2">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54" w:type="pct"/>
                  <w:vMerge w:val="restart"/>
                  <w:vAlign w:val="center"/>
                </w:tcPr>
                <w:p w14:paraId="6CAB69D2">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水环境城镇生活污染重点管控</w:t>
                  </w:r>
                </w:p>
              </w:tc>
              <w:tc>
                <w:tcPr>
                  <w:tcW w:w="303" w:type="pct"/>
                  <w:vAlign w:val="center"/>
                </w:tcPr>
                <w:p w14:paraId="7C541D9D">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空间布局约束</w:t>
                  </w:r>
                </w:p>
              </w:tc>
              <w:tc>
                <w:tcPr>
                  <w:tcW w:w="1180" w:type="pct"/>
                  <w:vAlign w:val="center"/>
                </w:tcPr>
                <w:p w14:paraId="06F404B8">
                  <w:pPr>
                    <w:pStyle w:val="66"/>
                    <w:pBdr>
                      <w:top w:val="none" w:color="auto" w:sz="0" w:space="0"/>
                      <w:left w:val="none" w:color="auto" w:sz="0" w:space="0"/>
                      <w:bottom w:val="none" w:color="auto" w:sz="0" w:space="0"/>
                      <w:right w:val="none" w:color="auto" w:sz="0" w:space="0"/>
                    </w:pBdr>
                    <w:spacing w:line="240" w:lineRule="auto"/>
                    <w:jc w:val="both"/>
                    <w:rPr>
                      <w:kern w:val="2"/>
                    </w:rPr>
                  </w:pPr>
                  <w:r>
                    <w:rPr>
                      <w:rFonts w:hint="eastAsia"/>
                      <w:kern w:val="2"/>
                    </w:rPr>
                    <w:t>1.持续推进城中村、老旧城区、城乡结合部污水截流、收集和城市雨污管道新建、改建。</w:t>
                  </w:r>
                </w:p>
              </w:tc>
              <w:tc>
                <w:tcPr>
                  <w:tcW w:w="376" w:type="pct"/>
                  <w:vMerge w:val="continue"/>
                  <w:vAlign w:val="center"/>
                </w:tcPr>
                <w:p w14:paraId="579DABD7">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1298" w:type="pct"/>
                  <w:vAlign w:val="center"/>
                </w:tcPr>
                <w:p w14:paraId="5515FE8B">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本项目各项污染物采取可行技术的环境治理设施进行处理达标后排放，其中实验器皿清洗废水（不含一次清洗废水）、剩余一般水样和喷淋塔排水经自建废水处理设备（酸碱中和，1t/d）处理后排入园区化粪池；生活污水和其他废水（地面清洁废水、职工工作服清洗废水、超纯水制备排放浓水）排入园区化粪池处理，最终经市政污水管网排入西安净水处理有限责任公司第六再生水厂；项目采用雨污分流制，雨水通过收集管网排至市政雨水管网。</w:t>
                  </w:r>
                </w:p>
              </w:tc>
              <w:tc>
                <w:tcPr>
                  <w:tcW w:w="296" w:type="pct"/>
                  <w:vAlign w:val="center"/>
                </w:tcPr>
                <w:p w14:paraId="5B7589C0">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符合</w:t>
                  </w:r>
                </w:p>
              </w:tc>
            </w:tr>
            <w:tr w14:paraId="2DED5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92" w:type="pct"/>
                  <w:vMerge w:val="continue"/>
                  <w:vAlign w:val="center"/>
                </w:tcPr>
                <w:p w14:paraId="440E8B47">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2" w:type="pct"/>
                  <w:vMerge w:val="continue"/>
                  <w:vAlign w:val="center"/>
                </w:tcPr>
                <w:p w14:paraId="642830A5">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07" w:type="pct"/>
                  <w:vMerge w:val="continue"/>
                  <w:vAlign w:val="center"/>
                </w:tcPr>
                <w:p w14:paraId="605AB395">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8" w:type="pct"/>
                  <w:vMerge w:val="continue"/>
                  <w:vAlign w:val="center"/>
                </w:tcPr>
                <w:p w14:paraId="320FB816">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54" w:type="pct"/>
                  <w:vMerge w:val="continue"/>
                  <w:vAlign w:val="center"/>
                </w:tcPr>
                <w:p w14:paraId="12F0147A">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03" w:type="pct"/>
                  <w:vAlign w:val="center"/>
                </w:tcPr>
                <w:p w14:paraId="5F68A721">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污染物排放管控</w:t>
                  </w:r>
                </w:p>
              </w:tc>
              <w:tc>
                <w:tcPr>
                  <w:tcW w:w="1180" w:type="pct"/>
                  <w:vAlign w:val="center"/>
                </w:tcPr>
                <w:p w14:paraId="29B0596E">
                  <w:pPr>
                    <w:pStyle w:val="66"/>
                    <w:pBdr>
                      <w:top w:val="none" w:color="auto" w:sz="0" w:space="0"/>
                      <w:left w:val="none" w:color="auto" w:sz="0" w:space="0"/>
                      <w:bottom w:val="none" w:color="auto" w:sz="0" w:space="0"/>
                      <w:right w:val="none" w:color="auto" w:sz="0" w:space="0"/>
                    </w:pBdr>
                    <w:spacing w:line="240" w:lineRule="auto"/>
                    <w:jc w:val="both"/>
                    <w:rPr>
                      <w:kern w:val="2"/>
                    </w:rPr>
                  </w:pPr>
                  <w:r>
                    <w:rPr>
                      <w:rFonts w:hint="eastAsia"/>
                      <w:kern w:val="2"/>
                    </w:rPr>
                    <w:t>1.加强城镇污水收集处理设施建设与提标改造。城镇生活污水处理达到《陕西省黄河流域污水综合排放标准》（DB61/224-2018）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w:t>
                  </w:r>
                </w:p>
              </w:tc>
              <w:tc>
                <w:tcPr>
                  <w:tcW w:w="376" w:type="pct"/>
                  <w:vMerge w:val="continue"/>
                  <w:vAlign w:val="center"/>
                </w:tcPr>
                <w:p w14:paraId="73AAD665">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1298" w:type="pct"/>
                  <w:vAlign w:val="center"/>
                </w:tcPr>
                <w:p w14:paraId="1016AD30">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本项目实验器皿清洗废水（不含一次清洗废水）、剩余一般水样和喷淋塔排水经自建废水处理设备（酸碱中和，1t/d）处理后排入园区化粪池；生活污水和其他废水（地面清洁废水、职工工作服清洗废水、超纯水制备排放浓水）排入园区化粪池处理，最终经市政污水管网排入西安净水处理有限责任公司第六再生水厂</w:t>
                  </w:r>
                  <w:r>
                    <w:rPr>
                      <w:rFonts w:hint="eastAsia"/>
                    </w:rPr>
                    <w:t>。</w:t>
                  </w:r>
                </w:p>
              </w:tc>
              <w:tc>
                <w:tcPr>
                  <w:tcW w:w="296" w:type="pct"/>
                  <w:vAlign w:val="center"/>
                </w:tcPr>
                <w:p w14:paraId="2A16B11A">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符合</w:t>
                  </w:r>
                </w:p>
              </w:tc>
            </w:tr>
            <w:tr w14:paraId="00E30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92" w:type="pct"/>
                  <w:vMerge w:val="continue"/>
                  <w:vAlign w:val="center"/>
                </w:tcPr>
                <w:p w14:paraId="6861D6F4">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2" w:type="pct"/>
                  <w:vMerge w:val="continue"/>
                  <w:vAlign w:val="center"/>
                </w:tcPr>
                <w:p w14:paraId="480F9446">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07" w:type="pct"/>
                  <w:vMerge w:val="continue"/>
                  <w:vAlign w:val="center"/>
                </w:tcPr>
                <w:p w14:paraId="09DB7C2E">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298" w:type="pct"/>
                  <w:vMerge w:val="continue"/>
                  <w:vAlign w:val="center"/>
                </w:tcPr>
                <w:p w14:paraId="49E084E5">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354" w:type="pct"/>
                  <w:vAlign w:val="center"/>
                </w:tcPr>
                <w:p w14:paraId="12365274">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高污染燃料禁燃区</w:t>
                  </w:r>
                </w:p>
              </w:tc>
              <w:tc>
                <w:tcPr>
                  <w:tcW w:w="303" w:type="pct"/>
                  <w:vAlign w:val="center"/>
                </w:tcPr>
                <w:p w14:paraId="1AF203A6">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资源开发效率要求</w:t>
                  </w:r>
                </w:p>
              </w:tc>
              <w:tc>
                <w:tcPr>
                  <w:tcW w:w="1180" w:type="pct"/>
                  <w:vAlign w:val="center"/>
                </w:tcPr>
                <w:p w14:paraId="42B9D67C">
                  <w:pPr>
                    <w:pStyle w:val="66"/>
                    <w:pBdr>
                      <w:top w:val="none" w:color="auto" w:sz="0" w:space="0"/>
                      <w:left w:val="none" w:color="auto" w:sz="0" w:space="0"/>
                      <w:bottom w:val="none" w:color="auto" w:sz="0" w:space="0"/>
                      <w:right w:val="none" w:color="auto" w:sz="0" w:space="0"/>
                    </w:pBdr>
                    <w:spacing w:line="240" w:lineRule="auto"/>
                    <w:jc w:val="both"/>
                    <w:rPr>
                      <w:kern w:val="2"/>
                    </w:rPr>
                  </w:pPr>
                  <w:r>
                    <w:rPr>
                      <w:rFonts w:hint="eastAsia"/>
                      <w:kern w:val="2"/>
                    </w:rPr>
                    <w:t>1.禁止销售、使用高污染燃料。禁止新建、扩建燃用高污染燃料的设施。已建成的，应当在市人民政府规定的期限内停止使用或者改用天然气、页岩气、煤层气、液化石油气、干热岩、电、太阳能或者其他清洁能源。2.禁止燃放烟花爆竹。</w:t>
                  </w:r>
                </w:p>
              </w:tc>
              <w:tc>
                <w:tcPr>
                  <w:tcW w:w="376" w:type="pct"/>
                  <w:vMerge w:val="continue"/>
                  <w:vAlign w:val="center"/>
                </w:tcPr>
                <w:p w14:paraId="57042E5D">
                  <w:pPr>
                    <w:pStyle w:val="66"/>
                    <w:pBdr>
                      <w:top w:val="none" w:color="auto" w:sz="0" w:space="0"/>
                      <w:left w:val="none" w:color="auto" w:sz="0" w:space="0"/>
                      <w:bottom w:val="none" w:color="auto" w:sz="0" w:space="0"/>
                      <w:right w:val="none" w:color="auto" w:sz="0" w:space="0"/>
                    </w:pBdr>
                    <w:spacing w:line="240" w:lineRule="auto"/>
                    <w:jc w:val="center"/>
                    <w:rPr>
                      <w:kern w:val="2"/>
                    </w:rPr>
                  </w:pPr>
                </w:p>
              </w:tc>
              <w:tc>
                <w:tcPr>
                  <w:tcW w:w="1298" w:type="pct"/>
                  <w:vAlign w:val="center"/>
                </w:tcPr>
                <w:p w14:paraId="2B0E1271">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本项目不涉及销售、使用高污染燃料，不涉及燃用高污染燃料的设施的建设；不涉及燃放烟花爆竹。</w:t>
                  </w:r>
                </w:p>
              </w:tc>
              <w:tc>
                <w:tcPr>
                  <w:tcW w:w="296" w:type="pct"/>
                  <w:vAlign w:val="center"/>
                </w:tcPr>
                <w:p w14:paraId="562B1838">
                  <w:pPr>
                    <w:pStyle w:val="66"/>
                    <w:pBdr>
                      <w:top w:val="none" w:color="auto" w:sz="0" w:space="0"/>
                      <w:left w:val="none" w:color="auto" w:sz="0" w:space="0"/>
                      <w:bottom w:val="none" w:color="auto" w:sz="0" w:space="0"/>
                      <w:right w:val="none" w:color="auto" w:sz="0" w:space="0"/>
                    </w:pBdr>
                    <w:spacing w:line="240" w:lineRule="auto"/>
                    <w:jc w:val="center"/>
                    <w:rPr>
                      <w:kern w:val="2"/>
                    </w:rPr>
                  </w:pPr>
                  <w:r>
                    <w:rPr>
                      <w:rFonts w:hint="eastAsia"/>
                      <w:kern w:val="2"/>
                    </w:rPr>
                    <w:t>符合</w:t>
                  </w:r>
                </w:p>
              </w:tc>
            </w:tr>
          </w:tbl>
          <w:p w14:paraId="2FF9DEE3">
            <w:pPr>
              <w:adjustRightInd w:val="0"/>
              <w:snapToGrid w:val="0"/>
              <w:spacing w:before="156" w:beforeLines="50" w:line="360" w:lineRule="auto"/>
              <w:ind w:firstLine="480" w:firstLineChars="200"/>
              <w:jc w:val="left"/>
              <w:rPr>
                <w:kern w:val="0"/>
              </w:rPr>
            </w:pPr>
            <w:r>
              <w:rPr>
                <w:kern w:val="0"/>
              </w:rPr>
              <w:t>（3）一说明</w:t>
            </w:r>
          </w:p>
          <w:p w14:paraId="2DAB4350">
            <w:pPr>
              <w:widowControl/>
              <w:autoSpaceDE w:val="0"/>
              <w:autoSpaceDN w:val="0"/>
              <w:adjustRightInd w:val="0"/>
              <w:snapToGrid w:val="0"/>
              <w:spacing w:line="360" w:lineRule="auto"/>
              <w:ind w:firstLine="480" w:firstLineChars="200"/>
              <w:rPr>
                <w:snapToGrid w:val="0"/>
              </w:rPr>
            </w:pPr>
            <w:r>
              <w:rPr>
                <w:rFonts w:hint="eastAsia"/>
                <w:snapToGrid w:val="0"/>
              </w:rPr>
              <w:t>根据《陕西省人民政府关于加快实施“三线一单”生态环境分区管控的意见》（陕政发〔2020〕11号）及《西安市人民政府关于印发“三线一单”生态环境分区管控方案的通知》（市政发〔2021〕22号），本项目的建设不涉及生态保护红线；各类污染物均可得到合理处理，不触及环境质量底线；运营过程能源消耗较小，不触及资源利用上线；项目满足西安市生态环境准入要求。综上所述，本项目符合“三线一单”管控要求。项目与“三线一单”符合性分析见表1-4。</w:t>
            </w:r>
          </w:p>
          <w:p w14:paraId="3A347E38">
            <w:pPr>
              <w:adjustRightInd w:val="0"/>
              <w:snapToGrid w:val="0"/>
              <w:jc w:val="center"/>
              <w:rPr>
                <w:b/>
                <w:sz w:val="21"/>
                <w:szCs w:val="21"/>
              </w:rPr>
            </w:pPr>
            <w:r>
              <w:rPr>
                <w:b/>
                <w:sz w:val="21"/>
                <w:szCs w:val="21"/>
              </w:rPr>
              <w:t>表</w:t>
            </w:r>
            <w:r>
              <w:rPr>
                <w:rFonts w:hint="eastAsia"/>
                <w:b/>
                <w:sz w:val="21"/>
                <w:szCs w:val="21"/>
              </w:rPr>
              <w:t>1-4</w:t>
            </w:r>
            <w:r>
              <w:rPr>
                <w:b/>
                <w:sz w:val="21"/>
                <w:szCs w:val="21"/>
              </w:rPr>
              <w:t xml:space="preserve">  本项目与</w:t>
            </w:r>
            <w:r>
              <w:rPr>
                <w:rFonts w:hint="eastAsia"/>
                <w:b/>
                <w:sz w:val="21"/>
                <w:szCs w:val="21"/>
              </w:rPr>
              <w:t>“三线一单”</w:t>
            </w:r>
            <w:r>
              <w:rPr>
                <w:b/>
                <w:sz w:val="21"/>
                <w:szCs w:val="21"/>
              </w:rPr>
              <w:t>要求的相符性分析</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4355"/>
              <w:gridCol w:w="920"/>
            </w:tblGrid>
            <w:tr w14:paraId="6D5A1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34" w:type="pct"/>
                  <w:vAlign w:val="center"/>
                </w:tcPr>
                <w:p w14:paraId="723A1E2D">
                  <w:pPr>
                    <w:pStyle w:val="21"/>
                    <w:ind w:firstLine="0" w:firstLineChars="0"/>
                    <w:jc w:val="center"/>
                    <w:rPr>
                      <w:sz w:val="21"/>
                      <w:szCs w:val="21"/>
                    </w:rPr>
                  </w:pPr>
                  <w:r>
                    <w:rPr>
                      <w:rFonts w:hint="eastAsia"/>
                      <w:sz w:val="21"/>
                      <w:szCs w:val="21"/>
                    </w:rPr>
                    <w:t>“</w:t>
                  </w:r>
                  <w:r>
                    <w:rPr>
                      <w:sz w:val="21"/>
                      <w:szCs w:val="21"/>
                    </w:rPr>
                    <w:t>三线一单</w:t>
                  </w:r>
                  <w:r>
                    <w:rPr>
                      <w:rFonts w:hint="eastAsia"/>
                      <w:sz w:val="21"/>
                      <w:szCs w:val="21"/>
                    </w:rPr>
                    <w:t>”</w:t>
                  </w:r>
                </w:p>
              </w:tc>
              <w:tc>
                <w:tcPr>
                  <w:tcW w:w="3190" w:type="pct"/>
                  <w:vAlign w:val="center"/>
                </w:tcPr>
                <w:p w14:paraId="3A4FDCEB">
                  <w:pPr>
                    <w:pStyle w:val="21"/>
                    <w:ind w:firstLine="0" w:firstLineChars="0"/>
                    <w:jc w:val="center"/>
                    <w:rPr>
                      <w:sz w:val="21"/>
                      <w:szCs w:val="21"/>
                    </w:rPr>
                  </w:pPr>
                  <w:r>
                    <w:rPr>
                      <w:sz w:val="21"/>
                      <w:szCs w:val="21"/>
                    </w:rPr>
                    <w:t>项目符合性分析</w:t>
                  </w:r>
                </w:p>
              </w:tc>
              <w:tc>
                <w:tcPr>
                  <w:tcW w:w="674" w:type="pct"/>
                  <w:vAlign w:val="center"/>
                </w:tcPr>
                <w:p w14:paraId="06B508D7">
                  <w:pPr>
                    <w:pStyle w:val="21"/>
                    <w:ind w:firstLine="0" w:firstLineChars="0"/>
                    <w:jc w:val="center"/>
                    <w:rPr>
                      <w:sz w:val="21"/>
                      <w:szCs w:val="21"/>
                    </w:rPr>
                  </w:pPr>
                  <w:r>
                    <w:rPr>
                      <w:sz w:val="21"/>
                      <w:szCs w:val="21"/>
                    </w:rPr>
                    <w:t>符合性</w:t>
                  </w:r>
                </w:p>
              </w:tc>
            </w:tr>
            <w:tr w14:paraId="27B17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34" w:type="pct"/>
                  <w:vAlign w:val="center"/>
                </w:tcPr>
                <w:p w14:paraId="3D8FCC29">
                  <w:pPr>
                    <w:pStyle w:val="21"/>
                    <w:ind w:firstLine="0" w:firstLineChars="0"/>
                    <w:jc w:val="center"/>
                    <w:rPr>
                      <w:b w:val="0"/>
                      <w:bCs/>
                      <w:sz w:val="21"/>
                      <w:szCs w:val="21"/>
                    </w:rPr>
                  </w:pPr>
                  <w:r>
                    <w:rPr>
                      <w:b w:val="0"/>
                      <w:bCs/>
                      <w:sz w:val="21"/>
                      <w:szCs w:val="21"/>
                    </w:rPr>
                    <w:t>生态保护红线</w:t>
                  </w:r>
                </w:p>
              </w:tc>
              <w:tc>
                <w:tcPr>
                  <w:tcW w:w="3190" w:type="pct"/>
                  <w:vAlign w:val="center"/>
                </w:tcPr>
                <w:p w14:paraId="5B034D23">
                  <w:pPr>
                    <w:pStyle w:val="20"/>
                    <w:adjustRightInd/>
                    <w:snapToGrid/>
                    <w:spacing w:after="0" w:line="240" w:lineRule="auto"/>
                    <w:ind w:firstLine="0" w:firstLineChars="0"/>
                    <w:jc w:val="left"/>
                    <w:rPr>
                      <w:color w:val="auto"/>
                      <w:kern w:val="0"/>
                      <w:sz w:val="21"/>
                      <w:szCs w:val="21"/>
                      <w:lang w:val="en-US"/>
                    </w:rPr>
                  </w:pPr>
                  <w:r>
                    <w:rPr>
                      <w:rFonts w:hint="eastAsia"/>
                      <w:color w:val="auto"/>
                      <w:kern w:val="0"/>
                      <w:sz w:val="21"/>
                      <w:szCs w:val="21"/>
                      <w:lang w:val="en-US"/>
                    </w:rPr>
                    <w:t>项目位于</w:t>
                  </w:r>
                  <w:r>
                    <w:rPr>
                      <w:color w:val="auto"/>
                      <w:kern w:val="0"/>
                      <w:sz w:val="21"/>
                      <w:szCs w:val="21"/>
                    </w:rPr>
                    <w:t>陕</w:t>
                  </w:r>
                  <w:r>
                    <w:rPr>
                      <w:rFonts w:hint="eastAsia"/>
                      <w:color w:val="auto"/>
                      <w:kern w:val="0"/>
                      <w:sz w:val="21"/>
                      <w:szCs w:val="21"/>
                      <w:lang w:val="en-US"/>
                    </w:rPr>
                    <w:t>西省西咸新区沣东新城红光大道（沣东大道）以北、科源一路以西，中国国检测试控股集团陕西有限公司一号楼三、四层，属于西安生态环境管控单元中的重点管控单元（见图</w:t>
                  </w:r>
                  <w:r>
                    <w:rPr>
                      <w:color w:val="auto"/>
                      <w:kern w:val="0"/>
                      <w:sz w:val="21"/>
                      <w:szCs w:val="21"/>
                      <w:lang w:val="en-US"/>
                    </w:rPr>
                    <w:t>1-</w:t>
                  </w:r>
                  <w:r>
                    <w:rPr>
                      <w:rFonts w:hint="eastAsia"/>
                      <w:color w:val="auto"/>
                      <w:kern w:val="0"/>
                      <w:sz w:val="21"/>
                      <w:szCs w:val="21"/>
                      <w:lang w:val="en-US"/>
                    </w:rPr>
                    <w:t>1），所在地不涉及自然保护区、风景名胜区及饮用水源保护区等；区域内生物多样性程度低，无珍稀动植物。不涉及生态红线区域。</w:t>
                  </w:r>
                </w:p>
              </w:tc>
              <w:tc>
                <w:tcPr>
                  <w:tcW w:w="674" w:type="pct"/>
                  <w:vAlign w:val="center"/>
                </w:tcPr>
                <w:p w14:paraId="60378CF4">
                  <w:pPr>
                    <w:pStyle w:val="21"/>
                    <w:ind w:firstLine="0" w:firstLineChars="0"/>
                    <w:jc w:val="center"/>
                    <w:rPr>
                      <w:b w:val="0"/>
                      <w:bCs/>
                      <w:sz w:val="21"/>
                      <w:szCs w:val="21"/>
                    </w:rPr>
                  </w:pPr>
                  <w:r>
                    <w:rPr>
                      <w:b w:val="0"/>
                      <w:bCs/>
                      <w:sz w:val="21"/>
                      <w:szCs w:val="21"/>
                    </w:rPr>
                    <w:t>符合</w:t>
                  </w:r>
                </w:p>
              </w:tc>
            </w:tr>
            <w:tr w14:paraId="39B9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34" w:type="pct"/>
                  <w:vAlign w:val="center"/>
                </w:tcPr>
                <w:p w14:paraId="356DA607">
                  <w:pPr>
                    <w:pStyle w:val="21"/>
                    <w:ind w:firstLine="0" w:firstLineChars="0"/>
                    <w:jc w:val="center"/>
                    <w:rPr>
                      <w:b w:val="0"/>
                      <w:bCs/>
                      <w:sz w:val="21"/>
                      <w:szCs w:val="21"/>
                    </w:rPr>
                  </w:pPr>
                  <w:r>
                    <w:rPr>
                      <w:b w:val="0"/>
                      <w:bCs/>
                      <w:sz w:val="21"/>
                      <w:szCs w:val="21"/>
                    </w:rPr>
                    <w:t>环境质量底线</w:t>
                  </w:r>
                </w:p>
              </w:tc>
              <w:tc>
                <w:tcPr>
                  <w:tcW w:w="3190" w:type="pct"/>
                  <w:vAlign w:val="center"/>
                </w:tcPr>
                <w:p w14:paraId="2CDF597D">
                  <w:pPr>
                    <w:pStyle w:val="20"/>
                    <w:adjustRightInd/>
                    <w:snapToGrid/>
                    <w:spacing w:after="0" w:line="240" w:lineRule="auto"/>
                    <w:ind w:firstLine="0" w:firstLineChars="0"/>
                    <w:jc w:val="left"/>
                    <w:rPr>
                      <w:color w:val="auto"/>
                      <w:kern w:val="0"/>
                      <w:sz w:val="21"/>
                      <w:szCs w:val="21"/>
                      <w:lang w:val="en-US"/>
                    </w:rPr>
                  </w:pPr>
                  <w:r>
                    <w:rPr>
                      <w:rFonts w:hint="eastAsia"/>
                      <w:bCs/>
                      <w:color w:val="auto"/>
                      <w:sz w:val="21"/>
                      <w:szCs w:val="21"/>
                    </w:rPr>
                    <w:t>项目所在区域属于环境空气质量不达标区，超标污染物为PM</w:t>
                  </w:r>
                  <w:r>
                    <w:rPr>
                      <w:rFonts w:hint="eastAsia"/>
                      <w:bCs/>
                      <w:color w:val="auto"/>
                      <w:sz w:val="21"/>
                      <w:szCs w:val="21"/>
                      <w:vertAlign w:val="subscript"/>
                    </w:rPr>
                    <w:t>10</w:t>
                  </w:r>
                  <w:r>
                    <w:rPr>
                      <w:rFonts w:hint="eastAsia"/>
                      <w:bCs/>
                      <w:color w:val="auto"/>
                      <w:sz w:val="21"/>
                      <w:szCs w:val="21"/>
                    </w:rPr>
                    <w:t>、PM</w:t>
                  </w:r>
                  <w:r>
                    <w:rPr>
                      <w:rFonts w:hint="eastAsia"/>
                      <w:bCs/>
                      <w:color w:val="auto"/>
                      <w:sz w:val="21"/>
                      <w:szCs w:val="21"/>
                      <w:vertAlign w:val="subscript"/>
                    </w:rPr>
                    <w:t>2.5</w:t>
                  </w:r>
                  <w:r>
                    <w:rPr>
                      <w:rFonts w:hint="eastAsia"/>
                      <w:bCs/>
                      <w:color w:val="auto"/>
                      <w:sz w:val="21"/>
                      <w:szCs w:val="21"/>
                    </w:rPr>
                    <w:t>、</w:t>
                  </w:r>
                  <w:r>
                    <w:rPr>
                      <w:rFonts w:hint="eastAsia"/>
                      <w:bCs/>
                      <w:color w:val="auto"/>
                      <w:sz w:val="21"/>
                      <w:szCs w:val="21"/>
                      <w:lang w:val="en-US"/>
                    </w:rPr>
                    <w:t>O</w:t>
                  </w:r>
                  <w:r>
                    <w:rPr>
                      <w:rFonts w:hint="eastAsia"/>
                      <w:bCs/>
                      <w:color w:val="auto"/>
                      <w:sz w:val="21"/>
                      <w:szCs w:val="21"/>
                      <w:vertAlign w:val="subscript"/>
                      <w:lang w:val="en-US"/>
                    </w:rPr>
                    <w:t>3</w:t>
                  </w:r>
                  <w:r>
                    <w:rPr>
                      <w:rFonts w:hint="eastAsia"/>
                      <w:bCs/>
                      <w:color w:val="auto"/>
                      <w:sz w:val="21"/>
                      <w:szCs w:val="21"/>
                    </w:rPr>
                    <w:t>。项目运行期产生的废气、废水、固体废物等采取环保措施后，对环境影响程度可接受。</w:t>
                  </w:r>
                </w:p>
              </w:tc>
              <w:tc>
                <w:tcPr>
                  <w:tcW w:w="674" w:type="pct"/>
                  <w:vAlign w:val="center"/>
                </w:tcPr>
                <w:p w14:paraId="256DA1C7">
                  <w:pPr>
                    <w:pStyle w:val="21"/>
                    <w:ind w:firstLine="0" w:firstLineChars="0"/>
                    <w:jc w:val="center"/>
                    <w:rPr>
                      <w:b w:val="0"/>
                      <w:bCs/>
                      <w:sz w:val="21"/>
                      <w:szCs w:val="21"/>
                    </w:rPr>
                  </w:pPr>
                  <w:r>
                    <w:rPr>
                      <w:b w:val="0"/>
                      <w:bCs/>
                      <w:sz w:val="21"/>
                      <w:szCs w:val="21"/>
                    </w:rPr>
                    <w:t>符合</w:t>
                  </w:r>
                </w:p>
              </w:tc>
            </w:tr>
            <w:tr w14:paraId="36CE0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34" w:type="pct"/>
                  <w:vAlign w:val="center"/>
                </w:tcPr>
                <w:p w14:paraId="4121238B">
                  <w:pPr>
                    <w:pStyle w:val="21"/>
                    <w:ind w:firstLine="0" w:firstLineChars="0"/>
                    <w:jc w:val="center"/>
                    <w:rPr>
                      <w:b w:val="0"/>
                      <w:bCs/>
                      <w:sz w:val="21"/>
                      <w:szCs w:val="21"/>
                    </w:rPr>
                  </w:pPr>
                  <w:r>
                    <w:rPr>
                      <w:b w:val="0"/>
                      <w:bCs/>
                      <w:sz w:val="21"/>
                      <w:szCs w:val="21"/>
                    </w:rPr>
                    <w:t>资源利用上线</w:t>
                  </w:r>
                </w:p>
              </w:tc>
              <w:tc>
                <w:tcPr>
                  <w:tcW w:w="3190" w:type="pct"/>
                  <w:vAlign w:val="center"/>
                </w:tcPr>
                <w:p w14:paraId="37F22341">
                  <w:pPr>
                    <w:widowControl/>
                    <w:jc w:val="left"/>
                    <w:rPr>
                      <w:sz w:val="21"/>
                      <w:szCs w:val="21"/>
                    </w:rPr>
                  </w:pPr>
                  <w:r>
                    <w:rPr>
                      <w:snapToGrid w:val="0"/>
                      <w:kern w:val="0"/>
                      <w:sz w:val="21"/>
                      <w:szCs w:val="21"/>
                    </w:rPr>
                    <w:t>本项目运营过程中会消耗一定的电能、水等资源，不属于高耗能和资源消耗型企业。项目资源利用量相对区域资源利用总量占比较小，通过内部管理、设备选择、原材料的选用及管理、污染治理等多方面采取合理可行的措施，以</w:t>
                  </w:r>
                  <w:r>
                    <w:rPr>
                      <w:rFonts w:hint="eastAsia"/>
                      <w:snapToGrid w:val="0"/>
                      <w:kern w:val="0"/>
                      <w:sz w:val="21"/>
                      <w:szCs w:val="21"/>
                    </w:rPr>
                    <w:t>“</w:t>
                  </w:r>
                  <w:r>
                    <w:rPr>
                      <w:snapToGrid w:val="0"/>
                      <w:kern w:val="0"/>
                      <w:sz w:val="21"/>
                      <w:szCs w:val="21"/>
                    </w:rPr>
                    <w:t>节能、降耗、减污</w:t>
                  </w:r>
                  <w:r>
                    <w:rPr>
                      <w:rFonts w:hint="eastAsia"/>
                      <w:snapToGrid w:val="0"/>
                      <w:kern w:val="0"/>
                      <w:sz w:val="21"/>
                      <w:szCs w:val="21"/>
                    </w:rPr>
                    <w:t>”</w:t>
                  </w:r>
                  <w:r>
                    <w:rPr>
                      <w:snapToGrid w:val="0"/>
                      <w:kern w:val="0"/>
                      <w:sz w:val="21"/>
                      <w:szCs w:val="21"/>
                    </w:rPr>
                    <w:t>为目标，有效控制污染，不触及资源利用上线。</w:t>
                  </w:r>
                </w:p>
              </w:tc>
              <w:tc>
                <w:tcPr>
                  <w:tcW w:w="674" w:type="pct"/>
                  <w:vAlign w:val="center"/>
                </w:tcPr>
                <w:p w14:paraId="383C174D">
                  <w:pPr>
                    <w:pStyle w:val="21"/>
                    <w:ind w:firstLine="0" w:firstLineChars="0"/>
                    <w:jc w:val="center"/>
                    <w:rPr>
                      <w:b w:val="0"/>
                      <w:bCs/>
                      <w:sz w:val="21"/>
                      <w:szCs w:val="21"/>
                    </w:rPr>
                  </w:pPr>
                  <w:r>
                    <w:rPr>
                      <w:b w:val="0"/>
                      <w:bCs/>
                      <w:sz w:val="21"/>
                      <w:szCs w:val="21"/>
                    </w:rPr>
                    <w:t>符合</w:t>
                  </w:r>
                </w:p>
              </w:tc>
            </w:tr>
            <w:tr w14:paraId="57F6E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34" w:type="pct"/>
                  <w:vAlign w:val="center"/>
                </w:tcPr>
                <w:p w14:paraId="1A6C574D">
                  <w:pPr>
                    <w:pStyle w:val="21"/>
                    <w:ind w:firstLine="0" w:firstLineChars="0"/>
                    <w:jc w:val="center"/>
                    <w:rPr>
                      <w:b w:val="0"/>
                      <w:bCs/>
                      <w:color w:val="auto"/>
                      <w:sz w:val="21"/>
                      <w:szCs w:val="21"/>
                    </w:rPr>
                  </w:pPr>
                  <w:r>
                    <w:rPr>
                      <w:b w:val="0"/>
                      <w:bCs/>
                      <w:color w:val="auto"/>
                      <w:sz w:val="21"/>
                      <w:szCs w:val="21"/>
                    </w:rPr>
                    <w:t>环境准入清单</w:t>
                  </w:r>
                </w:p>
              </w:tc>
              <w:tc>
                <w:tcPr>
                  <w:tcW w:w="3190" w:type="pct"/>
                  <w:vAlign w:val="center"/>
                </w:tcPr>
                <w:p w14:paraId="3DFF1CDC">
                  <w:pPr>
                    <w:pStyle w:val="20"/>
                    <w:adjustRightInd/>
                    <w:snapToGrid/>
                    <w:spacing w:after="0" w:line="240" w:lineRule="auto"/>
                    <w:ind w:firstLine="0" w:firstLineChars="0"/>
                    <w:jc w:val="left"/>
                    <w:rPr>
                      <w:color w:val="auto"/>
                      <w:kern w:val="0"/>
                      <w:sz w:val="21"/>
                      <w:szCs w:val="21"/>
                      <w:lang w:val="en-US"/>
                    </w:rPr>
                  </w:pPr>
                  <w:r>
                    <w:rPr>
                      <w:rFonts w:hint="eastAsia"/>
                      <w:color w:val="auto"/>
                      <w:kern w:val="0"/>
                      <w:sz w:val="21"/>
                      <w:szCs w:val="21"/>
                      <w:lang w:val="en-US"/>
                    </w:rPr>
                    <w:t>项目建设符合</w:t>
                  </w:r>
                  <w:r>
                    <w:rPr>
                      <w:rFonts w:hint="eastAsia"/>
                      <w:color w:val="auto"/>
                      <w:kern w:val="0"/>
                      <w:sz w:val="21"/>
                      <w:szCs w:val="21"/>
                    </w:rPr>
                    <w:t>空间布局要求、</w:t>
                  </w:r>
                  <w:r>
                    <w:rPr>
                      <w:color w:val="auto"/>
                      <w:kern w:val="0"/>
                      <w:sz w:val="21"/>
                      <w:szCs w:val="21"/>
                    </w:rPr>
                    <w:t>污染物排放管控</w:t>
                  </w:r>
                  <w:r>
                    <w:rPr>
                      <w:rFonts w:hint="eastAsia"/>
                      <w:color w:val="auto"/>
                      <w:kern w:val="0"/>
                      <w:sz w:val="21"/>
                      <w:szCs w:val="21"/>
                      <w:lang w:val="en-US"/>
                    </w:rPr>
                    <w:t>、环境风险防控、</w:t>
                  </w:r>
                  <w:r>
                    <w:rPr>
                      <w:color w:val="auto"/>
                      <w:kern w:val="0"/>
                      <w:sz w:val="21"/>
                      <w:szCs w:val="21"/>
                    </w:rPr>
                    <w:t>资源开发效率要求</w:t>
                  </w:r>
                  <w:r>
                    <w:rPr>
                      <w:rFonts w:hint="eastAsia"/>
                      <w:color w:val="auto"/>
                      <w:kern w:val="0"/>
                      <w:sz w:val="21"/>
                      <w:szCs w:val="21"/>
                    </w:rPr>
                    <w:t>，</w:t>
                  </w:r>
                  <w:r>
                    <w:rPr>
                      <w:rFonts w:hint="eastAsia"/>
                      <w:color w:val="auto"/>
                      <w:kern w:val="0"/>
                      <w:sz w:val="21"/>
                      <w:szCs w:val="21"/>
                      <w:lang w:val="en-US"/>
                    </w:rPr>
                    <w:t>即生态环境管控单元管控要求。</w:t>
                  </w:r>
                </w:p>
              </w:tc>
              <w:tc>
                <w:tcPr>
                  <w:tcW w:w="674" w:type="pct"/>
                  <w:vAlign w:val="center"/>
                </w:tcPr>
                <w:p w14:paraId="7DE3BA65">
                  <w:pPr>
                    <w:pStyle w:val="21"/>
                    <w:ind w:firstLine="0" w:firstLineChars="0"/>
                    <w:jc w:val="center"/>
                    <w:rPr>
                      <w:b w:val="0"/>
                      <w:bCs/>
                      <w:color w:val="auto"/>
                      <w:sz w:val="21"/>
                      <w:szCs w:val="21"/>
                    </w:rPr>
                  </w:pPr>
                  <w:r>
                    <w:rPr>
                      <w:b w:val="0"/>
                      <w:bCs/>
                      <w:color w:val="auto"/>
                      <w:sz w:val="21"/>
                      <w:szCs w:val="21"/>
                    </w:rPr>
                    <w:t>符合</w:t>
                  </w:r>
                </w:p>
              </w:tc>
            </w:tr>
          </w:tbl>
          <w:p w14:paraId="78E7E834">
            <w:pPr>
              <w:adjustRightInd w:val="0"/>
              <w:snapToGrid w:val="0"/>
              <w:spacing w:before="156" w:beforeLines="50" w:line="360" w:lineRule="auto"/>
              <w:ind w:firstLine="482" w:firstLineChars="200"/>
              <w:rPr>
                <w:b/>
                <w:bCs/>
                <w:kern w:val="0"/>
                <w:szCs w:val="21"/>
              </w:rPr>
            </w:pPr>
            <w:r>
              <w:rPr>
                <w:rFonts w:hint="eastAsia"/>
                <w:b/>
                <w:bCs/>
                <w:kern w:val="0"/>
                <w:szCs w:val="21"/>
              </w:rPr>
              <w:t>4</w:t>
            </w:r>
            <w:r>
              <w:rPr>
                <w:b/>
                <w:bCs/>
                <w:kern w:val="0"/>
                <w:szCs w:val="21"/>
              </w:rPr>
              <w:t>、与相关环境管理政策符合性分析</w:t>
            </w:r>
          </w:p>
          <w:p w14:paraId="4AF1BE68">
            <w:pPr>
              <w:adjustRightInd w:val="0"/>
              <w:snapToGrid w:val="0"/>
              <w:jc w:val="center"/>
              <w:rPr>
                <w:b/>
                <w:sz w:val="21"/>
                <w:szCs w:val="21"/>
              </w:rPr>
            </w:pPr>
          </w:p>
          <w:p w14:paraId="783D2563">
            <w:pPr>
              <w:adjustRightInd w:val="0"/>
              <w:snapToGrid w:val="0"/>
              <w:jc w:val="center"/>
              <w:rPr>
                <w:b/>
                <w:sz w:val="21"/>
                <w:szCs w:val="21"/>
              </w:rPr>
            </w:pPr>
          </w:p>
          <w:p w14:paraId="6E668773">
            <w:pPr>
              <w:adjustRightInd w:val="0"/>
              <w:snapToGrid w:val="0"/>
              <w:jc w:val="center"/>
              <w:rPr>
                <w:b/>
                <w:sz w:val="21"/>
                <w:szCs w:val="21"/>
              </w:rPr>
            </w:pPr>
          </w:p>
          <w:p w14:paraId="45D47402">
            <w:pPr>
              <w:adjustRightInd w:val="0"/>
              <w:snapToGrid w:val="0"/>
              <w:jc w:val="center"/>
              <w:rPr>
                <w:b/>
                <w:sz w:val="21"/>
                <w:szCs w:val="21"/>
              </w:rPr>
            </w:pPr>
          </w:p>
          <w:p w14:paraId="016C021B">
            <w:pPr>
              <w:adjustRightInd w:val="0"/>
              <w:snapToGrid w:val="0"/>
              <w:jc w:val="center"/>
              <w:rPr>
                <w:b/>
                <w:sz w:val="21"/>
                <w:szCs w:val="21"/>
              </w:rPr>
            </w:pPr>
          </w:p>
          <w:p w14:paraId="24D4F001">
            <w:pPr>
              <w:adjustRightInd w:val="0"/>
              <w:snapToGrid w:val="0"/>
              <w:jc w:val="center"/>
              <w:rPr>
                <w:b/>
                <w:sz w:val="21"/>
                <w:szCs w:val="21"/>
              </w:rPr>
            </w:pPr>
          </w:p>
          <w:p w14:paraId="7B9102CD">
            <w:pPr>
              <w:adjustRightInd w:val="0"/>
              <w:snapToGrid w:val="0"/>
              <w:jc w:val="center"/>
              <w:rPr>
                <w:b/>
                <w:sz w:val="21"/>
                <w:szCs w:val="21"/>
              </w:rPr>
            </w:pPr>
          </w:p>
          <w:p w14:paraId="273FCC3D">
            <w:pPr>
              <w:adjustRightInd w:val="0"/>
              <w:snapToGrid w:val="0"/>
              <w:jc w:val="center"/>
              <w:rPr>
                <w:b/>
                <w:sz w:val="21"/>
                <w:szCs w:val="21"/>
              </w:rPr>
            </w:pPr>
            <w:r>
              <w:rPr>
                <w:b/>
                <w:sz w:val="21"/>
                <w:szCs w:val="21"/>
              </w:rPr>
              <w:t>表1-</w:t>
            </w:r>
            <w:r>
              <w:rPr>
                <w:rFonts w:hint="eastAsia"/>
                <w:b/>
                <w:sz w:val="21"/>
                <w:szCs w:val="21"/>
              </w:rPr>
              <w:t>5</w:t>
            </w:r>
            <w:r>
              <w:rPr>
                <w:b/>
                <w:sz w:val="21"/>
                <w:szCs w:val="21"/>
              </w:rPr>
              <w:t xml:space="preserve">  项目与相关环境管理政策符合性分析一览表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3116"/>
              <w:gridCol w:w="2405"/>
              <w:gridCol w:w="382"/>
            </w:tblGrid>
            <w:tr w14:paraId="2377A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shd w:val="clear" w:color="auto" w:fill="auto"/>
                  <w:vAlign w:val="center"/>
                </w:tcPr>
                <w:p w14:paraId="33B34CCF">
                  <w:pPr>
                    <w:contextualSpacing/>
                    <w:jc w:val="center"/>
                    <w:rPr>
                      <w:b/>
                      <w:kern w:val="0"/>
                      <w:sz w:val="21"/>
                      <w:szCs w:val="21"/>
                    </w:rPr>
                  </w:pPr>
                  <w:r>
                    <w:rPr>
                      <w:b/>
                      <w:kern w:val="0"/>
                      <w:sz w:val="21"/>
                      <w:szCs w:val="21"/>
                    </w:rPr>
                    <w:t>文件</w:t>
                  </w:r>
                </w:p>
                <w:p w14:paraId="6FD8964A">
                  <w:pPr>
                    <w:contextualSpacing/>
                    <w:jc w:val="center"/>
                    <w:rPr>
                      <w:b/>
                      <w:kern w:val="0"/>
                      <w:sz w:val="21"/>
                      <w:szCs w:val="21"/>
                    </w:rPr>
                  </w:pPr>
                  <w:r>
                    <w:rPr>
                      <w:b/>
                      <w:kern w:val="0"/>
                      <w:sz w:val="21"/>
                      <w:szCs w:val="21"/>
                    </w:rPr>
                    <w:t>名称</w:t>
                  </w:r>
                </w:p>
              </w:tc>
              <w:tc>
                <w:tcPr>
                  <w:tcW w:w="2281" w:type="pct"/>
                  <w:shd w:val="clear" w:color="auto" w:fill="auto"/>
                  <w:vAlign w:val="center"/>
                </w:tcPr>
                <w:p w14:paraId="5CBF5665">
                  <w:pPr>
                    <w:contextualSpacing/>
                    <w:jc w:val="center"/>
                    <w:rPr>
                      <w:b/>
                      <w:kern w:val="0"/>
                      <w:sz w:val="21"/>
                      <w:szCs w:val="21"/>
                    </w:rPr>
                  </w:pPr>
                  <w:r>
                    <w:rPr>
                      <w:b/>
                      <w:kern w:val="0"/>
                      <w:sz w:val="21"/>
                      <w:szCs w:val="21"/>
                    </w:rPr>
                    <w:t>具体要求</w:t>
                  </w:r>
                </w:p>
              </w:tc>
              <w:tc>
                <w:tcPr>
                  <w:tcW w:w="1760" w:type="pct"/>
                  <w:shd w:val="clear" w:color="auto" w:fill="auto"/>
                  <w:vAlign w:val="center"/>
                </w:tcPr>
                <w:p w14:paraId="61C1F284">
                  <w:pPr>
                    <w:contextualSpacing/>
                    <w:jc w:val="center"/>
                    <w:rPr>
                      <w:b/>
                      <w:kern w:val="0"/>
                      <w:sz w:val="21"/>
                      <w:szCs w:val="21"/>
                    </w:rPr>
                  </w:pPr>
                  <w:r>
                    <w:rPr>
                      <w:b/>
                      <w:kern w:val="0"/>
                      <w:sz w:val="21"/>
                      <w:szCs w:val="21"/>
                    </w:rPr>
                    <w:t>本项目情况</w:t>
                  </w:r>
                </w:p>
              </w:tc>
              <w:tc>
                <w:tcPr>
                  <w:tcW w:w="280" w:type="pct"/>
                  <w:shd w:val="clear" w:color="auto" w:fill="auto"/>
                  <w:vAlign w:val="center"/>
                </w:tcPr>
                <w:p w14:paraId="328E9759">
                  <w:pPr>
                    <w:contextualSpacing/>
                    <w:jc w:val="center"/>
                    <w:rPr>
                      <w:b/>
                      <w:kern w:val="0"/>
                      <w:sz w:val="21"/>
                      <w:szCs w:val="21"/>
                    </w:rPr>
                  </w:pPr>
                  <w:r>
                    <w:rPr>
                      <w:rFonts w:hint="eastAsia"/>
                      <w:b/>
                      <w:kern w:val="0"/>
                      <w:sz w:val="21"/>
                      <w:szCs w:val="21"/>
                    </w:rPr>
                    <w:t>符合性</w:t>
                  </w:r>
                </w:p>
              </w:tc>
            </w:tr>
            <w:tr w14:paraId="71147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60F1280B">
                  <w:pPr>
                    <w:contextualSpacing/>
                    <w:jc w:val="center"/>
                    <w:rPr>
                      <w:bCs/>
                      <w:kern w:val="0"/>
                      <w:sz w:val="21"/>
                      <w:szCs w:val="21"/>
                    </w:rPr>
                  </w:pPr>
                  <w:r>
                    <w:rPr>
                      <w:bCs/>
                      <w:kern w:val="0"/>
                      <w:sz w:val="21"/>
                      <w:szCs w:val="21"/>
                    </w:rPr>
                    <w:t>《陕西省</w:t>
                  </w:r>
                  <w:r>
                    <w:rPr>
                      <w:rFonts w:hint="eastAsia"/>
                      <w:bCs/>
                      <w:kern w:val="0"/>
                      <w:sz w:val="21"/>
                      <w:szCs w:val="21"/>
                    </w:rPr>
                    <w:t>“</w:t>
                  </w:r>
                  <w:r>
                    <w:rPr>
                      <w:bCs/>
                      <w:kern w:val="0"/>
                      <w:sz w:val="21"/>
                      <w:szCs w:val="21"/>
                    </w:rPr>
                    <w:t>十四五</w:t>
                  </w:r>
                  <w:r>
                    <w:rPr>
                      <w:rFonts w:hint="eastAsia"/>
                      <w:bCs/>
                      <w:kern w:val="0"/>
                      <w:sz w:val="21"/>
                      <w:szCs w:val="21"/>
                    </w:rPr>
                    <w:t>”</w:t>
                  </w:r>
                  <w:r>
                    <w:rPr>
                      <w:bCs/>
                      <w:kern w:val="0"/>
                      <w:sz w:val="21"/>
                      <w:szCs w:val="21"/>
                    </w:rPr>
                    <w:t>生态环境保护规划》</w:t>
                  </w:r>
                  <w:r>
                    <w:rPr>
                      <w:rFonts w:hint="eastAsia"/>
                      <w:bCs/>
                      <w:kern w:val="0"/>
                      <w:sz w:val="21"/>
                      <w:szCs w:val="21"/>
                    </w:rPr>
                    <w:t>（陕西省人民政府办公厅，2021年9月29日）</w:t>
                  </w:r>
                </w:p>
              </w:tc>
              <w:tc>
                <w:tcPr>
                  <w:tcW w:w="2281" w:type="pct"/>
                  <w:shd w:val="clear" w:color="auto" w:fill="auto"/>
                  <w:vAlign w:val="center"/>
                </w:tcPr>
                <w:p w14:paraId="0EC6995B">
                  <w:pPr>
                    <w:contextualSpacing/>
                    <w:rPr>
                      <w:b/>
                      <w:kern w:val="0"/>
                      <w:sz w:val="21"/>
                      <w:szCs w:val="21"/>
                    </w:rPr>
                  </w:pPr>
                  <w:r>
                    <w:rPr>
                      <w:bCs/>
                      <w:kern w:val="0"/>
                      <w:sz w:val="21"/>
                      <w:szCs w:val="21"/>
                    </w:rPr>
                    <w:t>关中地区严格控制新建、拟建化学制浆造纸、化工、印染、果汁和淀粉加工等高耗水、高污染项目；陕南地区严格控制新建、拟建黄姜皂素生产、化学制浆造纸、果汁加工、有色金属、电镀、印染等涉水重点行业；陕北地区合理控制火电、兰炭、煤化工等行业规模。</w:t>
                  </w:r>
                </w:p>
              </w:tc>
              <w:tc>
                <w:tcPr>
                  <w:tcW w:w="1760" w:type="pct"/>
                  <w:shd w:val="clear" w:color="auto" w:fill="auto"/>
                  <w:vAlign w:val="center"/>
                </w:tcPr>
                <w:p w14:paraId="494491F1">
                  <w:pPr>
                    <w:contextualSpacing/>
                    <w:jc w:val="center"/>
                    <w:rPr>
                      <w:b/>
                      <w:kern w:val="0"/>
                      <w:sz w:val="21"/>
                      <w:szCs w:val="21"/>
                    </w:rPr>
                  </w:pPr>
                  <w:r>
                    <w:rPr>
                      <w:bCs/>
                      <w:kern w:val="0"/>
                      <w:sz w:val="21"/>
                      <w:szCs w:val="21"/>
                    </w:rPr>
                    <w:t>本项目位于关中地区，</w:t>
                  </w:r>
                  <w:r>
                    <w:rPr>
                      <w:rFonts w:hint="eastAsia"/>
                      <w:bCs/>
                      <w:kern w:val="0"/>
                      <w:sz w:val="21"/>
                      <w:szCs w:val="21"/>
                    </w:rPr>
                    <w:t>主要从事</w:t>
                  </w:r>
                  <w:r>
                    <w:rPr>
                      <w:bCs/>
                      <w:kern w:val="0"/>
                      <w:sz w:val="21"/>
                      <w:szCs w:val="21"/>
                    </w:rPr>
                    <w:t>环境保护监测</w:t>
                  </w:r>
                  <w:r>
                    <w:rPr>
                      <w:rFonts w:hint="eastAsia"/>
                      <w:bCs/>
                      <w:kern w:val="0"/>
                      <w:sz w:val="21"/>
                      <w:szCs w:val="21"/>
                    </w:rPr>
                    <w:t>，属于专业实验室建设项目，</w:t>
                  </w:r>
                  <w:r>
                    <w:rPr>
                      <w:bCs/>
                      <w:kern w:val="0"/>
                      <w:sz w:val="21"/>
                      <w:szCs w:val="21"/>
                    </w:rPr>
                    <w:t>不涉及高耗水、高污染项目，不属于严控行业。</w:t>
                  </w:r>
                </w:p>
              </w:tc>
              <w:tc>
                <w:tcPr>
                  <w:tcW w:w="280" w:type="pct"/>
                  <w:shd w:val="clear" w:color="auto" w:fill="auto"/>
                  <w:vAlign w:val="center"/>
                </w:tcPr>
                <w:p w14:paraId="49FFB255">
                  <w:pPr>
                    <w:contextualSpacing/>
                    <w:jc w:val="center"/>
                    <w:rPr>
                      <w:b/>
                      <w:kern w:val="0"/>
                      <w:sz w:val="21"/>
                      <w:szCs w:val="21"/>
                    </w:rPr>
                  </w:pPr>
                  <w:r>
                    <w:rPr>
                      <w:rFonts w:hint="eastAsia"/>
                      <w:bCs/>
                      <w:kern w:val="0"/>
                      <w:sz w:val="21"/>
                      <w:szCs w:val="21"/>
                    </w:rPr>
                    <w:t>符合</w:t>
                  </w:r>
                </w:p>
              </w:tc>
            </w:tr>
            <w:tr w14:paraId="20D8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50673209">
                  <w:pPr>
                    <w:contextualSpacing/>
                    <w:jc w:val="center"/>
                    <w:rPr>
                      <w:bCs/>
                      <w:kern w:val="0"/>
                      <w:sz w:val="21"/>
                      <w:szCs w:val="21"/>
                    </w:rPr>
                  </w:pPr>
                </w:p>
              </w:tc>
              <w:tc>
                <w:tcPr>
                  <w:tcW w:w="2281" w:type="pct"/>
                  <w:shd w:val="clear" w:color="auto" w:fill="auto"/>
                  <w:vAlign w:val="center"/>
                </w:tcPr>
                <w:p w14:paraId="2319436A">
                  <w:pPr>
                    <w:contextualSpacing/>
                    <w:rPr>
                      <w:b/>
                      <w:kern w:val="0"/>
                      <w:sz w:val="21"/>
                      <w:szCs w:val="21"/>
                    </w:rPr>
                  </w:pPr>
                  <w:r>
                    <w:rPr>
                      <w:bCs/>
                      <w:kern w:val="0"/>
                      <w:sz w:val="21"/>
                      <w:szCs w:val="21"/>
                    </w:rPr>
                    <w:t>全面落实《挥发性有机物无组织排放控制标准（GB37822-2019）》要求，持续开展无组织排放排查整治工作，对含挥发性有机物物料全方位、全链条、全环节密闭管理。</w:t>
                  </w:r>
                </w:p>
              </w:tc>
              <w:tc>
                <w:tcPr>
                  <w:tcW w:w="1760" w:type="pct"/>
                  <w:shd w:val="clear" w:color="auto" w:fill="auto"/>
                  <w:vAlign w:val="center"/>
                </w:tcPr>
                <w:p w14:paraId="10F08A0D">
                  <w:pPr>
                    <w:contextualSpacing/>
                    <w:jc w:val="center"/>
                    <w:rPr>
                      <w:b/>
                      <w:kern w:val="0"/>
                      <w:sz w:val="21"/>
                      <w:szCs w:val="21"/>
                    </w:rPr>
                  </w:pPr>
                  <w:r>
                    <w:rPr>
                      <w:bCs/>
                      <w:kern w:val="0"/>
                      <w:sz w:val="21"/>
                      <w:szCs w:val="21"/>
                    </w:rPr>
                    <w:t>本项目采用通风</w:t>
                  </w:r>
                  <w:r>
                    <w:rPr>
                      <w:rFonts w:hint="eastAsia"/>
                      <w:bCs/>
                      <w:kern w:val="0"/>
                      <w:sz w:val="21"/>
                      <w:szCs w:val="21"/>
                    </w:rPr>
                    <w:t>橱/</w:t>
                  </w:r>
                  <w:r>
                    <w:rPr>
                      <w:rFonts w:hint="eastAsia"/>
                      <w:bCs/>
                      <w:kern w:val="0"/>
                      <w:sz w:val="21"/>
                      <w:szCs w:val="21"/>
                      <w:lang w:eastAsia="zh-CN"/>
                    </w:rPr>
                    <w:t>万向罩</w:t>
                  </w:r>
                  <w:r>
                    <w:rPr>
                      <w:bCs/>
                      <w:kern w:val="0"/>
                      <w:sz w:val="21"/>
                      <w:szCs w:val="21"/>
                    </w:rPr>
                    <w:t>负压收集有机废气。</w:t>
                  </w:r>
                </w:p>
              </w:tc>
              <w:tc>
                <w:tcPr>
                  <w:tcW w:w="280" w:type="pct"/>
                  <w:shd w:val="clear" w:color="auto" w:fill="auto"/>
                  <w:vAlign w:val="center"/>
                </w:tcPr>
                <w:p w14:paraId="09BBB5BB">
                  <w:pPr>
                    <w:contextualSpacing/>
                    <w:jc w:val="center"/>
                    <w:rPr>
                      <w:b/>
                      <w:kern w:val="0"/>
                      <w:sz w:val="21"/>
                      <w:szCs w:val="21"/>
                    </w:rPr>
                  </w:pPr>
                  <w:r>
                    <w:rPr>
                      <w:rFonts w:hint="eastAsia"/>
                      <w:bCs/>
                      <w:kern w:val="0"/>
                      <w:sz w:val="21"/>
                      <w:szCs w:val="21"/>
                    </w:rPr>
                    <w:t>符合</w:t>
                  </w:r>
                </w:p>
              </w:tc>
            </w:tr>
            <w:tr w14:paraId="1E1A8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18446338">
                  <w:pPr>
                    <w:contextualSpacing/>
                    <w:jc w:val="center"/>
                    <w:rPr>
                      <w:bCs/>
                      <w:kern w:val="0"/>
                      <w:sz w:val="21"/>
                      <w:szCs w:val="21"/>
                    </w:rPr>
                  </w:pPr>
                </w:p>
              </w:tc>
              <w:tc>
                <w:tcPr>
                  <w:tcW w:w="2281" w:type="pct"/>
                  <w:shd w:val="clear" w:color="auto" w:fill="auto"/>
                  <w:vAlign w:val="center"/>
                </w:tcPr>
                <w:p w14:paraId="492DB6DA">
                  <w:pPr>
                    <w:contextualSpacing/>
                    <w:rPr>
                      <w:bCs/>
                      <w:kern w:val="0"/>
                      <w:sz w:val="21"/>
                      <w:szCs w:val="21"/>
                    </w:rPr>
                  </w:pPr>
                  <w:r>
                    <w:rPr>
                      <w:bCs/>
                      <w:kern w:val="0"/>
                      <w:sz w:val="21"/>
                      <w:szCs w:val="21"/>
                    </w:rPr>
                    <w:t>推进重点行业挥发性有机物综合整治。建立石化、化工、工业涂装、包装印刷、家具、电子制造、工程机械制造等重点行业源头、过程和末端全过程控制体系，实施挥发性有机物总部改良控制。</w:t>
                  </w:r>
                </w:p>
              </w:tc>
              <w:tc>
                <w:tcPr>
                  <w:tcW w:w="1760" w:type="pct"/>
                  <w:shd w:val="clear" w:color="auto" w:fill="auto"/>
                  <w:vAlign w:val="center"/>
                </w:tcPr>
                <w:p w14:paraId="204F4AC3">
                  <w:pPr>
                    <w:contextualSpacing/>
                    <w:jc w:val="center"/>
                    <w:rPr>
                      <w:bCs/>
                      <w:kern w:val="0"/>
                      <w:sz w:val="21"/>
                      <w:szCs w:val="21"/>
                    </w:rPr>
                  </w:pPr>
                  <w:r>
                    <w:rPr>
                      <w:rFonts w:hint="eastAsia"/>
                      <w:sz w:val="21"/>
                      <w:szCs w:val="21"/>
                    </w:rPr>
                    <w:t>本项目有机前处理及实验检验过程产生的有机废气（以非甲烷总烃计）经通风橱/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w:t>
                  </w:r>
                  <w:r>
                    <w:rPr>
                      <w:sz w:val="21"/>
                      <w:szCs w:val="21"/>
                    </w:rPr>
                    <w:t>。本项目不属于挥发性有机物综合整治重点行业。</w:t>
                  </w:r>
                </w:p>
              </w:tc>
              <w:tc>
                <w:tcPr>
                  <w:tcW w:w="280" w:type="pct"/>
                  <w:shd w:val="clear" w:color="auto" w:fill="auto"/>
                  <w:vAlign w:val="center"/>
                </w:tcPr>
                <w:p w14:paraId="3C6A3669">
                  <w:pPr>
                    <w:contextualSpacing/>
                    <w:jc w:val="center"/>
                    <w:rPr>
                      <w:bCs/>
                      <w:kern w:val="0"/>
                      <w:sz w:val="21"/>
                      <w:szCs w:val="21"/>
                    </w:rPr>
                  </w:pPr>
                  <w:r>
                    <w:rPr>
                      <w:bCs/>
                      <w:kern w:val="0"/>
                      <w:sz w:val="21"/>
                      <w:szCs w:val="21"/>
                    </w:rPr>
                    <w:t>符合</w:t>
                  </w:r>
                </w:p>
              </w:tc>
            </w:tr>
            <w:tr w14:paraId="0FAB5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5E9B908A">
                  <w:pPr>
                    <w:contextualSpacing/>
                    <w:jc w:val="center"/>
                    <w:rPr>
                      <w:bCs/>
                      <w:kern w:val="0"/>
                      <w:sz w:val="21"/>
                      <w:szCs w:val="21"/>
                    </w:rPr>
                  </w:pPr>
                  <w:r>
                    <w:rPr>
                      <w:bCs/>
                      <w:kern w:val="0"/>
                      <w:sz w:val="21"/>
                      <w:szCs w:val="21"/>
                    </w:rPr>
                    <w:t>《西安市</w:t>
                  </w:r>
                  <w:r>
                    <w:rPr>
                      <w:rFonts w:hint="eastAsia"/>
                      <w:bCs/>
                      <w:kern w:val="0"/>
                      <w:sz w:val="21"/>
                      <w:szCs w:val="21"/>
                    </w:rPr>
                    <w:t>“</w:t>
                  </w:r>
                  <w:r>
                    <w:rPr>
                      <w:bCs/>
                      <w:kern w:val="0"/>
                      <w:sz w:val="21"/>
                      <w:szCs w:val="21"/>
                    </w:rPr>
                    <w:t>十四五</w:t>
                  </w:r>
                  <w:r>
                    <w:rPr>
                      <w:rFonts w:hint="eastAsia"/>
                      <w:bCs/>
                      <w:kern w:val="0"/>
                      <w:sz w:val="21"/>
                      <w:szCs w:val="21"/>
                    </w:rPr>
                    <w:t>”</w:t>
                  </w:r>
                  <w:r>
                    <w:rPr>
                      <w:bCs/>
                      <w:kern w:val="0"/>
                      <w:sz w:val="21"/>
                      <w:szCs w:val="21"/>
                    </w:rPr>
                    <w:t>生态环境保护规划》</w:t>
                  </w:r>
                </w:p>
              </w:tc>
              <w:tc>
                <w:tcPr>
                  <w:tcW w:w="2281" w:type="pct"/>
                  <w:shd w:val="clear" w:color="auto" w:fill="auto"/>
                  <w:vAlign w:val="center"/>
                </w:tcPr>
                <w:p w14:paraId="755D4507">
                  <w:pPr>
                    <w:contextualSpacing/>
                    <w:rPr>
                      <w:bCs/>
                      <w:kern w:val="0"/>
                      <w:sz w:val="21"/>
                      <w:szCs w:val="21"/>
                    </w:rPr>
                  </w:pPr>
                  <w:r>
                    <w:rPr>
                      <w:rFonts w:hint="eastAsia"/>
                      <w:bCs/>
                      <w:kern w:val="0"/>
                      <w:sz w:val="21"/>
                      <w:szCs w:val="21"/>
                    </w:rPr>
                    <w:t>强化“三线一单”生态环境分区管控的刚性约束和政策引领作用，建立以“三线一单”为核心的生态环境分区管控体系，严格推动“三线一单”在规划编制、政策制定、园区管理、执法监管等方面的应用。</w:t>
                  </w:r>
                </w:p>
              </w:tc>
              <w:tc>
                <w:tcPr>
                  <w:tcW w:w="1760" w:type="pct"/>
                  <w:shd w:val="clear" w:color="auto" w:fill="auto"/>
                  <w:vAlign w:val="center"/>
                </w:tcPr>
                <w:p w14:paraId="7A36E1AB">
                  <w:pPr>
                    <w:contextualSpacing/>
                    <w:jc w:val="center"/>
                    <w:rPr>
                      <w:sz w:val="21"/>
                      <w:szCs w:val="21"/>
                    </w:rPr>
                  </w:pPr>
                  <w:r>
                    <w:rPr>
                      <w:sz w:val="21"/>
                      <w:szCs w:val="21"/>
                    </w:rPr>
                    <w:t>本项目符合</w:t>
                  </w:r>
                  <w:r>
                    <w:rPr>
                      <w:rFonts w:hint="eastAsia"/>
                      <w:sz w:val="21"/>
                      <w:szCs w:val="21"/>
                    </w:rPr>
                    <w:t>“</w:t>
                  </w:r>
                  <w:r>
                    <w:rPr>
                      <w:sz w:val="21"/>
                      <w:szCs w:val="21"/>
                    </w:rPr>
                    <w:t>三线一单</w:t>
                  </w:r>
                  <w:r>
                    <w:rPr>
                      <w:rFonts w:hint="eastAsia"/>
                      <w:sz w:val="21"/>
                      <w:szCs w:val="21"/>
                    </w:rPr>
                    <w:t>”</w:t>
                  </w:r>
                  <w:r>
                    <w:rPr>
                      <w:sz w:val="21"/>
                      <w:szCs w:val="21"/>
                    </w:rPr>
                    <w:t>要求</w:t>
                  </w:r>
                  <w:r>
                    <w:rPr>
                      <w:rFonts w:hint="eastAsia"/>
                      <w:sz w:val="21"/>
                      <w:szCs w:val="21"/>
                    </w:rPr>
                    <w:t>。</w:t>
                  </w:r>
                </w:p>
              </w:tc>
              <w:tc>
                <w:tcPr>
                  <w:tcW w:w="280" w:type="pct"/>
                  <w:shd w:val="clear" w:color="auto" w:fill="auto"/>
                  <w:vAlign w:val="center"/>
                </w:tcPr>
                <w:p w14:paraId="3714F0E1">
                  <w:pPr>
                    <w:contextualSpacing/>
                    <w:jc w:val="center"/>
                    <w:rPr>
                      <w:bCs/>
                      <w:kern w:val="0"/>
                      <w:sz w:val="21"/>
                      <w:szCs w:val="21"/>
                    </w:rPr>
                  </w:pPr>
                  <w:r>
                    <w:rPr>
                      <w:rFonts w:hint="eastAsia"/>
                      <w:bCs/>
                      <w:kern w:val="0"/>
                      <w:sz w:val="21"/>
                      <w:szCs w:val="21"/>
                    </w:rPr>
                    <w:t>符合</w:t>
                  </w:r>
                </w:p>
              </w:tc>
            </w:tr>
            <w:tr w14:paraId="14B1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0BF550F7">
                  <w:pPr>
                    <w:contextualSpacing/>
                    <w:jc w:val="center"/>
                    <w:rPr>
                      <w:bCs/>
                      <w:kern w:val="0"/>
                      <w:sz w:val="21"/>
                      <w:szCs w:val="21"/>
                    </w:rPr>
                  </w:pPr>
                </w:p>
              </w:tc>
              <w:tc>
                <w:tcPr>
                  <w:tcW w:w="2281" w:type="pct"/>
                  <w:shd w:val="clear" w:color="auto" w:fill="auto"/>
                  <w:vAlign w:val="center"/>
                </w:tcPr>
                <w:p w14:paraId="1B123AEF">
                  <w:pPr>
                    <w:contextualSpacing/>
                    <w:rPr>
                      <w:bCs/>
                      <w:kern w:val="0"/>
                      <w:sz w:val="21"/>
                      <w:szCs w:val="21"/>
                    </w:rPr>
                  </w:pPr>
                  <w:r>
                    <w:rPr>
                      <w:bCs/>
                      <w:kern w:val="0"/>
                      <w:sz w:val="21"/>
                      <w:szCs w:val="21"/>
                    </w:rPr>
                    <w:t>强化VOCs综合整治，将挥发性有机物纳入污染物排放总量控制体系，有效减少重点污染源、全社会挥发性有机物和NOx排放总量。</w:t>
                  </w:r>
                </w:p>
              </w:tc>
              <w:tc>
                <w:tcPr>
                  <w:tcW w:w="1760" w:type="pct"/>
                  <w:shd w:val="clear" w:color="auto" w:fill="auto"/>
                  <w:vAlign w:val="center"/>
                </w:tcPr>
                <w:p w14:paraId="691277F7">
                  <w:pPr>
                    <w:contextualSpacing/>
                    <w:jc w:val="center"/>
                    <w:rPr>
                      <w:bCs/>
                      <w:kern w:val="0"/>
                      <w:sz w:val="21"/>
                      <w:szCs w:val="21"/>
                    </w:rPr>
                  </w:pPr>
                  <w:r>
                    <w:rPr>
                      <w:bCs/>
                      <w:kern w:val="0"/>
                      <w:sz w:val="21"/>
                      <w:szCs w:val="21"/>
                    </w:rPr>
                    <w:t>本项目</w:t>
                  </w:r>
                  <w:r>
                    <w:rPr>
                      <w:rFonts w:hint="eastAsia"/>
                      <w:bCs/>
                      <w:kern w:val="0"/>
                      <w:sz w:val="21"/>
                      <w:szCs w:val="21"/>
                    </w:rPr>
                    <w:t>属于检测服务行业，</w:t>
                  </w:r>
                  <w:r>
                    <w:rPr>
                      <w:bCs/>
                      <w:kern w:val="0"/>
                      <w:sz w:val="21"/>
                      <w:szCs w:val="21"/>
                    </w:rPr>
                    <w:t>不属于挥发性有机物综合整治重点行业。</w:t>
                  </w:r>
                  <w:r>
                    <w:rPr>
                      <w:rFonts w:hint="eastAsia"/>
                      <w:sz w:val="21"/>
                      <w:szCs w:val="21"/>
                    </w:rPr>
                    <w:t>项目有机前处理及实验检测过程产生的有机废气（以非甲烷总烃计）经通风橱/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w:t>
                  </w:r>
                </w:p>
              </w:tc>
              <w:tc>
                <w:tcPr>
                  <w:tcW w:w="280" w:type="pct"/>
                  <w:shd w:val="clear" w:color="auto" w:fill="auto"/>
                  <w:vAlign w:val="center"/>
                </w:tcPr>
                <w:p w14:paraId="3768C8C8">
                  <w:pPr>
                    <w:contextualSpacing/>
                    <w:jc w:val="center"/>
                    <w:rPr>
                      <w:bCs/>
                      <w:kern w:val="0"/>
                      <w:sz w:val="21"/>
                      <w:szCs w:val="21"/>
                    </w:rPr>
                  </w:pPr>
                  <w:r>
                    <w:rPr>
                      <w:bCs/>
                      <w:kern w:val="0"/>
                      <w:sz w:val="21"/>
                      <w:szCs w:val="21"/>
                    </w:rPr>
                    <w:t>符合</w:t>
                  </w:r>
                </w:p>
              </w:tc>
            </w:tr>
            <w:tr w14:paraId="6782E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330774C3">
                  <w:pPr>
                    <w:contextualSpacing/>
                    <w:jc w:val="center"/>
                    <w:rPr>
                      <w:bCs/>
                      <w:kern w:val="0"/>
                      <w:sz w:val="21"/>
                      <w:szCs w:val="21"/>
                    </w:rPr>
                  </w:pPr>
                </w:p>
              </w:tc>
              <w:tc>
                <w:tcPr>
                  <w:tcW w:w="2281" w:type="pct"/>
                  <w:shd w:val="clear" w:color="auto" w:fill="auto"/>
                  <w:vAlign w:val="center"/>
                </w:tcPr>
                <w:p w14:paraId="65CC4296">
                  <w:pPr>
                    <w:contextualSpacing/>
                    <w:rPr>
                      <w:bCs/>
                      <w:kern w:val="0"/>
                      <w:sz w:val="21"/>
                      <w:szCs w:val="21"/>
                    </w:rPr>
                  </w:pPr>
                  <w:r>
                    <w:rPr>
                      <w:rFonts w:hint="eastAsia"/>
                      <w:bCs/>
                      <w:kern w:val="0"/>
                      <w:sz w:val="21"/>
                      <w:szCs w:val="21"/>
                    </w:rPr>
                    <w:t>工业企业噪声防治。加强工业噪声环境监管力度，严厉查处工业企业噪声排放超标扰民行为。</w:t>
                  </w:r>
                </w:p>
              </w:tc>
              <w:tc>
                <w:tcPr>
                  <w:tcW w:w="1760" w:type="pct"/>
                  <w:shd w:val="clear" w:color="auto" w:fill="auto"/>
                  <w:vAlign w:val="center"/>
                </w:tcPr>
                <w:p w14:paraId="62AA5D64">
                  <w:pPr>
                    <w:contextualSpacing/>
                    <w:jc w:val="center"/>
                    <w:rPr>
                      <w:bCs/>
                      <w:kern w:val="0"/>
                      <w:sz w:val="21"/>
                      <w:szCs w:val="21"/>
                    </w:rPr>
                  </w:pPr>
                  <w:r>
                    <w:rPr>
                      <w:rFonts w:hint="eastAsia"/>
                      <w:bCs/>
                      <w:kern w:val="0"/>
                      <w:sz w:val="21"/>
                      <w:szCs w:val="21"/>
                    </w:rPr>
                    <w:t>本</w:t>
                  </w:r>
                  <w:r>
                    <w:rPr>
                      <w:bCs/>
                      <w:kern w:val="0"/>
                      <w:sz w:val="21"/>
                      <w:szCs w:val="21"/>
                    </w:rPr>
                    <w:t>项目运营期</w:t>
                  </w:r>
                  <w:r>
                    <w:rPr>
                      <w:rFonts w:hint="eastAsia"/>
                      <w:bCs/>
                      <w:kern w:val="0"/>
                      <w:sz w:val="21"/>
                      <w:szCs w:val="21"/>
                    </w:rPr>
                    <w:t>通过选用低噪声设备、房体隔声、基础减振等措施，</w:t>
                  </w:r>
                  <w:r>
                    <w:rPr>
                      <w:bCs/>
                      <w:kern w:val="0"/>
                      <w:sz w:val="21"/>
                      <w:szCs w:val="21"/>
                    </w:rPr>
                    <w:t>噪声可达标排放，且项目位于</w:t>
                  </w:r>
                  <w:r>
                    <w:rPr>
                      <w:rFonts w:hint="eastAsia"/>
                      <w:bCs/>
                      <w:kern w:val="0"/>
                      <w:sz w:val="21"/>
                      <w:szCs w:val="21"/>
                    </w:rPr>
                    <w:t>中国</w:t>
                  </w:r>
                  <w:r>
                    <w:rPr>
                      <w:bCs/>
                      <w:kern w:val="0"/>
                      <w:sz w:val="21"/>
                      <w:szCs w:val="21"/>
                    </w:rPr>
                    <w:t>国检测试控股集团陕西有限公司</w:t>
                  </w:r>
                  <w:r>
                    <w:rPr>
                      <w:rFonts w:hint="eastAsia"/>
                      <w:bCs/>
                      <w:kern w:val="0"/>
                      <w:sz w:val="21"/>
                      <w:szCs w:val="21"/>
                    </w:rPr>
                    <w:t>一</w:t>
                  </w:r>
                  <w:r>
                    <w:rPr>
                      <w:bCs/>
                      <w:kern w:val="0"/>
                      <w:sz w:val="21"/>
                      <w:szCs w:val="21"/>
                    </w:rPr>
                    <w:t>号楼</w:t>
                  </w:r>
                  <w:r>
                    <w:rPr>
                      <w:rFonts w:hint="eastAsia"/>
                      <w:bCs/>
                      <w:kern w:val="0"/>
                      <w:sz w:val="21"/>
                      <w:szCs w:val="21"/>
                    </w:rPr>
                    <w:t>三、四层</w:t>
                  </w:r>
                  <w:r>
                    <w:rPr>
                      <w:bCs/>
                      <w:kern w:val="0"/>
                      <w:sz w:val="21"/>
                      <w:szCs w:val="21"/>
                    </w:rPr>
                    <w:t>，周围50m范围无声环境敏感点。</w:t>
                  </w:r>
                </w:p>
              </w:tc>
              <w:tc>
                <w:tcPr>
                  <w:tcW w:w="280" w:type="pct"/>
                  <w:shd w:val="clear" w:color="auto" w:fill="auto"/>
                  <w:vAlign w:val="center"/>
                </w:tcPr>
                <w:p w14:paraId="281D49B8">
                  <w:pPr>
                    <w:contextualSpacing/>
                    <w:jc w:val="center"/>
                    <w:rPr>
                      <w:bCs/>
                      <w:kern w:val="0"/>
                      <w:sz w:val="21"/>
                      <w:szCs w:val="21"/>
                    </w:rPr>
                  </w:pPr>
                  <w:r>
                    <w:rPr>
                      <w:rFonts w:hint="eastAsia"/>
                      <w:bCs/>
                      <w:kern w:val="0"/>
                      <w:sz w:val="21"/>
                      <w:szCs w:val="21"/>
                    </w:rPr>
                    <w:t>符合</w:t>
                  </w:r>
                </w:p>
              </w:tc>
            </w:tr>
            <w:tr w14:paraId="1CD49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661EB688">
                  <w:pPr>
                    <w:contextualSpacing/>
                    <w:jc w:val="center"/>
                    <w:rPr>
                      <w:bCs/>
                      <w:kern w:val="0"/>
                      <w:sz w:val="21"/>
                      <w:szCs w:val="21"/>
                    </w:rPr>
                  </w:pPr>
                </w:p>
              </w:tc>
              <w:tc>
                <w:tcPr>
                  <w:tcW w:w="2281" w:type="pct"/>
                  <w:shd w:val="clear" w:color="auto" w:fill="auto"/>
                  <w:vAlign w:val="center"/>
                </w:tcPr>
                <w:p w14:paraId="6B5F010A">
                  <w:pPr>
                    <w:contextualSpacing/>
                    <w:rPr>
                      <w:bCs/>
                      <w:kern w:val="0"/>
                      <w:sz w:val="21"/>
                      <w:szCs w:val="21"/>
                    </w:rPr>
                  </w:pPr>
                  <w:r>
                    <w:rPr>
                      <w:rFonts w:hint="eastAsia"/>
                      <w:bCs/>
                      <w:kern w:val="0"/>
                      <w:sz w:val="21"/>
                      <w:szCs w:val="21"/>
                    </w:rPr>
                    <w:t>强化土壤污染综合防控。......加强土壤环境实验室基础能力建设，提高土壤常规检测和应急监测水平。</w:t>
                  </w:r>
                </w:p>
              </w:tc>
              <w:tc>
                <w:tcPr>
                  <w:tcW w:w="1760" w:type="pct"/>
                  <w:shd w:val="clear" w:color="auto" w:fill="auto"/>
                  <w:vAlign w:val="center"/>
                </w:tcPr>
                <w:p w14:paraId="01773156">
                  <w:pPr>
                    <w:contextualSpacing/>
                    <w:jc w:val="center"/>
                    <w:rPr>
                      <w:bCs/>
                      <w:kern w:val="0"/>
                      <w:sz w:val="21"/>
                      <w:szCs w:val="21"/>
                    </w:rPr>
                  </w:pPr>
                  <w:r>
                    <w:rPr>
                      <w:rFonts w:hint="eastAsia"/>
                      <w:bCs/>
                      <w:kern w:val="0"/>
                      <w:sz w:val="21"/>
                      <w:szCs w:val="21"/>
                    </w:rPr>
                    <w:t>本</w:t>
                  </w:r>
                  <w:r>
                    <w:rPr>
                      <w:bCs/>
                      <w:kern w:val="0"/>
                      <w:sz w:val="21"/>
                      <w:szCs w:val="21"/>
                    </w:rPr>
                    <w:t>项目运营期检测项目涉及土壤和水系沉积物等项目的检测</w:t>
                  </w:r>
                  <w:r>
                    <w:rPr>
                      <w:rFonts w:hint="eastAsia"/>
                      <w:bCs/>
                      <w:kern w:val="0"/>
                      <w:sz w:val="21"/>
                      <w:szCs w:val="21"/>
                    </w:rPr>
                    <w:t>。</w:t>
                  </w:r>
                </w:p>
              </w:tc>
              <w:tc>
                <w:tcPr>
                  <w:tcW w:w="280" w:type="pct"/>
                  <w:shd w:val="clear" w:color="auto" w:fill="auto"/>
                  <w:vAlign w:val="center"/>
                </w:tcPr>
                <w:p w14:paraId="543B80EB">
                  <w:pPr>
                    <w:contextualSpacing/>
                    <w:jc w:val="center"/>
                    <w:rPr>
                      <w:bCs/>
                      <w:kern w:val="0"/>
                      <w:sz w:val="21"/>
                      <w:szCs w:val="21"/>
                    </w:rPr>
                  </w:pPr>
                  <w:r>
                    <w:rPr>
                      <w:rFonts w:hint="eastAsia"/>
                      <w:bCs/>
                      <w:kern w:val="0"/>
                      <w:sz w:val="21"/>
                      <w:szCs w:val="21"/>
                    </w:rPr>
                    <w:t>符合</w:t>
                  </w:r>
                </w:p>
              </w:tc>
            </w:tr>
            <w:tr w14:paraId="1CFDF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102A798E">
                  <w:pPr>
                    <w:contextualSpacing/>
                    <w:jc w:val="center"/>
                    <w:rPr>
                      <w:bCs/>
                      <w:kern w:val="0"/>
                      <w:sz w:val="21"/>
                      <w:szCs w:val="21"/>
                    </w:rPr>
                  </w:pPr>
                </w:p>
              </w:tc>
              <w:tc>
                <w:tcPr>
                  <w:tcW w:w="2281" w:type="pct"/>
                  <w:shd w:val="clear" w:color="auto" w:fill="auto"/>
                  <w:vAlign w:val="center"/>
                </w:tcPr>
                <w:p w14:paraId="61D6882D">
                  <w:pPr>
                    <w:contextualSpacing/>
                    <w:rPr>
                      <w:bCs/>
                      <w:kern w:val="0"/>
                      <w:sz w:val="21"/>
                      <w:szCs w:val="21"/>
                    </w:rPr>
                  </w:pPr>
                  <w:r>
                    <w:rPr>
                      <w:rFonts w:hint="eastAsia"/>
                      <w:bCs/>
                      <w:kern w:val="0"/>
                      <w:sz w:val="21"/>
                      <w:szCs w:val="21"/>
                    </w:rPr>
                    <w:t>健全环境监管体系。健全以环评制度为主体的源头预防体系，构建以排污许可制度为核心的污染源监管制度体系，对固定污染源实施全过程管理和多污染协调控制，实现“一证式”管理。</w:t>
                  </w:r>
                </w:p>
              </w:tc>
              <w:tc>
                <w:tcPr>
                  <w:tcW w:w="1760" w:type="pct"/>
                  <w:shd w:val="clear" w:color="auto" w:fill="auto"/>
                  <w:vAlign w:val="center"/>
                </w:tcPr>
                <w:p w14:paraId="0B60C6D7">
                  <w:pPr>
                    <w:contextualSpacing/>
                    <w:jc w:val="center"/>
                    <w:rPr>
                      <w:bCs/>
                      <w:kern w:val="0"/>
                      <w:sz w:val="21"/>
                      <w:szCs w:val="21"/>
                    </w:rPr>
                  </w:pPr>
                  <w:r>
                    <w:rPr>
                      <w:rFonts w:hint="eastAsia"/>
                      <w:bCs/>
                      <w:kern w:val="0"/>
                      <w:sz w:val="21"/>
                      <w:szCs w:val="21"/>
                    </w:rPr>
                    <w:t>本项目按要求开展环境影响评价。</w:t>
                  </w:r>
                </w:p>
              </w:tc>
              <w:tc>
                <w:tcPr>
                  <w:tcW w:w="280" w:type="pct"/>
                  <w:shd w:val="clear" w:color="auto" w:fill="auto"/>
                  <w:vAlign w:val="center"/>
                </w:tcPr>
                <w:p w14:paraId="6F0B0FA5">
                  <w:pPr>
                    <w:contextualSpacing/>
                    <w:jc w:val="center"/>
                    <w:rPr>
                      <w:bCs/>
                      <w:kern w:val="0"/>
                      <w:sz w:val="21"/>
                      <w:szCs w:val="21"/>
                    </w:rPr>
                  </w:pPr>
                  <w:r>
                    <w:rPr>
                      <w:rFonts w:hint="eastAsia"/>
                      <w:bCs/>
                      <w:kern w:val="0"/>
                      <w:sz w:val="21"/>
                      <w:szCs w:val="21"/>
                    </w:rPr>
                    <w:t>符合</w:t>
                  </w:r>
                </w:p>
              </w:tc>
            </w:tr>
            <w:tr w14:paraId="2FA7C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shd w:val="clear" w:color="auto" w:fill="auto"/>
                  <w:vAlign w:val="center"/>
                </w:tcPr>
                <w:p w14:paraId="1FA462C3">
                  <w:pPr>
                    <w:wordWrap w:val="0"/>
                    <w:adjustRightInd w:val="0"/>
                    <w:snapToGrid w:val="0"/>
                    <w:jc w:val="center"/>
                    <w:rPr>
                      <w:sz w:val="21"/>
                      <w:szCs w:val="21"/>
                    </w:rPr>
                  </w:pPr>
                  <w:r>
                    <w:rPr>
                      <w:sz w:val="21"/>
                      <w:szCs w:val="21"/>
                    </w:rPr>
                    <w:t>《陕西省</w:t>
                  </w:r>
                  <w:r>
                    <w:rPr>
                      <w:rFonts w:hint="eastAsia"/>
                      <w:sz w:val="21"/>
                      <w:szCs w:val="21"/>
                    </w:rPr>
                    <w:t>“</w:t>
                  </w:r>
                  <w:r>
                    <w:rPr>
                      <w:sz w:val="21"/>
                      <w:szCs w:val="21"/>
                    </w:rPr>
                    <w:t>十四五</w:t>
                  </w:r>
                  <w:r>
                    <w:rPr>
                      <w:rFonts w:hint="eastAsia"/>
                      <w:sz w:val="21"/>
                      <w:szCs w:val="21"/>
                    </w:rPr>
                    <w:t>”</w:t>
                  </w:r>
                  <w:r>
                    <w:rPr>
                      <w:sz w:val="21"/>
                      <w:szCs w:val="21"/>
                    </w:rPr>
                    <w:t>节能减排综合工作实施方案》</w:t>
                  </w:r>
                  <w:r>
                    <w:rPr>
                      <w:rFonts w:hint="eastAsia"/>
                      <w:sz w:val="21"/>
                      <w:szCs w:val="21"/>
                    </w:rPr>
                    <w:t>（陕西省人民政府）</w:t>
                  </w:r>
                </w:p>
              </w:tc>
              <w:tc>
                <w:tcPr>
                  <w:tcW w:w="2281" w:type="pct"/>
                  <w:shd w:val="clear" w:color="auto" w:fill="auto"/>
                  <w:vAlign w:val="center"/>
                </w:tcPr>
                <w:p w14:paraId="38E82B4B">
                  <w:pPr>
                    <w:wordWrap w:val="0"/>
                    <w:adjustRightInd w:val="0"/>
                    <w:snapToGrid w:val="0"/>
                    <w:rPr>
                      <w:sz w:val="21"/>
                      <w:szCs w:val="21"/>
                    </w:rPr>
                  </w:pPr>
                  <w:r>
                    <w:rPr>
                      <w:sz w:val="21"/>
                      <w:szCs w:val="21"/>
                    </w:rPr>
                    <w:t>扎实开展挥发性有机物综合整治。推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w:t>
                  </w:r>
                </w:p>
              </w:tc>
              <w:tc>
                <w:tcPr>
                  <w:tcW w:w="1760" w:type="pct"/>
                  <w:shd w:val="clear" w:color="auto" w:fill="auto"/>
                  <w:vAlign w:val="center"/>
                </w:tcPr>
                <w:p w14:paraId="6B15C976">
                  <w:pPr>
                    <w:adjustRightInd w:val="0"/>
                    <w:snapToGrid w:val="0"/>
                    <w:jc w:val="center"/>
                    <w:rPr>
                      <w:bCs/>
                      <w:sz w:val="21"/>
                      <w:szCs w:val="21"/>
                    </w:rPr>
                  </w:pPr>
                  <w:r>
                    <w:rPr>
                      <w:sz w:val="21"/>
                      <w:szCs w:val="21"/>
                    </w:rPr>
                    <w:t>本项目为</w:t>
                  </w:r>
                  <w:r>
                    <w:rPr>
                      <w:rFonts w:hint="eastAsia"/>
                      <w:sz w:val="21"/>
                      <w:szCs w:val="21"/>
                    </w:rPr>
                    <w:t>检测</w:t>
                  </w:r>
                  <w:r>
                    <w:rPr>
                      <w:sz w:val="21"/>
                      <w:szCs w:val="21"/>
                    </w:rPr>
                    <w:t>服务类项目，不属于重点高VOCs排放建设项目，</w:t>
                  </w:r>
                  <w:r>
                    <w:rPr>
                      <w:rFonts w:hint="eastAsia"/>
                      <w:sz w:val="21"/>
                      <w:szCs w:val="21"/>
                    </w:rPr>
                    <w:t>项目有机前处理及实验检测过程产生的有机废气（以非甲烷总烃计）经通风橱/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w:t>
                  </w:r>
                  <w:r>
                    <w:rPr>
                      <w:sz w:val="21"/>
                      <w:szCs w:val="21"/>
                    </w:rPr>
                    <w:t>，对环境影响较小。</w:t>
                  </w:r>
                </w:p>
              </w:tc>
              <w:tc>
                <w:tcPr>
                  <w:tcW w:w="280" w:type="pct"/>
                  <w:shd w:val="clear" w:color="auto" w:fill="auto"/>
                  <w:vAlign w:val="center"/>
                </w:tcPr>
                <w:p w14:paraId="28508D30">
                  <w:pPr>
                    <w:contextualSpacing/>
                    <w:jc w:val="center"/>
                    <w:rPr>
                      <w:bCs/>
                      <w:kern w:val="0"/>
                      <w:sz w:val="21"/>
                      <w:szCs w:val="21"/>
                    </w:rPr>
                  </w:pPr>
                  <w:r>
                    <w:rPr>
                      <w:rFonts w:hint="eastAsia"/>
                      <w:bCs/>
                      <w:kern w:val="0"/>
                      <w:sz w:val="21"/>
                      <w:szCs w:val="21"/>
                    </w:rPr>
                    <w:t>符合</w:t>
                  </w:r>
                </w:p>
              </w:tc>
            </w:tr>
            <w:tr w14:paraId="34EB3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7765436D">
                  <w:pPr>
                    <w:contextualSpacing/>
                    <w:jc w:val="center"/>
                    <w:rPr>
                      <w:bCs/>
                      <w:kern w:val="0"/>
                      <w:sz w:val="21"/>
                      <w:szCs w:val="21"/>
                    </w:rPr>
                  </w:pPr>
                  <w:r>
                    <w:rPr>
                      <w:rFonts w:hint="eastAsia"/>
                      <w:bCs/>
                      <w:kern w:val="0"/>
                      <w:sz w:val="21"/>
                      <w:szCs w:val="21"/>
                    </w:rPr>
                    <w:t>《陕西省大气污染治理专项行动方案（2023-2027年）》（陕发〔2023〕4号）</w:t>
                  </w:r>
                </w:p>
              </w:tc>
              <w:tc>
                <w:tcPr>
                  <w:tcW w:w="2281" w:type="pct"/>
                  <w:shd w:val="clear" w:color="auto" w:fill="auto"/>
                  <w:vAlign w:val="center"/>
                </w:tcPr>
                <w:p w14:paraId="29D492B5">
                  <w:pPr>
                    <w:contextualSpacing/>
                    <w:rPr>
                      <w:bCs/>
                      <w:kern w:val="0"/>
                      <w:sz w:val="21"/>
                      <w:szCs w:val="21"/>
                    </w:rPr>
                  </w:pPr>
                  <w:r>
                    <w:rPr>
                      <w:bCs/>
                      <w:kern w:val="0"/>
                      <w:sz w:val="21"/>
                      <w:szCs w:val="21"/>
                    </w:rPr>
                    <w:t>重点任务：关中地区严禁新增煤电（含自备电厂）装机规模……关中地区严禁新增钢铁、焦化、水泥熟料、平板玻璃、电解铝、氧化铝、煤化工产能，合理控制煤制油气产能规模，严控新增炼油产能。</w:t>
                  </w:r>
                </w:p>
              </w:tc>
              <w:tc>
                <w:tcPr>
                  <w:tcW w:w="1760" w:type="pct"/>
                  <w:shd w:val="clear" w:color="auto" w:fill="auto"/>
                  <w:vAlign w:val="center"/>
                </w:tcPr>
                <w:p w14:paraId="433D2172">
                  <w:pPr>
                    <w:contextualSpacing/>
                    <w:jc w:val="center"/>
                    <w:rPr>
                      <w:bCs/>
                      <w:kern w:val="0"/>
                      <w:sz w:val="21"/>
                      <w:szCs w:val="21"/>
                    </w:rPr>
                  </w:pPr>
                  <w:r>
                    <w:rPr>
                      <w:rFonts w:hint="eastAsia"/>
                      <w:bCs/>
                      <w:kern w:val="0"/>
                      <w:sz w:val="21"/>
                      <w:szCs w:val="21"/>
                    </w:rPr>
                    <w:t>本项目不涉及新增煤电，不属于新增钢铁、焦化、水泥熟料、平板玻璃、电解铝、氧化铝、煤化工等严禁行业。项目采暖制冷采用空调。本项目主要</w:t>
                  </w:r>
                  <w:r>
                    <w:rPr>
                      <w:rFonts w:hint="eastAsia"/>
                      <w:kern w:val="0"/>
                      <w:sz w:val="21"/>
                      <w:szCs w:val="21"/>
                    </w:rPr>
                    <w:t>从事环境保护监测</w:t>
                  </w:r>
                  <w:r>
                    <w:rPr>
                      <w:rFonts w:hint="eastAsia"/>
                      <w:bCs/>
                      <w:kern w:val="0"/>
                      <w:sz w:val="21"/>
                      <w:szCs w:val="21"/>
                    </w:rPr>
                    <w:t>，不属于产业发展结构中禁止产业，也不属于涉气重点行业。</w:t>
                  </w:r>
                </w:p>
              </w:tc>
              <w:tc>
                <w:tcPr>
                  <w:tcW w:w="280" w:type="pct"/>
                  <w:shd w:val="clear" w:color="auto" w:fill="auto"/>
                  <w:vAlign w:val="center"/>
                </w:tcPr>
                <w:p w14:paraId="5EFEDCDE">
                  <w:pPr>
                    <w:contextualSpacing/>
                    <w:jc w:val="center"/>
                    <w:rPr>
                      <w:bCs/>
                      <w:kern w:val="0"/>
                      <w:sz w:val="21"/>
                      <w:szCs w:val="21"/>
                    </w:rPr>
                  </w:pPr>
                  <w:r>
                    <w:rPr>
                      <w:rFonts w:hint="eastAsia"/>
                      <w:bCs/>
                      <w:kern w:val="0"/>
                      <w:sz w:val="21"/>
                      <w:szCs w:val="21"/>
                    </w:rPr>
                    <w:t>符合</w:t>
                  </w:r>
                </w:p>
              </w:tc>
            </w:tr>
            <w:tr w14:paraId="76292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2212B9B6">
                  <w:pPr>
                    <w:contextualSpacing/>
                    <w:jc w:val="center"/>
                    <w:rPr>
                      <w:bCs/>
                      <w:kern w:val="0"/>
                      <w:sz w:val="21"/>
                      <w:szCs w:val="21"/>
                    </w:rPr>
                  </w:pPr>
                </w:p>
              </w:tc>
              <w:tc>
                <w:tcPr>
                  <w:tcW w:w="2281" w:type="pct"/>
                  <w:shd w:val="clear" w:color="auto" w:fill="auto"/>
                  <w:vAlign w:val="center"/>
                </w:tcPr>
                <w:p w14:paraId="7AEEBC53">
                  <w:pPr>
                    <w:adjustRightInd w:val="0"/>
                    <w:snapToGrid w:val="0"/>
                    <w:rPr>
                      <w:sz w:val="21"/>
                      <w:szCs w:val="21"/>
                    </w:rPr>
                  </w:pPr>
                  <w:r>
                    <w:rPr>
                      <w:sz w:val="21"/>
                      <w:szCs w:val="21"/>
                    </w:rPr>
                    <w:t>动态更新挥发性有机物治理设施台账，开展简易低效挥发性有机物治理设施清理整治、涉活性炭挥发性有机物处理工艺专项整治行动，强化挥发性有机物无组织排放整治，确保达到相关标准要求。新建挥发性有机物治理设施不再采用单一低温等离子、光氧化、光催化等治理技术，非水溶性挥发性有机物废气不再采用单一喷淋吸收方式处理。</w:t>
                  </w:r>
                </w:p>
              </w:tc>
              <w:tc>
                <w:tcPr>
                  <w:tcW w:w="1760" w:type="pct"/>
                  <w:shd w:val="clear" w:color="auto" w:fill="auto"/>
                  <w:vAlign w:val="center"/>
                </w:tcPr>
                <w:p w14:paraId="18D11F01">
                  <w:pPr>
                    <w:adjustRightInd w:val="0"/>
                    <w:snapToGrid w:val="0"/>
                    <w:jc w:val="center"/>
                    <w:rPr>
                      <w:sz w:val="21"/>
                      <w:szCs w:val="21"/>
                    </w:rPr>
                  </w:pPr>
                  <w:r>
                    <w:rPr>
                      <w:sz w:val="21"/>
                      <w:szCs w:val="21"/>
                      <w:lang w:bidi="ar"/>
                    </w:rPr>
                    <w:t>本项目</w:t>
                  </w:r>
                  <w:r>
                    <w:rPr>
                      <w:rFonts w:hint="eastAsia"/>
                      <w:sz w:val="21"/>
                      <w:szCs w:val="21"/>
                    </w:rPr>
                    <w:t>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w:t>
                  </w:r>
                  <w:r>
                    <w:rPr>
                      <w:sz w:val="21"/>
                      <w:szCs w:val="21"/>
                      <w:lang w:bidi="ar"/>
                    </w:rPr>
                    <w:t>实验室内各区域集气及排风设施覆盖全面，无组织排放量较少，对环境影响</w:t>
                  </w:r>
                  <w:r>
                    <w:rPr>
                      <w:rFonts w:hint="eastAsia"/>
                      <w:sz w:val="21"/>
                      <w:szCs w:val="21"/>
                      <w:lang w:bidi="ar"/>
                    </w:rPr>
                    <w:t>较小。</w:t>
                  </w:r>
                </w:p>
              </w:tc>
              <w:tc>
                <w:tcPr>
                  <w:tcW w:w="280" w:type="pct"/>
                  <w:shd w:val="clear" w:color="auto" w:fill="auto"/>
                  <w:vAlign w:val="center"/>
                </w:tcPr>
                <w:p w14:paraId="2D8FCC17">
                  <w:pPr>
                    <w:adjustRightInd w:val="0"/>
                    <w:snapToGrid w:val="0"/>
                    <w:jc w:val="center"/>
                    <w:rPr>
                      <w:sz w:val="21"/>
                      <w:szCs w:val="21"/>
                    </w:rPr>
                  </w:pPr>
                  <w:r>
                    <w:rPr>
                      <w:sz w:val="21"/>
                      <w:szCs w:val="21"/>
                    </w:rPr>
                    <w:t>符合</w:t>
                  </w:r>
                </w:p>
              </w:tc>
            </w:tr>
            <w:tr w14:paraId="37A97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78698899">
                  <w:pPr>
                    <w:contextualSpacing/>
                    <w:jc w:val="center"/>
                    <w:rPr>
                      <w:bCs/>
                      <w:kern w:val="0"/>
                      <w:sz w:val="21"/>
                      <w:szCs w:val="21"/>
                    </w:rPr>
                  </w:pPr>
                </w:p>
              </w:tc>
              <w:tc>
                <w:tcPr>
                  <w:tcW w:w="2281" w:type="pct"/>
                  <w:shd w:val="clear" w:color="auto" w:fill="auto"/>
                  <w:vAlign w:val="center"/>
                </w:tcPr>
                <w:p w14:paraId="5D3CC72E">
                  <w:pPr>
                    <w:adjustRightInd w:val="0"/>
                    <w:snapToGrid w:val="0"/>
                    <w:rPr>
                      <w:sz w:val="21"/>
                      <w:szCs w:val="21"/>
                    </w:rPr>
                  </w:pPr>
                  <w:r>
                    <w:rPr>
                      <w:sz w:val="21"/>
                      <w:szCs w:val="21"/>
                    </w:rPr>
                    <w:t>开展含挥发性有机物原辅材料达标情况联合检查。严格执行涂料、油墨、胶粘剂、清洗剂挥发性有机物含量限值标准，建立多部门联合执法机制，加强对相关产品生产、销售、使用环节挥发性有机物含量限值执行情况的监督检查，臭氧高发季节加大检测频次，曝光不合格产品并追溯其生产、销售、进口、使用企业，依法追究责任。</w:t>
                  </w:r>
                </w:p>
              </w:tc>
              <w:tc>
                <w:tcPr>
                  <w:tcW w:w="1760" w:type="pct"/>
                  <w:shd w:val="clear" w:color="auto" w:fill="auto"/>
                  <w:vAlign w:val="center"/>
                </w:tcPr>
                <w:p w14:paraId="479402EC">
                  <w:pPr>
                    <w:adjustRightInd w:val="0"/>
                    <w:snapToGrid w:val="0"/>
                    <w:jc w:val="center"/>
                    <w:rPr>
                      <w:sz w:val="21"/>
                      <w:szCs w:val="21"/>
                    </w:rPr>
                  </w:pPr>
                  <w:r>
                    <w:rPr>
                      <w:sz w:val="21"/>
                      <w:szCs w:val="21"/>
                      <w:lang w:bidi="ar"/>
                    </w:rPr>
                    <w:t>本项目实验室内使用的有机化学试剂均符合实验试剂产品标准的原料，符合检测实验要求。</w:t>
                  </w:r>
                </w:p>
              </w:tc>
              <w:tc>
                <w:tcPr>
                  <w:tcW w:w="280" w:type="pct"/>
                  <w:shd w:val="clear" w:color="auto" w:fill="auto"/>
                  <w:vAlign w:val="center"/>
                </w:tcPr>
                <w:p w14:paraId="51B73F94">
                  <w:pPr>
                    <w:adjustRightInd w:val="0"/>
                    <w:snapToGrid w:val="0"/>
                    <w:jc w:val="center"/>
                    <w:rPr>
                      <w:sz w:val="21"/>
                      <w:szCs w:val="21"/>
                    </w:rPr>
                  </w:pPr>
                  <w:r>
                    <w:rPr>
                      <w:sz w:val="21"/>
                      <w:szCs w:val="21"/>
                    </w:rPr>
                    <w:t>符合</w:t>
                  </w:r>
                </w:p>
              </w:tc>
            </w:tr>
            <w:tr w14:paraId="0B64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0B8251B6">
                  <w:pPr>
                    <w:contextualSpacing/>
                    <w:jc w:val="center"/>
                    <w:rPr>
                      <w:bCs/>
                      <w:kern w:val="0"/>
                      <w:sz w:val="21"/>
                      <w:szCs w:val="21"/>
                    </w:rPr>
                  </w:pPr>
                </w:p>
              </w:tc>
              <w:tc>
                <w:tcPr>
                  <w:tcW w:w="2281" w:type="pct"/>
                  <w:shd w:val="clear" w:color="auto" w:fill="auto"/>
                  <w:vAlign w:val="center"/>
                </w:tcPr>
                <w:p w14:paraId="755F230F">
                  <w:pPr>
                    <w:contextualSpacing/>
                    <w:rPr>
                      <w:bCs/>
                      <w:kern w:val="0"/>
                      <w:sz w:val="21"/>
                      <w:szCs w:val="21"/>
                    </w:rPr>
                  </w:pPr>
                  <w:r>
                    <w:rPr>
                      <w:rFonts w:hint="eastAsia"/>
                      <w:bCs/>
                      <w:kern w:val="0"/>
                      <w:sz w:val="21"/>
                      <w:szCs w:val="21"/>
                    </w:rPr>
                    <w:t>扬尘治理工程。……关中地区以降低PM</w:t>
                  </w:r>
                  <w:r>
                    <w:rPr>
                      <w:rFonts w:hint="eastAsia"/>
                      <w:bCs/>
                      <w:kern w:val="0"/>
                      <w:sz w:val="21"/>
                      <w:szCs w:val="21"/>
                      <w:vertAlign w:val="subscript"/>
                    </w:rPr>
                    <w:t>10</w:t>
                  </w:r>
                  <w:r>
                    <w:rPr>
                      <w:rFonts w:hint="eastAsia"/>
                      <w:bCs/>
                      <w:kern w:val="0"/>
                      <w:sz w:val="21"/>
                      <w:szCs w:val="21"/>
                    </w:rPr>
                    <w:t>指标为导向建立动态管控机制，施工场地严格执行“六个百分百”，施工工地扬尘排放超过《施工场界扬尘排放限值（DB 61/1078-2017）》的立即停工整改……</w:t>
                  </w:r>
                </w:p>
              </w:tc>
              <w:tc>
                <w:tcPr>
                  <w:tcW w:w="1760" w:type="pct"/>
                  <w:shd w:val="clear" w:color="auto" w:fill="auto"/>
                  <w:vAlign w:val="center"/>
                </w:tcPr>
                <w:p w14:paraId="76DA72D7">
                  <w:pPr>
                    <w:contextualSpacing/>
                    <w:jc w:val="center"/>
                    <w:rPr>
                      <w:bCs/>
                      <w:kern w:val="0"/>
                      <w:sz w:val="21"/>
                      <w:szCs w:val="21"/>
                    </w:rPr>
                  </w:pPr>
                  <w:r>
                    <w:rPr>
                      <w:rFonts w:hint="eastAsia"/>
                      <w:bCs/>
                      <w:kern w:val="0"/>
                      <w:sz w:val="21"/>
                      <w:szCs w:val="21"/>
                    </w:rPr>
                    <w:t>本项目施工期主要进行内部给水、排水、供电管道的建设，进行防渗作业，建设墙体隔断，安装调试实验设备及配套设施。施工过程均在厂房内进行，在加强施工现场管理的情况下，施工场界扬尘可满足《施工场界扬尘排放限值（DB 61/1078-2017）》要求。</w:t>
                  </w:r>
                </w:p>
              </w:tc>
              <w:tc>
                <w:tcPr>
                  <w:tcW w:w="280" w:type="pct"/>
                  <w:shd w:val="clear" w:color="auto" w:fill="auto"/>
                  <w:vAlign w:val="center"/>
                </w:tcPr>
                <w:p w14:paraId="3C7A7FDE">
                  <w:pPr>
                    <w:contextualSpacing/>
                    <w:jc w:val="center"/>
                    <w:rPr>
                      <w:bCs/>
                      <w:kern w:val="0"/>
                      <w:sz w:val="21"/>
                      <w:szCs w:val="21"/>
                    </w:rPr>
                  </w:pPr>
                  <w:r>
                    <w:rPr>
                      <w:rFonts w:hint="eastAsia"/>
                      <w:bCs/>
                      <w:kern w:val="0"/>
                      <w:sz w:val="21"/>
                      <w:szCs w:val="21"/>
                    </w:rPr>
                    <w:t>符合</w:t>
                  </w:r>
                </w:p>
              </w:tc>
            </w:tr>
            <w:tr w14:paraId="0235A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56511847">
                  <w:pPr>
                    <w:contextualSpacing/>
                    <w:jc w:val="center"/>
                    <w:rPr>
                      <w:bCs/>
                      <w:kern w:val="0"/>
                      <w:sz w:val="21"/>
                      <w:szCs w:val="21"/>
                    </w:rPr>
                  </w:pPr>
                  <w:r>
                    <w:rPr>
                      <w:rFonts w:hint="eastAsia"/>
                      <w:bCs/>
                      <w:kern w:val="0"/>
                      <w:sz w:val="21"/>
                      <w:szCs w:val="21"/>
                    </w:rPr>
                    <w:t>《西安市大气污染治理专项行动方案（2023-2027年）》</w:t>
                  </w:r>
                </w:p>
              </w:tc>
              <w:tc>
                <w:tcPr>
                  <w:tcW w:w="2281" w:type="pct"/>
                  <w:shd w:val="clear" w:color="auto" w:fill="auto"/>
                  <w:vAlign w:val="center"/>
                </w:tcPr>
                <w:p w14:paraId="7EB05F87">
                  <w:pPr>
                    <w:pStyle w:val="40"/>
                    <w:snapToGrid w:val="0"/>
                    <w:rPr>
                      <w:rFonts w:cs="Times New Roman"/>
                      <w:color w:val="auto"/>
                      <w:sz w:val="21"/>
                    </w:rPr>
                  </w:pPr>
                  <w:r>
                    <w:rPr>
                      <w:rFonts w:hint="eastAsia" w:hAnsi="Courier New" w:cs="Times New Roman"/>
                      <w:color w:val="auto"/>
                      <w:sz w:val="21"/>
                      <w:szCs w:val="21"/>
                    </w:rPr>
                    <w:t>深入开展“创A升B减C清D”活动。提升重点行业绩效分级B级及以上和引领性企业占比，聚焦重点涉气企业，兼顾企业数量和质量，重点行业头部企业、排放大户要率先升级。2023年全市A级、B级和引领性企业总数不少于35家；2024年全市B级及以上和引领性企业不少于80家；2025年底前各区涉气重点企业达到B级及以上和引领性水平；2027年底前各开发区内的涉气重点企业达到B级及以上和引领性水平。深入开展工业涂装重点行业企业环保绩效创A升B工作，2027年底前全市A级和引领性企业达到40家以上。2025年底前依据《重污染天气重点行业应急减排措施制定技术指南》评定为环保绩效最低等级水平的涉气企业，由区县政府、开发区管委会依法依规处置。</w:t>
                  </w:r>
                </w:p>
              </w:tc>
              <w:tc>
                <w:tcPr>
                  <w:tcW w:w="1760" w:type="pct"/>
                  <w:shd w:val="clear" w:color="auto" w:fill="auto"/>
                  <w:vAlign w:val="center"/>
                </w:tcPr>
                <w:p w14:paraId="7C770CCB">
                  <w:pPr>
                    <w:pStyle w:val="40"/>
                    <w:snapToGrid w:val="0"/>
                    <w:jc w:val="center"/>
                    <w:rPr>
                      <w:rFonts w:cs="Times New Roman"/>
                      <w:color w:val="auto"/>
                      <w:sz w:val="21"/>
                      <w:szCs w:val="21"/>
                    </w:rPr>
                  </w:pPr>
                  <w:r>
                    <w:rPr>
                      <w:rFonts w:hint="eastAsia" w:hAnsi="Courier New" w:cs="Times New Roman"/>
                      <w:color w:val="auto"/>
                      <w:sz w:val="21"/>
                      <w:szCs w:val="21"/>
                    </w:rPr>
                    <w:t>根据《重污染天气重点行业应急减排措施制定技术指南（2020年修订版）》，本项目</w:t>
                  </w:r>
                  <w:r>
                    <w:rPr>
                      <w:rFonts w:hint="eastAsia"/>
                      <w:bCs/>
                      <w:color w:val="auto"/>
                      <w:kern w:val="0"/>
                      <w:sz w:val="21"/>
                      <w:szCs w:val="21"/>
                    </w:rPr>
                    <w:t>主要</w:t>
                  </w:r>
                  <w:r>
                    <w:rPr>
                      <w:rFonts w:hint="eastAsia"/>
                      <w:color w:val="auto"/>
                      <w:kern w:val="0"/>
                      <w:sz w:val="21"/>
                      <w:szCs w:val="21"/>
                    </w:rPr>
                    <w:t>从事环境保护监测</w:t>
                  </w:r>
                  <w:r>
                    <w:rPr>
                      <w:rFonts w:hint="eastAsia" w:hAnsi="Courier New" w:cs="Times New Roman"/>
                      <w:color w:val="auto"/>
                      <w:sz w:val="21"/>
                      <w:szCs w:val="21"/>
                    </w:rPr>
                    <w:t>，不属于涉气重点行业。</w:t>
                  </w:r>
                </w:p>
              </w:tc>
              <w:tc>
                <w:tcPr>
                  <w:tcW w:w="280" w:type="pct"/>
                  <w:shd w:val="clear" w:color="auto" w:fill="auto"/>
                  <w:vAlign w:val="center"/>
                </w:tcPr>
                <w:p w14:paraId="3ABD260F">
                  <w:pPr>
                    <w:contextualSpacing/>
                    <w:jc w:val="center"/>
                    <w:rPr>
                      <w:bCs/>
                      <w:kern w:val="0"/>
                      <w:sz w:val="21"/>
                      <w:szCs w:val="21"/>
                    </w:rPr>
                  </w:pPr>
                  <w:r>
                    <w:rPr>
                      <w:rFonts w:hint="eastAsia"/>
                      <w:bCs/>
                      <w:kern w:val="0"/>
                      <w:sz w:val="21"/>
                      <w:szCs w:val="21"/>
                    </w:rPr>
                    <w:t>符合</w:t>
                  </w:r>
                </w:p>
              </w:tc>
            </w:tr>
            <w:tr w14:paraId="5D4F5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56C9661A">
                  <w:pPr>
                    <w:contextualSpacing/>
                    <w:jc w:val="center"/>
                    <w:rPr>
                      <w:bCs/>
                      <w:kern w:val="0"/>
                      <w:sz w:val="21"/>
                      <w:szCs w:val="21"/>
                    </w:rPr>
                  </w:pPr>
                </w:p>
              </w:tc>
              <w:tc>
                <w:tcPr>
                  <w:tcW w:w="2281" w:type="pct"/>
                  <w:shd w:val="clear" w:color="auto" w:fill="auto"/>
                  <w:vAlign w:val="center"/>
                </w:tcPr>
                <w:p w14:paraId="390B18CB">
                  <w:pPr>
                    <w:contextualSpacing/>
                    <w:rPr>
                      <w:bCs/>
                      <w:kern w:val="0"/>
                      <w:sz w:val="21"/>
                      <w:szCs w:val="21"/>
                    </w:rPr>
                  </w:pPr>
                  <w:r>
                    <w:rPr>
                      <w:rFonts w:hint="eastAsia"/>
                      <w:bCs/>
                      <w:kern w:val="0"/>
                      <w:sz w:val="21"/>
                      <w:szCs w:val="21"/>
                    </w:rPr>
                    <w:t>强化源头管控。严格落实国家及省级产业规划、产业政策、“三线一单”、规划环评等要求，深入开展我市区域空间生态环境评价工作，积极推行区域、规划环境影响评价，新、改、扩建化工、石化、建材、有色等项目的环境影响评价应满足区域、规划环评要求。</w:t>
                  </w:r>
                </w:p>
              </w:tc>
              <w:tc>
                <w:tcPr>
                  <w:tcW w:w="1760" w:type="pct"/>
                  <w:shd w:val="clear" w:color="auto" w:fill="auto"/>
                  <w:vAlign w:val="center"/>
                </w:tcPr>
                <w:p w14:paraId="0E47F04C">
                  <w:pPr>
                    <w:contextualSpacing/>
                    <w:jc w:val="center"/>
                    <w:rPr>
                      <w:bCs/>
                      <w:kern w:val="0"/>
                      <w:sz w:val="21"/>
                      <w:szCs w:val="21"/>
                    </w:rPr>
                  </w:pPr>
                  <w:r>
                    <w:rPr>
                      <w:rFonts w:hint="eastAsia" w:hAnsi="Courier New"/>
                      <w:sz w:val="21"/>
                      <w:szCs w:val="21"/>
                    </w:rPr>
                    <w:t>本项目建设符合产业政策、“三线一单”等要求，严格落实环境影响评价制度。</w:t>
                  </w:r>
                </w:p>
              </w:tc>
              <w:tc>
                <w:tcPr>
                  <w:tcW w:w="280" w:type="pct"/>
                  <w:shd w:val="clear" w:color="auto" w:fill="auto"/>
                  <w:vAlign w:val="center"/>
                </w:tcPr>
                <w:p w14:paraId="339A151C">
                  <w:pPr>
                    <w:contextualSpacing/>
                    <w:jc w:val="center"/>
                    <w:rPr>
                      <w:bCs/>
                      <w:kern w:val="0"/>
                      <w:sz w:val="21"/>
                      <w:szCs w:val="21"/>
                    </w:rPr>
                  </w:pPr>
                  <w:r>
                    <w:rPr>
                      <w:rFonts w:hint="eastAsia"/>
                      <w:bCs/>
                      <w:kern w:val="0"/>
                      <w:sz w:val="21"/>
                      <w:szCs w:val="21"/>
                    </w:rPr>
                    <w:t>符合</w:t>
                  </w:r>
                </w:p>
              </w:tc>
            </w:tr>
            <w:tr w14:paraId="06845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14708556">
                  <w:pPr>
                    <w:contextualSpacing/>
                    <w:jc w:val="center"/>
                    <w:rPr>
                      <w:bCs/>
                      <w:kern w:val="0"/>
                      <w:sz w:val="21"/>
                      <w:szCs w:val="21"/>
                    </w:rPr>
                  </w:pPr>
                  <w:r>
                    <w:rPr>
                      <w:sz w:val="21"/>
                      <w:szCs w:val="21"/>
                    </w:rPr>
                    <w:t>《西咸新区大气污染治理专项行动方案（2023-2027年）》（陕西咸党发〔2023〕4号）</w:t>
                  </w:r>
                </w:p>
              </w:tc>
              <w:tc>
                <w:tcPr>
                  <w:tcW w:w="2281" w:type="pct"/>
                  <w:shd w:val="clear" w:color="auto" w:fill="auto"/>
                  <w:vAlign w:val="center"/>
                </w:tcPr>
                <w:p w14:paraId="165ADDE0">
                  <w:pPr>
                    <w:widowControl/>
                    <w:autoSpaceDE w:val="0"/>
                    <w:autoSpaceDN w:val="0"/>
                    <w:adjustRightInd w:val="0"/>
                    <w:snapToGrid w:val="0"/>
                    <w:contextualSpacing/>
                    <w:outlineLvl w:val="1"/>
                    <w:rPr>
                      <w:sz w:val="21"/>
                      <w:szCs w:val="21"/>
                    </w:rPr>
                  </w:pPr>
                  <w:r>
                    <w:rPr>
                      <w:sz w:val="21"/>
                      <w:szCs w:val="21"/>
                    </w:rPr>
                    <w:t>强化源头管控。严格落实国家、省、市及新区产业规划、产业政策、</w:t>
                  </w:r>
                  <w:r>
                    <w:rPr>
                      <w:rFonts w:hint="eastAsia"/>
                      <w:sz w:val="21"/>
                      <w:szCs w:val="21"/>
                    </w:rPr>
                    <w:t>“</w:t>
                  </w:r>
                  <w:r>
                    <w:rPr>
                      <w:sz w:val="21"/>
                      <w:szCs w:val="21"/>
                    </w:rPr>
                    <w:t>三线一单</w:t>
                  </w:r>
                  <w:r>
                    <w:rPr>
                      <w:rFonts w:hint="eastAsia"/>
                      <w:sz w:val="21"/>
                      <w:szCs w:val="21"/>
                    </w:rPr>
                    <w:t>”</w:t>
                  </w:r>
                  <w:r>
                    <w:rPr>
                      <w:sz w:val="21"/>
                      <w:szCs w:val="21"/>
                    </w:rPr>
                    <w:t>、规划环评等要求，深入开展区域空间生态环境评价工作，积极推行区域、规划环境影响评价，新、改、扩建化工、石化、建材、有色等项目的环境影响评价应满足区域、规划环评要求。</w:t>
                  </w:r>
                </w:p>
              </w:tc>
              <w:tc>
                <w:tcPr>
                  <w:tcW w:w="1760" w:type="pct"/>
                  <w:shd w:val="clear" w:color="auto" w:fill="auto"/>
                  <w:vAlign w:val="center"/>
                </w:tcPr>
                <w:p w14:paraId="5D0FC75C">
                  <w:pPr>
                    <w:autoSpaceDE w:val="0"/>
                    <w:autoSpaceDN w:val="0"/>
                    <w:adjustRightInd w:val="0"/>
                    <w:snapToGrid w:val="0"/>
                    <w:contextualSpacing/>
                    <w:jc w:val="center"/>
                    <w:outlineLvl w:val="1"/>
                    <w:rPr>
                      <w:sz w:val="21"/>
                      <w:szCs w:val="21"/>
                    </w:rPr>
                  </w:pPr>
                  <w:r>
                    <w:rPr>
                      <w:rFonts w:hint="eastAsia"/>
                      <w:sz w:val="21"/>
                      <w:szCs w:val="21"/>
                    </w:rPr>
                    <w:t>本</w:t>
                  </w:r>
                  <w:r>
                    <w:rPr>
                      <w:sz w:val="21"/>
                      <w:szCs w:val="21"/>
                    </w:rPr>
                    <w:t>项目不属于化工、石化、建材、有色行业，项目建设符合产业政策、</w:t>
                  </w:r>
                  <w:r>
                    <w:rPr>
                      <w:rFonts w:hint="eastAsia"/>
                      <w:sz w:val="21"/>
                      <w:szCs w:val="21"/>
                    </w:rPr>
                    <w:t>“</w:t>
                  </w:r>
                  <w:r>
                    <w:rPr>
                      <w:sz w:val="21"/>
                      <w:szCs w:val="21"/>
                    </w:rPr>
                    <w:t>三线一单</w:t>
                  </w:r>
                  <w:r>
                    <w:rPr>
                      <w:rFonts w:hint="eastAsia"/>
                      <w:sz w:val="21"/>
                      <w:szCs w:val="21"/>
                    </w:rPr>
                    <w:t>”等要</w:t>
                  </w:r>
                  <w:r>
                    <w:rPr>
                      <w:sz w:val="21"/>
                      <w:szCs w:val="21"/>
                    </w:rPr>
                    <w:t>求</w:t>
                  </w:r>
                  <w:r>
                    <w:rPr>
                      <w:rFonts w:hint="eastAsia"/>
                      <w:sz w:val="21"/>
                      <w:szCs w:val="21"/>
                    </w:rPr>
                    <w:t>，</w:t>
                  </w:r>
                  <w:r>
                    <w:rPr>
                      <w:rFonts w:hint="eastAsia" w:hAnsi="Courier New"/>
                      <w:sz w:val="21"/>
                      <w:szCs w:val="21"/>
                    </w:rPr>
                    <w:t>严格落实环境影响评价制度。</w:t>
                  </w:r>
                </w:p>
              </w:tc>
              <w:tc>
                <w:tcPr>
                  <w:tcW w:w="280" w:type="pct"/>
                  <w:shd w:val="clear" w:color="auto" w:fill="auto"/>
                  <w:vAlign w:val="center"/>
                </w:tcPr>
                <w:p w14:paraId="568FA724">
                  <w:pPr>
                    <w:contextualSpacing/>
                    <w:jc w:val="center"/>
                    <w:rPr>
                      <w:bCs/>
                      <w:kern w:val="0"/>
                      <w:sz w:val="21"/>
                      <w:szCs w:val="21"/>
                    </w:rPr>
                  </w:pPr>
                  <w:r>
                    <w:rPr>
                      <w:rFonts w:hint="eastAsia"/>
                      <w:bCs/>
                      <w:kern w:val="0"/>
                      <w:sz w:val="21"/>
                      <w:szCs w:val="21"/>
                    </w:rPr>
                    <w:t>符合</w:t>
                  </w:r>
                </w:p>
              </w:tc>
            </w:tr>
            <w:tr w14:paraId="389C3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4CFAE612">
                  <w:pPr>
                    <w:contextualSpacing/>
                    <w:jc w:val="center"/>
                    <w:rPr>
                      <w:sz w:val="21"/>
                      <w:szCs w:val="21"/>
                    </w:rPr>
                  </w:pPr>
                </w:p>
              </w:tc>
              <w:tc>
                <w:tcPr>
                  <w:tcW w:w="2281" w:type="pct"/>
                  <w:shd w:val="clear" w:color="auto" w:fill="auto"/>
                  <w:vAlign w:val="center"/>
                </w:tcPr>
                <w:p w14:paraId="4B20C4AF">
                  <w:pPr>
                    <w:widowControl/>
                    <w:autoSpaceDE w:val="0"/>
                    <w:autoSpaceDN w:val="0"/>
                    <w:adjustRightInd w:val="0"/>
                    <w:snapToGrid w:val="0"/>
                    <w:contextualSpacing/>
                    <w:outlineLvl w:val="1"/>
                    <w:rPr>
                      <w:sz w:val="21"/>
                      <w:szCs w:val="21"/>
                    </w:rPr>
                  </w:pPr>
                  <w:r>
                    <w:rPr>
                      <w:sz w:val="21"/>
                      <w:szCs w:val="21"/>
                    </w:rPr>
                    <w:t>12.夏季臭氧应对行动。（3）强化VOCs末端处理工艺治理。动态更新挥发性有机物治理设施台账，开展易低效挥发性有机物治理设施清理整治、涉活性炭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1760" w:type="pct"/>
                  <w:shd w:val="clear" w:color="auto" w:fill="auto"/>
                  <w:vAlign w:val="center"/>
                </w:tcPr>
                <w:p w14:paraId="0F4CA0BF">
                  <w:pPr>
                    <w:autoSpaceDE w:val="0"/>
                    <w:autoSpaceDN w:val="0"/>
                    <w:adjustRightInd w:val="0"/>
                    <w:snapToGrid w:val="0"/>
                    <w:contextualSpacing/>
                    <w:jc w:val="center"/>
                    <w:outlineLvl w:val="1"/>
                    <w:rPr>
                      <w:sz w:val="21"/>
                      <w:szCs w:val="21"/>
                    </w:rPr>
                  </w:pPr>
                  <w:r>
                    <w:rPr>
                      <w:rFonts w:hint="eastAsia"/>
                      <w:sz w:val="21"/>
                      <w:szCs w:val="21"/>
                    </w:rPr>
                    <w:t>本项目定期更新挥发性有机物治理设施台账，项目有机前处理及实验检测过程产生的有机废气（以非甲烷总烃计）经通风橱/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w:t>
                  </w:r>
                  <w:r>
                    <w:rPr>
                      <w:rFonts w:hint="eastAsia"/>
                      <w:bCs/>
                      <w:kern w:val="0"/>
                      <w:sz w:val="21"/>
                      <w:szCs w:val="21"/>
                    </w:rPr>
                    <w:t>活性炭采用</w:t>
                  </w:r>
                  <w:r>
                    <w:rPr>
                      <w:rFonts w:hint="eastAsia"/>
                      <w:sz w:val="21"/>
                    </w:rPr>
                    <w:t>蜂窝活性炭。</w:t>
                  </w:r>
                </w:p>
              </w:tc>
              <w:tc>
                <w:tcPr>
                  <w:tcW w:w="280" w:type="pct"/>
                  <w:shd w:val="clear" w:color="auto" w:fill="auto"/>
                  <w:vAlign w:val="center"/>
                </w:tcPr>
                <w:p w14:paraId="20EABF72">
                  <w:pPr>
                    <w:contextualSpacing/>
                    <w:jc w:val="center"/>
                    <w:rPr>
                      <w:bCs/>
                      <w:kern w:val="0"/>
                      <w:sz w:val="21"/>
                      <w:szCs w:val="21"/>
                    </w:rPr>
                  </w:pPr>
                  <w:r>
                    <w:rPr>
                      <w:rFonts w:hint="eastAsia"/>
                      <w:bCs/>
                      <w:kern w:val="0"/>
                      <w:sz w:val="21"/>
                      <w:szCs w:val="21"/>
                    </w:rPr>
                    <w:t>符合</w:t>
                  </w:r>
                </w:p>
              </w:tc>
            </w:tr>
            <w:tr w14:paraId="284AF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191AF0BC">
                  <w:pPr>
                    <w:contextualSpacing/>
                    <w:jc w:val="center"/>
                    <w:rPr>
                      <w:sz w:val="21"/>
                      <w:szCs w:val="21"/>
                    </w:rPr>
                  </w:pPr>
                  <w:r>
                    <w:rPr>
                      <w:sz w:val="21"/>
                      <w:szCs w:val="21"/>
                    </w:rPr>
                    <w:t>《沣东新城大气污染治理专项行动方案（2023-2027年）》（西咸沣东党发</w:t>
                  </w:r>
                  <w:r>
                    <w:rPr>
                      <w:rFonts w:hint="eastAsia"/>
                      <w:sz w:val="21"/>
                      <w:szCs w:val="21"/>
                    </w:rPr>
                    <w:t>〔</w:t>
                  </w:r>
                  <w:r>
                    <w:rPr>
                      <w:sz w:val="21"/>
                      <w:szCs w:val="21"/>
                    </w:rPr>
                    <w:t>2023</w:t>
                  </w:r>
                  <w:r>
                    <w:rPr>
                      <w:rFonts w:hint="eastAsia"/>
                      <w:sz w:val="21"/>
                      <w:szCs w:val="21"/>
                    </w:rPr>
                    <w:t>〕</w:t>
                  </w:r>
                  <w:r>
                    <w:rPr>
                      <w:sz w:val="21"/>
                      <w:szCs w:val="21"/>
                    </w:rPr>
                    <w:t>29号）</w:t>
                  </w:r>
                </w:p>
              </w:tc>
              <w:tc>
                <w:tcPr>
                  <w:tcW w:w="2281" w:type="pct"/>
                  <w:shd w:val="clear" w:color="auto" w:fill="auto"/>
                  <w:vAlign w:val="center"/>
                </w:tcPr>
                <w:p w14:paraId="000BBF58">
                  <w:pPr>
                    <w:widowControl/>
                    <w:autoSpaceDE w:val="0"/>
                    <w:autoSpaceDN w:val="0"/>
                    <w:adjustRightInd w:val="0"/>
                    <w:snapToGrid w:val="0"/>
                    <w:contextualSpacing/>
                    <w:outlineLvl w:val="1"/>
                    <w:rPr>
                      <w:sz w:val="21"/>
                      <w:szCs w:val="21"/>
                    </w:rPr>
                  </w:pPr>
                  <w:r>
                    <w:rPr>
                      <w:rFonts w:hint="eastAsia"/>
                      <w:sz w:val="21"/>
                      <w:szCs w:val="21"/>
                    </w:rPr>
                    <w:t>强化源头管控。严格实施节能审查制度和环境影响评价制度，落实上级产业规划、产业政策、“三线一单”、规划环评等要求，深入开展区域空间生态环境评价工作，积极推行区域、规划环境影响评价，新、改、扩建化。</w:t>
                  </w:r>
                </w:p>
              </w:tc>
              <w:tc>
                <w:tcPr>
                  <w:tcW w:w="1760" w:type="pct"/>
                  <w:shd w:val="clear" w:color="auto" w:fill="auto"/>
                  <w:vAlign w:val="center"/>
                </w:tcPr>
                <w:p w14:paraId="6662C232">
                  <w:pPr>
                    <w:autoSpaceDE w:val="0"/>
                    <w:autoSpaceDN w:val="0"/>
                    <w:adjustRightInd w:val="0"/>
                    <w:snapToGrid w:val="0"/>
                    <w:contextualSpacing/>
                    <w:jc w:val="center"/>
                    <w:outlineLvl w:val="1"/>
                    <w:rPr>
                      <w:sz w:val="21"/>
                      <w:szCs w:val="21"/>
                    </w:rPr>
                  </w:pPr>
                  <w:r>
                    <w:rPr>
                      <w:rFonts w:hint="eastAsia"/>
                      <w:sz w:val="21"/>
                      <w:szCs w:val="21"/>
                    </w:rPr>
                    <w:t>本</w:t>
                  </w:r>
                  <w:r>
                    <w:rPr>
                      <w:sz w:val="21"/>
                      <w:szCs w:val="21"/>
                    </w:rPr>
                    <w:t>项目</w:t>
                  </w:r>
                  <w:r>
                    <w:rPr>
                      <w:rFonts w:hint="eastAsia"/>
                      <w:sz w:val="21"/>
                      <w:szCs w:val="21"/>
                    </w:rPr>
                    <w:t>严格落实节能审查制度和环境影响评价制度，</w:t>
                  </w:r>
                  <w:r>
                    <w:rPr>
                      <w:sz w:val="21"/>
                      <w:szCs w:val="21"/>
                    </w:rPr>
                    <w:t>项目建设符合</w:t>
                  </w:r>
                  <w:r>
                    <w:rPr>
                      <w:rFonts w:hint="eastAsia"/>
                      <w:sz w:val="21"/>
                      <w:szCs w:val="21"/>
                    </w:rPr>
                    <w:t>产业规划、</w:t>
                  </w:r>
                  <w:r>
                    <w:rPr>
                      <w:sz w:val="21"/>
                      <w:szCs w:val="21"/>
                    </w:rPr>
                    <w:t>产业政策、</w:t>
                  </w:r>
                  <w:r>
                    <w:rPr>
                      <w:rFonts w:hint="eastAsia"/>
                      <w:sz w:val="21"/>
                      <w:szCs w:val="21"/>
                    </w:rPr>
                    <w:t>“</w:t>
                  </w:r>
                  <w:r>
                    <w:rPr>
                      <w:sz w:val="21"/>
                      <w:szCs w:val="21"/>
                    </w:rPr>
                    <w:t>三线一单</w:t>
                  </w:r>
                  <w:r>
                    <w:rPr>
                      <w:rFonts w:hint="eastAsia"/>
                      <w:sz w:val="21"/>
                      <w:szCs w:val="21"/>
                    </w:rPr>
                    <w:t>”等要</w:t>
                  </w:r>
                  <w:r>
                    <w:rPr>
                      <w:sz w:val="21"/>
                      <w:szCs w:val="21"/>
                    </w:rPr>
                    <w:t>求</w:t>
                  </w:r>
                  <w:r>
                    <w:rPr>
                      <w:rFonts w:hint="eastAsia"/>
                      <w:sz w:val="21"/>
                      <w:szCs w:val="21"/>
                    </w:rPr>
                    <w:t>。</w:t>
                  </w:r>
                </w:p>
              </w:tc>
              <w:tc>
                <w:tcPr>
                  <w:tcW w:w="280" w:type="pct"/>
                  <w:shd w:val="clear" w:color="auto" w:fill="auto"/>
                  <w:vAlign w:val="center"/>
                </w:tcPr>
                <w:p w14:paraId="0413D746">
                  <w:pPr>
                    <w:contextualSpacing/>
                    <w:jc w:val="center"/>
                    <w:rPr>
                      <w:bCs/>
                      <w:kern w:val="0"/>
                      <w:sz w:val="21"/>
                      <w:szCs w:val="21"/>
                    </w:rPr>
                  </w:pPr>
                  <w:r>
                    <w:rPr>
                      <w:rFonts w:hint="eastAsia"/>
                      <w:bCs/>
                      <w:kern w:val="0"/>
                      <w:sz w:val="21"/>
                      <w:szCs w:val="21"/>
                    </w:rPr>
                    <w:t>符合</w:t>
                  </w:r>
                </w:p>
              </w:tc>
            </w:tr>
            <w:tr w14:paraId="65E50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645373CD">
                  <w:pPr>
                    <w:contextualSpacing/>
                    <w:jc w:val="center"/>
                    <w:rPr>
                      <w:sz w:val="21"/>
                      <w:szCs w:val="21"/>
                    </w:rPr>
                  </w:pPr>
                </w:p>
              </w:tc>
              <w:tc>
                <w:tcPr>
                  <w:tcW w:w="2281" w:type="pct"/>
                  <w:shd w:val="clear" w:color="auto" w:fill="auto"/>
                  <w:vAlign w:val="center"/>
                </w:tcPr>
                <w:p w14:paraId="0866E73A">
                  <w:pPr>
                    <w:widowControl/>
                    <w:autoSpaceDE w:val="0"/>
                    <w:autoSpaceDN w:val="0"/>
                    <w:adjustRightInd w:val="0"/>
                    <w:snapToGrid w:val="0"/>
                    <w:contextualSpacing/>
                    <w:outlineLvl w:val="1"/>
                    <w:rPr>
                      <w:sz w:val="21"/>
                      <w:szCs w:val="21"/>
                    </w:rPr>
                  </w:pPr>
                  <w:r>
                    <w:rPr>
                      <w:rFonts w:hint="eastAsia"/>
                      <w:sz w:val="21"/>
                      <w:szCs w:val="21"/>
                    </w:rPr>
                    <w:t>强化VOCs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1760" w:type="pct"/>
                  <w:shd w:val="clear" w:color="auto" w:fill="auto"/>
                  <w:vAlign w:val="center"/>
                </w:tcPr>
                <w:p w14:paraId="368CE6AA">
                  <w:pPr>
                    <w:autoSpaceDE w:val="0"/>
                    <w:autoSpaceDN w:val="0"/>
                    <w:adjustRightInd w:val="0"/>
                    <w:snapToGrid w:val="0"/>
                    <w:contextualSpacing/>
                    <w:jc w:val="center"/>
                    <w:outlineLvl w:val="1"/>
                    <w:rPr>
                      <w:sz w:val="21"/>
                      <w:szCs w:val="21"/>
                    </w:rPr>
                  </w:pPr>
                  <w:r>
                    <w:rPr>
                      <w:sz w:val="21"/>
                      <w:szCs w:val="21"/>
                    </w:rPr>
                    <w:t>本项目属</w:t>
                  </w:r>
                  <w:r>
                    <w:rPr>
                      <w:color w:val="auto"/>
                      <w:sz w:val="21"/>
                      <w:szCs w:val="21"/>
                    </w:rPr>
                    <w:t>于</w:t>
                  </w:r>
                  <w:r>
                    <w:rPr>
                      <w:rFonts w:hint="eastAsia"/>
                      <w:color w:val="auto"/>
                      <w:sz w:val="21"/>
                      <w:szCs w:val="21"/>
                    </w:rPr>
                    <w:t>迁建项</w:t>
                  </w:r>
                  <w:r>
                    <w:rPr>
                      <w:color w:val="auto"/>
                      <w:sz w:val="21"/>
                      <w:szCs w:val="21"/>
                    </w:rPr>
                    <w:t>目，</w:t>
                  </w:r>
                  <w:r>
                    <w:rPr>
                      <w:rFonts w:hint="eastAsia"/>
                      <w:bCs/>
                      <w:color w:val="auto"/>
                      <w:kern w:val="0"/>
                      <w:sz w:val="21"/>
                      <w:szCs w:val="21"/>
                    </w:rPr>
                    <w:t>项目</w:t>
                  </w:r>
                  <w:r>
                    <w:rPr>
                      <w:rFonts w:hint="eastAsia"/>
                      <w:color w:val="auto"/>
                      <w:sz w:val="21"/>
                      <w:szCs w:val="21"/>
                    </w:rPr>
                    <w:t>有机前处理及实验检测过程产生的</w:t>
                  </w:r>
                  <w:r>
                    <w:rPr>
                      <w:rFonts w:hint="eastAsia"/>
                      <w:sz w:val="21"/>
                      <w:szCs w:val="21"/>
                    </w:rPr>
                    <w:t>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上方排风管道收集后汇集到总排风管道上，引至楼顶两级活性炭吸附装置处理后经35m高排气筒（DA001）达标排放，采取的有机废气治理措施不属于低效处理工艺。</w:t>
                  </w:r>
                </w:p>
              </w:tc>
              <w:tc>
                <w:tcPr>
                  <w:tcW w:w="280" w:type="pct"/>
                  <w:shd w:val="clear" w:color="auto" w:fill="auto"/>
                  <w:vAlign w:val="center"/>
                </w:tcPr>
                <w:p w14:paraId="674A5020">
                  <w:pPr>
                    <w:contextualSpacing/>
                    <w:jc w:val="center"/>
                    <w:rPr>
                      <w:bCs/>
                      <w:kern w:val="0"/>
                      <w:sz w:val="21"/>
                      <w:szCs w:val="21"/>
                    </w:rPr>
                  </w:pPr>
                  <w:r>
                    <w:rPr>
                      <w:rFonts w:hint="eastAsia"/>
                      <w:bCs/>
                      <w:kern w:val="0"/>
                      <w:sz w:val="21"/>
                      <w:szCs w:val="21"/>
                    </w:rPr>
                    <w:t>符合</w:t>
                  </w:r>
                </w:p>
              </w:tc>
            </w:tr>
            <w:tr w14:paraId="1DEC2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6E53C4FD">
                  <w:pPr>
                    <w:contextualSpacing/>
                    <w:jc w:val="center"/>
                    <w:rPr>
                      <w:sz w:val="21"/>
                      <w:szCs w:val="21"/>
                    </w:rPr>
                  </w:pPr>
                  <w:r>
                    <w:rPr>
                      <w:rFonts w:hint="eastAsia"/>
                      <w:sz w:val="21"/>
                      <w:szCs w:val="21"/>
                    </w:rPr>
                    <w:t>《西安市人民政府办公厅关于印发大气污染治理专项行动2024年工作方案的通知》（市政办函〔2024〕25号）</w:t>
                  </w:r>
                </w:p>
              </w:tc>
              <w:tc>
                <w:tcPr>
                  <w:tcW w:w="2281" w:type="pct"/>
                  <w:shd w:val="clear" w:color="auto" w:fill="auto"/>
                  <w:vAlign w:val="center"/>
                </w:tcPr>
                <w:p w14:paraId="75DA4570">
                  <w:pPr>
                    <w:widowControl/>
                    <w:autoSpaceDE w:val="0"/>
                    <w:autoSpaceDN w:val="0"/>
                    <w:adjustRightInd w:val="0"/>
                    <w:snapToGrid w:val="0"/>
                    <w:contextualSpacing/>
                    <w:outlineLvl w:val="1"/>
                    <w:rPr>
                      <w:sz w:val="21"/>
                      <w:szCs w:val="21"/>
                    </w:rPr>
                  </w:pPr>
                  <w:r>
                    <w:rPr>
                      <w:sz w:val="21"/>
                      <w:szCs w:val="21"/>
                    </w:rPr>
                    <w:t>强化源头管控。严格落实国家和我省产业规划、产业政策、</w:t>
                  </w:r>
                  <w:r>
                    <w:rPr>
                      <w:rFonts w:hint="eastAsia"/>
                      <w:sz w:val="21"/>
                      <w:szCs w:val="21"/>
                    </w:rPr>
                    <w:t>“</w:t>
                  </w:r>
                  <w:r>
                    <w:rPr>
                      <w:sz w:val="21"/>
                      <w:szCs w:val="21"/>
                    </w:rPr>
                    <w:t>三线一单</w:t>
                  </w:r>
                  <w:r>
                    <w:rPr>
                      <w:rFonts w:hint="eastAsia"/>
                      <w:sz w:val="21"/>
                      <w:szCs w:val="21"/>
                    </w:rPr>
                    <w:t>”</w:t>
                  </w:r>
                  <w:r>
                    <w:rPr>
                      <w:sz w:val="21"/>
                      <w:szCs w:val="21"/>
                    </w:rPr>
                    <w:t>、规划环评、重点污染物总量控制、污染物排放区域削减等要求，积极推行区域、规划环境影响评价，新改扩建化工、石化、建材、有色等项目的环境影响评价应满足区域和规划环评要求。</w:t>
                  </w:r>
                </w:p>
              </w:tc>
              <w:tc>
                <w:tcPr>
                  <w:tcW w:w="1760" w:type="pct"/>
                  <w:shd w:val="clear" w:color="auto" w:fill="auto"/>
                  <w:vAlign w:val="center"/>
                </w:tcPr>
                <w:p w14:paraId="249EF11D">
                  <w:pPr>
                    <w:autoSpaceDE w:val="0"/>
                    <w:autoSpaceDN w:val="0"/>
                    <w:adjustRightInd w:val="0"/>
                    <w:snapToGrid w:val="0"/>
                    <w:contextualSpacing/>
                    <w:jc w:val="center"/>
                    <w:outlineLvl w:val="1"/>
                    <w:rPr>
                      <w:sz w:val="21"/>
                      <w:szCs w:val="21"/>
                    </w:rPr>
                  </w:pPr>
                  <w:r>
                    <w:rPr>
                      <w:rFonts w:hint="eastAsia"/>
                      <w:sz w:val="21"/>
                      <w:szCs w:val="21"/>
                    </w:rPr>
                    <w:t>本项目不属于化工、石化、建材、有色行业，项目建设符合产业规划、产业政策、“三线一单”等要求，严格落实环境影响评价制度。</w:t>
                  </w:r>
                </w:p>
              </w:tc>
              <w:tc>
                <w:tcPr>
                  <w:tcW w:w="280" w:type="pct"/>
                  <w:shd w:val="clear" w:color="auto" w:fill="auto"/>
                  <w:vAlign w:val="center"/>
                </w:tcPr>
                <w:p w14:paraId="35E63147">
                  <w:pPr>
                    <w:contextualSpacing/>
                    <w:jc w:val="center"/>
                    <w:rPr>
                      <w:bCs/>
                      <w:kern w:val="0"/>
                      <w:sz w:val="21"/>
                      <w:szCs w:val="21"/>
                    </w:rPr>
                  </w:pPr>
                  <w:r>
                    <w:rPr>
                      <w:rFonts w:hint="eastAsia"/>
                      <w:bCs/>
                      <w:kern w:val="0"/>
                      <w:sz w:val="21"/>
                      <w:szCs w:val="21"/>
                    </w:rPr>
                    <w:t>符合</w:t>
                  </w:r>
                </w:p>
              </w:tc>
            </w:tr>
            <w:tr w14:paraId="3C5EA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6B6120FC">
                  <w:pPr>
                    <w:contextualSpacing/>
                    <w:jc w:val="center"/>
                    <w:rPr>
                      <w:sz w:val="21"/>
                      <w:szCs w:val="21"/>
                    </w:rPr>
                  </w:pPr>
                </w:p>
              </w:tc>
              <w:tc>
                <w:tcPr>
                  <w:tcW w:w="2281" w:type="pct"/>
                  <w:shd w:val="clear" w:color="auto" w:fill="auto"/>
                  <w:vAlign w:val="center"/>
                </w:tcPr>
                <w:p w14:paraId="0C4117B9">
                  <w:pPr>
                    <w:widowControl/>
                    <w:autoSpaceDE w:val="0"/>
                    <w:autoSpaceDN w:val="0"/>
                    <w:adjustRightInd w:val="0"/>
                    <w:snapToGrid w:val="0"/>
                    <w:contextualSpacing/>
                    <w:outlineLvl w:val="1"/>
                    <w:rPr>
                      <w:sz w:val="21"/>
                      <w:szCs w:val="21"/>
                    </w:rPr>
                  </w:pPr>
                  <w:r>
                    <w:rPr>
                      <w:sz w:val="21"/>
                      <w:szCs w:val="21"/>
                    </w:rPr>
                    <w:t>强化涉活性炭VOCs处理工艺治理。深入开展简易低效挥发性有机物治理设施清理整治，组织开展涉活性炭挥发性有机物处理工艺专项整治行动，推广先进VOCs治理工艺，全面提升VOCs治理水平。</w:t>
                  </w:r>
                </w:p>
              </w:tc>
              <w:tc>
                <w:tcPr>
                  <w:tcW w:w="1760" w:type="pct"/>
                  <w:shd w:val="clear" w:color="auto" w:fill="auto"/>
                  <w:vAlign w:val="center"/>
                </w:tcPr>
                <w:p w14:paraId="16230934">
                  <w:pPr>
                    <w:autoSpaceDE w:val="0"/>
                    <w:autoSpaceDN w:val="0"/>
                    <w:adjustRightInd w:val="0"/>
                    <w:snapToGrid w:val="0"/>
                    <w:contextualSpacing/>
                    <w:jc w:val="center"/>
                    <w:outlineLvl w:val="1"/>
                    <w:rPr>
                      <w:sz w:val="21"/>
                      <w:szCs w:val="21"/>
                    </w:rPr>
                  </w:pPr>
                  <w:r>
                    <w:rPr>
                      <w:rFonts w:hint="eastAsia"/>
                      <w:sz w:val="21"/>
                      <w:szCs w:val="21"/>
                    </w:rPr>
                    <w:t>项目有机前处理及实验检测过程产生的有机废气（以非甲烷总烃计）经通风橱/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上方排风管道收集后汇集到总排风管道上，引至楼顶两级活性炭吸附装置处理后经35m高排气筒（DA001）达标排放，采取的有机废气治理措施不属于低效处理工艺。</w:t>
                  </w:r>
                </w:p>
              </w:tc>
              <w:tc>
                <w:tcPr>
                  <w:tcW w:w="280" w:type="pct"/>
                  <w:shd w:val="clear" w:color="auto" w:fill="auto"/>
                  <w:vAlign w:val="center"/>
                </w:tcPr>
                <w:p w14:paraId="72A089DB">
                  <w:pPr>
                    <w:contextualSpacing/>
                    <w:jc w:val="center"/>
                    <w:rPr>
                      <w:bCs/>
                      <w:kern w:val="0"/>
                      <w:sz w:val="21"/>
                      <w:szCs w:val="21"/>
                    </w:rPr>
                  </w:pPr>
                  <w:r>
                    <w:rPr>
                      <w:rFonts w:hint="eastAsia"/>
                      <w:bCs/>
                      <w:kern w:val="0"/>
                      <w:sz w:val="21"/>
                      <w:szCs w:val="21"/>
                    </w:rPr>
                    <w:t>符合</w:t>
                  </w:r>
                </w:p>
              </w:tc>
            </w:tr>
            <w:tr w14:paraId="5B1B3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shd w:val="clear" w:color="auto" w:fill="auto"/>
                  <w:vAlign w:val="center"/>
                </w:tcPr>
                <w:p w14:paraId="2A4597F1">
                  <w:pPr>
                    <w:contextualSpacing/>
                    <w:jc w:val="center"/>
                    <w:rPr>
                      <w:bCs/>
                      <w:kern w:val="0"/>
                      <w:sz w:val="21"/>
                      <w:szCs w:val="21"/>
                    </w:rPr>
                  </w:pPr>
                  <w:r>
                    <w:rPr>
                      <w:rFonts w:hint="eastAsia"/>
                      <w:bCs/>
                      <w:kern w:val="0"/>
                      <w:sz w:val="21"/>
                      <w:szCs w:val="21"/>
                    </w:rPr>
                    <w:t>《西安市人民政府关于印发西安市空气质量达标规划（2023-2030）的通知》</w:t>
                  </w:r>
                  <w:r>
                    <w:rPr>
                      <w:rFonts w:hint="eastAsia"/>
                      <w:sz w:val="21"/>
                      <w:szCs w:val="21"/>
                    </w:rPr>
                    <w:t>（市政发〔2023〕10号）</w:t>
                  </w:r>
                </w:p>
              </w:tc>
              <w:tc>
                <w:tcPr>
                  <w:tcW w:w="2281" w:type="pct"/>
                  <w:shd w:val="clear" w:color="auto" w:fill="auto"/>
                  <w:vAlign w:val="center"/>
                </w:tcPr>
                <w:p w14:paraId="194F5BA9">
                  <w:pPr>
                    <w:contextualSpacing/>
                    <w:rPr>
                      <w:bCs/>
                      <w:kern w:val="0"/>
                      <w:sz w:val="21"/>
                      <w:szCs w:val="21"/>
                    </w:rPr>
                  </w:pPr>
                  <w:r>
                    <w:rPr>
                      <w:rFonts w:hint="eastAsia"/>
                      <w:sz w:val="21"/>
                      <w:szCs w:val="21"/>
                    </w:rPr>
                    <w:t>新建项目不再采用单一低温等离子、光氧化、光催化等治理技术，非水溶性VOCs废气不再采用单一喷淋吸收方式处理。严格新改扩建涉气重点行业绩效评级限制条件，各区县、开发区范围内新改扩建涉气重点行业企业应达到环保绩效A级、绩效引领性水平，周至县、蓝田县应达到环保绩效B级及以上水平。督促指导企业落实重污染天气重点行业绩效分级技术指南要求。</w:t>
                  </w:r>
                </w:p>
              </w:tc>
              <w:tc>
                <w:tcPr>
                  <w:tcW w:w="1760" w:type="pct"/>
                  <w:shd w:val="clear" w:color="auto" w:fill="auto"/>
                  <w:vAlign w:val="center"/>
                </w:tcPr>
                <w:p w14:paraId="40A2ECC9">
                  <w:pPr>
                    <w:contextualSpacing/>
                    <w:jc w:val="center"/>
                    <w:rPr>
                      <w:bCs/>
                      <w:kern w:val="0"/>
                      <w:sz w:val="21"/>
                      <w:szCs w:val="21"/>
                    </w:rPr>
                  </w:pPr>
                  <w:r>
                    <w:rPr>
                      <w:sz w:val="21"/>
                      <w:szCs w:val="21"/>
                    </w:rPr>
                    <w:t>本项</w:t>
                  </w:r>
                  <w:r>
                    <w:rPr>
                      <w:color w:val="auto"/>
                      <w:sz w:val="21"/>
                      <w:szCs w:val="21"/>
                    </w:rPr>
                    <w:t>目属于</w:t>
                  </w:r>
                  <w:r>
                    <w:rPr>
                      <w:rFonts w:hint="eastAsia"/>
                      <w:color w:val="auto"/>
                      <w:sz w:val="21"/>
                      <w:szCs w:val="21"/>
                    </w:rPr>
                    <w:t>迁建项</w:t>
                  </w:r>
                  <w:r>
                    <w:rPr>
                      <w:color w:val="auto"/>
                      <w:sz w:val="21"/>
                      <w:szCs w:val="21"/>
                    </w:rPr>
                    <w:t>目，</w:t>
                  </w:r>
                  <w:r>
                    <w:rPr>
                      <w:rFonts w:hint="eastAsia"/>
                      <w:bCs/>
                      <w:color w:val="auto"/>
                      <w:kern w:val="0"/>
                      <w:sz w:val="21"/>
                      <w:szCs w:val="21"/>
                    </w:rPr>
                    <w:t>项目产生的有机废气</w:t>
                  </w:r>
                  <w:r>
                    <w:rPr>
                      <w:rFonts w:hint="eastAsia"/>
                      <w:color w:val="auto"/>
                      <w:sz w:val="21"/>
                      <w:szCs w:val="21"/>
                    </w:rPr>
                    <w:t>采用两级活性炭吸附装置处理。</w:t>
                  </w:r>
                  <w:r>
                    <w:rPr>
                      <w:color w:val="auto"/>
                      <w:sz w:val="21"/>
                      <w:szCs w:val="21"/>
                    </w:rPr>
                    <w:t>根据《重</w:t>
                  </w:r>
                  <w:r>
                    <w:rPr>
                      <w:sz w:val="21"/>
                      <w:szCs w:val="21"/>
                    </w:rPr>
                    <w:t>污染天气重点行业应急减排措施制定技术指南（2020年修订版）》，本项目主要从事</w:t>
                  </w:r>
                  <w:r>
                    <w:rPr>
                      <w:rFonts w:hint="eastAsia"/>
                      <w:sz w:val="21"/>
                      <w:szCs w:val="21"/>
                    </w:rPr>
                    <w:t>环境保护监测</w:t>
                  </w:r>
                  <w:r>
                    <w:rPr>
                      <w:sz w:val="21"/>
                      <w:szCs w:val="21"/>
                    </w:rPr>
                    <w:t>，不属于长流程联合钢铁等39个重点行业。</w:t>
                  </w:r>
                </w:p>
              </w:tc>
              <w:tc>
                <w:tcPr>
                  <w:tcW w:w="280" w:type="pct"/>
                  <w:shd w:val="clear" w:color="auto" w:fill="auto"/>
                  <w:vAlign w:val="center"/>
                </w:tcPr>
                <w:p w14:paraId="16315A9B">
                  <w:pPr>
                    <w:contextualSpacing/>
                    <w:jc w:val="center"/>
                    <w:rPr>
                      <w:bCs/>
                      <w:kern w:val="0"/>
                      <w:sz w:val="21"/>
                      <w:szCs w:val="21"/>
                    </w:rPr>
                  </w:pPr>
                  <w:r>
                    <w:rPr>
                      <w:rFonts w:hint="eastAsia"/>
                      <w:bCs/>
                      <w:kern w:val="0"/>
                      <w:sz w:val="21"/>
                      <w:szCs w:val="21"/>
                    </w:rPr>
                    <w:t>符合</w:t>
                  </w:r>
                </w:p>
              </w:tc>
            </w:tr>
            <w:tr w14:paraId="4BBAD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shd w:val="clear" w:color="auto" w:fill="auto"/>
                  <w:vAlign w:val="center"/>
                </w:tcPr>
                <w:p w14:paraId="47ADF1DD">
                  <w:pPr>
                    <w:contextualSpacing/>
                    <w:jc w:val="center"/>
                  </w:pPr>
                  <w:r>
                    <w:rPr>
                      <w:sz w:val="21"/>
                      <w:szCs w:val="21"/>
                    </w:rPr>
                    <w:t>《西安市生态环境局办公室关于加强涉气项目环境影响评价管理的通知》（市环办发</w:t>
                  </w:r>
                  <w:r>
                    <w:rPr>
                      <w:rFonts w:hint="eastAsia"/>
                      <w:sz w:val="21"/>
                      <w:szCs w:val="21"/>
                    </w:rPr>
                    <w:t>〔</w:t>
                  </w:r>
                  <w:r>
                    <w:rPr>
                      <w:sz w:val="21"/>
                      <w:szCs w:val="21"/>
                    </w:rPr>
                    <w:t>2023</w:t>
                  </w:r>
                  <w:r>
                    <w:rPr>
                      <w:rFonts w:hint="eastAsia"/>
                      <w:sz w:val="21"/>
                      <w:szCs w:val="21"/>
                    </w:rPr>
                    <w:t>〕</w:t>
                  </w:r>
                  <w:r>
                    <w:rPr>
                      <w:sz w:val="21"/>
                      <w:szCs w:val="21"/>
                    </w:rPr>
                    <w:t>47号）</w:t>
                  </w:r>
                </w:p>
              </w:tc>
              <w:tc>
                <w:tcPr>
                  <w:tcW w:w="2281" w:type="pct"/>
                  <w:shd w:val="clear" w:color="auto" w:fill="auto"/>
                  <w:vAlign w:val="center"/>
                </w:tcPr>
                <w:p w14:paraId="44BA82EB">
                  <w:pPr>
                    <w:contextualSpacing/>
                    <w:rPr>
                      <w:sz w:val="21"/>
                      <w:szCs w:val="21"/>
                    </w:rPr>
                  </w:pPr>
                  <w:r>
                    <w:rPr>
                      <w:rFonts w:hint="eastAsia"/>
                      <w:sz w:val="21"/>
                      <w:szCs w:val="21"/>
                    </w:rPr>
                    <w:t>新建项目不再采用低温等离子、光氧化、光催化等单一处理方式，非水溶性挥发性有机物废气不再采用喷淋吸收方式处理。采用活性炭吸附技术的，其中颗粒碳碘吸附值不低于800mg/g或四氯化碳吸附率不低于60%，蜂窝活性炭碘吸附值不低于600mg/g或四氯化碳吸附率不低于30%，按设计要求足量添加、定期更换。</w:t>
                  </w:r>
                </w:p>
              </w:tc>
              <w:tc>
                <w:tcPr>
                  <w:tcW w:w="1760" w:type="pct"/>
                  <w:shd w:val="clear" w:color="auto" w:fill="auto"/>
                  <w:vAlign w:val="center"/>
                </w:tcPr>
                <w:p w14:paraId="66B09EE3">
                  <w:pPr>
                    <w:contextualSpacing/>
                    <w:jc w:val="center"/>
                    <w:rPr>
                      <w:sz w:val="21"/>
                      <w:szCs w:val="21"/>
                    </w:rPr>
                  </w:pPr>
                  <w:r>
                    <w:rPr>
                      <w:rFonts w:hint="eastAsia"/>
                      <w:sz w:val="21"/>
                      <w:szCs w:val="21"/>
                    </w:rPr>
                    <w:t>本项</w:t>
                  </w:r>
                  <w:r>
                    <w:rPr>
                      <w:rFonts w:hint="eastAsia"/>
                      <w:color w:val="auto"/>
                      <w:sz w:val="21"/>
                      <w:szCs w:val="21"/>
                    </w:rPr>
                    <w:t>目为迁建项目，项目产生的有机废气采用两级活性炭吸附装置处理。</w:t>
                  </w:r>
                  <w:r>
                    <w:rPr>
                      <w:color w:val="auto"/>
                      <w:sz w:val="21"/>
                      <w:szCs w:val="21"/>
                    </w:rPr>
                    <w:t>项目强化</w:t>
                  </w:r>
                  <w:r>
                    <w:rPr>
                      <w:sz w:val="21"/>
                      <w:szCs w:val="21"/>
                    </w:rPr>
                    <w:t>活性炭吸附处理工艺，使用的活性炭为蜂窝活性炭，碘吸附值大于600mg/g；运营期定期更换活性炭，定期更新挥发性有机物治理设施台账，保证有机废气治理设施正常运行，</w:t>
                  </w:r>
                  <w:r>
                    <w:rPr>
                      <w:rFonts w:hint="eastAsia"/>
                      <w:sz w:val="21"/>
                      <w:szCs w:val="21"/>
                    </w:rPr>
                    <w:t>废气</w:t>
                  </w:r>
                  <w:r>
                    <w:rPr>
                      <w:sz w:val="21"/>
                      <w:szCs w:val="21"/>
                    </w:rPr>
                    <w:t>达标排放。</w:t>
                  </w:r>
                </w:p>
              </w:tc>
              <w:tc>
                <w:tcPr>
                  <w:tcW w:w="280" w:type="pct"/>
                  <w:shd w:val="clear" w:color="auto" w:fill="auto"/>
                  <w:vAlign w:val="center"/>
                </w:tcPr>
                <w:p w14:paraId="1262AD1A">
                  <w:pPr>
                    <w:contextualSpacing/>
                    <w:jc w:val="center"/>
                    <w:rPr>
                      <w:bCs/>
                      <w:kern w:val="0"/>
                      <w:sz w:val="21"/>
                      <w:szCs w:val="21"/>
                    </w:rPr>
                  </w:pPr>
                  <w:r>
                    <w:rPr>
                      <w:rFonts w:hint="eastAsia"/>
                      <w:bCs/>
                      <w:kern w:val="0"/>
                      <w:sz w:val="21"/>
                      <w:szCs w:val="21"/>
                    </w:rPr>
                    <w:t>符合</w:t>
                  </w:r>
                </w:p>
              </w:tc>
            </w:tr>
            <w:tr w14:paraId="5D3F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shd w:val="clear" w:color="auto" w:fill="auto"/>
                  <w:vAlign w:val="center"/>
                </w:tcPr>
                <w:p w14:paraId="4B0F815F">
                  <w:pPr>
                    <w:contextualSpacing/>
                    <w:jc w:val="center"/>
                    <w:rPr>
                      <w:kern w:val="0"/>
                      <w:sz w:val="21"/>
                      <w:szCs w:val="21"/>
                    </w:rPr>
                  </w:pPr>
                  <w:r>
                    <w:rPr>
                      <w:kern w:val="0"/>
                      <w:sz w:val="21"/>
                      <w:szCs w:val="21"/>
                    </w:rPr>
                    <w:t>《陕西省生态环境厅关于解决企业申报污染物许可排放量与环评文件排放量不一致问题的通知》（陕环排管函</w:t>
                  </w:r>
                  <w:r>
                    <w:rPr>
                      <w:rFonts w:hint="eastAsia"/>
                      <w:kern w:val="0"/>
                      <w:sz w:val="21"/>
                      <w:szCs w:val="21"/>
                    </w:rPr>
                    <w:t>〔</w:t>
                  </w:r>
                  <w:r>
                    <w:rPr>
                      <w:kern w:val="0"/>
                      <w:sz w:val="21"/>
                      <w:szCs w:val="21"/>
                    </w:rPr>
                    <w:t>2024</w:t>
                  </w:r>
                  <w:r>
                    <w:rPr>
                      <w:rFonts w:hint="eastAsia"/>
                      <w:kern w:val="0"/>
                      <w:sz w:val="21"/>
                      <w:szCs w:val="21"/>
                    </w:rPr>
                    <w:t>〕</w:t>
                  </w:r>
                  <w:r>
                    <w:rPr>
                      <w:kern w:val="0"/>
                      <w:sz w:val="21"/>
                      <w:szCs w:val="21"/>
                    </w:rPr>
                    <w:t>18号）</w:t>
                  </w:r>
                </w:p>
              </w:tc>
              <w:tc>
                <w:tcPr>
                  <w:tcW w:w="2281" w:type="pct"/>
                  <w:shd w:val="clear" w:color="auto" w:fill="auto"/>
                  <w:vAlign w:val="center"/>
                </w:tcPr>
                <w:p w14:paraId="5F900EF0">
                  <w:pPr>
                    <w:rPr>
                      <w:sz w:val="21"/>
                      <w:szCs w:val="21"/>
                      <w:shd w:val="clear" w:color="auto" w:fill="FFFFFF"/>
                    </w:rPr>
                  </w:pPr>
                  <w:r>
                    <w:rPr>
                      <w:rFonts w:hint="eastAsia"/>
                      <w:sz w:val="21"/>
                      <w:szCs w:val="21"/>
                      <w:shd w:val="clear" w:color="auto" w:fill="FFFFFF"/>
                    </w:rPr>
                    <w:t>本通知适用纳入《固定污染源排污许可分类管理名录》排污许可重点管理类或简化管理类，且非项目性质、规模、生产工艺、原料、环境保护措施变化导致污染物环评文件排放量与实际排放量不一致需重新申领排污许可证的排污单位。</w:t>
                  </w:r>
                </w:p>
              </w:tc>
              <w:tc>
                <w:tcPr>
                  <w:tcW w:w="1760" w:type="pct"/>
                  <w:shd w:val="clear" w:color="auto" w:fill="auto"/>
                  <w:vAlign w:val="center"/>
                </w:tcPr>
                <w:p w14:paraId="4C12C6B6">
                  <w:pPr>
                    <w:pStyle w:val="6"/>
                    <w:spacing w:before="0" w:after="0" w:line="240" w:lineRule="auto"/>
                    <w:ind w:right="0"/>
                    <w:contextualSpacing/>
                    <w:jc w:val="center"/>
                    <w:rPr>
                      <w:sz w:val="21"/>
                      <w:szCs w:val="21"/>
                      <w:lang w:val="en-US"/>
                    </w:rPr>
                  </w:pPr>
                  <w:r>
                    <w:rPr>
                      <w:rFonts w:hint="eastAsia"/>
                      <w:sz w:val="21"/>
                      <w:szCs w:val="21"/>
                      <w:lang w:val="en-US"/>
                    </w:rPr>
                    <w:t>本项目为专业实验室建设项目，主要从事环境保护监测服务。根据《固定</w:t>
                  </w:r>
                  <w:r>
                    <w:rPr>
                      <w:rFonts w:hint="eastAsia"/>
                      <w:sz w:val="21"/>
                      <w:szCs w:val="21"/>
                      <w:shd w:val="clear" w:color="auto" w:fill="FFFFFF"/>
                      <w:lang w:val="en-US"/>
                    </w:rPr>
                    <w:t>污染源排污许可分类管理名录</w:t>
                  </w:r>
                  <w:r>
                    <w:rPr>
                      <w:rFonts w:hint="eastAsia"/>
                      <w:sz w:val="21"/>
                      <w:szCs w:val="21"/>
                      <w:lang w:val="en-US"/>
                    </w:rPr>
                    <w:t>》（2019年版）（部令 第11号），无对应行业类别，因此，本项目不属于简化管理、重点管理及登记管理范畴。该文件适用于排污许可重点管理或简化管理类，因此，本项目不在该文件适用范围内。</w:t>
                  </w:r>
                </w:p>
              </w:tc>
              <w:tc>
                <w:tcPr>
                  <w:tcW w:w="280" w:type="pct"/>
                  <w:shd w:val="clear" w:color="auto" w:fill="auto"/>
                  <w:vAlign w:val="center"/>
                </w:tcPr>
                <w:p w14:paraId="3723F820">
                  <w:pPr>
                    <w:contextualSpacing/>
                    <w:jc w:val="center"/>
                    <w:rPr>
                      <w:kern w:val="0"/>
                      <w:sz w:val="21"/>
                      <w:szCs w:val="21"/>
                    </w:rPr>
                  </w:pPr>
                  <w:r>
                    <w:rPr>
                      <w:rFonts w:hint="eastAsia"/>
                      <w:kern w:val="0"/>
                      <w:sz w:val="21"/>
                      <w:szCs w:val="21"/>
                    </w:rPr>
                    <w:t>符合</w:t>
                  </w:r>
                </w:p>
              </w:tc>
            </w:tr>
            <w:tr w14:paraId="45CEA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restart"/>
                  <w:shd w:val="clear" w:color="auto" w:fill="auto"/>
                  <w:vAlign w:val="center"/>
                </w:tcPr>
                <w:p w14:paraId="2C478CDF">
                  <w:pPr>
                    <w:contextualSpacing/>
                    <w:jc w:val="center"/>
                    <w:rPr>
                      <w:sz w:val="21"/>
                      <w:szCs w:val="21"/>
                    </w:rPr>
                  </w:pPr>
                  <w:r>
                    <w:rPr>
                      <w:sz w:val="21"/>
                      <w:szCs w:val="21"/>
                    </w:rPr>
                    <w:t>《西安市生态环境局关于加强挥发性有机物活性炭吸附处理设施运行管理工作的通知》（市环发</w:t>
                  </w:r>
                  <w:r>
                    <w:rPr>
                      <w:rFonts w:hint="eastAsia"/>
                      <w:sz w:val="21"/>
                      <w:szCs w:val="21"/>
                    </w:rPr>
                    <w:t>〔</w:t>
                  </w:r>
                  <w:r>
                    <w:rPr>
                      <w:sz w:val="21"/>
                      <w:szCs w:val="21"/>
                    </w:rPr>
                    <w:t>2022</w:t>
                  </w:r>
                  <w:r>
                    <w:rPr>
                      <w:rFonts w:hint="eastAsia"/>
                      <w:sz w:val="21"/>
                      <w:szCs w:val="21"/>
                    </w:rPr>
                    <w:t>〕</w:t>
                  </w:r>
                  <w:r>
                    <w:rPr>
                      <w:sz w:val="21"/>
                      <w:szCs w:val="21"/>
                    </w:rPr>
                    <w:t>65号）</w:t>
                  </w:r>
                </w:p>
              </w:tc>
              <w:tc>
                <w:tcPr>
                  <w:tcW w:w="2281" w:type="pct"/>
                  <w:shd w:val="clear" w:color="auto" w:fill="auto"/>
                  <w:vAlign w:val="center"/>
                </w:tcPr>
                <w:p w14:paraId="0F721B1B">
                  <w:pPr>
                    <w:widowControl/>
                    <w:autoSpaceDE w:val="0"/>
                    <w:autoSpaceDN w:val="0"/>
                    <w:adjustRightInd w:val="0"/>
                    <w:snapToGrid w:val="0"/>
                    <w:contextualSpacing/>
                    <w:outlineLvl w:val="1"/>
                    <w:rPr>
                      <w:rFonts w:hAnsi="Courier New"/>
                      <w:sz w:val="21"/>
                      <w:szCs w:val="21"/>
                    </w:rPr>
                  </w:pPr>
                  <w:r>
                    <w:rPr>
                      <w:sz w:val="21"/>
                      <w:szCs w:val="21"/>
                    </w:rPr>
                    <w:t>（一）规范治理技术。涉气企业根据当前有关VOCs治理的法律法规、技术规范、政策文件等要求，选择合理的治理工艺除恶臭异味治理外，淘汰单一使用低温等离子、光催化氧化、活性炭吸附棉、水喷淋等低效处理工艺或其组合工艺。原料VOCs浓度高、排放总量较大的生产工艺原则上采用RTO、RCO等高效处理技术。</w:t>
                  </w:r>
                </w:p>
              </w:tc>
              <w:tc>
                <w:tcPr>
                  <w:tcW w:w="1760" w:type="pct"/>
                  <w:shd w:val="clear" w:color="auto" w:fill="auto"/>
                  <w:vAlign w:val="center"/>
                </w:tcPr>
                <w:p w14:paraId="7283BC13">
                  <w:pPr>
                    <w:contextualSpacing/>
                    <w:jc w:val="center"/>
                    <w:rPr>
                      <w:sz w:val="21"/>
                      <w:szCs w:val="21"/>
                    </w:rPr>
                  </w:pPr>
                  <w:r>
                    <w:rPr>
                      <w:rFonts w:hint="eastAsia"/>
                      <w:bCs/>
                      <w:color w:val="auto"/>
                      <w:kern w:val="0"/>
                      <w:sz w:val="21"/>
                      <w:szCs w:val="21"/>
                    </w:rPr>
                    <w:t>项目产生的有机废气</w:t>
                  </w:r>
                  <w:r>
                    <w:rPr>
                      <w:rFonts w:hint="eastAsia"/>
                      <w:color w:val="auto"/>
                      <w:sz w:val="21"/>
                      <w:szCs w:val="21"/>
                    </w:rPr>
                    <w:t>采用两级活性炭吸附装置处理，</w:t>
                  </w:r>
                  <w:r>
                    <w:rPr>
                      <w:color w:val="auto"/>
                      <w:sz w:val="21"/>
                      <w:szCs w:val="21"/>
                    </w:rPr>
                    <w:t>使用的活性炭为蜂窝活</w:t>
                  </w:r>
                  <w:r>
                    <w:rPr>
                      <w:sz w:val="21"/>
                      <w:szCs w:val="21"/>
                    </w:rPr>
                    <w:t>性炭</w:t>
                  </w:r>
                  <w:r>
                    <w:rPr>
                      <w:rFonts w:hint="eastAsia"/>
                      <w:sz w:val="21"/>
                      <w:szCs w:val="21"/>
                    </w:rPr>
                    <w:t>。</w:t>
                  </w:r>
                </w:p>
              </w:tc>
              <w:tc>
                <w:tcPr>
                  <w:tcW w:w="280" w:type="pct"/>
                  <w:shd w:val="clear" w:color="auto" w:fill="auto"/>
                  <w:vAlign w:val="center"/>
                </w:tcPr>
                <w:p w14:paraId="7F34D598">
                  <w:pPr>
                    <w:contextualSpacing/>
                    <w:jc w:val="center"/>
                    <w:rPr>
                      <w:kern w:val="0"/>
                      <w:sz w:val="21"/>
                      <w:szCs w:val="21"/>
                    </w:rPr>
                  </w:pPr>
                  <w:r>
                    <w:rPr>
                      <w:rFonts w:hint="eastAsia"/>
                      <w:kern w:val="0"/>
                      <w:sz w:val="21"/>
                      <w:szCs w:val="21"/>
                    </w:rPr>
                    <w:t>符合</w:t>
                  </w:r>
                </w:p>
              </w:tc>
            </w:tr>
            <w:tr w14:paraId="1C1E8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0A30E0EF">
                  <w:pPr>
                    <w:contextualSpacing/>
                    <w:jc w:val="center"/>
                    <w:rPr>
                      <w:kern w:val="0"/>
                      <w:sz w:val="21"/>
                      <w:szCs w:val="21"/>
                    </w:rPr>
                  </w:pPr>
                </w:p>
              </w:tc>
              <w:tc>
                <w:tcPr>
                  <w:tcW w:w="2281" w:type="pct"/>
                  <w:shd w:val="clear" w:color="auto" w:fill="auto"/>
                  <w:vAlign w:val="center"/>
                </w:tcPr>
                <w:p w14:paraId="06939069">
                  <w:pPr>
                    <w:widowControl/>
                    <w:autoSpaceDE w:val="0"/>
                    <w:autoSpaceDN w:val="0"/>
                    <w:adjustRightInd w:val="0"/>
                    <w:snapToGrid w:val="0"/>
                    <w:contextualSpacing/>
                    <w:outlineLvl w:val="1"/>
                    <w:rPr>
                      <w:rFonts w:hAnsi="Courier New"/>
                      <w:sz w:val="21"/>
                      <w:szCs w:val="21"/>
                    </w:rPr>
                  </w:pPr>
                  <w:r>
                    <w:rPr>
                      <w:sz w:val="21"/>
                      <w:szCs w:val="21"/>
                    </w:rPr>
                    <w:t>（二）保证活性炭质量。企业购置活性炭必须提供活性炭检测报告，技术指标至少应包括水分含量、耐磨强度</w:t>
                  </w:r>
                  <w:r>
                    <w:rPr>
                      <w:rFonts w:hint="eastAsia"/>
                      <w:sz w:val="21"/>
                      <w:szCs w:val="21"/>
                    </w:rPr>
                    <w:t>（</w:t>
                  </w:r>
                  <w:r>
                    <w:rPr>
                      <w:sz w:val="21"/>
                      <w:szCs w:val="21"/>
                    </w:rPr>
                    <w:t>颗粒活性炭</w:t>
                  </w:r>
                  <w:r>
                    <w:rPr>
                      <w:rFonts w:hint="eastAsia"/>
                      <w:sz w:val="21"/>
                      <w:szCs w:val="21"/>
                    </w:rPr>
                    <w:t>）</w:t>
                  </w:r>
                  <w:r>
                    <w:rPr>
                      <w:sz w:val="21"/>
                      <w:szCs w:val="21"/>
                    </w:rPr>
                    <w:t>、抗压强度</w:t>
                  </w:r>
                  <w:r>
                    <w:rPr>
                      <w:rFonts w:hint="eastAsia"/>
                      <w:sz w:val="21"/>
                      <w:szCs w:val="21"/>
                    </w:rPr>
                    <w:t>（</w:t>
                  </w:r>
                  <w:r>
                    <w:rPr>
                      <w:sz w:val="21"/>
                      <w:szCs w:val="21"/>
                    </w:rPr>
                    <w:t>蜂窝活性炭</w:t>
                  </w:r>
                  <w:r>
                    <w:rPr>
                      <w:rFonts w:hint="eastAsia"/>
                      <w:sz w:val="21"/>
                      <w:szCs w:val="21"/>
                    </w:rPr>
                    <w:t>）</w:t>
                  </w:r>
                  <w:r>
                    <w:rPr>
                      <w:sz w:val="21"/>
                      <w:szCs w:val="21"/>
                    </w:rPr>
                    <w:t>、碘吸附值、四氯化碳吸附率、着火点等。活性炭技术指标应符合《工业有机废气净化用活性炭技术指标及试验方法》（LY/T3284）规定的优级活性炭指标要求。</w:t>
                  </w:r>
                </w:p>
              </w:tc>
              <w:tc>
                <w:tcPr>
                  <w:tcW w:w="1760" w:type="pct"/>
                  <w:shd w:val="clear" w:color="auto" w:fill="auto"/>
                  <w:vAlign w:val="center"/>
                </w:tcPr>
                <w:p w14:paraId="4C6A4235">
                  <w:pPr>
                    <w:contextualSpacing/>
                    <w:jc w:val="center"/>
                    <w:rPr>
                      <w:sz w:val="21"/>
                      <w:szCs w:val="21"/>
                    </w:rPr>
                  </w:pPr>
                  <w:r>
                    <w:rPr>
                      <w:rFonts w:hint="eastAsia"/>
                      <w:sz w:val="21"/>
                      <w:szCs w:val="21"/>
                    </w:rPr>
                    <w:t>建设单位购置符合《工业有机废气净化用活性炭技术指标及试验方法》（LY/T3284）规定的优级活性炭，要求提供活性炭检测报告，技术指标包括水分含量、耐磨强度（颗粒活性炭）、抗压强度（蜂窝活性炭）、碘吸附值、四氯化碳吸附率、着火点等。</w:t>
                  </w:r>
                </w:p>
              </w:tc>
              <w:tc>
                <w:tcPr>
                  <w:tcW w:w="280" w:type="pct"/>
                  <w:shd w:val="clear" w:color="auto" w:fill="auto"/>
                  <w:vAlign w:val="center"/>
                </w:tcPr>
                <w:p w14:paraId="21902EB7">
                  <w:pPr>
                    <w:contextualSpacing/>
                    <w:jc w:val="center"/>
                    <w:rPr>
                      <w:kern w:val="0"/>
                      <w:sz w:val="21"/>
                      <w:szCs w:val="21"/>
                    </w:rPr>
                  </w:pPr>
                  <w:r>
                    <w:rPr>
                      <w:rFonts w:hint="eastAsia"/>
                      <w:kern w:val="0"/>
                      <w:sz w:val="21"/>
                      <w:szCs w:val="21"/>
                    </w:rPr>
                    <w:t>符合</w:t>
                  </w:r>
                </w:p>
              </w:tc>
            </w:tr>
            <w:tr w14:paraId="05EC3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2A3FC750">
                  <w:pPr>
                    <w:contextualSpacing/>
                    <w:jc w:val="center"/>
                    <w:rPr>
                      <w:kern w:val="0"/>
                      <w:sz w:val="21"/>
                      <w:szCs w:val="21"/>
                    </w:rPr>
                  </w:pPr>
                </w:p>
              </w:tc>
              <w:tc>
                <w:tcPr>
                  <w:tcW w:w="2281" w:type="pct"/>
                  <w:shd w:val="clear" w:color="auto" w:fill="auto"/>
                  <w:vAlign w:val="center"/>
                </w:tcPr>
                <w:p w14:paraId="2804AB31">
                  <w:pPr>
                    <w:widowControl/>
                    <w:autoSpaceDE w:val="0"/>
                    <w:autoSpaceDN w:val="0"/>
                    <w:adjustRightInd w:val="0"/>
                    <w:snapToGrid w:val="0"/>
                    <w:contextualSpacing/>
                    <w:outlineLvl w:val="1"/>
                    <w:rPr>
                      <w:rFonts w:hAnsi="Courier New"/>
                      <w:sz w:val="21"/>
                      <w:szCs w:val="21"/>
                    </w:rPr>
                  </w:pPr>
                  <w:r>
                    <w:rPr>
                      <w:sz w:val="21"/>
                      <w:szCs w:val="21"/>
                    </w:rPr>
                    <w:t>（三）明确填充量并及时更换。企业应当根据风量和VOCS初始浓度范围，明确活性炭的填充量、填充厚度和更换时间。</w:t>
                  </w:r>
                </w:p>
              </w:tc>
              <w:tc>
                <w:tcPr>
                  <w:tcW w:w="1760" w:type="pct"/>
                  <w:shd w:val="clear" w:color="auto" w:fill="auto"/>
                  <w:vAlign w:val="center"/>
                </w:tcPr>
                <w:p w14:paraId="0E418639">
                  <w:pPr>
                    <w:widowControl/>
                    <w:autoSpaceDE w:val="0"/>
                    <w:autoSpaceDN w:val="0"/>
                    <w:adjustRightInd w:val="0"/>
                    <w:snapToGrid w:val="0"/>
                    <w:contextualSpacing/>
                    <w:jc w:val="center"/>
                    <w:outlineLvl w:val="1"/>
                    <w:rPr>
                      <w:rFonts w:hAnsi="Courier New"/>
                      <w:color w:val="auto"/>
                      <w:sz w:val="21"/>
                      <w:szCs w:val="21"/>
                    </w:rPr>
                  </w:pPr>
                  <w:r>
                    <w:rPr>
                      <w:color w:val="auto"/>
                      <w:sz w:val="21"/>
                      <w:szCs w:val="21"/>
                    </w:rPr>
                    <w:t>要求建设单位</w:t>
                  </w:r>
                  <w:r>
                    <w:rPr>
                      <w:rFonts w:hint="eastAsia"/>
                      <w:color w:val="auto"/>
                      <w:sz w:val="21"/>
                      <w:szCs w:val="21"/>
                    </w:rPr>
                    <w:t>活性炭按0.5吨填充，设置两级，加强活性炭吸附设备的管理，及时更换，保证活性炭吸附效果，确保污染物达标排放。</w:t>
                  </w:r>
                </w:p>
              </w:tc>
              <w:tc>
                <w:tcPr>
                  <w:tcW w:w="280" w:type="pct"/>
                  <w:shd w:val="clear" w:color="auto" w:fill="auto"/>
                  <w:vAlign w:val="center"/>
                </w:tcPr>
                <w:p w14:paraId="58A31DD3">
                  <w:pPr>
                    <w:contextualSpacing/>
                    <w:jc w:val="center"/>
                    <w:rPr>
                      <w:kern w:val="0"/>
                      <w:sz w:val="21"/>
                      <w:szCs w:val="21"/>
                    </w:rPr>
                  </w:pPr>
                  <w:r>
                    <w:rPr>
                      <w:rFonts w:hint="eastAsia"/>
                      <w:kern w:val="0"/>
                      <w:sz w:val="21"/>
                      <w:szCs w:val="21"/>
                    </w:rPr>
                    <w:t>符合</w:t>
                  </w:r>
                </w:p>
              </w:tc>
            </w:tr>
            <w:tr w14:paraId="4AA46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shd w:val="clear" w:color="auto" w:fill="auto"/>
                  <w:vAlign w:val="center"/>
                </w:tcPr>
                <w:p w14:paraId="6F352C3E">
                  <w:pPr>
                    <w:contextualSpacing/>
                    <w:jc w:val="center"/>
                    <w:rPr>
                      <w:kern w:val="0"/>
                      <w:sz w:val="21"/>
                      <w:szCs w:val="21"/>
                    </w:rPr>
                  </w:pPr>
                </w:p>
              </w:tc>
              <w:tc>
                <w:tcPr>
                  <w:tcW w:w="2281" w:type="pct"/>
                  <w:shd w:val="clear" w:color="auto" w:fill="auto"/>
                  <w:vAlign w:val="center"/>
                </w:tcPr>
                <w:p w14:paraId="432CA6E2">
                  <w:pPr>
                    <w:widowControl/>
                    <w:autoSpaceDE w:val="0"/>
                    <w:autoSpaceDN w:val="0"/>
                    <w:adjustRightInd w:val="0"/>
                    <w:snapToGrid w:val="0"/>
                    <w:contextualSpacing/>
                    <w:outlineLvl w:val="1"/>
                    <w:rPr>
                      <w:rFonts w:hAnsi="Courier New"/>
                      <w:sz w:val="21"/>
                      <w:szCs w:val="21"/>
                    </w:rPr>
                  </w:pPr>
                  <w:r>
                    <w:rPr>
                      <w:sz w:val="21"/>
                      <w:szCs w:val="21"/>
                    </w:rPr>
                    <w:t>（四）保证收集效率。涉气企业应委托专家评估现有废气治理工艺，重点对密闭收集时的吸风风量、换气次数和微负压状态进行现场核实。</w:t>
                  </w:r>
                </w:p>
              </w:tc>
              <w:tc>
                <w:tcPr>
                  <w:tcW w:w="1760" w:type="pct"/>
                  <w:shd w:val="clear" w:color="auto" w:fill="auto"/>
                  <w:vAlign w:val="center"/>
                </w:tcPr>
                <w:p w14:paraId="640AAE3D">
                  <w:pPr>
                    <w:widowControl/>
                    <w:autoSpaceDE w:val="0"/>
                    <w:autoSpaceDN w:val="0"/>
                    <w:adjustRightInd w:val="0"/>
                    <w:snapToGrid w:val="0"/>
                    <w:contextualSpacing/>
                    <w:jc w:val="center"/>
                    <w:outlineLvl w:val="1"/>
                    <w:rPr>
                      <w:rFonts w:hAnsi="Courier New"/>
                      <w:color w:val="auto"/>
                      <w:sz w:val="21"/>
                      <w:szCs w:val="21"/>
                    </w:rPr>
                  </w:pPr>
                  <w:r>
                    <w:rPr>
                      <w:color w:val="auto"/>
                      <w:sz w:val="21"/>
                      <w:szCs w:val="21"/>
                    </w:rPr>
                    <w:t>项目</w:t>
                  </w:r>
                  <w:r>
                    <w:rPr>
                      <w:rFonts w:hint="eastAsia"/>
                      <w:color w:val="auto"/>
                      <w:sz w:val="21"/>
                      <w:szCs w:val="21"/>
                    </w:rPr>
                    <w:t>实验废气经负压的通风橱/</w:t>
                  </w:r>
                  <w:r>
                    <w:rPr>
                      <w:rFonts w:hint="eastAsia"/>
                      <w:color w:val="auto"/>
                      <w:sz w:val="21"/>
                      <w:szCs w:val="21"/>
                      <w:lang w:eastAsia="zh-CN"/>
                    </w:rPr>
                    <w:t>万向罩</w:t>
                  </w:r>
                  <w:r>
                    <w:rPr>
                      <w:rFonts w:hint="eastAsia"/>
                      <w:color w:val="auto"/>
                      <w:sz w:val="21"/>
                      <w:szCs w:val="21"/>
                    </w:rPr>
                    <w:t>收集</w:t>
                  </w:r>
                  <w:r>
                    <w:rPr>
                      <w:color w:val="auto"/>
                      <w:sz w:val="21"/>
                      <w:szCs w:val="21"/>
                    </w:rPr>
                    <w:t>，</w:t>
                  </w:r>
                  <w:r>
                    <w:rPr>
                      <w:rFonts w:hint="eastAsia"/>
                      <w:color w:val="auto"/>
                      <w:sz w:val="21"/>
                      <w:szCs w:val="21"/>
                    </w:rPr>
                    <w:t>保证收集效率</w:t>
                  </w:r>
                  <w:r>
                    <w:rPr>
                      <w:color w:val="auto"/>
                      <w:sz w:val="21"/>
                      <w:szCs w:val="21"/>
                    </w:rPr>
                    <w:t>。</w:t>
                  </w:r>
                </w:p>
              </w:tc>
              <w:tc>
                <w:tcPr>
                  <w:tcW w:w="280" w:type="pct"/>
                  <w:shd w:val="clear" w:color="auto" w:fill="auto"/>
                  <w:vAlign w:val="center"/>
                </w:tcPr>
                <w:p w14:paraId="19672B1F">
                  <w:pPr>
                    <w:contextualSpacing/>
                    <w:jc w:val="center"/>
                    <w:rPr>
                      <w:kern w:val="0"/>
                      <w:sz w:val="21"/>
                      <w:szCs w:val="21"/>
                    </w:rPr>
                  </w:pPr>
                  <w:r>
                    <w:rPr>
                      <w:rFonts w:hint="eastAsia"/>
                      <w:kern w:val="0"/>
                      <w:sz w:val="21"/>
                      <w:szCs w:val="21"/>
                    </w:rPr>
                    <w:t>符合</w:t>
                  </w:r>
                </w:p>
              </w:tc>
            </w:tr>
            <w:tr w14:paraId="752ED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tcPr>
                <w:p w14:paraId="51732A19">
                  <w:pPr>
                    <w:contextualSpacing/>
                    <w:jc w:val="center"/>
                    <w:rPr>
                      <w:kern w:val="0"/>
                      <w:sz w:val="21"/>
                      <w:szCs w:val="21"/>
                    </w:rPr>
                  </w:pPr>
                </w:p>
              </w:tc>
              <w:tc>
                <w:tcPr>
                  <w:tcW w:w="2281" w:type="pct"/>
                  <w:vAlign w:val="center"/>
                </w:tcPr>
                <w:p w14:paraId="7DB9FA85">
                  <w:pPr>
                    <w:widowControl/>
                    <w:autoSpaceDE w:val="0"/>
                    <w:autoSpaceDN w:val="0"/>
                    <w:adjustRightInd w:val="0"/>
                    <w:snapToGrid w:val="0"/>
                    <w:contextualSpacing/>
                    <w:outlineLvl w:val="1"/>
                    <w:rPr>
                      <w:sz w:val="21"/>
                      <w:szCs w:val="21"/>
                    </w:rPr>
                  </w:pPr>
                  <w:r>
                    <w:rPr>
                      <w:sz w:val="21"/>
                      <w:szCs w:val="21"/>
                    </w:rPr>
                    <w:t>（五）严格控制无组织排放。含VOCs废料（渣、液）以及VOCs物料废包装物等属于危险废物的应密封储存于危废储存间。</w:t>
                  </w:r>
                </w:p>
              </w:tc>
              <w:tc>
                <w:tcPr>
                  <w:tcW w:w="1760" w:type="pct"/>
                  <w:vAlign w:val="center"/>
                </w:tcPr>
                <w:p w14:paraId="3DBCA0DB">
                  <w:pPr>
                    <w:widowControl/>
                    <w:autoSpaceDE w:val="0"/>
                    <w:autoSpaceDN w:val="0"/>
                    <w:adjustRightInd w:val="0"/>
                    <w:snapToGrid w:val="0"/>
                    <w:contextualSpacing/>
                    <w:jc w:val="center"/>
                    <w:outlineLvl w:val="1"/>
                    <w:rPr>
                      <w:color w:val="auto"/>
                      <w:sz w:val="21"/>
                      <w:szCs w:val="21"/>
                    </w:rPr>
                  </w:pPr>
                  <w:r>
                    <w:rPr>
                      <w:color w:val="auto"/>
                      <w:sz w:val="21"/>
                      <w:szCs w:val="21"/>
                    </w:rPr>
                    <w:t>项目</w:t>
                  </w:r>
                  <w:r>
                    <w:rPr>
                      <w:rFonts w:hint="eastAsia"/>
                      <w:color w:val="auto"/>
                      <w:sz w:val="21"/>
                      <w:szCs w:val="21"/>
                    </w:rPr>
                    <w:t>实验废液、一次清洗废水、废试剂瓶、过期试剂、废活性炭均采用专用带盖密闭收集桶收集，贮存于危废贮存点，</w:t>
                  </w:r>
                  <w:r>
                    <w:rPr>
                      <w:color w:val="auto"/>
                      <w:sz w:val="21"/>
                      <w:szCs w:val="21"/>
                    </w:rPr>
                    <w:t>减少非甲烷总烃的排放</w:t>
                  </w:r>
                  <w:r>
                    <w:rPr>
                      <w:rFonts w:hint="eastAsia"/>
                      <w:color w:val="auto"/>
                      <w:sz w:val="21"/>
                      <w:szCs w:val="21"/>
                    </w:rPr>
                    <w:t>。</w:t>
                  </w:r>
                </w:p>
              </w:tc>
              <w:tc>
                <w:tcPr>
                  <w:tcW w:w="280" w:type="pct"/>
                  <w:vAlign w:val="center"/>
                </w:tcPr>
                <w:p w14:paraId="7A4B1A2B">
                  <w:pPr>
                    <w:contextualSpacing/>
                    <w:jc w:val="center"/>
                    <w:rPr>
                      <w:kern w:val="0"/>
                      <w:sz w:val="21"/>
                      <w:szCs w:val="21"/>
                    </w:rPr>
                  </w:pPr>
                  <w:r>
                    <w:rPr>
                      <w:rFonts w:hint="eastAsia"/>
                      <w:kern w:val="0"/>
                      <w:sz w:val="21"/>
                      <w:szCs w:val="21"/>
                    </w:rPr>
                    <w:t>符合</w:t>
                  </w:r>
                </w:p>
              </w:tc>
            </w:tr>
            <w:tr w14:paraId="1D91C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tcPr>
                <w:p w14:paraId="0D0DCB6D">
                  <w:pPr>
                    <w:contextualSpacing/>
                    <w:jc w:val="center"/>
                    <w:rPr>
                      <w:kern w:val="0"/>
                      <w:sz w:val="21"/>
                      <w:szCs w:val="21"/>
                    </w:rPr>
                  </w:pPr>
                </w:p>
              </w:tc>
              <w:tc>
                <w:tcPr>
                  <w:tcW w:w="2281" w:type="pct"/>
                  <w:vAlign w:val="center"/>
                </w:tcPr>
                <w:p w14:paraId="3CAD2342">
                  <w:pPr>
                    <w:widowControl/>
                    <w:autoSpaceDE w:val="0"/>
                    <w:autoSpaceDN w:val="0"/>
                    <w:adjustRightInd w:val="0"/>
                    <w:snapToGrid w:val="0"/>
                    <w:contextualSpacing/>
                    <w:outlineLvl w:val="1"/>
                    <w:rPr>
                      <w:sz w:val="21"/>
                      <w:szCs w:val="21"/>
                    </w:rPr>
                  </w:pPr>
                  <w:r>
                    <w:rPr>
                      <w:sz w:val="21"/>
                      <w:szCs w:val="21"/>
                    </w:rPr>
                    <w:t>（六）严格危废管理。产生废活性炭的企业，必须与有许可证的危废经营单位签订危废处置协议。</w:t>
                  </w:r>
                </w:p>
              </w:tc>
              <w:tc>
                <w:tcPr>
                  <w:tcW w:w="1760" w:type="pct"/>
                  <w:vAlign w:val="center"/>
                </w:tcPr>
                <w:p w14:paraId="42857C0F">
                  <w:pPr>
                    <w:widowControl/>
                    <w:autoSpaceDE w:val="0"/>
                    <w:autoSpaceDN w:val="0"/>
                    <w:adjustRightInd w:val="0"/>
                    <w:snapToGrid w:val="0"/>
                    <w:contextualSpacing/>
                    <w:jc w:val="center"/>
                    <w:outlineLvl w:val="1"/>
                    <w:rPr>
                      <w:sz w:val="21"/>
                      <w:szCs w:val="21"/>
                    </w:rPr>
                  </w:pPr>
                  <w:r>
                    <w:rPr>
                      <w:sz w:val="21"/>
                      <w:szCs w:val="21"/>
                    </w:rPr>
                    <w:t>建设单位加强危废管理，与有危废许可证的单位签订协议，危废</w:t>
                  </w:r>
                  <w:r>
                    <w:rPr>
                      <w:rFonts w:hint="eastAsia"/>
                      <w:sz w:val="21"/>
                      <w:szCs w:val="21"/>
                    </w:rPr>
                    <w:t>定期</w:t>
                  </w:r>
                  <w:r>
                    <w:rPr>
                      <w:sz w:val="21"/>
                      <w:szCs w:val="21"/>
                    </w:rPr>
                    <w:t>交由有资质单位处置。</w:t>
                  </w:r>
                </w:p>
              </w:tc>
              <w:tc>
                <w:tcPr>
                  <w:tcW w:w="280" w:type="pct"/>
                  <w:vAlign w:val="center"/>
                </w:tcPr>
                <w:p w14:paraId="5651589D">
                  <w:pPr>
                    <w:contextualSpacing/>
                    <w:jc w:val="center"/>
                    <w:rPr>
                      <w:kern w:val="0"/>
                      <w:sz w:val="21"/>
                      <w:szCs w:val="21"/>
                    </w:rPr>
                  </w:pPr>
                  <w:r>
                    <w:rPr>
                      <w:rFonts w:hint="eastAsia"/>
                      <w:kern w:val="0"/>
                      <w:sz w:val="21"/>
                      <w:szCs w:val="21"/>
                    </w:rPr>
                    <w:t>符合</w:t>
                  </w:r>
                </w:p>
              </w:tc>
            </w:tr>
            <w:tr w14:paraId="67EEB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tcPr>
                <w:p w14:paraId="5B4AAB06">
                  <w:pPr>
                    <w:contextualSpacing/>
                    <w:jc w:val="center"/>
                    <w:rPr>
                      <w:kern w:val="0"/>
                      <w:sz w:val="21"/>
                      <w:szCs w:val="21"/>
                    </w:rPr>
                  </w:pPr>
                </w:p>
              </w:tc>
              <w:tc>
                <w:tcPr>
                  <w:tcW w:w="2281" w:type="pct"/>
                  <w:vAlign w:val="center"/>
                </w:tcPr>
                <w:p w14:paraId="18A7CC4B">
                  <w:pPr>
                    <w:widowControl/>
                    <w:autoSpaceDE w:val="0"/>
                    <w:autoSpaceDN w:val="0"/>
                    <w:adjustRightInd w:val="0"/>
                    <w:snapToGrid w:val="0"/>
                    <w:contextualSpacing/>
                    <w:outlineLvl w:val="1"/>
                    <w:rPr>
                      <w:sz w:val="21"/>
                      <w:szCs w:val="21"/>
                    </w:rPr>
                  </w:pPr>
                  <w:r>
                    <w:rPr>
                      <w:sz w:val="21"/>
                      <w:szCs w:val="21"/>
                    </w:rPr>
                    <w:t>（八）鼓励循环再生活性炭。鼓励企业使用优质可循环使用的活性炭，并与有资质的企业签订废旧活性炭的收集、转运、循环利用服务协议，提高治理效率，减少危险废物产生。</w:t>
                  </w:r>
                </w:p>
              </w:tc>
              <w:tc>
                <w:tcPr>
                  <w:tcW w:w="1760" w:type="pct"/>
                  <w:vAlign w:val="center"/>
                </w:tcPr>
                <w:p w14:paraId="71558BC2">
                  <w:pPr>
                    <w:widowControl/>
                    <w:autoSpaceDE w:val="0"/>
                    <w:autoSpaceDN w:val="0"/>
                    <w:adjustRightInd w:val="0"/>
                    <w:snapToGrid w:val="0"/>
                    <w:contextualSpacing/>
                    <w:jc w:val="center"/>
                    <w:outlineLvl w:val="1"/>
                    <w:rPr>
                      <w:sz w:val="21"/>
                      <w:szCs w:val="21"/>
                    </w:rPr>
                  </w:pPr>
                  <w:r>
                    <w:rPr>
                      <w:color w:val="auto"/>
                      <w:sz w:val="21"/>
                      <w:szCs w:val="21"/>
                    </w:rPr>
                    <w:t>项目使用</w:t>
                  </w:r>
                  <w:r>
                    <w:rPr>
                      <w:bCs/>
                      <w:color w:val="auto"/>
                      <w:sz w:val="21"/>
                      <w:szCs w:val="21"/>
                    </w:rPr>
                    <w:t>活性炭吸附处理有机废气，</w:t>
                  </w:r>
                  <w:r>
                    <w:rPr>
                      <w:rFonts w:hint="eastAsia"/>
                      <w:bCs/>
                      <w:color w:val="auto"/>
                      <w:sz w:val="21"/>
                      <w:szCs w:val="21"/>
                    </w:rPr>
                    <w:t>设置两级，</w:t>
                  </w:r>
                  <w:r>
                    <w:rPr>
                      <w:bCs/>
                      <w:color w:val="auto"/>
                      <w:sz w:val="21"/>
                      <w:szCs w:val="21"/>
                    </w:rPr>
                    <w:t>提高治理效率，减少废活性炭的产生；废活性炭定期交由有</w:t>
                  </w:r>
                  <w:r>
                    <w:rPr>
                      <w:bCs/>
                      <w:sz w:val="21"/>
                      <w:szCs w:val="21"/>
                    </w:rPr>
                    <w:t>资质单位处置。</w:t>
                  </w:r>
                </w:p>
              </w:tc>
              <w:tc>
                <w:tcPr>
                  <w:tcW w:w="280" w:type="pct"/>
                  <w:vAlign w:val="center"/>
                </w:tcPr>
                <w:p w14:paraId="7F515FFC">
                  <w:pPr>
                    <w:contextualSpacing/>
                    <w:jc w:val="center"/>
                    <w:rPr>
                      <w:kern w:val="0"/>
                      <w:sz w:val="21"/>
                      <w:szCs w:val="21"/>
                    </w:rPr>
                  </w:pPr>
                  <w:r>
                    <w:rPr>
                      <w:rFonts w:hint="eastAsia"/>
                      <w:kern w:val="0"/>
                      <w:sz w:val="21"/>
                      <w:szCs w:val="21"/>
                    </w:rPr>
                    <w:t>符合</w:t>
                  </w:r>
                </w:p>
              </w:tc>
            </w:tr>
            <w:tr w14:paraId="588E8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tcPr>
                <w:p w14:paraId="625F1F9C">
                  <w:pPr>
                    <w:contextualSpacing/>
                    <w:jc w:val="center"/>
                    <w:rPr>
                      <w:kern w:val="0"/>
                      <w:sz w:val="21"/>
                      <w:szCs w:val="21"/>
                    </w:rPr>
                  </w:pPr>
                </w:p>
              </w:tc>
              <w:tc>
                <w:tcPr>
                  <w:tcW w:w="2281" w:type="pct"/>
                  <w:vAlign w:val="center"/>
                </w:tcPr>
                <w:p w14:paraId="4F5BAE57">
                  <w:pPr>
                    <w:widowControl/>
                    <w:autoSpaceDE w:val="0"/>
                    <w:autoSpaceDN w:val="0"/>
                    <w:adjustRightInd w:val="0"/>
                    <w:snapToGrid w:val="0"/>
                    <w:contextualSpacing/>
                    <w:outlineLvl w:val="1"/>
                    <w:rPr>
                      <w:sz w:val="21"/>
                      <w:szCs w:val="21"/>
                    </w:rPr>
                  </w:pPr>
                  <w:r>
                    <w:rPr>
                      <w:sz w:val="21"/>
                      <w:szCs w:val="21"/>
                    </w:rPr>
                    <w:t>（九）完善台账记录。企业应按要求做好活性炭吸附日常运行维护台账记录，台账内容应包括开启时间、关停时间、更换时间\更换照片、装填数量、设计参数、风量等，以及活性炭主要技术指标检测合格材料。环境管理台账记录保存期限不得少于5年。</w:t>
                  </w:r>
                </w:p>
              </w:tc>
              <w:tc>
                <w:tcPr>
                  <w:tcW w:w="1760" w:type="pct"/>
                  <w:vAlign w:val="center"/>
                </w:tcPr>
                <w:p w14:paraId="15E41954">
                  <w:pPr>
                    <w:widowControl/>
                    <w:autoSpaceDE w:val="0"/>
                    <w:autoSpaceDN w:val="0"/>
                    <w:adjustRightInd w:val="0"/>
                    <w:snapToGrid w:val="0"/>
                    <w:contextualSpacing/>
                    <w:jc w:val="center"/>
                    <w:outlineLvl w:val="1"/>
                    <w:rPr>
                      <w:sz w:val="21"/>
                      <w:szCs w:val="21"/>
                    </w:rPr>
                  </w:pPr>
                  <w:r>
                    <w:rPr>
                      <w:sz w:val="21"/>
                      <w:szCs w:val="21"/>
                    </w:rPr>
                    <w:t>建设单位制定废气处理设施日常运行维护管理台账，台账内容包括废气处理设施开启时间、关停时间、更换时间/照片、装填数量、设计参数、风量等，保存活性炭主要技术指标检测合格材料，记录保存期限不少于5年。</w:t>
                  </w:r>
                </w:p>
              </w:tc>
              <w:tc>
                <w:tcPr>
                  <w:tcW w:w="280" w:type="pct"/>
                  <w:vAlign w:val="center"/>
                </w:tcPr>
                <w:p w14:paraId="09E41852">
                  <w:pPr>
                    <w:contextualSpacing/>
                    <w:jc w:val="center"/>
                    <w:rPr>
                      <w:kern w:val="0"/>
                      <w:sz w:val="21"/>
                      <w:szCs w:val="21"/>
                    </w:rPr>
                  </w:pPr>
                  <w:r>
                    <w:rPr>
                      <w:rFonts w:hint="eastAsia"/>
                      <w:kern w:val="0"/>
                      <w:sz w:val="21"/>
                      <w:szCs w:val="21"/>
                    </w:rPr>
                    <w:t>符合</w:t>
                  </w:r>
                </w:p>
              </w:tc>
            </w:tr>
            <w:tr w14:paraId="34DCC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7" w:type="pct"/>
                  <w:vMerge w:val="continue"/>
                </w:tcPr>
                <w:p w14:paraId="231CA210">
                  <w:pPr>
                    <w:contextualSpacing/>
                    <w:jc w:val="center"/>
                    <w:rPr>
                      <w:kern w:val="0"/>
                      <w:sz w:val="21"/>
                      <w:szCs w:val="21"/>
                    </w:rPr>
                  </w:pPr>
                </w:p>
              </w:tc>
              <w:tc>
                <w:tcPr>
                  <w:tcW w:w="2281" w:type="pct"/>
                  <w:vAlign w:val="center"/>
                </w:tcPr>
                <w:p w14:paraId="18FAF45C">
                  <w:pPr>
                    <w:widowControl/>
                    <w:autoSpaceDE w:val="0"/>
                    <w:autoSpaceDN w:val="0"/>
                    <w:adjustRightInd w:val="0"/>
                    <w:snapToGrid w:val="0"/>
                    <w:contextualSpacing/>
                    <w:outlineLvl w:val="1"/>
                  </w:pPr>
                  <w:r>
                    <w:rPr>
                      <w:sz w:val="21"/>
                      <w:szCs w:val="21"/>
                    </w:rPr>
                    <w:t>5</w:t>
                  </w:r>
                  <w:r>
                    <w:rPr>
                      <w:rFonts w:hint="eastAsia"/>
                      <w:sz w:val="21"/>
                      <w:szCs w:val="21"/>
                    </w:rPr>
                    <w:t>、活性炭装填量：根据风量和初始浓度确定，不同风量计初始浓度的活性炭装填量详见表2，其中最小填充量不应少于0.5吨（VOCs初始浓度在100mg/m</w:t>
                  </w:r>
                  <w:r>
                    <w:rPr>
                      <w:rFonts w:hint="eastAsia"/>
                      <w:sz w:val="21"/>
                      <w:szCs w:val="21"/>
                      <w:vertAlign w:val="superscript"/>
                    </w:rPr>
                    <w:t>3</w:t>
                  </w:r>
                  <w:r>
                    <w:rPr>
                      <w:rFonts w:hint="eastAsia"/>
                      <w:sz w:val="21"/>
                      <w:szCs w:val="21"/>
                    </w:rPr>
                    <w:t>以下的，活性炭填充量不少于0.5吨）。</w:t>
                  </w:r>
                </w:p>
              </w:tc>
              <w:tc>
                <w:tcPr>
                  <w:tcW w:w="1760" w:type="pct"/>
                  <w:vAlign w:val="center"/>
                </w:tcPr>
                <w:p w14:paraId="437332FB">
                  <w:pPr>
                    <w:widowControl/>
                    <w:autoSpaceDE w:val="0"/>
                    <w:autoSpaceDN w:val="0"/>
                    <w:adjustRightInd w:val="0"/>
                    <w:snapToGrid w:val="0"/>
                    <w:contextualSpacing/>
                    <w:jc w:val="center"/>
                    <w:outlineLvl w:val="1"/>
                    <w:rPr>
                      <w:sz w:val="21"/>
                      <w:szCs w:val="21"/>
                    </w:rPr>
                  </w:pPr>
                  <w:r>
                    <w:rPr>
                      <w:rFonts w:hint="eastAsia"/>
                      <w:sz w:val="21"/>
                      <w:szCs w:val="21"/>
                    </w:rPr>
                    <w:t>本项目风机风量为18000m</w:t>
                  </w:r>
                  <w:r>
                    <w:rPr>
                      <w:rFonts w:hint="eastAsia"/>
                      <w:sz w:val="21"/>
                      <w:szCs w:val="21"/>
                      <w:vertAlign w:val="superscript"/>
                    </w:rPr>
                    <w:t>3</w:t>
                  </w:r>
                  <w:r>
                    <w:rPr>
                      <w:rFonts w:hint="eastAsia"/>
                      <w:sz w:val="21"/>
                      <w:szCs w:val="21"/>
                    </w:rPr>
                    <w:t>/h，有机废气初始排放浓度为1.02mg/m</w:t>
                  </w:r>
                  <w:r>
                    <w:rPr>
                      <w:rFonts w:hint="eastAsia"/>
                      <w:sz w:val="21"/>
                      <w:szCs w:val="21"/>
                      <w:vertAlign w:val="superscript"/>
                    </w:rPr>
                    <w:t>3</w:t>
                  </w:r>
                  <w:r>
                    <w:rPr>
                      <w:rFonts w:hint="eastAsia"/>
                      <w:sz w:val="21"/>
                      <w:szCs w:val="21"/>
                    </w:rPr>
                    <w:t>，远小于100mg/m</w:t>
                  </w:r>
                  <w:r>
                    <w:rPr>
                      <w:rFonts w:hint="eastAsia"/>
                      <w:sz w:val="21"/>
                      <w:szCs w:val="21"/>
                      <w:vertAlign w:val="superscript"/>
                    </w:rPr>
                    <w:t>3</w:t>
                  </w:r>
                  <w:r>
                    <w:rPr>
                      <w:rFonts w:hint="eastAsia"/>
                      <w:sz w:val="21"/>
                      <w:szCs w:val="21"/>
                    </w:rPr>
                    <w:t>，故本项目活性炭按0.5吨填充，设置两级。</w:t>
                  </w:r>
                </w:p>
              </w:tc>
              <w:tc>
                <w:tcPr>
                  <w:tcW w:w="280" w:type="pct"/>
                  <w:vAlign w:val="center"/>
                </w:tcPr>
                <w:p w14:paraId="4FB40C18">
                  <w:pPr>
                    <w:contextualSpacing/>
                    <w:jc w:val="center"/>
                    <w:rPr>
                      <w:kern w:val="0"/>
                      <w:sz w:val="21"/>
                      <w:szCs w:val="21"/>
                    </w:rPr>
                  </w:pPr>
                  <w:r>
                    <w:rPr>
                      <w:rFonts w:hint="eastAsia"/>
                      <w:kern w:val="0"/>
                      <w:sz w:val="21"/>
                      <w:szCs w:val="21"/>
                    </w:rPr>
                    <w:t>符合</w:t>
                  </w:r>
                </w:p>
              </w:tc>
            </w:tr>
          </w:tbl>
          <w:p w14:paraId="47309415">
            <w:pPr>
              <w:autoSpaceDE w:val="0"/>
              <w:autoSpaceDN w:val="0"/>
              <w:adjustRightInd w:val="0"/>
              <w:snapToGrid w:val="0"/>
              <w:spacing w:before="156" w:beforeLines="50" w:line="360" w:lineRule="auto"/>
              <w:rPr>
                <w:b/>
                <w:bCs/>
                <w:kern w:val="0"/>
                <w:sz w:val="21"/>
                <w:szCs w:val="18"/>
              </w:rPr>
            </w:pPr>
            <w:r>
              <w:rPr>
                <w:rFonts w:hint="eastAsia"/>
                <w:b/>
                <w:bCs/>
                <w:kern w:val="0"/>
                <w:szCs w:val="21"/>
              </w:rPr>
              <w:t>5、与实验室相关要求的符合性分析</w:t>
            </w:r>
          </w:p>
          <w:p w14:paraId="5B0ED17D">
            <w:pPr>
              <w:autoSpaceDE w:val="0"/>
              <w:autoSpaceDN w:val="0"/>
              <w:adjustRightInd w:val="0"/>
              <w:snapToGrid w:val="0"/>
              <w:jc w:val="center"/>
              <w:rPr>
                <w:b/>
                <w:bCs/>
                <w:kern w:val="0"/>
                <w:sz w:val="21"/>
                <w:szCs w:val="18"/>
              </w:rPr>
            </w:pPr>
            <w:r>
              <w:rPr>
                <w:rFonts w:hint="eastAsia"/>
                <w:b/>
                <w:bCs/>
                <w:kern w:val="0"/>
                <w:sz w:val="21"/>
                <w:szCs w:val="18"/>
              </w:rPr>
              <w:t>表1-6  项目与实验室相关要求符合性分析一览表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633"/>
              <w:gridCol w:w="2932"/>
              <w:gridCol w:w="438"/>
            </w:tblGrid>
            <w:tr w14:paraId="429D2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shd w:val="clear" w:color="auto" w:fill="auto"/>
                  <w:vAlign w:val="center"/>
                </w:tcPr>
                <w:p w14:paraId="4FE3A0E3">
                  <w:pPr>
                    <w:contextualSpacing/>
                    <w:jc w:val="center"/>
                    <w:rPr>
                      <w:b/>
                      <w:kern w:val="0"/>
                      <w:sz w:val="21"/>
                      <w:szCs w:val="21"/>
                    </w:rPr>
                  </w:pPr>
                  <w:r>
                    <w:rPr>
                      <w:b/>
                      <w:kern w:val="0"/>
                      <w:sz w:val="21"/>
                      <w:szCs w:val="21"/>
                    </w:rPr>
                    <w:t>文件</w:t>
                  </w:r>
                </w:p>
                <w:p w14:paraId="1677CEAA">
                  <w:pPr>
                    <w:contextualSpacing/>
                    <w:jc w:val="center"/>
                    <w:rPr>
                      <w:b/>
                      <w:kern w:val="0"/>
                      <w:sz w:val="21"/>
                      <w:szCs w:val="21"/>
                    </w:rPr>
                  </w:pPr>
                  <w:r>
                    <w:rPr>
                      <w:b/>
                      <w:kern w:val="0"/>
                      <w:sz w:val="21"/>
                      <w:szCs w:val="21"/>
                    </w:rPr>
                    <w:t>名称</w:t>
                  </w:r>
                </w:p>
              </w:tc>
              <w:tc>
                <w:tcPr>
                  <w:tcW w:w="1927" w:type="pct"/>
                  <w:shd w:val="clear" w:color="auto" w:fill="auto"/>
                  <w:vAlign w:val="center"/>
                </w:tcPr>
                <w:p w14:paraId="1250B936">
                  <w:pPr>
                    <w:contextualSpacing/>
                    <w:jc w:val="center"/>
                    <w:rPr>
                      <w:b/>
                      <w:kern w:val="0"/>
                      <w:sz w:val="21"/>
                      <w:szCs w:val="21"/>
                    </w:rPr>
                  </w:pPr>
                  <w:r>
                    <w:rPr>
                      <w:b/>
                      <w:kern w:val="0"/>
                      <w:sz w:val="21"/>
                      <w:szCs w:val="21"/>
                    </w:rPr>
                    <w:t>具体要求</w:t>
                  </w:r>
                </w:p>
              </w:tc>
              <w:tc>
                <w:tcPr>
                  <w:tcW w:w="2146" w:type="pct"/>
                  <w:shd w:val="clear" w:color="auto" w:fill="auto"/>
                  <w:vAlign w:val="center"/>
                </w:tcPr>
                <w:p w14:paraId="7F190A29">
                  <w:pPr>
                    <w:contextualSpacing/>
                    <w:jc w:val="center"/>
                    <w:rPr>
                      <w:b/>
                      <w:kern w:val="0"/>
                      <w:sz w:val="21"/>
                      <w:szCs w:val="21"/>
                    </w:rPr>
                  </w:pPr>
                  <w:r>
                    <w:rPr>
                      <w:b/>
                      <w:kern w:val="0"/>
                      <w:sz w:val="21"/>
                      <w:szCs w:val="21"/>
                    </w:rPr>
                    <w:t>本项目情况</w:t>
                  </w:r>
                </w:p>
              </w:tc>
              <w:tc>
                <w:tcPr>
                  <w:tcW w:w="321" w:type="pct"/>
                  <w:shd w:val="clear" w:color="auto" w:fill="auto"/>
                  <w:vAlign w:val="center"/>
                </w:tcPr>
                <w:p w14:paraId="14F103DA">
                  <w:pPr>
                    <w:contextualSpacing/>
                    <w:jc w:val="center"/>
                    <w:rPr>
                      <w:b/>
                      <w:kern w:val="0"/>
                      <w:sz w:val="21"/>
                      <w:szCs w:val="21"/>
                    </w:rPr>
                  </w:pPr>
                  <w:r>
                    <w:rPr>
                      <w:rFonts w:hint="eastAsia"/>
                      <w:b/>
                      <w:kern w:val="0"/>
                      <w:sz w:val="21"/>
                      <w:szCs w:val="21"/>
                    </w:rPr>
                    <w:t>符合性</w:t>
                  </w:r>
                </w:p>
              </w:tc>
            </w:tr>
            <w:tr w14:paraId="6186D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restart"/>
                  <w:shd w:val="clear" w:color="auto" w:fill="auto"/>
                  <w:vAlign w:val="center"/>
                </w:tcPr>
                <w:p w14:paraId="7536DC2E">
                  <w:pPr>
                    <w:contextualSpacing/>
                    <w:jc w:val="center"/>
                    <w:rPr>
                      <w:bCs/>
                      <w:kern w:val="0"/>
                      <w:sz w:val="21"/>
                      <w:szCs w:val="21"/>
                    </w:rPr>
                  </w:pPr>
                  <w:r>
                    <w:rPr>
                      <w:bCs/>
                      <w:kern w:val="0"/>
                      <w:sz w:val="21"/>
                      <w:szCs w:val="21"/>
                    </w:rPr>
                    <w:t>《检验检测实验室设计与建设技术要求 第1部分</w:t>
                  </w:r>
                  <w:r>
                    <w:rPr>
                      <w:rFonts w:hint="eastAsia"/>
                      <w:bCs/>
                      <w:kern w:val="0"/>
                      <w:sz w:val="21"/>
                      <w:szCs w:val="21"/>
                    </w:rPr>
                    <w:t>：</w:t>
                  </w:r>
                  <w:r>
                    <w:rPr>
                      <w:bCs/>
                      <w:kern w:val="0"/>
                      <w:sz w:val="21"/>
                      <w:szCs w:val="21"/>
                    </w:rPr>
                    <w:t>通用要求》（GB/T32146.1-2015）</w:t>
                  </w:r>
                </w:p>
              </w:tc>
              <w:tc>
                <w:tcPr>
                  <w:tcW w:w="1927" w:type="pct"/>
                  <w:shd w:val="clear" w:color="auto" w:fill="auto"/>
                  <w:vAlign w:val="center"/>
                </w:tcPr>
                <w:p w14:paraId="009A2A88">
                  <w:pPr>
                    <w:contextualSpacing/>
                    <w:rPr>
                      <w:bCs/>
                      <w:kern w:val="0"/>
                      <w:sz w:val="21"/>
                      <w:szCs w:val="21"/>
                    </w:rPr>
                  </w:pPr>
                  <w:r>
                    <w:rPr>
                      <w:rFonts w:hint="eastAsia"/>
                      <w:bCs/>
                      <w:kern w:val="0"/>
                      <w:sz w:val="21"/>
                      <w:szCs w:val="21"/>
                    </w:rPr>
                    <w:t>7.5.2实验室废液处理</w:t>
                  </w:r>
                </w:p>
                <w:p w14:paraId="64CBB4F2">
                  <w:pPr>
                    <w:contextualSpacing/>
                    <w:rPr>
                      <w:bCs/>
                      <w:kern w:val="0"/>
                      <w:sz w:val="21"/>
                      <w:szCs w:val="21"/>
                    </w:rPr>
                  </w:pPr>
                  <w:r>
                    <w:rPr>
                      <w:rFonts w:hint="eastAsia"/>
                      <w:bCs/>
                      <w:kern w:val="0"/>
                      <w:sz w:val="21"/>
                      <w:szCs w:val="21"/>
                    </w:rPr>
                    <w:t>实验室废液的处理按其性质、成分等采取不同的方式。如回收利用、直接排放、处理后排放等。实验室废液按废液性质、成分及污染的程度应进行不同的处理，污水排入地面水体或城市排水系统时，应符合GB 50015-2003第4章、GB 8978、GB 20425中的规定。</w:t>
                  </w:r>
                </w:p>
              </w:tc>
              <w:tc>
                <w:tcPr>
                  <w:tcW w:w="2146" w:type="pct"/>
                  <w:shd w:val="clear" w:color="auto" w:fill="auto"/>
                  <w:vAlign w:val="center"/>
                </w:tcPr>
                <w:p w14:paraId="08D138E6">
                  <w:pPr>
                    <w:pStyle w:val="2"/>
                    <w:jc w:val="center"/>
                    <w:rPr>
                      <w:rFonts w:hint="default"/>
                    </w:rPr>
                  </w:pPr>
                  <w:r>
                    <w:rPr>
                      <w:rFonts w:ascii="Times New Roman" w:hAnsi="Times New Roman"/>
                      <w:b w:val="0"/>
                      <w:sz w:val="21"/>
                      <w:szCs w:val="21"/>
                    </w:rPr>
                    <w:t>项目实验室废液分类收集后按《危险废物贮存污染控制标准要求》（GB 18597-2023）及相关要求合理贮存，定期委托有资质单位进行处置。实验器皿清洗废水（不含一次清洗废水）、剩余一般水样和喷淋塔排水经自建废水处理设备（酸碱中和，1t/d）处理后排入园区化粪池；生活污水和其他废水（地面清洁废水、职工工作服清洗废水、超纯水制备排放浓水）排入园区化粪池处理，最终经市政污水管网排入西安净水处理有限责任公司第六再生水厂。项目废水排放浓度可满足《污水综合排放标准》（GB 8978-1996）三级标准和《污水排入城镇下水道水质标准》（GB/T 31962-2015）A级标准要求。</w:t>
                  </w:r>
                </w:p>
              </w:tc>
              <w:tc>
                <w:tcPr>
                  <w:tcW w:w="321" w:type="pct"/>
                  <w:shd w:val="clear" w:color="auto" w:fill="auto"/>
                  <w:vAlign w:val="center"/>
                </w:tcPr>
                <w:p w14:paraId="7A5086FC">
                  <w:pPr>
                    <w:contextualSpacing/>
                    <w:jc w:val="center"/>
                    <w:rPr>
                      <w:bCs/>
                      <w:kern w:val="0"/>
                      <w:sz w:val="21"/>
                      <w:szCs w:val="21"/>
                    </w:rPr>
                  </w:pPr>
                  <w:r>
                    <w:rPr>
                      <w:bCs/>
                      <w:kern w:val="0"/>
                      <w:sz w:val="21"/>
                      <w:szCs w:val="21"/>
                    </w:rPr>
                    <w:t>符合</w:t>
                  </w:r>
                </w:p>
              </w:tc>
            </w:tr>
            <w:tr w14:paraId="39850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vAlign w:val="center"/>
                </w:tcPr>
                <w:p w14:paraId="4FC7CACE">
                  <w:pPr>
                    <w:contextualSpacing/>
                    <w:jc w:val="center"/>
                    <w:rPr>
                      <w:bCs/>
                      <w:kern w:val="0"/>
                      <w:sz w:val="21"/>
                      <w:szCs w:val="21"/>
                    </w:rPr>
                  </w:pPr>
                </w:p>
              </w:tc>
              <w:tc>
                <w:tcPr>
                  <w:tcW w:w="1927" w:type="pct"/>
                  <w:shd w:val="clear" w:color="auto" w:fill="auto"/>
                  <w:vAlign w:val="center"/>
                </w:tcPr>
                <w:p w14:paraId="5C6C8AF7">
                  <w:pPr>
                    <w:contextualSpacing/>
                    <w:rPr>
                      <w:bCs/>
                      <w:kern w:val="0"/>
                      <w:sz w:val="21"/>
                      <w:szCs w:val="21"/>
                    </w:rPr>
                  </w:pPr>
                  <w:r>
                    <w:rPr>
                      <w:rFonts w:hint="eastAsia"/>
                      <w:bCs/>
                      <w:kern w:val="0"/>
                      <w:sz w:val="21"/>
                      <w:szCs w:val="21"/>
                    </w:rPr>
                    <w:t>7.5.2实验室废气处理</w:t>
                  </w:r>
                </w:p>
                <w:p w14:paraId="445E8098">
                  <w:pPr>
                    <w:contextualSpacing/>
                    <w:rPr>
                      <w:bCs/>
                      <w:kern w:val="0"/>
                      <w:sz w:val="21"/>
                      <w:szCs w:val="21"/>
                    </w:rPr>
                  </w:pPr>
                  <w:r>
                    <w:rPr>
                      <w:rFonts w:hint="eastAsia"/>
                      <w:bCs/>
                      <w:kern w:val="0"/>
                      <w:sz w:val="21"/>
                      <w:szCs w:val="21"/>
                    </w:rPr>
                    <w:t>实验室废气主要为两大类，酸雾和有机气体。产生两类污染的操作宜在不同的通风柜中进行，处理后的废气应符合GB 16297、GB 14554 等国家相关的规定。</w:t>
                  </w:r>
                </w:p>
              </w:tc>
              <w:tc>
                <w:tcPr>
                  <w:tcW w:w="2146" w:type="pct"/>
                  <w:shd w:val="clear" w:color="auto" w:fill="auto"/>
                  <w:vAlign w:val="center"/>
                </w:tcPr>
                <w:p w14:paraId="4E23BA9E">
                  <w:pPr>
                    <w:contextualSpacing/>
                    <w:jc w:val="center"/>
                  </w:pPr>
                  <w:r>
                    <w:rPr>
                      <w:rFonts w:hint="eastAsia"/>
                      <w:sz w:val="21"/>
                      <w:szCs w:val="21"/>
                    </w:rPr>
                    <w:t>项目有机前处理及实验检测过程产生的有机废气（以非甲烷总烃计）经通风橱/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上方排风管道收集后汇集到总排风管道上，引至楼顶两级活性炭吸附装置处理后经35m高排气筒（DA001）排放；无机前处理产生的无机酸性废气（硫酸雾、氯化氢、氮氧化物）经通风橱/</w:t>
                  </w:r>
                  <w:r>
                    <w:rPr>
                      <w:rFonts w:hint="eastAsia"/>
                      <w:sz w:val="21"/>
                      <w:szCs w:val="21"/>
                      <w:lang w:eastAsia="zh-CN"/>
                    </w:rPr>
                    <w:t>万向罩</w:t>
                  </w:r>
                  <w:r>
                    <w:rPr>
                      <w:rFonts w:hint="eastAsia"/>
                      <w:sz w:val="21"/>
                      <w:szCs w:val="21"/>
                    </w:rPr>
                    <w:t>/吸风罩上方排风管道收集后汇集到总排风管道上，引至楼顶喷淋塔装置处理后经35m高排气筒（DA002）排放</w:t>
                  </w:r>
                  <w:r>
                    <w:rPr>
                      <w:kern w:val="0"/>
                      <w:sz w:val="21"/>
                      <w:szCs w:val="21"/>
                    </w:rPr>
                    <w:t>。</w:t>
                  </w:r>
                </w:p>
              </w:tc>
              <w:tc>
                <w:tcPr>
                  <w:tcW w:w="321" w:type="pct"/>
                  <w:shd w:val="clear" w:color="auto" w:fill="auto"/>
                  <w:vAlign w:val="center"/>
                </w:tcPr>
                <w:p w14:paraId="3AE70B40">
                  <w:pPr>
                    <w:contextualSpacing/>
                    <w:jc w:val="center"/>
                    <w:rPr>
                      <w:bCs/>
                      <w:kern w:val="0"/>
                      <w:sz w:val="21"/>
                      <w:szCs w:val="21"/>
                    </w:rPr>
                  </w:pPr>
                  <w:r>
                    <w:rPr>
                      <w:rFonts w:hint="eastAsia"/>
                      <w:bCs/>
                      <w:kern w:val="0"/>
                      <w:sz w:val="21"/>
                      <w:szCs w:val="21"/>
                    </w:rPr>
                    <w:t>符合</w:t>
                  </w:r>
                </w:p>
              </w:tc>
            </w:tr>
            <w:tr w14:paraId="1B57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vAlign w:val="center"/>
                </w:tcPr>
                <w:p w14:paraId="62D5751D">
                  <w:pPr>
                    <w:contextualSpacing/>
                    <w:jc w:val="center"/>
                    <w:rPr>
                      <w:bCs/>
                      <w:kern w:val="0"/>
                      <w:sz w:val="21"/>
                      <w:szCs w:val="21"/>
                    </w:rPr>
                  </w:pPr>
                </w:p>
              </w:tc>
              <w:tc>
                <w:tcPr>
                  <w:tcW w:w="1927" w:type="pct"/>
                  <w:shd w:val="clear" w:color="auto" w:fill="auto"/>
                  <w:vAlign w:val="center"/>
                </w:tcPr>
                <w:p w14:paraId="296EF8AA">
                  <w:pPr>
                    <w:contextualSpacing/>
                    <w:rPr>
                      <w:bCs/>
                      <w:kern w:val="0"/>
                      <w:sz w:val="21"/>
                      <w:szCs w:val="21"/>
                    </w:rPr>
                  </w:pPr>
                  <w:r>
                    <w:rPr>
                      <w:rFonts w:hint="eastAsia"/>
                      <w:bCs/>
                      <w:kern w:val="0"/>
                      <w:sz w:val="21"/>
                      <w:szCs w:val="21"/>
                    </w:rPr>
                    <w:t>7.5.3实验室固废处理</w:t>
                  </w:r>
                </w:p>
                <w:p w14:paraId="05FE1A6A">
                  <w:pPr>
                    <w:contextualSpacing/>
                    <w:rPr>
                      <w:bCs/>
                      <w:kern w:val="0"/>
                      <w:sz w:val="21"/>
                      <w:szCs w:val="21"/>
                    </w:rPr>
                  </w:pPr>
                  <w:r>
                    <w:rPr>
                      <w:rFonts w:hint="eastAsia"/>
                      <w:bCs/>
                      <w:kern w:val="0"/>
                      <w:sz w:val="21"/>
                      <w:szCs w:val="21"/>
                    </w:rPr>
                    <w:t>对于高毒性的可溶性固废，实验室应设专门容器分别加以收集，严禁埋入地下，污染地面水体。其他固废可按照国家相关法律法规进行处理。具体应符合GB 18599等国家相关的规定。</w:t>
                  </w:r>
                </w:p>
              </w:tc>
              <w:tc>
                <w:tcPr>
                  <w:tcW w:w="2146" w:type="pct"/>
                  <w:shd w:val="clear" w:color="auto" w:fill="auto"/>
                  <w:vAlign w:val="center"/>
                </w:tcPr>
                <w:p w14:paraId="4326993B">
                  <w:pPr>
                    <w:contextualSpacing/>
                    <w:jc w:val="center"/>
                  </w:pPr>
                  <w:r>
                    <w:rPr>
                      <w:sz w:val="21"/>
                      <w:szCs w:val="21"/>
                    </w:rPr>
                    <w:t>项目危险废物包括</w:t>
                  </w:r>
                  <w:r>
                    <w:rPr>
                      <w:rFonts w:hint="eastAsia"/>
                      <w:sz w:val="21"/>
                      <w:szCs w:val="21"/>
                    </w:rPr>
                    <w:t>实验废液、一次清洗废水、废试剂瓶、过期试剂、废紫外灯管、废活性炭等</w:t>
                  </w:r>
                  <w:r>
                    <w:rPr>
                      <w:sz w:val="21"/>
                      <w:szCs w:val="21"/>
                    </w:rPr>
                    <w:t>，各类危废采用专门容器分类收集</w:t>
                  </w:r>
                  <w:r>
                    <w:rPr>
                      <w:rFonts w:hint="eastAsia"/>
                      <w:sz w:val="21"/>
                      <w:szCs w:val="21"/>
                    </w:rPr>
                    <w:t>后贮存于危废贮存点，定期交由有资质单位</w:t>
                  </w:r>
                  <w:r>
                    <w:rPr>
                      <w:sz w:val="21"/>
                      <w:szCs w:val="21"/>
                    </w:rPr>
                    <w:t>处置</w:t>
                  </w:r>
                  <w:r>
                    <w:rPr>
                      <w:rFonts w:hint="eastAsia"/>
                      <w:sz w:val="21"/>
                      <w:szCs w:val="21"/>
                    </w:rPr>
                    <w:t>。评价要求项目危险废物收集、贮存、转运、管理等环节严格按照《危险废物贮存污染控制标准》（GB18597-2023）中的相关规定执行。</w:t>
                  </w:r>
                </w:p>
              </w:tc>
              <w:tc>
                <w:tcPr>
                  <w:tcW w:w="321" w:type="pct"/>
                  <w:shd w:val="clear" w:color="auto" w:fill="auto"/>
                  <w:vAlign w:val="center"/>
                </w:tcPr>
                <w:p w14:paraId="69619F95">
                  <w:pPr>
                    <w:contextualSpacing/>
                    <w:jc w:val="center"/>
                    <w:rPr>
                      <w:bCs/>
                      <w:kern w:val="0"/>
                      <w:sz w:val="21"/>
                      <w:szCs w:val="21"/>
                    </w:rPr>
                  </w:pPr>
                  <w:r>
                    <w:rPr>
                      <w:rFonts w:hint="eastAsia"/>
                      <w:bCs/>
                      <w:kern w:val="0"/>
                      <w:sz w:val="21"/>
                      <w:szCs w:val="21"/>
                    </w:rPr>
                    <w:t>符合</w:t>
                  </w:r>
                </w:p>
              </w:tc>
            </w:tr>
            <w:tr w14:paraId="4E6EB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restart"/>
                  <w:shd w:val="clear" w:color="auto" w:fill="auto"/>
                  <w:vAlign w:val="center"/>
                </w:tcPr>
                <w:p w14:paraId="7001C143">
                  <w:pPr>
                    <w:contextualSpacing/>
                    <w:jc w:val="center"/>
                    <w:rPr>
                      <w:bCs/>
                      <w:kern w:val="0"/>
                      <w:sz w:val="21"/>
                      <w:szCs w:val="21"/>
                    </w:rPr>
                  </w:pPr>
                  <w:r>
                    <w:rPr>
                      <w:rFonts w:hint="eastAsia"/>
                      <w:bCs/>
                      <w:kern w:val="0"/>
                      <w:sz w:val="21"/>
                      <w:szCs w:val="21"/>
                    </w:rPr>
                    <w:t>检验检测实验室技术要求验收规范（GB/T37140-2018）</w:t>
                  </w:r>
                </w:p>
              </w:tc>
              <w:tc>
                <w:tcPr>
                  <w:tcW w:w="1927" w:type="pct"/>
                  <w:shd w:val="clear" w:color="auto" w:fill="auto"/>
                  <w:vAlign w:val="center"/>
                </w:tcPr>
                <w:p w14:paraId="760EEE5A">
                  <w:pPr>
                    <w:pStyle w:val="67"/>
                    <w:widowControl/>
                    <w:adjustRightInd w:val="0"/>
                    <w:snapToGrid w:val="0"/>
                    <w:spacing w:line="240" w:lineRule="auto"/>
                    <w:ind w:firstLine="0" w:firstLineChars="0"/>
                    <w:rPr>
                      <w:sz w:val="21"/>
                      <w:szCs w:val="21"/>
                    </w:rPr>
                  </w:pPr>
                  <w:r>
                    <w:rPr>
                      <w:rFonts w:hint="eastAsia"/>
                      <w:sz w:val="21"/>
                      <w:szCs w:val="21"/>
                    </w:rPr>
                    <w:t>5.2.1</w:t>
                  </w:r>
                  <w:r>
                    <w:rPr>
                      <w:sz w:val="21"/>
                      <w:szCs w:val="21"/>
                    </w:rPr>
                    <w:t>实验室选址</w:t>
                  </w:r>
                </w:p>
                <w:p w14:paraId="47E512AC">
                  <w:pPr>
                    <w:pStyle w:val="67"/>
                    <w:widowControl/>
                    <w:adjustRightInd w:val="0"/>
                    <w:snapToGrid w:val="0"/>
                    <w:spacing w:line="240" w:lineRule="auto"/>
                    <w:ind w:firstLine="0" w:firstLineChars="0"/>
                    <w:rPr>
                      <w:sz w:val="21"/>
                      <w:szCs w:val="21"/>
                    </w:rPr>
                  </w:pPr>
                  <w:r>
                    <w:rPr>
                      <w:sz w:val="21"/>
                      <w:szCs w:val="21"/>
                    </w:rPr>
                    <w:t>实验室选宜优先考虑基础设施完善、交通便利、通讯良好的地区，并满足发展用地的需求，对于在检验检测过程中，易对外界环境造成影响的实验室，在选址时应考虑减少公害，如布置在下风方向及下游地段，采取绿化隔离、远离人群等措施，同时应满足环境影响评价报告的要求。</w:t>
                  </w:r>
                </w:p>
                <w:p w14:paraId="783D830B">
                  <w:pPr>
                    <w:pStyle w:val="67"/>
                    <w:widowControl/>
                    <w:adjustRightInd w:val="0"/>
                    <w:snapToGrid w:val="0"/>
                    <w:spacing w:line="240" w:lineRule="auto"/>
                    <w:ind w:firstLine="0" w:firstLineChars="0"/>
                    <w:rPr>
                      <w:sz w:val="21"/>
                      <w:szCs w:val="21"/>
                    </w:rPr>
                  </w:pPr>
                  <w:r>
                    <w:rPr>
                      <w:sz w:val="21"/>
                      <w:szCs w:val="21"/>
                    </w:rPr>
                    <w:t>宜避开化学、生物、噪声、振动、强电磁场等易对检测结果造成影响的污染源及易燃易爆场所。</w:t>
                  </w:r>
                </w:p>
              </w:tc>
              <w:tc>
                <w:tcPr>
                  <w:tcW w:w="2146" w:type="pct"/>
                  <w:shd w:val="clear" w:color="auto" w:fill="auto"/>
                  <w:vAlign w:val="center"/>
                </w:tcPr>
                <w:p w14:paraId="2CB0D358">
                  <w:pPr>
                    <w:adjustRightInd w:val="0"/>
                    <w:snapToGrid w:val="0"/>
                    <w:jc w:val="center"/>
                    <w:rPr>
                      <w:sz w:val="21"/>
                      <w:szCs w:val="21"/>
                    </w:rPr>
                  </w:pPr>
                  <w:r>
                    <w:rPr>
                      <w:rFonts w:hint="eastAsia"/>
                      <w:sz w:val="21"/>
                      <w:szCs w:val="21"/>
                    </w:rPr>
                    <w:t>本</w:t>
                  </w:r>
                  <w:r>
                    <w:rPr>
                      <w:sz w:val="21"/>
                      <w:szCs w:val="21"/>
                    </w:rPr>
                    <w:t>项目位于</w:t>
                  </w:r>
                  <w:r>
                    <w:rPr>
                      <w:rFonts w:hint="eastAsia"/>
                      <w:sz w:val="21"/>
                      <w:szCs w:val="21"/>
                    </w:rPr>
                    <w:t>陕西省西咸新区沣东新城红光大道（沣东大道）以北、科源一路以西，中国国检测试控股集团陕西有限公司一号楼三、四层</w:t>
                  </w:r>
                  <w:r>
                    <w:rPr>
                      <w:sz w:val="21"/>
                      <w:szCs w:val="21"/>
                    </w:rPr>
                    <w:t>，</w:t>
                  </w:r>
                  <w:r>
                    <w:rPr>
                      <w:rFonts w:hint="eastAsia"/>
                      <w:sz w:val="21"/>
                      <w:szCs w:val="21"/>
                    </w:rPr>
                    <w:t>周边</w:t>
                  </w:r>
                  <w:r>
                    <w:rPr>
                      <w:sz w:val="21"/>
                      <w:szCs w:val="21"/>
                    </w:rPr>
                    <w:t>基础设施完善，交通便利、通讯良好，且不存在易对检测结果造成影响的污染源及易燃易爆场所。本项目主要从事</w:t>
                  </w:r>
                  <w:r>
                    <w:rPr>
                      <w:rFonts w:hint="eastAsia"/>
                      <w:sz w:val="21"/>
                      <w:szCs w:val="21"/>
                    </w:rPr>
                    <w:t>环境保护监</w:t>
                  </w:r>
                  <w:r>
                    <w:rPr>
                      <w:sz w:val="21"/>
                      <w:szCs w:val="21"/>
                    </w:rPr>
                    <w:t>测，</w:t>
                  </w:r>
                  <w:r>
                    <w:rPr>
                      <w:rFonts w:hint="eastAsia"/>
                      <w:sz w:val="21"/>
                      <w:szCs w:val="21"/>
                    </w:rPr>
                    <w:t>环境</w:t>
                  </w:r>
                  <w:r>
                    <w:rPr>
                      <w:sz w:val="21"/>
                      <w:szCs w:val="21"/>
                    </w:rPr>
                    <w:t>污染影响较小。</w:t>
                  </w:r>
                </w:p>
              </w:tc>
              <w:tc>
                <w:tcPr>
                  <w:tcW w:w="321" w:type="pct"/>
                  <w:shd w:val="clear" w:color="auto" w:fill="auto"/>
                  <w:vAlign w:val="center"/>
                </w:tcPr>
                <w:p w14:paraId="391CB109">
                  <w:pPr>
                    <w:contextualSpacing/>
                    <w:jc w:val="center"/>
                    <w:rPr>
                      <w:bCs/>
                      <w:kern w:val="0"/>
                      <w:sz w:val="21"/>
                      <w:szCs w:val="21"/>
                    </w:rPr>
                  </w:pPr>
                  <w:r>
                    <w:rPr>
                      <w:rFonts w:hint="eastAsia"/>
                      <w:bCs/>
                      <w:kern w:val="0"/>
                      <w:sz w:val="21"/>
                      <w:szCs w:val="21"/>
                    </w:rPr>
                    <w:t>符合</w:t>
                  </w:r>
                </w:p>
              </w:tc>
            </w:tr>
            <w:tr w14:paraId="3734B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vAlign w:val="center"/>
                </w:tcPr>
                <w:p w14:paraId="7CE29B0E">
                  <w:pPr>
                    <w:contextualSpacing/>
                    <w:jc w:val="center"/>
                    <w:rPr>
                      <w:bCs/>
                      <w:kern w:val="0"/>
                      <w:sz w:val="21"/>
                      <w:szCs w:val="21"/>
                    </w:rPr>
                  </w:pPr>
                </w:p>
              </w:tc>
              <w:tc>
                <w:tcPr>
                  <w:tcW w:w="1927" w:type="pct"/>
                  <w:shd w:val="clear" w:color="auto" w:fill="auto"/>
                  <w:vAlign w:val="center"/>
                </w:tcPr>
                <w:p w14:paraId="26369C3C">
                  <w:pPr>
                    <w:pStyle w:val="67"/>
                    <w:widowControl/>
                    <w:adjustRightInd w:val="0"/>
                    <w:snapToGrid w:val="0"/>
                    <w:spacing w:line="240" w:lineRule="auto"/>
                    <w:ind w:firstLine="0" w:firstLineChars="0"/>
                    <w:rPr>
                      <w:sz w:val="21"/>
                      <w:szCs w:val="21"/>
                    </w:rPr>
                  </w:pPr>
                  <w:r>
                    <w:rPr>
                      <w:rFonts w:hint="eastAsia"/>
                      <w:sz w:val="21"/>
                      <w:szCs w:val="21"/>
                    </w:rPr>
                    <w:t>7.2.3污、废水处理</w:t>
                  </w:r>
                </w:p>
                <w:p w14:paraId="3045D7DD">
                  <w:pPr>
                    <w:pStyle w:val="67"/>
                    <w:widowControl/>
                    <w:adjustRightInd w:val="0"/>
                    <w:snapToGrid w:val="0"/>
                    <w:spacing w:line="240" w:lineRule="auto"/>
                    <w:ind w:firstLine="0" w:firstLineChars="0"/>
                    <w:rPr>
                      <w:sz w:val="21"/>
                      <w:szCs w:val="21"/>
                    </w:rPr>
                  </w:pPr>
                  <w:r>
                    <w:rPr>
                      <w:rFonts w:hint="eastAsia"/>
                      <w:sz w:val="21"/>
                      <w:szCs w:val="21"/>
                    </w:rPr>
                    <w:t>7.2.3.2</w:t>
                  </w:r>
                  <w:r>
                    <w:rPr>
                      <w:sz w:val="21"/>
                      <w:szCs w:val="21"/>
                    </w:rPr>
                    <w:t>实验室污、废水按污、废水性质、成分及污染程度应进行物理、化学、生物等不同方式处理。产生的酸、碱污水应进行中和处理，中和后达不到中性时，应采用反应池加药处理。</w:t>
                  </w:r>
                </w:p>
                <w:p w14:paraId="43F8D1F4">
                  <w:pPr>
                    <w:pStyle w:val="67"/>
                    <w:widowControl/>
                    <w:adjustRightInd w:val="0"/>
                    <w:snapToGrid w:val="0"/>
                    <w:spacing w:line="240" w:lineRule="auto"/>
                    <w:ind w:firstLine="0" w:firstLineChars="0"/>
                    <w:rPr>
                      <w:sz w:val="21"/>
                      <w:szCs w:val="21"/>
                    </w:rPr>
                  </w:pPr>
                  <w:r>
                    <w:rPr>
                      <w:rFonts w:hint="eastAsia"/>
                      <w:sz w:val="21"/>
                      <w:szCs w:val="21"/>
                    </w:rPr>
                    <w:t>7.2.3.3</w:t>
                  </w:r>
                  <w:r>
                    <w:rPr>
                      <w:sz w:val="21"/>
                      <w:szCs w:val="21"/>
                    </w:rPr>
                    <w:t>凡含有放射性核素的废水，应根据核素的半衰期长短，分为长寿命和短寿命两种放射性核素废水，并应分别进行处理。长寿命放射性核素且放射性浓度较高的废水，应将废水集中存放，待到一定数量后，采用净化法处理；净化过程中产生的少量浓缩液，可采用固化法处理；短寿命放射性核素废水，应采用贮存法处理。</w:t>
                  </w:r>
                </w:p>
                <w:p w14:paraId="276E9F28">
                  <w:pPr>
                    <w:pStyle w:val="67"/>
                    <w:widowControl/>
                    <w:adjustRightInd w:val="0"/>
                    <w:snapToGrid w:val="0"/>
                    <w:spacing w:line="240" w:lineRule="auto"/>
                    <w:ind w:firstLine="0" w:firstLineChars="0"/>
                    <w:rPr>
                      <w:sz w:val="21"/>
                      <w:szCs w:val="21"/>
                    </w:rPr>
                  </w:pPr>
                  <w:r>
                    <w:rPr>
                      <w:rFonts w:hint="eastAsia"/>
                      <w:sz w:val="21"/>
                      <w:szCs w:val="21"/>
                    </w:rPr>
                    <w:t>7.2.3.4</w:t>
                  </w:r>
                  <w:r>
                    <w:rPr>
                      <w:sz w:val="21"/>
                      <w:szCs w:val="21"/>
                    </w:rPr>
                    <w:t>用于收集和处理实验污水、废水的埋地水池应考虑对地表、土壤有腐蚀性影响的废液防渗处理，并应执行国家相关规范。</w:t>
                  </w:r>
                </w:p>
              </w:tc>
              <w:tc>
                <w:tcPr>
                  <w:tcW w:w="2146" w:type="pct"/>
                  <w:shd w:val="clear" w:color="auto" w:fill="auto"/>
                  <w:vAlign w:val="center"/>
                </w:tcPr>
                <w:p w14:paraId="1081E81C">
                  <w:pPr>
                    <w:adjustRightInd w:val="0"/>
                    <w:snapToGrid w:val="0"/>
                    <w:jc w:val="center"/>
                    <w:rPr>
                      <w:sz w:val="21"/>
                      <w:szCs w:val="21"/>
                    </w:rPr>
                  </w:pPr>
                  <w:r>
                    <w:rPr>
                      <w:sz w:val="21"/>
                      <w:szCs w:val="21"/>
                    </w:rPr>
                    <w:t>项目各项废水分类收集处理，</w:t>
                  </w:r>
                  <w:r>
                    <w:rPr>
                      <w:rFonts w:hint="eastAsia"/>
                      <w:sz w:val="21"/>
                      <w:szCs w:val="21"/>
                    </w:rPr>
                    <w:t>其中，实验器皿清洗废水（不含一次清洗废水）、剩余一般水样和喷淋塔排水经自建废水处理设备（酸碱中和，1t/d）处理后排入园区化粪池；生活污水和其他废水（地面清洁废水、职工工作服清洗废水、超纯水制备排放浓水）排入园区化粪池处理，最终经市政污水管网排入西安净水处理有限责任公司第六再生水厂。</w:t>
                  </w:r>
                  <w:r>
                    <w:rPr>
                      <w:sz w:val="21"/>
                      <w:szCs w:val="21"/>
                    </w:rPr>
                    <w:t>项目废水不含放射性核素。</w:t>
                  </w:r>
                </w:p>
              </w:tc>
              <w:tc>
                <w:tcPr>
                  <w:tcW w:w="321" w:type="pct"/>
                  <w:shd w:val="clear" w:color="auto" w:fill="auto"/>
                  <w:vAlign w:val="center"/>
                </w:tcPr>
                <w:p w14:paraId="4C4726FA">
                  <w:pPr>
                    <w:contextualSpacing/>
                    <w:jc w:val="center"/>
                    <w:rPr>
                      <w:bCs/>
                      <w:kern w:val="0"/>
                      <w:sz w:val="21"/>
                      <w:szCs w:val="21"/>
                    </w:rPr>
                  </w:pPr>
                  <w:r>
                    <w:rPr>
                      <w:rFonts w:hint="eastAsia"/>
                      <w:bCs/>
                      <w:kern w:val="0"/>
                      <w:sz w:val="21"/>
                      <w:szCs w:val="21"/>
                    </w:rPr>
                    <w:t>符合</w:t>
                  </w:r>
                </w:p>
              </w:tc>
            </w:tr>
            <w:tr w14:paraId="1827B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vAlign w:val="center"/>
                </w:tcPr>
                <w:p w14:paraId="6E7F91AF">
                  <w:pPr>
                    <w:contextualSpacing/>
                    <w:jc w:val="center"/>
                    <w:rPr>
                      <w:bCs/>
                      <w:kern w:val="0"/>
                      <w:sz w:val="21"/>
                      <w:szCs w:val="21"/>
                    </w:rPr>
                  </w:pPr>
                </w:p>
              </w:tc>
              <w:tc>
                <w:tcPr>
                  <w:tcW w:w="1927" w:type="pct"/>
                  <w:shd w:val="clear" w:color="auto" w:fill="auto"/>
                  <w:vAlign w:val="center"/>
                </w:tcPr>
                <w:p w14:paraId="19E615DC">
                  <w:pPr>
                    <w:pStyle w:val="67"/>
                    <w:widowControl/>
                    <w:adjustRightInd w:val="0"/>
                    <w:snapToGrid w:val="0"/>
                    <w:spacing w:line="240" w:lineRule="auto"/>
                    <w:ind w:firstLine="0" w:firstLineChars="0"/>
                    <w:rPr>
                      <w:sz w:val="21"/>
                      <w:szCs w:val="21"/>
                    </w:rPr>
                  </w:pPr>
                  <w:r>
                    <w:rPr>
                      <w:rFonts w:hint="eastAsia"/>
                      <w:sz w:val="21"/>
                      <w:szCs w:val="21"/>
                    </w:rPr>
                    <w:t>8.2.2通风要求</w:t>
                  </w:r>
                </w:p>
                <w:p w14:paraId="18F4BD84">
                  <w:pPr>
                    <w:pStyle w:val="67"/>
                    <w:widowControl/>
                    <w:adjustRightInd w:val="0"/>
                    <w:snapToGrid w:val="0"/>
                    <w:spacing w:line="240" w:lineRule="auto"/>
                    <w:ind w:firstLine="0" w:firstLineChars="0"/>
                    <w:rPr>
                      <w:sz w:val="21"/>
                      <w:szCs w:val="21"/>
                    </w:rPr>
                  </w:pPr>
                  <w:r>
                    <w:rPr>
                      <w:sz w:val="21"/>
                      <w:szCs w:val="21"/>
                    </w:rPr>
                    <w:t>实验室通风系统要求如下：</w:t>
                  </w:r>
                  <w:r>
                    <w:rPr>
                      <w:rFonts w:hint="eastAsia"/>
                      <w:sz w:val="21"/>
                      <w:szCs w:val="21"/>
                    </w:rPr>
                    <w:t>凡</w:t>
                  </w:r>
                  <w:r>
                    <w:rPr>
                      <w:sz w:val="21"/>
                      <w:szCs w:val="21"/>
                    </w:rPr>
                    <w:t>实验过程中产生有害气体、蒸汽、气味、烟雾、挥发性物质等的实验室，应设置通风柜等工艺排风设施。除非有特殊要求，实验室应保持微负压，并保证室内空气由清洁区向污染的实验区流动。</w:t>
                  </w:r>
                </w:p>
              </w:tc>
              <w:tc>
                <w:tcPr>
                  <w:tcW w:w="2146" w:type="pct"/>
                  <w:shd w:val="clear" w:color="auto" w:fill="auto"/>
                  <w:vAlign w:val="center"/>
                </w:tcPr>
                <w:p w14:paraId="3C1741D2">
                  <w:pPr>
                    <w:adjustRightInd w:val="0"/>
                    <w:snapToGrid w:val="0"/>
                    <w:jc w:val="center"/>
                    <w:rPr>
                      <w:sz w:val="21"/>
                      <w:szCs w:val="21"/>
                    </w:rPr>
                  </w:pPr>
                  <w:r>
                    <w:rPr>
                      <w:sz w:val="21"/>
                      <w:szCs w:val="21"/>
                    </w:rPr>
                    <w:t>项目实验室涉及挥发性有机物产生区域设置通风</w:t>
                  </w:r>
                  <w:r>
                    <w:rPr>
                      <w:rFonts w:hint="eastAsia"/>
                      <w:sz w:val="21"/>
                      <w:szCs w:val="21"/>
                    </w:rPr>
                    <w:t>橱/</w:t>
                  </w:r>
                  <w:r>
                    <w:rPr>
                      <w:rFonts w:hint="eastAsia"/>
                      <w:sz w:val="21"/>
                      <w:szCs w:val="21"/>
                      <w:lang w:eastAsia="zh-CN"/>
                    </w:rPr>
                    <w:t>万向罩</w:t>
                  </w:r>
                  <w:r>
                    <w:rPr>
                      <w:sz w:val="21"/>
                      <w:szCs w:val="21"/>
                    </w:rPr>
                    <w:t>用于实验室排风</w:t>
                  </w:r>
                  <w:r>
                    <w:rPr>
                      <w:rFonts w:hint="eastAsia"/>
                      <w:sz w:val="21"/>
                      <w:szCs w:val="21"/>
                    </w:rPr>
                    <w:t>，</w:t>
                  </w:r>
                  <w:r>
                    <w:rPr>
                      <w:sz w:val="21"/>
                      <w:szCs w:val="21"/>
                    </w:rPr>
                    <w:t>实验室保持微负压，室内空气由清洁区向污染的实验区流动。</w:t>
                  </w:r>
                </w:p>
              </w:tc>
              <w:tc>
                <w:tcPr>
                  <w:tcW w:w="321" w:type="pct"/>
                  <w:shd w:val="clear" w:color="auto" w:fill="auto"/>
                  <w:vAlign w:val="center"/>
                </w:tcPr>
                <w:p w14:paraId="7C715DA0">
                  <w:pPr>
                    <w:contextualSpacing/>
                    <w:jc w:val="center"/>
                    <w:rPr>
                      <w:bCs/>
                      <w:kern w:val="0"/>
                      <w:sz w:val="21"/>
                      <w:szCs w:val="21"/>
                    </w:rPr>
                  </w:pPr>
                  <w:r>
                    <w:rPr>
                      <w:rFonts w:hint="eastAsia"/>
                      <w:bCs/>
                      <w:kern w:val="0"/>
                      <w:sz w:val="21"/>
                      <w:szCs w:val="21"/>
                    </w:rPr>
                    <w:t>符合</w:t>
                  </w:r>
                </w:p>
              </w:tc>
            </w:tr>
            <w:tr w14:paraId="5114D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tcPr>
                <w:p w14:paraId="4B30732F">
                  <w:pPr>
                    <w:contextualSpacing/>
                    <w:jc w:val="center"/>
                    <w:rPr>
                      <w:bCs/>
                      <w:kern w:val="0"/>
                      <w:sz w:val="21"/>
                      <w:szCs w:val="21"/>
                    </w:rPr>
                  </w:pPr>
                </w:p>
              </w:tc>
              <w:tc>
                <w:tcPr>
                  <w:tcW w:w="1927" w:type="pct"/>
                  <w:shd w:val="clear" w:color="auto" w:fill="auto"/>
                </w:tcPr>
                <w:p w14:paraId="37EF63BB">
                  <w:pPr>
                    <w:pStyle w:val="67"/>
                    <w:widowControl/>
                    <w:adjustRightInd w:val="0"/>
                    <w:snapToGrid w:val="0"/>
                    <w:spacing w:line="240" w:lineRule="auto"/>
                    <w:ind w:firstLine="0" w:firstLineChars="0"/>
                    <w:rPr>
                      <w:sz w:val="21"/>
                      <w:szCs w:val="21"/>
                    </w:rPr>
                  </w:pPr>
                  <w:r>
                    <w:rPr>
                      <w:rFonts w:hint="eastAsia"/>
                      <w:sz w:val="21"/>
                      <w:szCs w:val="21"/>
                    </w:rPr>
                    <w:t>10.2.1气体储存</w:t>
                  </w:r>
                </w:p>
                <w:p w14:paraId="2CEE2689">
                  <w:pPr>
                    <w:pStyle w:val="67"/>
                    <w:widowControl/>
                    <w:adjustRightInd w:val="0"/>
                    <w:snapToGrid w:val="0"/>
                    <w:spacing w:line="240" w:lineRule="auto"/>
                    <w:ind w:firstLine="0" w:firstLineChars="0"/>
                    <w:rPr>
                      <w:sz w:val="21"/>
                      <w:szCs w:val="21"/>
                    </w:rPr>
                  </w:pPr>
                  <w:r>
                    <w:rPr>
                      <w:rFonts w:hint="eastAsia"/>
                      <w:sz w:val="21"/>
                      <w:szCs w:val="21"/>
                    </w:rPr>
                    <w:t>10.2.1.1</w:t>
                  </w:r>
                  <w:r>
                    <w:rPr>
                      <w:sz w:val="21"/>
                      <w:szCs w:val="21"/>
                    </w:rPr>
                    <w:t>采用瓶装气体供气时，当实验室需求的气体种类大于3种，或需储存3瓶以上时，宜集中设置气瓶室，采用集中供气系统时，气体通过管道输送到各个用气点。</w:t>
                  </w:r>
                </w:p>
                <w:p w14:paraId="5C529615">
                  <w:pPr>
                    <w:pStyle w:val="67"/>
                    <w:widowControl/>
                    <w:adjustRightInd w:val="0"/>
                    <w:snapToGrid w:val="0"/>
                    <w:spacing w:line="240" w:lineRule="auto"/>
                    <w:ind w:firstLine="0" w:firstLineChars="0"/>
                    <w:rPr>
                      <w:sz w:val="21"/>
                      <w:szCs w:val="21"/>
                    </w:rPr>
                  </w:pPr>
                  <w:r>
                    <w:rPr>
                      <w:rFonts w:hint="eastAsia"/>
                      <w:sz w:val="21"/>
                      <w:szCs w:val="21"/>
                    </w:rPr>
                    <w:t>10.2.1.2</w:t>
                  </w:r>
                  <w:r>
                    <w:rPr>
                      <w:sz w:val="21"/>
                      <w:szCs w:val="21"/>
                    </w:rPr>
                    <w:t>对日用气量不超过1瓶气体的实验室，室内可放置一个该种气体的气瓶。气瓶应储存在气瓶柜中，或采取相应的安全措施集中布置。</w:t>
                  </w:r>
                </w:p>
                <w:p w14:paraId="3FA2B68F">
                  <w:pPr>
                    <w:pStyle w:val="67"/>
                    <w:widowControl/>
                    <w:adjustRightInd w:val="0"/>
                    <w:snapToGrid w:val="0"/>
                    <w:spacing w:line="240" w:lineRule="auto"/>
                    <w:ind w:firstLine="0" w:firstLineChars="0"/>
                    <w:rPr>
                      <w:sz w:val="21"/>
                      <w:szCs w:val="21"/>
                    </w:rPr>
                  </w:pPr>
                  <w:r>
                    <w:rPr>
                      <w:rFonts w:hint="eastAsia"/>
                      <w:sz w:val="21"/>
                      <w:szCs w:val="21"/>
                    </w:rPr>
                    <w:t>10.2.1.3</w:t>
                  </w:r>
                  <w:r>
                    <w:rPr>
                      <w:sz w:val="21"/>
                      <w:szCs w:val="21"/>
                    </w:rPr>
                    <w:t>气瓶室不应布置在地下室，宜单独设置或设在无危险的辅助工作区内，并靠外墙布置，还应考虑其对周围环境和人员的影响。</w:t>
                  </w:r>
                </w:p>
              </w:tc>
              <w:tc>
                <w:tcPr>
                  <w:tcW w:w="2146" w:type="pct"/>
                  <w:shd w:val="clear" w:color="auto" w:fill="auto"/>
                  <w:vAlign w:val="center"/>
                </w:tcPr>
                <w:p w14:paraId="1C57E0B4">
                  <w:pPr>
                    <w:adjustRightInd w:val="0"/>
                    <w:snapToGrid w:val="0"/>
                    <w:jc w:val="center"/>
                    <w:rPr>
                      <w:sz w:val="21"/>
                      <w:szCs w:val="21"/>
                    </w:rPr>
                  </w:pPr>
                  <w:r>
                    <w:rPr>
                      <w:sz w:val="21"/>
                      <w:szCs w:val="21"/>
                    </w:rPr>
                    <w:t>项目</w:t>
                  </w:r>
                  <w:r>
                    <w:rPr>
                      <w:rFonts w:hint="eastAsia"/>
                      <w:sz w:val="21"/>
                      <w:szCs w:val="21"/>
                    </w:rPr>
                    <w:t>实验用气</w:t>
                  </w:r>
                  <w:r>
                    <w:rPr>
                      <w:sz w:val="21"/>
                      <w:szCs w:val="21"/>
                    </w:rPr>
                    <w:t>集中</w:t>
                  </w:r>
                  <w:r>
                    <w:rPr>
                      <w:rFonts w:hint="eastAsia"/>
                      <w:sz w:val="21"/>
                      <w:szCs w:val="21"/>
                    </w:rPr>
                    <w:t>放置于</w:t>
                  </w:r>
                  <w:r>
                    <w:rPr>
                      <w:sz w:val="21"/>
                      <w:szCs w:val="21"/>
                    </w:rPr>
                    <w:t>气瓶室</w:t>
                  </w:r>
                  <w:r>
                    <w:rPr>
                      <w:rFonts w:hint="eastAsia"/>
                    </w:rPr>
                    <w:t>（</w:t>
                  </w:r>
                  <w:r>
                    <w:rPr>
                      <w:rFonts w:hint="eastAsia"/>
                      <w:sz w:val="21"/>
                      <w:szCs w:val="21"/>
                    </w:rPr>
                    <w:t>位于四层厂房南侧，建筑面积11.31m</w:t>
                  </w:r>
                  <w:r>
                    <w:rPr>
                      <w:rFonts w:hint="eastAsia"/>
                      <w:sz w:val="21"/>
                      <w:szCs w:val="21"/>
                      <w:vertAlign w:val="superscript"/>
                    </w:rPr>
                    <w:t>2</w:t>
                  </w:r>
                  <w:r>
                    <w:rPr>
                      <w:rFonts w:hint="eastAsia"/>
                    </w:rPr>
                    <w:t>）</w:t>
                  </w:r>
                  <w:r>
                    <w:rPr>
                      <w:sz w:val="21"/>
                      <w:szCs w:val="21"/>
                    </w:rPr>
                    <w:t>，气体通过管道输送到各个用气点。</w:t>
                  </w:r>
                  <w:r>
                    <w:rPr>
                      <w:rFonts w:hint="eastAsia"/>
                      <w:sz w:val="21"/>
                      <w:szCs w:val="21"/>
                    </w:rPr>
                    <w:t>气瓶室</w:t>
                  </w:r>
                  <w:r>
                    <w:rPr>
                      <w:sz w:val="21"/>
                      <w:szCs w:val="21"/>
                    </w:rPr>
                    <w:t>设在无危险的辅助工作区内，并靠外墙布置，对环境和人员基本无影响。</w:t>
                  </w:r>
                </w:p>
              </w:tc>
              <w:tc>
                <w:tcPr>
                  <w:tcW w:w="321" w:type="pct"/>
                  <w:shd w:val="clear" w:color="auto" w:fill="auto"/>
                  <w:vAlign w:val="center"/>
                </w:tcPr>
                <w:p w14:paraId="3646C0A6">
                  <w:pPr>
                    <w:contextualSpacing/>
                    <w:jc w:val="center"/>
                    <w:rPr>
                      <w:bCs/>
                      <w:kern w:val="0"/>
                      <w:sz w:val="21"/>
                      <w:szCs w:val="21"/>
                    </w:rPr>
                  </w:pPr>
                  <w:r>
                    <w:rPr>
                      <w:rFonts w:hint="eastAsia"/>
                      <w:bCs/>
                      <w:kern w:val="0"/>
                      <w:sz w:val="21"/>
                      <w:szCs w:val="21"/>
                    </w:rPr>
                    <w:t>符合</w:t>
                  </w:r>
                </w:p>
              </w:tc>
            </w:tr>
            <w:tr w14:paraId="449A5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tcPr>
                <w:p w14:paraId="1FA49261">
                  <w:pPr>
                    <w:contextualSpacing/>
                    <w:jc w:val="center"/>
                    <w:rPr>
                      <w:bCs/>
                      <w:kern w:val="0"/>
                      <w:sz w:val="21"/>
                      <w:szCs w:val="21"/>
                    </w:rPr>
                  </w:pPr>
                </w:p>
              </w:tc>
              <w:tc>
                <w:tcPr>
                  <w:tcW w:w="1927" w:type="pct"/>
                  <w:shd w:val="clear" w:color="auto" w:fill="auto"/>
                </w:tcPr>
                <w:p w14:paraId="047AFB9B">
                  <w:pPr>
                    <w:pStyle w:val="67"/>
                    <w:widowControl/>
                    <w:adjustRightInd w:val="0"/>
                    <w:snapToGrid w:val="0"/>
                    <w:spacing w:line="240" w:lineRule="auto"/>
                    <w:ind w:firstLine="0" w:firstLineChars="0"/>
                    <w:rPr>
                      <w:sz w:val="21"/>
                      <w:szCs w:val="21"/>
                    </w:rPr>
                  </w:pPr>
                  <w:r>
                    <w:rPr>
                      <w:rFonts w:hint="eastAsia"/>
                      <w:sz w:val="21"/>
                      <w:szCs w:val="21"/>
                    </w:rPr>
                    <w:t>13.2.6危险品及废弃物的储存和处置</w:t>
                  </w:r>
                </w:p>
                <w:p w14:paraId="1163612D">
                  <w:pPr>
                    <w:pStyle w:val="67"/>
                    <w:widowControl/>
                    <w:adjustRightInd w:val="0"/>
                    <w:snapToGrid w:val="0"/>
                    <w:spacing w:line="240" w:lineRule="auto"/>
                    <w:ind w:firstLine="0" w:firstLineChars="0"/>
                    <w:rPr>
                      <w:sz w:val="21"/>
                      <w:szCs w:val="21"/>
                    </w:rPr>
                  </w:pPr>
                  <w:r>
                    <w:rPr>
                      <w:rFonts w:hint="eastAsia"/>
                      <w:sz w:val="21"/>
                      <w:szCs w:val="21"/>
                    </w:rPr>
                    <w:t>13.2.6.1</w:t>
                  </w:r>
                  <w:r>
                    <w:rPr>
                      <w:sz w:val="21"/>
                      <w:szCs w:val="21"/>
                    </w:rPr>
                    <w:t>实验室设计和建设宜设置专门的收集区来储存处理前的实验废弃物，确保实验室有害废弃物得到安全收集、识别、存储和处置。所有实验废弃物的收集、标识、储存和处置均应按适用的国家标准要求进行。</w:t>
                  </w:r>
                </w:p>
                <w:p w14:paraId="2E669670">
                  <w:pPr>
                    <w:pStyle w:val="67"/>
                    <w:widowControl/>
                    <w:adjustRightInd w:val="0"/>
                    <w:snapToGrid w:val="0"/>
                    <w:spacing w:line="240" w:lineRule="auto"/>
                    <w:ind w:firstLine="0" w:firstLineChars="0"/>
                    <w:rPr>
                      <w:sz w:val="21"/>
                      <w:szCs w:val="21"/>
                    </w:rPr>
                  </w:pPr>
                  <w:r>
                    <w:rPr>
                      <w:rFonts w:hint="eastAsia"/>
                      <w:sz w:val="21"/>
                      <w:szCs w:val="21"/>
                    </w:rPr>
                    <w:t>13.2.6.2</w:t>
                  </w:r>
                  <w:r>
                    <w:rPr>
                      <w:sz w:val="21"/>
                      <w:szCs w:val="21"/>
                    </w:rPr>
                    <w:t>实验室危险品的储存和处置设施应与物品的危险性相适应，符合适用要求的规定。实验室的危险废弃物应弃置专门设计的、专用的和有标识的用于处置危险废物的容器和设施内，装量不能超过建议的装载容量。</w:t>
                  </w:r>
                </w:p>
              </w:tc>
              <w:tc>
                <w:tcPr>
                  <w:tcW w:w="2146" w:type="pct"/>
                  <w:shd w:val="clear" w:color="auto" w:fill="auto"/>
                  <w:vAlign w:val="center"/>
                </w:tcPr>
                <w:p w14:paraId="2DA923A2">
                  <w:pPr>
                    <w:adjustRightInd w:val="0"/>
                    <w:snapToGrid w:val="0"/>
                    <w:jc w:val="center"/>
                    <w:rPr>
                      <w:sz w:val="21"/>
                      <w:szCs w:val="21"/>
                    </w:rPr>
                  </w:pPr>
                  <w:r>
                    <w:rPr>
                      <w:rFonts w:hint="eastAsia"/>
                      <w:sz w:val="21"/>
                      <w:szCs w:val="21"/>
                    </w:rPr>
                    <w:t>项目各</w:t>
                  </w:r>
                  <w:r>
                    <w:rPr>
                      <w:sz w:val="21"/>
                      <w:szCs w:val="21"/>
                    </w:rPr>
                    <w:t>危险废物采用专用容器分类收集</w:t>
                  </w:r>
                  <w:r>
                    <w:rPr>
                      <w:rFonts w:hint="eastAsia"/>
                      <w:sz w:val="21"/>
                      <w:szCs w:val="21"/>
                    </w:rPr>
                    <w:t>后贮存于危废贮存点</w:t>
                  </w:r>
                  <w:r>
                    <w:rPr>
                      <w:sz w:val="21"/>
                      <w:szCs w:val="21"/>
                    </w:rPr>
                    <w:t>，</w:t>
                  </w:r>
                  <w:r>
                    <w:rPr>
                      <w:rFonts w:hint="eastAsia"/>
                      <w:sz w:val="21"/>
                      <w:szCs w:val="21"/>
                    </w:rPr>
                    <w:t>定期交由有资质单位处置；</w:t>
                  </w:r>
                  <w:r>
                    <w:rPr>
                      <w:sz w:val="21"/>
                      <w:szCs w:val="21"/>
                    </w:rPr>
                    <w:t>危险品储存与物品的危险性相适应。</w:t>
                  </w:r>
                </w:p>
              </w:tc>
              <w:tc>
                <w:tcPr>
                  <w:tcW w:w="321" w:type="pct"/>
                  <w:shd w:val="clear" w:color="auto" w:fill="auto"/>
                  <w:vAlign w:val="center"/>
                </w:tcPr>
                <w:p w14:paraId="38DC0D27">
                  <w:pPr>
                    <w:contextualSpacing/>
                    <w:jc w:val="center"/>
                    <w:rPr>
                      <w:bCs/>
                      <w:kern w:val="0"/>
                      <w:sz w:val="21"/>
                      <w:szCs w:val="21"/>
                    </w:rPr>
                  </w:pPr>
                  <w:r>
                    <w:rPr>
                      <w:rFonts w:hint="eastAsia"/>
                      <w:bCs/>
                      <w:kern w:val="0"/>
                      <w:sz w:val="21"/>
                      <w:szCs w:val="21"/>
                    </w:rPr>
                    <w:t>符合</w:t>
                  </w:r>
                </w:p>
              </w:tc>
            </w:tr>
            <w:tr w14:paraId="71EEB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tcPr>
                <w:p w14:paraId="4C0053BE">
                  <w:pPr>
                    <w:contextualSpacing/>
                    <w:jc w:val="center"/>
                    <w:rPr>
                      <w:bCs/>
                      <w:kern w:val="0"/>
                      <w:sz w:val="21"/>
                      <w:szCs w:val="21"/>
                    </w:rPr>
                  </w:pPr>
                </w:p>
              </w:tc>
              <w:tc>
                <w:tcPr>
                  <w:tcW w:w="1927" w:type="pct"/>
                  <w:shd w:val="clear" w:color="auto" w:fill="auto"/>
                </w:tcPr>
                <w:p w14:paraId="7E7FB591">
                  <w:pPr>
                    <w:pStyle w:val="67"/>
                    <w:widowControl/>
                    <w:adjustRightInd w:val="0"/>
                    <w:snapToGrid w:val="0"/>
                    <w:spacing w:line="240" w:lineRule="auto"/>
                    <w:ind w:firstLine="0" w:firstLineChars="0"/>
                    <w:rPr>
                      <w:sz w:val="21"/>
                      <w:szCs w:val="21"/>
                    </w:rPr>
                  </w:pPr>
                  <w:r>
                    <w:rPr>
                      <w:rFonts w:hint="eastAsia"/>
                      <w:sz w:val="21"/>
                      <w:szCs w:val="21"/>
                    </w:rPr>
                    <w:t>14.2.1</w:t>
                  </w:r>
                  <w:r>
                    <w:rPr>
                      <w:sz w:val="21"/>
                      <w:szCs w:val="21"/>
                    </w:rPr>
                    <w:t>实验室废液、废气、废渣、废物等废弃物应分类收集、存放和集中处理，确保不扩大污染，避免交叉污染。对于较纯的溶剂废液或贵重试剂，宜在技术经济比较后回收利用。</w:t>
                  </w:r>
                </w:p>
                <w:p w14:paraId="7A225DDF">
                  <w:pPr>
                    <w:pStyle w:val="67"/>
                    <w:widowControl/>
                    <w:adjustRightInd w:val="0"/>
                    <w:snapToGrid w:val="0"/>
                    <w:spacing w:line="240" w:lineRule="auto"/>
                    <w:ind w:firstLine="0" w:firstLineChars="0"/>
                    <w:rPr>
                      <w:sz w:val="21"/>
                      <w:szCs w:val="21"/>
                    </w:rPr>
                  </w:pPr>
                  <w:r>
                    <w:rPr>
                      <w:rFonts w:hint="eastAsia"/>
                      <w:sz w:val="21"/>
                      <w:szCs w:val="21"/>
                    </w:rPr>
                    <w:t>14.2.2</w:t>
                  </w:r>
                  <w:r>
                    <w:rPr>
                      <w:sz w:val="21"/>
                      <w:szCs w:val="21"/>
                    </w:rPr>
                    <w:t>实验室应设置收集、储存危险废弃物的场所。无法在实验室妥善处理的剧毒、致癌性废弃物以及其他危险废弃物应报环保部门或其他有资质的单位处理，并做好记录。</w:t>
                  </w:r>
                </w:p>
              </w:tc>
              <w:tc>
                <w:tcPr>
                  <w:tcW w:w="2146" w:type="pct"/>
                  <w:shd w:val="clear" w:color="auto" w:fill="auto"/>
                  <w:vAlign w:val="center"/>
                </w:tcPr>
                <w:p w14:paraId="0030AE18">
                  <w:pPr>
                    <w:adjustRightInd w:val="0"/>
                    <w:snapToGrid w:val="0"/>
                    <w:jc w:val="center"/>
                    <w:rPr>
                      <w:sz w:val="21"/>
                      <w:szCs w:val="21"/>
                    </w:rPr>
                  </w:pPr>
                  <w:r>
                    <w:rPr>
                      <w:sz w:val="21"/>
                      <w:szCs w:val="21"/>
                    </w:rPr>
                    <w:t>项目废液、废气、废渣、废物等废弃物分类收集、存放和集中处理，化学试剂用量较少，不进行溶剂回收；项目危险废弃物采用专用容器分类收集</w:t>
                  </w:r>
                  <w:r>
                    <w:rPr>
                      <w:rFonts w:hint="eastAsia"/>
                      <w:sz w:val="21"/>
                      <w:szCs w:val="21"/>
                    </w:rPr>
                    <w:t>后贮存于危废贮存点</w:t>
                  </w:r>
                  <w:r>
                    <w:rPr>
                      <w:sz w:val="21"/>
                      <w:szCs w:val="21"/>
                    </w:rPr>
                    <w:t>，</w:t>
                  </w:r>
                  <w:r>
                    <w:rPr>
                      <w:rFonts w:hint="eastAsia"/>
                      <w:sz w:val="21"/>
                      <w:szCs w:val="21"/>
                    </w:rPr>
                    <w:t>定期交由有资质单位处置，</w:t>
                  </w:r>
                  <w:r>
                    <w:rPr>
                      <w:sz w:val="21"/>
                      <w:szCs w:val="21"/>
                    </w:rPr>
                    <w:t>建设单位</w:t>
                  </w:r>
                  <w:r>
                    <w:rPr>
                      <w:rFonts w:hint="eastAsia"/>
                      <w:sz w:val="21"/>
                      <w:szCs w:val="21"/>
                    </w:rPr>
                    <w:t>应</w:t>
                  </w:r>
                  <w:r>
                    <w:rPr>
                      <w:sz w:val="21"/>
                      <w:szCs w:val="21"/>
                    </w:rPr>
                    <w:t>做好台账记录，并按要求进行存档</w:t>
                  </w:r>
                  <w:r>
                    <w:rPr>
                      <w:rFonts w:hint="eastAsia"/>
                      <w:sz w:val="21"/>
                      <w:szCs w:val="21"/>
                    </w:rPr>
                    <w:t>。</w:t>
                  </w:r>
                </w:p>
              </w:tc>
              <w:tc>
                <w:tcPr>
                  <w:tcW w:w="321" w:type="pct"/>
                  <w:shd w:val="clear" w:color="auto" w:fill="auto"/>
                  <w:vAlign w:val="center"/>
                </w:tcPr>
                <w:p w14:paraId="483CA1D6">
                  <w:pPr>
                    <w:contextualSpacing/>
                    <w:jc w:val="center"/>
                    <w:rPr>
                      <w:bCs/>
                      <w:kern w:val="0"/>
                      <w:sz w:val="21"/>
                      <w:szCs w:val="21"/>
                    </w:rPr>
                  </w:pPr>
                  <w:r>
                    <w:rPr>
                      <w:rFonts w:hint="eastAsia"/>
                      <w:bCs/>
                      <w:kern w:val="0"/>
                      <w:sz w:val="21"/>
                      <w:szCs w:val="21"/>
                    </w:rPr>
                    <w:t>符合</w:t>
                  </w:r>
                </w:p>
              </w:tc>
            </w:tr>
            <w:tr w14:paraId="5FCB4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restart"/>
                  <w:shd w:val="clear" w:color="auto" w:fill="auto"/>
                  <w:vAlign w:val="center"/>
                </w:tcPr>
                <w:p w14:paraId="5CE203E4">
                  <w:pPr>
                    <w:contextualSpacing/>
                    <w:jc w:val="center"/>
                    <w:rPr>
                      <w:bCs/>
                      <w:color w:val="auto"/>
                      <w:kern w:val="0"/>
                      <w:sz w:val="21"/>
                      <w:szCs w:val="21"/>
                    </w:rPr>
                  </w:pPr>
                  <w:r>
                    <w:rPr>
                      <w:color w:val="auto"/>
                      <w:sz w:val="21"/>
                      <w:szCs w:val="21"/>
                    </w:rPr>
                    <w:t>《实验室</w:t>
                  </w:r>
                  <w:r>
                    <w:rPr>
                      <w:rFonts w:hint="eastAsia"/>
                      <w:color w:val="auto"/>
                      <w:sz w:val="21"/>
                      <w:szCs w:val="21"/>
                    </w:rPr>
                    <w:t xml:space="preserve"> </w:t>
                  </w:r>
                  <w:r>
                    <w:rPr>
                      <w:color w:val="auto"/>
                      <w:sz w:val="21"/>
                      <w:szCs w:val="21"/>
                    </w:rPr>
                    <w:t>生物安全通用要求》（GB</w:t>
                  </w:r>
                  <w:r>
                    <w:rPr>
                      <w:rFonts w:hint="eastAsia"/>
                      <w:color w:val="auto"/>
                      <w:sz w:val="21"/>
                      <w:szCs w:val="21"/>
                    </w:rPr>
                    <w:t xml:space="preserve"> </w:t>
                  </w:r>
                  <w:r>
                    <w:rPr>
                      <w:color w:val="auto"/>
                      <w:sz w:val="21"/>
                      <w:szCs w:val="21"/>
                    </w:rPr>
                    <w:t>19489-2008）</w:t>
                  </w:r>
                </w:p>
              </w:tc>
              <w:tc>
                <w:tcPr>
                  <w:tcW w:w="1927" w:type="pct"/>
                  <w:shd w:val="clear" w:color="auto" w:fill="auto"/>
                  <w:vAlign w:val="center"/>
                </w:tcPr>
                <w:p w14:paraId="39443CB7">
                  <w:pPr>
                    <w:rPr>
                      <w:color w:val="auto"/>
                      <w:sz w:val="21"/>
                      <w:szCs w:val="21"/>
                    </w:rPr>
                  </w:pPr>
                  <w:r>
                    <w:rPr>
                      <w:color w:val="auto"/>
                      <w:sz w:val="21"/>
                      <w:szCs w:val="21"/>
                    </w:rPr>
                    <w:t>5.1实验室选址、设计和建造应符合国家和地方环境保护和建设主管部门等的规定和要求。</w:t>
                  </w:r>
                </w:p>
                <w:p w14:paraId="448D1C85">
                  <w:pPr>
                    <w:rPr>
                      <w:color w:val="auto"/>
                      <w:sz w:val="21"/>
                      <w:szCs w:val="21"/>
                    </w:rPr>
                  </w:pPr>
                  <w:r>
                    <w:rPr>
                      <w:color w:val="auto"/>
                      <w:sz w:val="21"/>
                      <w:szCs w:val="21"/>
                    </w:rPr>
                    <w:t>5.3实验室的安全保卫应符合国家相关部门对该类设施的安全管理规定和要求。</w:t>
                  </w:r>
                </w:p>
                <w:p w14:paraId="74D0539D">
                  <w:pPr>
                    <w:rPr>
                      <w:color w:val="auto"/>
                      <w:sz w:val="21"/>
                      <w:szCs w:val="21"/>
                    </w:rPr>
                  </w:pPr>
                  <w:r>
                    <w:rPr>
                      <w:color w:val="auto"/>
                      <w:sz w:val="21"/>
                      <w:szCs w:val="21"/>
                    </w:rPr>
                    <w:t>5.4实验室的建筑材料和设备等应符合国家相关部门对该类产品生产、</w:t>
                  </w:r>
                  <w:r>
                    <w:rPr>
                      <w:color w:val="FF0000"/>
                      <w:sz w:val="21"/>
                      <w:szCs w:val="21"/>
                    </w:rPr>
                    <w:t>销</w:t>
                  </w:r>
                  <w:r>
                    <w:rPr>
                      <w:rFonts w:hint="eastAsia"/>
                      <w:color w:val="FF0000"/>
                      <w:sz w:val="21"/>
                      <w:szCs w:val="21"/>
                      <w:lang w:val="en-US" w:eastAsia="zh-CN"/>
                    </w:rPr>
                    <w:t>售</w:t>
                  </w:r>
                  <w:r>
                    <w:rPr>
                      <w:color w:val="auto"/>
                      <w:sz w:val="21"/>
                      <w:szCs w:val="21"/>
                    </w:rPr>
                    <w:t>和使用的规定和要求。</w:t>
                  </w:r>
                </w:p>
                <w:p w14:paraId="24441165">
                  <w:pPr>
                    <w:rPr>
                      <w:color w:val="auto"/>
                      <w:sz w:val="21"/>
                      <w:szCs w:val="21"/>
                    </w:rPr>
                  </w:pPr>
                  <w:r>
                    <w:rPr>
                      <w:color w:val="auto"/>
                      <w:sz w:val="21"/>
                      <w:szCs w:val="21"/>
                    </w:rPr>
                    <w:t>5.6实验室的走廊和通道应不妨碍人员和物品通过。</w:t>
                  </w:r>
                </w:p>
                <w:p w14:paraId="03FCB5E1">
                  <w:pPr>
                    <w:rPr>
                      <w:color w:val="auto"/>
                      <w:sz w:val="21"/>
                      <w:szCs w:val="21"/>
                    </w:rPr>
                  </w:pPr>
                  <w:r>
                    <w:rPr>
                      <w:color w:val="auto"/>
                      <w:sz w:val="21"/>
                      <w:szCs w:val="21"/>
                    </w:rPr>
                    <w:t>5.7应设计紧急撤离路线，紧急出日应有明显的标识。</w:t>
                  </w:r>
                </w:p>
                <w:p w14:paraId="4F52F1C3">
                  <w:pPr>
                    <w:rPr>
                      <w:color w:val="auto"/>
                      <w:sz w:val="21"/>
                      <w:szCs w:val="21"/>
                    </w:rPr>
                  </w:pPr>
                  <w:r>
                    <w:rPr>
                      <w:color w:val="auto"/>
                      <w:sz w:val="21"/>
                      <w:szCs w:val="21"/>
                    </w:rPr>
                    <w:t>5.8房间的门根据需要安装门锁，门锁</w:t>
                  </w:r>
                  <w:r>
                    <w:rPr>
                      <w:rFonts w:hint="eastAsia"/>
                      <w:color w:val="auto"/>
                      <w:sz w:val="21"/>
                      <w:szCs w:val="21"/>
                    </w:rPr>
                    <w:t>应</w:t>
                  </w:r>
                  <w:r>
                    <w:rPr>
                      <w:color w:val="auto"/>
                      <w:sz w:val="21"/>
                      <w:szCs w:val="21"/>
                    </w:rPr>
                    <w:t>便于内部快速打开。</w:t>
                  </w:r>
                </w:p>
                <w:p w14:paraId="3B3C243D">
                  <w:pPr>
                    <w:rPr>
                      <w:color w:val="auto"/>
                      <w:sz w:val="21"/>
                      <w:szCs w:val="21"/>
                    </w:rPr>
                  </w:pPr>
                  <w:r>
                    <w:rPr>
                      <w:color w:val="auto"/>
                      <w:sz w:val="21"/>
                      <w:szCs w:val="21"/>
                    </w:rPr>
                    <w:t>5.10应评估生物材料、样本、药品、化学品和机密资料等被误用、被偷盗和被不正当使用的风险</w:t>
                  </w:r>
                  <w:r>
                    <w:rPr>
                      <w:rFonts w:hint="eastAsia"/>
                      <w:color w:val="auto"/>
                      <w:sz w:val="21"/>
                      <w:szCs w:val="21"/>
                    </w:rPr>
                    <w:t>，</w:t>
                  </w:r>
                  <w:r>
                    <w:rPr>
                      <w:color w:val="auto"/>
                      <w:sz w:val="21"/>
                      <w:szCs w:val="21"/>
                    </w:rPr>
                    <w:t>并采取相应的物理防范措施。</w:t>
                  </w:r>
                </w:p>
                <w:p w14:paraId="7ADCDF0F">
                  <w:pPr>
                    <w:rPr>
                      <w:color w:val="auto"/>
                      <w:sz w:val="21"/>
                      <w:szCs w:val="21"/>
                    </w:rPr>
                  </w:pPr>
                  <w:r>
                    <w:rPr>
                      <w:color w:val="auto"/>
                      <w:sz w:val="21"/>
                      <w:szCs w:val="21"/>
                    </w:rPr>
                    <w:t>5.12实验室内温度、湿度、照度、噪声和洁净度等室内环境参数应符合工作要求和卫生等相关要求。</w:t>
                  </w:r>
                </w:p>
              </w:tc>
              <w:tc>
                <w:tcPr>
                  <w:tcW w:w="2146" w:type="pct"/>
                  <w:shd w:val="clear" w:color="auto" w:fill="auto"/>
                  <w:vAlign w:val="center"/>
                </w:tcPr>
                <w:p w14:paraId="690EDA2A">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本项目实验室中的微生物实验室为P</w:t>
                  </w: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生物实验室，主要对</w:t>
                  </w:r>
                  <w:r>
                    <w:rPr>
                      <w:rFonts w:hint="eastAsia"/>
                      <w:color w:val="000000" w:themeColor="text1"/>
                      <w:sz w:val="21"/>
                      <w:szCs w:val="21"/>
                      <w14:textFill>
                        <w14:solidFill>
                          <w14:schemeClr w14:val="tx1"/>
                        </w14:solidFill>
                      </w14:textFill>
                    </w:rPr>
                    <w:t>菌落总数、</w:t>
                  </w:r>
                  <w:r>
                    <w:rPr>
                      <w:color w:val="000000" w:themeColor="text1"/>
                      <w:sz w:val="21"/>
                      <w:szCs w:val="21"/>
                      <w14:textFill>
                        <w14:solidFill>
                          <w14:schemeClr w14:val="tx1"/>
                        </w14:solidFill>
                      </w14:textFill>
                    </w:rPr>
                    <w:t>细菌总数、</w:t>
                  </w:r>
                  <w:r>
                    <w:rPr>
                      <w:rFonts w:hint="eastAsia"/>
                      <w:color w:val="000000" w:themeColor="text1"/>
                      <w:sz w:val="21"/>
                      <w:szCs w:val="21"/>
                      <w14:textFill>
                        <w14:solidFill>
                          <w14:schemeClr w14:val="tx1"/>
                        </w14:solidFill>
                      </w14:textFill>
                    </w:rPr>
                    <w:t>总</w:t>
                  </w:r>
                  <w:r>
                    <w:rPr>
                      <w:color w:val="000000" w:themeColor="text1"/>
                      <w:sz w:val="21"/>
                      <w:szCs w:val="21"/>
                      <w14:textFill>
                        <w14:solidFill>
                          <w14:schemeClr w14:val="tx1"/>
                        </w14:solidFill>
                      </w14:textFill>
                    </w:rPr>
                    <w:t>大肠菌群</w:t>
                  </w:r>
                  <w:r>
                    <w:rPr>
                      <w:rFonts w:hint="eastAsia"/>
                      <w:color w:val="000000" w:themeColor="text1"/>
                      <w:sz w:val="21"/>
                      <w:szCs w:val="21"/>
                      <w14:textFill>
                        <w14:solidFill>
                          <w14:schemeClr w14:val="tx1"/>
                        </w14:solidFill>
                      </w14:textFill>
                    </w:rPr>
                    <w:t>等</w:t>
                  </w:r>
                  <w:r>
                    <w:rPr>
                      <w:color w:val="000000" w:themeColor="text1"/>
                      <w:sz w:val="21"/>
                      <w:szCs w:val="21"/>
                      <w14:textFill>
                        <w14:solidFill>
                          <w14:schemeClr w14:val="tx1"/>
                        </w14:solidFill>
                      </w14:textFill>
                    </w:rPr>
                    <w:t>进行检验。本项目实验室选址符合国家</w:t>
                  </w:r>
                  <w:r>
                    <w:rPr>
                      <w:rFonts w:hint="eastAsia"/>
                      <w:color w:val="000000" w:themeColor="text1"/>
                      <w:sz w:val="21"/>
                      <w:szCs w:val="21"/>
                      <w14:textFill>
                        <w14:solidFill>
                          <w14:schemeClr w14:val="tx1"/>
                        </w14:solidFill>
                      </w14:textFill>
                    </w:rPr>
                    <w:t>及</w:t>
                  </w:r>
                  <w:r>
                    <w:rPr>
                      <w:color w:val="000000" w:themeColor="text1"/>
                      <w:sz w:val="21"/>
                      <w:szCs w:val="21"/>
                      <w14:textFill>
                        <w14:solidFill>
                          <w14:schemeClr w14:val="tx1"/>
                        </w14:solidFill>
                      </w14:textFill>
                    </w:rPr>
                    <w:t>地方要求</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微生物实验室的安全保卫符合国家相关部门对该类设施的安全管理规定和要求</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实验室的建筑材料和设备均符合国家相关部门的要求</w:t>
                  </w:r>
                  <w:r>
                    <w:rPr>
                      <w:rFonts w:hint="eastAsia"/>
                      <w:color w:val="000000" w:themeColor="text1"/>
                      <w:sz w:val="21"/>
                      <w:szCs w:val="21"/>
                      <w14:textFill>
                        <w14:solidFill>
                          <w14:schemeClr w14:val="tx1"/>
                        </w14:solidFill>
                      </w14:textFill>
                    </w:rPr>
                    <w:t>；本项目</w:t>
                  </w:r>
                  <w:r>
                    <w:rPr>
                      <w:color w:val="000000" w:themeColor="text1"/>
                      <w:sz w:val="21"/>
                      <w:szCs w:val="21"/>
                      <w14:textFill>
                        <w14:solidFill>
                          <w14:schemeClr w14:val="tx1"/>
                        </w14:solidFill>
                      </w14:textFill>
                    </w:rPr>
                    <w:t>实验室的走廊和通道不妨碍人员和物品通过</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本项目实验室设计有紧急逃生路线且有明显标识</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微生物实验室的</w:t>
                  </w:r>
                  <w:r>
                    <w:rPr>
                      <w:rFonts w:hint="eastAsia"/>
                      <w:color w:val="000000" w:themeColor="text1"/>
                      <w:sz w:val="21"/>
                      <w:szCs w:val="21"/>
                      <w14:textFill>
                        <w14:solidFill>
                          <w14:schemeClr w14:val="tx1"/>
                        </w14:solidFill>
                      </w14:textFill>
                    </w:rPr>
                    <w:t>门</w:t>
                  </w:r>
                  <w:r>
                    <w:rPr>
                      <w:color w:val="000000" w:themeColor="text1"/>
                      <w:sz w:val="21"/>
                      <w:szCs w:val="21"/>
                      <w14:textFill>
                        <w14:solidFill>
                          <w14:schemeClr w14:val="tx1"/>
                        </w14:solidFill>
                      </w14:textFill>
                    </w:rPr>
                    <w:t>安装有门锁</w:t>
                  </w:r>
                  <w:r>
                    <w:rPr>
                      <w:rFonts w:hint="eastAsia"/>
                      <w:color w:val="000000" w:themeColor="text1"/>
                      <w:sz w:val="21"/>
                      <w:szCs w:val="21"/>
                      <w14:textFill>
                        <w14:solidFill>
                          <w14:schemeClr w14:val="tx1"/>
                        </w14:solidFill>
                      </w14:textFill>
                    </w:rPr>
                    <w:t>，且门锁方便内部快速打开；</w:t>
                  </w:r>
                  <w:r>
                    <w:rPr>
                      <w:color w:val="000000" w:themeColor="text1"/>
                      <w:sz w:val="21"/>
                      <w:szCs w:val="21"/>
                      <w14:textFill>
                        <w14:solidFill>
                          <w14:schemeClr w14:val="tx1"/>
                        </w14:solidFill>
                      </w14:textFill>
                    </w:rPr>
                    <w:t>本项目设有试剂室且安装有监控摄像</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微生物实验室内温度、湿度、照度、噪声和洁净度等室内环境参数均符合工作要求和卫生等相关要求。</w:t>
                  </w:r>
                </w:p>
              </w:tc>
              <w:tc>
                <w:tcPr>
                  <w:tcW w:w="321" w:type="pct"/>
                  <w:shd w:val="clear" w:color="auto" w:fill="auto"/>
                  <w:vAlign w:val="center"/>
                </w:tcPr>
                <w:p w14:paraId="2FD3A6AD">
                  <w:pPr>
                    <w:contextualSpacing/>
                    <w:jc w:val="center"/>
                    <w:rPr>
                      <w:bCs/>
                      <w:color w:val="000000" w:themeColor="text1"/>
                      <w:kern w:val="0"/>
                      <w:sz w:val="21"/>
                      <w:szCs w:val="21"/>
                      <w14:textFill>
                        <w14:solidFill>
                          <w14:schemeClr w14:val="tx1"/>
                        </w14:solidFill>
                      </w14:textFill>
                    </w:rPr>
                  </w:pPr>
                  <w:r>
                    <w:rPr>
                      <w:rFonts w:hint="eastAsia"/>
                      <w:bCs/>
                      <w:color w:val="000000" w:themeColor="text1"/>
                      <w:kern w:val="0"/>
                      <w:sz w:val="21"/>
                      <w:szCs w:val="21"/>
                      <w14:textFill>
                        <w14:solidFill>
                          <w14:schemeClr w14:val="tx1"/>
                        </w14:solidFill>
                      </w14:textFill>
                    </w:rPr>
                    <w:t>符合</w:t>
                  </w:r>
                </w:p>
              </w:tc>
            </w:tr>
            <w:tr w14:paraId="755AB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4" w:type="pct"/>
                  <w:vMerge w:val="continue"/>
                  <w:shd w:val="clear" w:color="auto" w:fill="auto"/>
                  <w:vAlign w:val="center"/>
                </w:tcPr>
                <w:p w14:paraId="6C193EE2">
                  <w:pPr>
                    <w:contextualSpacing/>
                    <w:jc w:val="center"/>
                    <w:rPr>
                      <w:bCs/>
                      <w:kern w:val="0"/>
                      <w:sz w:val="21"/>
                      <w:szCs w:val="21"/>
                    </w:rPr>
                  </w:pPr>
                </w:p>
              </w:tc>
              <w:tc>
                <w:tcPr>
                  <w:tcW w:w="1927" w:type="pct"/>
                  <w:shd w:val="clear" w:color="auto" w:fill="auto"/>
                  <w:vAlign w:val="center"/>
                </w:tcPr>
                <w:p w14:paraId="609FAE19">
                  <w:pPr>
                    <w:rPr>
                      <w:color w:val="auto"/>
                      <w:sz w:val="21"/>
                      <w:szCs w:val="21"/>
                    </w:rPr>
                  </w:pPr>
                  <w:r>
                    <w:rPr>
                      <w:color w:val="auto"/>
                      <w:sz w:val="21"/>
                      <w:szCs w:val="21"/>
                    </w:rPr>
                    <w:t>6.</w:t>
                  </w:r>
                  <w:r>
                    <w:rPr>
                      <w:rFonts w:hint="eastAsia"/>
                      <w:color w:val="auto"/>
                      <w:sz w:val="21"/>
                      <w:szCs w:val="21"/>
                    </w:rPr>
                    <w:t>1</w:t>
                  </w:r>
                  <w:r>
                    <w:rPr>
                      <w:color w:val="auto"/>
                      <w:sz w:val="21"/>
                      <w:szCs w:val="21"/>
                    </w:rPr>
                    <w:t xml:space="preserve"> BLS-</w:t>
                  </w:r>
                  <w:r>
                    <w:rPr>
                      <w:rFonts w:hint="eastAsia"/>
                      <w:color w:val="auto"/>
                      <w:sz w:val="21"/>
                      <w:szCs w:val="21"/>
                    </w:rPr>
                    <w:t>1</w:t>
                  </w:r>
                  <w:r>
                    <w:rPr>
                      <w:color w:val="auto"/>
                      <w:sz w:val="21"/>
                      <w:szCs w:val="21"/>
                    </w:rPr>
                    <w:t>实验室</w:t>
                  </w:r>
                </w:p>
                <w:p w14:paraId="2C4E1042">
                  <w:pPr>
                    <w:rPr>
                      <w:color w:val="auto"/>
                      <w:sz w:val="21"/>
                      <w:szCs w:val="21"/>
                    </w:rPr>
                  </w:pPr>
                  <w:r>
                    <w:rPr>
                      <w:color w:val="auto"/>
                      <w:sz w:val="21"/>
                      <w:szCs w:val="21"/>
                    </w:rPr>
                    <w:t>6.</w:t>
                  </w:r>
                  <w:r>
                    <w:rPr>
                      <w:rFonts w:hint="eastAsia"/>
                      <w:color w:val="auto"/>
                      <w:sz w:val="21"/>
                      <w:szCs w:val="21"/>
                    </w:rPr>
                    <w:t>1</w:t>
                  </w:r>
                  <w:r>
                    <w:rPr>
                      <w:color w:val="auto"/>
                      <w:sz w:val="21"/>
                      <w:szCs w:val="21"/>
                    </w:rPr>
                    <w:t>.</w:t>
                  </w:r>
                  <w:r>
                    <w:rPr>
                      <w:rFonts w:hint="eastAsia"/>
                      <w:color w:val="auto"/>
                      <w:sz w:val="21"/>
                      <w:szCs w:val="21"/>
                    </w:rPr>
                    <w:t>1实验室的门应有可视窗并可锁闭，门锁及门的开启方向应不妨碍室内人员逃生。</w:t>
                  </w:r>
                </w:p>
                <w:p w14:paraId="6FBD4205">
                  <w:pPr>
                    <w:rPr>
                      <w:color w:val="auto"/>
                      <w:sz w:val="21"/>
                      <w:szCs w:val="21"/>
                    </w:rPr>
                  </w:pPr>
                  <w:r>
                    <w:rPr>
                      <w:color w:val="auto"/>
                      <w:sz w:val="21"/>
                      <w:szCs w:val="21"/>
                    </w:rPr>
                    <w:t>6.</w:t>
                  </w:r>
                  <w:r>
                    <w:rPr>
                      <w:rFonts w:hint="eastAsia"/>
                      <w:color w:val="auto"/>
                      <w:sz w:val="21"/>
                      <w:szCs w:val="21"/>
                    </w:rPr>
                    <w:t>1</w:t>
                  </w:r>
                  <w:r>
                    <w:rPr>
                      <w:color w:val="auto"/>
                      <w:sz w:val="21"/>
                      <w:szCs w:val="21"/>
                    </w:rPr>
                    <w:t>.</w:t>
                  </w:r>
                  <w:r>
                    <w:rPr>
                      <w:rFonts w:hint="eastAsia"/>
                      <w:color w:val="auto"/>
                      <w:sz w:val="21"/>
                      <w:szCs w:val="21"/>
                    </w:rPr>
                    <w:t>2应设洗手池，宜设置在靠近实验室的出口处。</w:t>
                  </w:r>
                </w:p>
                <w:p w14:paraId="218F7AC7">
                  <w:pPr>
                    <w:rPr>
                      <w:color w:val="auto"/>
                      <w:sz w:val="21"/>
                      <w:szCs w:val="21"/>
                    </w:rPr>
                  </w:pPr>
                  <w:r>
                    <w:rPr>
                      <w:rFonts w:hint="eastAsia"/>
                      <w:color w:val="auto"/>
                      <w:sz w:val="21"/>
                      <w:szCs w:val="21"/>
                    </w:rPr>
                    <w:t>6.1.3在实验室门口处应设存衣或挂衣装置，可将个人服装与实验室工作服分开放置。</w:t>
                  </w:r>
                </w:p>
                <w:p w14:paraId="6882894A">
                  <w:pPr>
                    <w:rPr>
                      <w:color w:val="auto"/>
                      <w:sz w:val="21"/>
                      <w:szCs w:val="21"/>
                    </w:rPr>
                  </w:pPr>
                  <w:r>
                    <w:rPr>
                      <w:rFonts w:hint="eastAsia"/>
                      <w:color w:val="auto"/>
                      <w:sz w:val="21"/>
                      <w:szCs w:val="21"/>
                    </w:rPr>
                    <w:t>6.1.4实验室的墙壁、天花板和地面应易清洁、不渗水、耐化学品和消毒灭菌剂的腐蚀，地面应平整、防滑，不应铺设地毯。</w:t>
                  </w:r>
                </w:p>
                <w:p w14:paraId="45EEB9DA">
                  <w:pPr>
                    <w:rPr>
                      <w:color w:val="auto"/>
                      <w:sz w:val="21"/>
                      <w:szCs w:val="21"/>
                    </w:rPr>
                  </w:pPr>
                  <w:r>
                    <w:rPr>
                      <w:color w:val="auto"/>
                      <w:sz w:val="21"/>
                      <w:szCs w:val="21"/>
                    </w:rPr>
                    <w:t>6.</w:t>
                  </w:r>
                  <w:r>
                    <w:rPr>
                      <w:rFonts w:hint="eastAsia"/>
                      <w:color w:val="auto"/>
                      <w:sz w:val="21"/>
                      <w:szCs w:val="21"/>
                    </w:rPr>
                    <w:t>1</w:t>
                  </w:r>
                  <w:r>
                    <w:rPr>
                      <w:color w:val="auto"/>
                      <w:sz w:val="21"/>
                      <w:szCs w:val="21"/>
                    </w:rPr>
                    <w:t>.</w:t>
                  </w:r>
                  <w:r>
                    <w:rPr>
                      <w:rFonts w:hint="eastAsia"/>
                      <w:color w:val="auto"/>
                      <w:sz w:val="21"/>
                      <w:szCs w:val="21"/>
                    </w:rPr>
                    <w:t>6实验室台柜等和其摆放应便于清洁，实验台面应防水、耐腐蚀、耐热和坚固。</w:t>
                  </w:r>
                </w:p>
                <w:p w14:paraId="77DF83A7">
                  <w:pPr>
                    <w:rPr>
                      <w:color w:val="auto"/>
                      <w:sz w:val="21"/>
                      <w:szCs w:val="21"/>
                    </w:rPr>
                  </w:pPr>
                  <w:r>
                    <w:rPr>
                      <w:rFonts w:hint="eastAsia"/>
                      <w:color w:val="auto"/>
                      <w:sz w:val="21"/>
                      <w:szCs w:val="21"/>
                    </w:rPr>
                    <w:t>6.1.9实验室可以利用自然通风，如果采用机械通风，应避免交叉污染。</w:t>
                  </w:r>
                </w:p>
                <w:p w14:paraId="1C95403D">
                  <w:pPr>
                    <w:rPr>
                      <w:color w:val="auto"/>
                      <w:sz w:val="21"/>
                      <w:szCs w:val="21"/>
                    </w:rPr>
                  </w:pPr>
                  <w:r>
                    <w:rPr>
                      <w:rFonts w:hint="eastAsia"/>
                      <w:color w:val="auto"/>
                      <w:sz w:val="21"/>
                      <w:szCs w:val="21"/>
                    </w:rPr>
                    <w:t>6.1.16应设应急照明装置。</w:t>
                  </w:r>
                </w:p>
                <w:p w14:paraId="472F7E04">
                  <w:pPr>
                    <w:rPr>
                      <w:color w:val="auto"/>
                      <w:sz w:val="21"/>
                      <w:szCs w:val="21"/>
                    </w:rPr>
                  </w:pPr>
                  <w:r>
                    <w:rPr>
                      <w:rFonts w:hint="eastAsia"/>
                      <w:color w:val="auto"/>
                      <w:sz w:val="21"/>
                      <w:szCs w:val="21"/>
                    </w:rPr>
                    <w:t>6.1.17应有足够的电力供应。</w:t>
                  </w:r>
                </w:p>
                <w:p w14:paraId="06E2277D">
                  <w:pPr>
                    <w:rPr>
                      <w:color w:val="auto"/>
                      <w:sz w:val="21"/>
                      <w:szCs w:val="21"/>
                    </w:rPr>
                  </w:pPr>
                  <w:r>
                    <w:rPr>
                      <w:rFonts w:hint="eastAsia"/>
                      <w:color w:val="auto"/>
                      <w:sz w:val="21"/>
                      <w:szCs w:val="21"/>
                    </w:rPr>
                    <w:t>6.1.19应配备适用的应急器材，如消防器材、意外事故处理器材、急救器材等。</w:t>
                  </w:r>
                </w:p>
                <w:p w14:paraId="030F449E">
                  <w:pPr>
                    <w:rPr>
                      <w:color w:val="auto"/>
                      <w:kern w:val="0"/>
                      <w:sz w:val="21"/>
                      <w:szCs w:val="21"/>
                    </w:rPr>
                  </w:pPr>
                  <w:r>
                    <w:rPr>
                      <w:rFonts w:hint="eastAsia"/>
                      <w:color w:val="auto"/>
                      <w:sz w:val="21"/>
                      <w:szCs w:val="21"/>
                    </w:rPr>
                    <w:t>6.1.22必要时，应配备适当的消毒灭菌设备。</w:t>
                  </w:r>
                </w:p>
              </w:tc>
              <w:tc>
                <w:tcPr>
                  <w:tcW w:w="2146" w:type="pct"/>
                  <w:shd w:val="clear" w:color="auto" w:fill="auto"/>
                  <w:vAlign w:val="center"/>
                </w:tcPr>
                <w:p w14:paraId="65C424E2">
                  <w:pPr>
                    <w:jc w:val="center"/>
                    <w:rPr>
                      <w:color w:val="auto"/>
                      <w:sz w:val="21"/>
                      <w:szCs w:val="21"/>
                    </w:rPr>
                  </w:pPr>
                  <w:r>
                    <w:rPr>
                      <w:color w:val="auto"/>
                      <w:sz w:val="21"/>
                      <w:szCs w:val="21"/>
                    </w:rPr>
                    <w:t>本项目微生物实验室</w:t>
                  </w:r>
                  <w:r>
                    <w:rPr>
                      <w:rFonts w:hint="eastAsia"/>
                      <w:color w:val="auto"/>
                      <w:sz w:val="21"/>
                      <w:szCs w:val="21"/>
                    </w:rPr>
                    <w:t>的门设有可视窗并可锁闭，门锁及门的开启方向不妨碍室内人员逃生；微生物实验室设有洗手池，且其靠近实验室出口；微生物实验室门口处设有挂衣装置；本项目实验室的墙壁、天花板和地面易清洁、不渗水、耐化学品和消毒灭菌剂的腐蚀，地面平整、防滑，不铺设地毯；实验室台柜等和其摆放便于清洁，实验台面防水、耐腐蚀、耐热和坚固；微生物实验室利用自然通风；本项目实验室设有应急照明装置；本项目实验室有足够的电力供应；本项目实验室配备有适用的应急器材；微生物实验室配备有立式压力蒸汽灭菌锅，用于消毒灭菌。</w:t>
                  </w:r>
                </w:p>
              </w:tc>
              <w:tc>
                <w:tcPr>
                  <w:tcW w:w="321" w:type="pct"/>
                  <w:shd w:val="clear" w:color="auto" w:fill="auto"/>
                  <w:vAlign w:val="center"/>
                </w:tcPr>
                <w:p w14:paraId="1C4EB8B5">
                  <w:pPr>
                    <w:contextualSpacing/>
                    <w:jc w:val="center"/>
                    <w:rPr>
                      <w:bCs/>
                      <w:color w:val="auto"/>
                      <w:kern w:val="0"/>
                      <w:sz w:val="21"/>
                      <w:szCs w:val="21"/>
                    </w:rPr>
                  </w:pPr>
                  <w:r>
                    <w:rPr>
                      <w:rFonts w:hint="eastAsia"/>
                      <w:bCs/>
                      <w:color w:val="auto"/>
                      <w:kern w:val="0"/>
                      <w:sz w:val="21"/>
                      <w:szCs w:val="21"/>
                    </w:rPr>
                    <w:t>符合</w:t>
                  </w:r>
                </w:p>
              </w:tc>
            </w:tr>
          </w:tbl>
          <w:p w14:paraId="14DBFDF7">
            <w:pPr>
              <w:autoSpaceDE w:val="0"/>
              <w:autoSpaceDN w:val="0"/>
              <w:adjustRightInd w:val="0"/>
              <w:snapToGrid w:val="0"/>
              <w:spacing w:before="156" w:beforeLines="50" w:line="360" w:lineRule="auto"/>
              <w:rPr>
                <w:b/>
                <w:bCs/>
                <w:kern w:val="0"/>
                <w:szCs w:val="21"/>
              </w:rPr>
            </w:pPr>
            <w:r>
              <w:rPr>
                <w:rFonts w:hint="eastAsia"/>
                <w:b/>
                <w:bCs/>
                <w:kern w:val="0"/>
                <w:szCs w:val="21"/>
              </w:rPr>
              <w:t>6</w:t>
            </w:r>
            <w:r>
              <w:rPr>
                <w:b/>
                <w:bCs/>
                <w:kern w:val="0"/>
                <w:szCs w:val="21"/>
              </w:rPr>
              <w:t>、选址合理性分析</w:t>
            </w:r>
          </w:p>
          <w:p w14:paraId="77B91FC0">
            <w:pPr>
              <w:spacing w:line="360" w:lineRule="auto"/>
              <w:ind w:firstLine="480" w:firstLineChars="200"/>
              <w:rPr>
                <w:color w:val="auto"/>
                <w:szCs w:val="32"/>
              </w:rPr>
            </w:pPr>
            <w:r>
              <w:rPr>
                <w:rFonts w:hint="eastAsia"/>
                <w:color w:val="auto"/>
                <w:szCs w:val="32"/>
              </w:rPr>
              <w:t>本项目位于陕西省西咸新区沣东新城红光大道（沣东大道）以北、科源一路以西，中国国检测试控股集团陕西有限公司一号楼三、四层，</w:t>
            </w:r>
            <w:r>
              <w:rPr>
                <w:rFonts w:hint="eastAsia"/>
                <w:color w:val="auto"/>
              </w:rPr>
              <w:t>中心地理坐标为：东经108度46分21.741秒，北纬34度15分41.757秒。1号楼共8层，层高共计33m，本项目占据3、4层，1~2层为毛坯厂房，目前闲置，5~8层为中国国检测试控股集团陕西有限公司办公用房。项目所在的1号楼东侧为空地，南侧为红光大道（沣东大道），西侧为2号楼，北侧为园区内道路。项目地理位置见附图1，四邻关系图见附图2，厂房</w:t>
            </w:r>
            <w:r>
              <w:rPr>
                <w:rFonts w:hint="eastAsia"/>
                <w:color w:val="auto"/>
                <w:szCs w:val="32"/>
              </w:rPr>
              <w:t>租赁协议见附件5。</w:t>
            </w:r>
          </w:p>
          <w:p w14:paraId="28B8E5D6">
            <w:pPr>
              <w:spacing w:line="360" w:lineRule="auto"/>
              <w:ind w:firstLine="480" w:firstLineChars="200"/>
              <w:rPr>
                <w:rFonts w:cs="宋体"/>
                <w:bCs/>
              </w:rPr>
            </w:pPr>
            <w:r>
              <w:rPr>
                <w:rFonts w:hint="eastAsia"/>
                <w:szCs w:val="32"/>
              </w:rPr>
              <w:t>中国国检测试控股集团陕西有限公司</w:t>
            </w:r>
            <w:r>
              <w:rPr>
                <w:rFonts w:hint="eastAsia" w:cs="宋体"/>
                <w:bCs/>
              </w:rPr>
              <w:t>（原中国建材检验认证集团（陕西）有限公司）于2013年1月委托浙江商达环保有限公司编制了《中国国检测试控股集团（原中国建材检验认证集团股份有限公司）西北基地项目环境影响报告表》，2013年2月1日，西安市环保局沣渭新区分局以“市环沣批复〔2013〕1号”对该项目进行了环评批复（</w:t>
            </w:r>
            <w:r>
              <w:rPr>
                <w:rFonts w:hint="eastAsia"/>
                <w:szCs w:val="32"/>
              </w:rPr>
              <w:t>见附件6</w:t>
            </w:r>
            <w:r>
              <w:rPr>
                <w:rFonts w:hint="eastAsia" w:cs="宋体"/>
                <w:bCs/>
              </w:rPr>
              <w:t>）；2023年6月27日，中国国检测试控股集团陕西有限公司进行了排污许可登记，登记编号为916100005706748673002Y，有效期：2023年6月27日至2028年6月26日；2024年1月，中国国检测试控股集团陕西有限公司进行了自主竣工验收。</w:t>
            </w:r>
          </w:p>
          <w:p w14:paraId="0AAA8C5E">
            <w:pPr>
              <w:spacing w:line="360" w:lineRule="auto"/>
              <w:ind w:firstLine="480" w:firstLineChars="200"/>
            </w:pPr>
            <w:r>
              <w:rPr>
                <w:rFonts w:hint="eastAsia"/>
              </w:rPr>
              <w:t>项目所在地交通便利、周边给排水、供电、供热等公用基础设施完备。项目所在地周边500m范围内无风景名胜区、自然保护区、基本农田、文物保护单位、饮用水水源地保护区等敏感区域。在严格落实环评中提出的各项污染防治措施，加强环保设施的运行维护和管理，并落实环境风险防范措施后，项目废气、废水、噪声、固体废物均可长期稳定达标排放或妥善处置，环境风险可接受，对周围环境影响较小。</w:t>
            </w:r>
          </w:p>
          <w:p w14:paraId="06F2413F">
            <w:pPr>
              <w:spacing w:line="360" w:lineRule="auto"/>
              <w:ind w:firstLine="480" w:firstLineChars="200"/>
            </w:pPr>
            <w:r>
              <w:rPr>
                <w:rFonts w:hint="eastAsia"/>
              </w:rPr>
              <w:t>另外，项目与相关实验室选址要求的符合性分析见表1-7。</w:t>
            </w:r>
          </w:p>
          <w:p w14:paraId="63AF65DB">
            <w:pPr>
              <w:jc w:val="center"/>
            </w:pPr>
            <w:r>
              <w:rPr>
                <w:b/>
                <w:bCs/>
                <w:sz w:val="21"/>
              </w:rPr>
              <w:t>表1-</w:t>
            </w:r>
            <w:r>
              <w:rPr>
                <w:rFonts w:hint="eastAsia"/>
                <w:b/>
                <w:bCs/>
                <w:sz w:val="21"/>
              </w:rPr>
              <w:t>7</w:t>
            </w:r>
            <w:r>
              <w:rPr>
                <w:b/>
                <w:bCs/>
                <w:sz w:val="21"/>
              </w:rPr>
              <w:t xml:space="preserve">  项目选址合理性一览表</w:t>
            </w:r>
          </w:p>
          <w:tbl>
            <w:tblPr>
              <w:tblStyle w:val="2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1"/>
              <w:gridCol w:w="2348"/>
              <w:gridCol w:w="2396"/>
              <w:gridCol w:w="602"/>
            </w:tblGrid>
            <w:tr w14:paraId="5596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84" w:type="pct"/>
                  <w:shd w:val="clear" w:color="auto" w:fill="auto"/>
                  <w:vAlign w:val="center"/>
                </w:tcPr>
                <w:p w14:paraId="5E05F2CC">
                  <w:pPr>
                    <w:contextualSpacing/>
                    <w:jc w:val="center"/>
                    <w:rPr>
                      <w:b/>
                      <w:kern w:val="0"/>
                      <w:sz w:val="21"/>
                      <w:szCs w:val="21"/>
                    </w:rPr>
                  </w:pPr>
                  <w:r>
                    <w:rPr>
                      <w:rFonts w:hint="eastAsia"/>
                      <w:b/>
                      <w:kern w:val="0"/>
                      <w:sz w:val="21"/>
                      <w:szCs w:val="21"/>
                    </w:rPr>
                    <w:t>文件名称</w:t>
                  </w:r>
                </w:p>
              </w:tc>
              <w:tc>
                <w:tcPr>
                  <w:tcW w:w="1719" w:type="pct"/>
                  <w:shd w:val="clear" w:color="auto" w:fill="auto"/>
                  <w:vAlign w:val="center"/>
                </w:tcPr>
                <w:p w14:paraId="5C381E6C">
                  <w:pPr>
                    <w:contextualSpacing/>
                    <w:jc w:val="center"/>
                    <w:rPr>
                      <w:b/>
                      <w:kern w:val="0"/>
                      <w:sz w:val="21"/>
                      <w:szCs w:val="21"/>
                    </w:rPr>
                  </w:pPr>
                  <w:r>
                    <w:rPr>
                      <w:b/>
                      <w:kern w:val="0"/>
                      <w:sz w:val="21"/>
                      <w:szCs w:val="21"/>
                    </w:rPr>
                    <w:t>具体要求</w:t>
                  </w:r>
                </w:p>
              </w:tc>
              <w:tc>
                <w:tcPr>
                  <w:tcW w:w="1754" w:type="pct"/>
                  <w:shd w:val="clear" w:color="auto" w:fill="auto"/>
                  <w:vAlign w:val="center"/>
                </w:tcPr>
                <w:p w14:paraId="67A22B0A">
                  <w:pPr>
                    <w:contextualSpacing/>
                    <w:jc w:val="center"/>
                    <w:rPr>
                      <w:b/>
                      <w:kern w:val="0"/>
                      <w:sz w:val="21"/>
                      <w:szCs w:val="21"/>
                    </w:rPr>
                  </w:pPr>
                  <w:r>
                    <w:rPr>
                      <w:b/>
                      <w:kern w:val="0"/>
                      <w:sz w:val="21"/>
                      <w:szCs w:val="21"/>
                    </w:rPr>
                    <w:t>本项目情况</w:t>
                  </w:r>
                </w:p>
              </w:tc>
              <w:tc>
                <w:tcPr>
                  <w:tcW w:w="441" w:type="pct"/>
                  <w:shd w:val="clear" w:color="auto" w:fill="auto"/>
                  <w:vAlign w:val="center"/>
                </w:tcPr>
                <w:p w14:paraId="0B9C06CE">
                  <w:pPr>
                    <w:contextualSpacing/>
                    <w:jc w:val="center"/>
                    <w:rPr>
                      <w:b/>
                      <w:kern w:val="0"/>
                      <w:sz w:val="21"/>
                      <w:szCs w:val="21"/>
                    </w:rPr>
                  </w:pPr>
                  <w:r>
                    <w:rPr>
                      <w:b/>
                      <w:kern w:val="0"/>
                      <w:sz w:val="21"/>
                      <w:szCs w:val="21"/>
                    </w:rPr>
                    <w:t>备注</w:t>
                  </w:r>
                </w:p>
              </w:tc>
            </w:tr>
            <w:tr w14:paraId="4F45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84" w:type="pct"/>
                  <w:shd w:val="clear" w:color="auto" w:fill="auto"/>
                  <w:vAlign w:val="center"/>
                </w:tcPr>
                <w:p w14:paraId="088A14C6">
                  <w:pPr>
                    <w:contextualSpacing/>
                    <w:jc w:val="center"/>
                    <w:rPr>
                      <w:bCs/>
                      <w:kern w:val="0"/>
                      <w:sz w:val="21"/>
                      <w:szCs w:val="21"/>
                    </w:rPr>
                  </w:pPr>
                  <w:r>
                    <w:rPr>
                      <w:bCs/>
                      <w:kern w:val="0"/>
                      <w:sz w:val="21"/>
                      <w:szCs w:val="21"/>
                    </w:rPr>
                    <w:t>《检验检测实验室设计与建设技术要求 第1部分：通用要求》</w:t>
                  </w:r>
                </w:p>
              </w:tc>
              <w:tc>
                <w:tcPr>
                  <w:tcW w:w="1719" w:type="pct"/>
                  <w:shd w:val="clear" w:color="auto" w:fill="auto"/>
                  <w:vAlign w:val="center"/>
                </w:tcPr>
                <w:p w14:paraId="685BED24">
                  <w:pPr>
                    <w:ind w:firstLine="420" w:firstLineChars="200"/>
                    <w:contextualSpacing/>
                    <w:rPr>
                      <w:bCs/>
                      <w:kern w:val="0"/>
                      <w:sz w:val="21"/>
                      <w:szCs w:val="21"/>
                    </w:rPr>
                  </w:pPr>
                  <w:r>
                    <w:rPr>
                      <w:bCs/>
                      <w:kern w:val="0"/>
                      <w:sz w:val="21"/>
                      <w:szCs w:val="21"/>
                    </w:rPr>
                    <w:t>在符合国家法律法规的前提下，实验室选址宜优先考虑基础设施完善、交通便利、通讯良好的地区，并满足发展用地的需求。同时根据实验室的功能，避开化学、生物、噪声、振动、强电磁场等易对检测结果造成影响的污染源及易燃易爆场所。对于检验检测过程中，易对外界环境造成影响的实验室，在选址时考虑减少公害，如布置在下风方向及下游地段，并采取绿化隔离、远离人群等措施</w:t>
                  </w:r>
                  <w:r>
                    <w:rPr>
                      <w:rFonts w:hint="eastAsia"/>
                      <w:bCs/>
                      <w:kern w:val="0"/>
                      <w:sz w:val="21"/>
                      <w:szCs w:val="21"/>
                    </w:rPr>
                    <w:t>。</w:t>
                  </w:r>
                </w:p>
              </w:tc>
              <w:tc>
                <w:tcPr>
                  <w:tcW w:w="1754" w:type="pct"/>
                  <w:shd w:val="clear" w:color="auto" w:fill="auto"/>
                  <w:vAlign w:val="center"/>
                </w:tcPr>
                <w:p w14:paraId="24A3FEC8">
                  <w:pPr>
                    <w:contextualSpacing/>
                    <w:jc w:val="center"/>
                    <w:rPr>
                      <w:bCs/>
                      <w:kern w:val="0"/>
                      <w:sz w:val="21"/>
                      <w:szCs w:val="21"/>
                    </w:rPr>
                  </w:pPr>
                  <w:r>
                    <w:rPr>
                      <w:bCs/>
                      <w:kern w:val="0"/>
                      <w:sz w:val="21"/>
                      <w:szCs w:val="21"/>
                    </w:rPr>
                    <w:t>项目位于</w:t>
                  </w:r>
                  <w:r>
                    <w:rPr>
                      <w:rFonts w:hint="eastAsia"/>
                      <w:bCs/>
                      <w:kern w:val="0"/>
                      <w:sz w:val="21"/>
                      <w:szCs w:val="21"/>
                    </w:rPr>
                    <w:t>陕西省西咸新区沣东新城红光大道（沣东大道）以北、科源一路以西，中国国检测试控股集团陕西有限公司一号楼三、四层</w:t>
                  </w:r>
                  <w:r>
                    <w:rPr>
                      <w:bCs/>
                      <w:kern w:val="0"/>
                      <w:sz w:val="21"/>
                      <w:szCs w:val="21"/>
                    </w:rPr>
                    <w:t>，用地性质为工业用地。周边交通便利，给排水、供电、供暖设施齐全。园区周边主要为住宅、商户、企事业单位，</w:t>
                  </w:r>
                  <w:r>
                    <w:rPr>
                      <w:kern w:val="24"/>
                      <w:sz w:val="21"/>
                      <w:szCs w:val="21"/>
                    </w:rPr>
                    <w:t>周围无易燃易爆场所。</w:t>
                  </w:r>
                  <w:r>
                    <w:rPr>
                      <w:bCs/>
                      <w:kern w:val="0"/>
                      <w:sz w:val="21"/>
                      <w:szCs w:val="21"/>
                    </w:rPr>
                    <w:t>项目达标排放的污染物不会对周边居民、企业生产造成影响，同时周边企业产生的污染废气、噪声、振动亦不会对本项目运营产生影响。</w:t>
                  </w:r>
                </w:p>
              </w:tc>
              <w:tc>
                <w:tcPr>
                  <w:tcW w:w="441" w:type="pct"/>
                  <w:shd w:val="clear" w:color="auto" w:fill="auto"/>
                  <w:vAlign w:val="center"/>
                </w:tcPr>
                <w:p w14:paraId="54834414">
                  <w:pPr>
                    <w:contextualSpacing/>
                    <w:jc w:val="center"/>
                    <w:rPr>
                      <w:bCs/>
                      <w:kern w:val="0"/>
                      <w:sz w:val="21"/>
                      <w:szCs w:val="21"/>
                    </w:rPr>
                  </w:pPr>
                  <w:r>
                    <w:rPr>
                      <w:bCs/>
                      <w:kern w:val="0"/>
                      <w:sz w:val="21"/>
                      <w:szCs w:val="21"/>
                    </w:rPr>
                    <w:t>符合</w:t>
                  </w:r>
                </w:p>
              </w:tc>
            </w:tr>
            <w:tr w14:paraId="0F517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84" w:type="pct"/>
                  <w:shd w:val="clear" w:color="auto" w:fill="auto"/>
                  <w:vAlign w:val="center"/>
                </w:tcPr>
                <w:p w14:paraId="487A8FF5">
                  <w:pPr>
                    <w:contextualSpacing/>
                    <w:jc w:val="center"/>
                    <w:rPr>
                      <w:bCs/>
                      <w:kern w:val="0"/>
                      <w:sz w:val="21"/>
                      <w:szCs w:val="21"/>
                    </w:rPr>
                  </w:pPr>
                  <w:r>
                    <w:rPr>
                      <w:bCs/>
                      <w:kern w:val="0"/>
                      <w:sz w:val="21"/>
                      <w:szCs w:val="21"/>
                    </w:rPr>
                    <w:t>《检验检测实验室技术要求验收规范》</w:t>
                  </w:r>
                </w:p>
              </w:tc>
              <w:tc>
                <w:tcPr>
                  <w:tcW w:w="1719" w:type="pct"/>
                  <w:shd w:val="clear" w:color="auto" w:fill="auto"/>
                  <w:vAlign w:val="center"/>
                </w:tcPr>
                <w:p w14:paraId="0AAF5806">
                  <w:pPr>
                    <w:ind w:firstLine="420" w:firstLineChars="200"/>
                    <w:contextualSpacing/>
                    <w:rPr>
                      <w:bCs/>
                      <w:kern w:val="0"/>
                      <w:sz w:val="21"/>
                      <w:szCs w:val="21"/>
                    </w:rPr>
                  </w:pPr>
                  <w:r>
                    <w:rPr>
                      <w:bCs/>
                      <w:kern w:val="0"/>
                      <w:sz w:val="21"/>
                      <w:szCs w:val="21"/>
                    </w:rPr>
                    <w:t>检验检测实验室的建设，应符合所在地区城市总体规划和区域检验检测机构设置的总体规划的要求，充分利用现有检验检测资源和基础设施条件，避免重复建设。</w:t>
                  </w:r>
                </w:p>
              </w:tc>
              <w:tc>
                <w:tcPr>
                  <w:tcW w:w="1754" w:type="pct"/>
                  <w:shd w:val="clear" w:color="auto" w:fill="auto"/>
                  <w:vAlign w:val="center"/>
                </w:tcPr>
                <w:p w14:paraId="23066CB6">
                  <w:pPr>
                    <w:contextualSpacing/>
                    <w:jc w:val="center"/>
                    <w:rPr>
                      <w:bCs/>
                      <w:kern w:val="0"/>
                      <w:sz w:val="21"/>
                      <w:szCs w:val="21"/>
                    </w:rPr>
                  </w:pPr>
                  <w:r>
                    <w:rPr>
                      <w:bCs/>
                      <w:kern w:val="0"/>
                      <w:sz w:val="21"/>
                      <w:szCs w:val="21"/>
                    </w:rPr>
                    <w:t>本项目建设符合区域总体规划要求，周边</w:t>
                  </w:r>
                  <w:r>
                    <w:rPr>
                      <w:kern w:val="24"/>
                      <w:sz w:val="21"/>
                      <w:szCs w:val="21"/>
                    </w:rPr>
                    <w:t>检验检测机构较少，业务充足。</w:t>
                  </w:r>
                </w:p>
              </w:tc>
              <w:tc>
                <w:tcPr>
                  <w:tcW w:w="441" w:type="pct"/>
                  <w:shd w:val="clear" w:color="auto" w:fill="auto"/>
                  <w:vAlign w:val="center"/>
                </w:tcPr>
                <w:p w14:paraId="10A485C7">
                  <w:pPr>
                    <w:contextualSpacing/>
                    <w:jc w:val="center"/>
                    <w:rPr>
                      <w:bCs/>
                      <w:kern w:val="0"/>
                      <w:sz w:val="21"/>
                      <w:szCs w:val="21"/>
                    </w:rPr>
                  </w:pPr>
                  <w:r>
                    <w:rPr>
                      <w:bCs/>
                      <w:kern w:val="0"/>
                      <w:sz w:val="21"/>
                      <w:szCs w:val="21"/>
                    </w:rPr>
                    <w:t>符合</w:t>
                  </w:r>
                </w:p>
              </w:tc>
            </w:tr>
          </w:tbl>
          <w:p w14:paraId="7B0B13DA">
            <w:pPr>
              <w:spacing w:line="360" w:lineRule="auto"/>
              <w:ind w:firstLine="480" w:firstLineChars="200"/>
            </w:pPr>
            <w:r>
              <w:rPr>
                <w:rFonts w:hint="eastAsia"/>
              </w:rPr>
              <w:t>综上所述，本项目选址周边无较大的环境制约因素，项目运行过程产生的污染对周围环境影响较小，因此，项目选址合理可行。</w:t>
            </w:r>
          </w:p>
        </w:tc>
      </w:tr>
    </w:tbl>
    <w:p w14:paraId="6D288B71">
      <w:pPr>
        <w:spacing w:line="20" w:lineRule="exact"/>
        <w:rPr>
          <w:b/>
          <w:bCs/>
          <w:sz w:val="28"/>
          <w:szCs w:val="28"/>
        </w:rPr>
      </w:pPr>
    </w:p>
    <w:p w14:paraId="7632DC19">
      <w:pPr>
        <w:spacing w:line="360" w:lineRule="auto"/>
        <w:rPr>
          <w:b/>
          <w:bCs/>
          <w:sz w:val="28"/>
          <w:szCs w:val="28"/>
        </w:rPr>
        <w:sectPr>
          <w:footerReference r:id="rId3" w:type="default"/>
          <w:pgSz w:w="11906" w:h="16838"/>
          <w:pgMar w:top="1701" w:right="1531" w:bottom="1701" w:left="1531" w:header="851" w:footer="992" w:gutter="0"/>
          <w:pgNumType w:start="1"/>
          <w:cols w:space="425" w:num="1"/>
          <w:docGrid w:type="lines" w:linePitch="312" w:charSpace="0"/>
        </w:sectPr>
      </w:pPr>
    </w:p>
    <w:p w14:paraId="0B193A56">
      <w:pPr>
        <w:pStyle w:val="18"/>
        <w:numPr>
          <w:ilvl w:val="0"/>
          <w:numId w:val="4"/>
        </w:numPr>
        <w:jc w:val="center"/>
        <w:outlineLvl w:val="0"/>
        <w:rPr>
          <w:rFonts w:ascii="黑体" w:hAnsi="黑体" w:eastAsia="黑体" w:cs="Times New Roman"/>
          <w:snapToGrid w:val="0"/>
          <w:kern w:val="0"/>
          <w:sz w:val="30"/>
          <w:szCs w:val="30"/>
        </w:rPr>
      </w:pPr>
      <w:bookmarkStart w:id="3" w:name="_Toc15776"/>
      <w:r>
        <w:rPr>
          <w:rFonts w:hint="eastAsia" w:ascii="黑体" w:hAnsi="黑体" w:eastAsia="黑体" w:cs="Times New Roman"/>
          <w:snapToGrid w:val="0"/>
          <w:kern w:val="0"/>
          <w:sz w:val="30"/>
          <w:szCs w:val="30"/>
        </w:rPr>
        <w:t>建设项目工程分析</w:t>
      </w:r>
      <w:bookmarkEnd w:id="3"/>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61"/>
      </w:tblGrid>
      <w:tr w14:paraId="1B368A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823" w:type="dxa"/>
            <w:vAlign w:val="center"/>
          </w:tcPr>
          <w:p w14:paraId="45B11B1C">
            <w:pPr>
              <w:pStyle w:val="18"/>
              <w:adjustRightInd w:val="0"/>
              <w:snapToGrid w:val="0"/>
              <w:spacing w:before="0" w:beforeAutospacing="0" w:after="0" w:afterAutospacing="0"/>
              <w:jc w:val="center"/>
              <w:rPr>
                <w:sz w:val="21"/>
                <w:szCs w:val="21"/>
              </w:rPr>
            </w:pPr>
            <w:r>
              <w:rPr>
                <w:rFonts w:hint="eastAsia" w:eastAsia="宋体"/>
                <w:szCs w:val="24"/>
              </w:rPr>
              <w:t>建设内容</w:t>
            </w:r>
          </w:p>
        </w:tc>
        <w:tc>
          <w:tcPr>
            <w:tcW w:w="8161" w:type="dxa"/>
          </w:tcPr>
          <w:p w14:paraId="31A144B8">
            <w:pPr>
              <w:adjustRightInd w:val="0"/>
              <w:snapToGrid w:val="0"/>
              <w:spacing w:before="156" w:beforeLines="50" w:line="360" w:lineRule="auto"/>
              <w:ind w:firstLine="482" w:firstLineChars="200"/>
              <w:rPr>
                <w:b/>
                <w:kern w:val="0"/>
              </w:rPr>
            </w:pPr>
            <w:r>
              <w:rPr>
                <w:rFonts w:hint="eastAsia"/>
                <w:b/>
                <w:kern w:val="0"/>
              </w:rPr>
              <w:t>1、项目由来</w:t>
            </w:r>
          </w:p>
          <w:p w14:paraId="5E056B3E">
            <w:pPr>
              <w:pStyle w:val="5"/>
              <w:spacing w:line="360" w:lineRule="auto"/>
              <w:ind w:firstLine="480" w:firstLineChars="200"/>
              <w:jc w:val="both"/>
              <w:rPr>
                <w:color w:val="auto"/>
                <w:kern w:val="0"/>
                <w:lang w:bidi="ar"/>
              </w:rPr>
            </w:pPr>
            <w:r>
              <w:rPr>
                <w:rFonts w:hint="eastAsia"/>
              </w:rPr>
              <w:t>国检测试控股集团陕西京诚检测有限公司前身为“西安京诚检测技术有限公司”，隶属于京诚检测集团，因公司发展需要，于2022年4月2日与中国国检测试控股集团股份有限公司成功联合重组，并进行公司更名（更名文件见附件3）。</w:t>
            </w:r>
            <w:r>
              <w:rPr>
                <w:rFonts w:hint="eastAsia"/>
                <w:color w:val="auto"/>
                <w:kern w:val="0"/>
                <w:lang w:bidi="ar"/>
              </w:rPr>
              <w:t>现有项目于2018年12月27日取得了《西安高新区行政审批服务局关于西安京诚检测技术有限公司搬迁项目环境影响报告表的批复》（高新环评批复〔2018〕098号）（见附件4）；2019年5月，公司自主组织竣工验收。</w:t>
            </w:r>
          </w:p>
          <w:p w14:paraId="3ED41426">
            <w:pPr>
              <w:spacing w:line="360" w:lineRule="auto"/>
              <w:ind w:firstLine="480" w:firstLineChars="200"/>
              <w:rPr>
                <w:color w:val="auto"/>
                <w:kern w:val="0"/>
              </w:rPr>
            </w:pPr>
            <w:r>
              <w:rPr>
                <w:rFonts w:hint="eastAsia"/>
                <w:color w:val="auto"/>
                <w:kern w:val="0"/>
                <w:lang w:bidi="ar"/>
              </w:rPr>
              <w:t>2024年5月，因业务发展需要，且便于集团公司统一管理，</w:t>
            </w:r>
            <w:r>
              <w:rPr>
                <w:rFonts w:hint="eastAsia"/>
                <w:color w:val="auto"/>
              </w:rPr>
              <w:t>国检测试控股集团陕西京诚检测有限公司拟全部搬迁到</w:t>
            </w:r>
            <w:r>
              <w:rPr>
                <w:rFonts w:hint="eastAsia"/>
                <w:color w:val="auto"/>
                <w:szCs w:val="21"/>
              </w:rPr>
              <w:t>西咸新区沣东新城红光大道（沣东大道）以北、科源一路以西，中国国检测试控股集团陕西有限公司一号楼三、四层</w:t>
            </w:r>
            <w:r>
              <w:rPr>
                <w:color w:val="auto"/>
              </w:rPr>
              <w:t>进行建设</w:t>
            </w:r>
            <w:r>
              <w:rPr>
                <w:rFonts w:hint="eastAsia"/>
                <w:color w:val="auto"/>
              </w:rPr>
              <w:t>。</w:t>
            </w:r>
            <w:r>
              <w:rPr>
                <w:rFonts w:hint="eastAsia"/>
                <w:color w:val="auto"/>
                <w:kern w:val="0"/>
              </w:rPr>
              <w:t>根据《中华人民共和国环境影响评价法》（2018年12月29日修订）和《建设项目环境保护管理条例》（国务院令第682号）中的有关条款规定，</w:t>
            </w:r>
            <w:r>
              <w:rPr>
                <w:color w:val="auto"/>
                <w:szCs w:val="21"/>
              </w:rPr>
              <w:t>国检测试控股集团陕西京诚检测有限公司实验室建设项目</w:t>
            </w:r>
            <w:r>
              <w:rPr>
                <w:rFonts w:hint="eastAsia"/>
                <w:color w:val="auto"/>
                <w:kern w:val="0"/>
              </w:rPr>
              <w:t>应开展环境影响评价工作。根据《建设项目环境影响评价分类管理名录》（2021年版），本项目类别属于“四十五、研究和试验发展 98.专业实验室、研发（试验）基地”中的“其他”类项目，需编制环境影响报告表。</w:t>
            </w:r>
          </w:p>
          <w:p w14:paraId="67663A5C">
            <w:pPr>
              <w:spacing w:line="360" w:lineRule="auto"/>
              <w:ind w:firstLine="480" w:firstLineChars="200"/>
              <w:rPr>
                <w:color w:val="auto"/>
              </w:rPr>
            </w:pPr>
            <w:r>
              <w:rPr>
                <w:rFonts w:hint="eastAsia"/>
                <w:color w:val="auto"/>
                <w:kern w:val="0"/>
              </w:rPr>
              <w:t>为此，</w:t>
            </w:r>
            <w:r>
              <w:rPr>
                <w:color w:val="auto"/>
                <w:szCs w:val="21"/>
              </w:rPr>
              <w:t>国检测试控股集团陕西京诚检测有限公司</w:t>
            </w:r>
            <w:r>
              <w:rPr>
                <w:rFonts w:hint="eastAsia"/>
                <w:color w:val="auto"/>
                <w:kern w:val="0"/>
              </w:rPr>
              <w:t>委托陕西易通环境科技有限公司承担本项目环境影响报告表的编制工作（委托书见附件1）。</w:t>
            </w:r>
          </w:p>
          <w:p w14:paraId="062178FB">
            <w:pPr>
              <w:spacing w:line="360" w:lineRule="auto"/>
              <w:ind w:firstLine="482" w:firstLineChars="200"/>
              <w:rPr>
                <w:b/>
              </w:rPr>
            </w:pPr>
            <w:r>
              <w:rPr>
                <w:rFonts w:hint="eastAsia"/>
                <w:b/>
                <w:bCs/>
                <w:kern w:val="0"/>
                <w:lang w:bidi="ar"/>
              </w:rPr>
              <w:t>2、</w:t>
            </w:r>
            <w:r>
              <w:rPr>
                <w:b/>
              </w:rPr>
              <w:t>项目组成与建设内容</w:t>
            </w:r>
          </w:p>
          <w:p w14:paraId="298F7BD2">
            <w:pPr>
              <w:spacing w:line="360" w:lineRule="auto"/>
              <w:ind w:firstLine="480" w:firstLineChars="200"/>
            </w:pPr>
            <w:r>
              <w:rPr>
                <w:rFonts w:hint="eastAsia"/>
              </w:rPr>
              <w:t>项目</w:t>
            </w:r>
            <w:r>
              <w:t>租赁</w:t>
            </w:r>
            <w:r>
              <w:rPr>
                <w:rFonts w:hint="eastAsia"/>
              </w:rPr>
              <w:t>中国国检测试控股集团陕西有限公司1号楼3、4层，总建筑</w:t>
            </w:r>
            <w:r>
              <w:t>面积</w:t>
            </w:r>
            <w:r>
              <w:rPr>
                <w:rFonts w:hint="eastAsia"/>
              </w:rPr>
              <w:t>2463</w:t>
            </w:r>
            <w:r>
              <w:t>m</w:t>
            </w:r>
            <w:r>
              <w:rPr>
                <w:vertAlign w:val="superscript"/>
              </w:rPr>
              <w:t>2</w:t>
            </w:r>
            <w:r>
              <w:t>，</w:t>
            </w:r>
            <w:r>
              <w:rPr>
                <w:rFonts w:hint="eastAsia"/>
              </w:rPr>
              <w:t>用于新建实验室、办公室，建成后可开展水和废水、环境空气和废气、土壤和水系沉积物、固体废物、室内空气、油气回收、噪声和振动等相关环保检测及咨询服务。</w:t>
            </w:r>
          </w:p>
          <w:p w14:paraId="7B6F4DE3">
            <w:pPr>
              <w:spacing w:line="360" w:lineRule="auto"/>
              <w:ind w:firstLine="480" w:firstLineChars="200"/>
              <w:rPr>
                <w:szCs w:val="21"/>
              </w:rPr>
            </w:pPr>
            <w:r>
              <w:t>项目组成见表</w:t>
            </w:r>
            <w:r>
              <w:rPr>
                <w:rFonts w:hint="eastAsia"/>
              </w:rPr>
              <w:t>2-1</w:t>
            </w:r>
            <w:r>
              <w:t>。</w:t>
            </w:r>
          </w:p>
          <w:p w14:paraId="3C231F05">
            <w:pPr>
              <w:adjustRightInd w:val="0"/>
              <w:snapToGrid w:val="0"/>
              <w:jc w:val="center"/>
              <w:rPr>
                <w:b/>
                <w:sz w:val="21"/>
                <w:szCs w:val="21"/>
              </w:rPr>
            </w:pPr>
          </w:p>
          <w:p w14:paraId="38B38D95">
            <w:pPr>
              <w:adjustRightInd w:val="0"/>
              <w:snapToGrid w:val="0"/>
              <w:jc w:val="center"/>
              <w:rPr>
                <w:b/>
                <w:sz w:val="21"/>
                <w:szCs w:val="21"/>
              </w:rPr>
            </w:pPr>
            <w:r>
              <w:rPr>
                <w:b/>
                <w:sz w:val="21"/>
                <w:szCs w:val="21"/>
              </w:rPr>
              <w:t>表2-1  项目组成一览表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156"/>
              <w:gridCol w:w="4889"/>
              <w:gridCol w:w="1220"/>
            </w:tblGrid>
            <w:tr w14:paraId="4554F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Align w:val="center"/>
                </w:tcPr>
                <w:p w14:paraId="76E26D7F">
                  <w:pPr>
                    <w:jc w:val="center"/>
                    <w:rPr>
                      <w:b/>
                      <w:sz w:val="21"/>
                      <w:szCs w:val="21"/>
                    </w:rPr>
                  </w:pPr>
                  <w:r>
                    <w:rPr>
                      <w:b/>
                      <w:sz w:val="21"/>
                      <w:szCs w:val="21"/>
                    </w:rPr>
                    <w:t>工程类别</w:t>
                  </w:r>
                </w:p>
              </w:tc>
              <w:tc>
                <w:tcPr>
                  <w:tcW w:w="728" w:type="pct"/>
                  <w:vAlign w:val="center"/>
                </w:tcPr>
                <w:p w14:paraId="60D460F5">
                  <w:pPr>
                    <w:jc w:val="center"/>
                    <w:rPr>
                      <w:b/>
                      <w:sz w:val="21"/>
                      <w:szCs w:val="21"/>
                    </w:rPr>
                  </w:pPr>
                  <w:r>
                    <w:rPr>
                      <w:b/>
                      <w:sz w:val="21"/>
                      <w:szCs w:val="21"/>
                    </w:rPr>
                    <w:t>工程</w:t>
                  </w:r>
                </w:p>
                <w:p w14:paraId="26E5E3AA">
                  <w:pPr>
                    <w:jc w:val="center"/>
                    <w:rPr>
                      <w:b/>
                      <w:sz w:val="21"/>
                      <w:szCs w:val="21"/>
                    </w:rPr>
                  </w:pPr>
                  <w:r>
                    <w:rPr>
                      <w:b/>
                      <w:sz w:val="21"/>
                      <w:szCs w:val="21"/>
                    </w:rPr>
                    <w:t>名称</w:t>
                  </w:r>
                </w:p>
              </w:tc>
              <w:tc>
                <w:tcPr>
                  <w:tcW w:w="3081" w:type="pct"/>
                  <w:vAlign w:val="center"/>
                </w:tcPr>
                <w:p w14:paraId="7D983323">
                  <w:pPr>
                    <w:jc w:val="center"/>
                    <w:rPr>
                      <w:b/>
                      <w:sz w:val="21"/>
                      <w:szCs w:val="21"/>
                    </w:rPr>
                  </w:pPr>
                  <w:r>
                    <w:rPr>
                      <w:rFonts w:hint="eastAsia"/>
                      <w:b/>
                      <w:sz w:val="21"/>
                      <w:szCs w:val="21"/>
                    </w:rPr>
                    <w:t>主要建设内容</w:t>
                  </w:r>
                </w:p>
              </w:tc>
              <w:tc>
                <w:tcPr>
                  <w:tcW w:w="769" w:type="pct"/>
                  <w:vAlign w:val="center"/>
                </w:tcPr>
                <w:p w14:paraId="38BFF72E">
                  <w:pPr>
                    <w:jc w:val="center"/>
                    <w:rPr>
                      <w:b/>
                      <w:sz w:val="21"/>
                      <w:szCs w:val="21"/>
                    </w:rPr>
                  </w:pPr>
                  <w:r>
                    <w:rPr>
                      <w:rFonts w:hint="eastAsia"/>
                      <w:b/>
                      <w:sz w:val="21"/>
                      <w:szCs w:val="21"/>
                    </w:rPr>
                    <w:t>备注</w:t>
                  </w:r>
                </w:p>
              </w:tc>
            </w:tr>
            <w:tr w14:paraId="49BF6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Align w:val="center"/>
                </w:tcPr>
                <w:p w14:paraId="600D8D3B">
                  <w:pPr>
                    <w:jc w:val="center"/>
                    <w:rPr>
                      <w:b/>
                      <w:sz w:val="21"/>
                      <w:szCs w:val="21"/>
                    </w:rPr>
                  </w:pPr>
                  <w:r>
                    <w:rPr>
                      <w:bCs/>
                      <w:sz w:val="21"/>
                      <w:szCs w:val="21"/>
                    </w:rPr>
                    <w:t>主体工程</w:t>
                  </w:r>
                </w:p>
              </w:tc>
              <w:tc>
                <w:tcPr>
                  <w:tcW w:w="728" w:type="pct"/>
                  <w:vAlign w:val="center"/>
                </w:tcPr>
                <w:p w14:paraId="3A7D8B4A">
                  <w:pPr>
                    <w:jc w:val="center"/>
                  </w:pPr>
                  <w:r>
                    <w:rPr>
                      <w:rFonts w:hint="eastAsia"/>
                      <w:sz w:val="21"/>
                      <w:szCs w:val="21"/>
                    </w:rPr>
                    <w:t>环境检测实验室</w:t>
                  </w:r>
                </w:p>
              </w:tc>
              <w:tc>
                <w:tcPr>
                  <w:tcW w:w="3081" w:type="pct"/>
                  <w:vAlign w:val="center"/>
                </w:tcPr>
                <w:p w14:paraId="3F38CC75">
                  <w:pPr>
                    <w:rPr>
                      <w:bCs/>
                      <w:sz w:val="21"/>
                      <w:szCs w:val="21"/>
                    </w:rPr>
                  </w:pPr>
                  <w:r>
                    <w:rPr>
                      <w:rFonts w:hint="eastAsia"/>
                      <w:kern w:val="0"/>
                      <w:sz w:val="21"/>
                      <w:szCs w:val="21"/>
                    </w:rPr>
                    <w:t>总建筑面积为733.9m</w:t>
                  </w:r>
                  <w:r>
                    <w:rPr>
                      <w:rFonts w:hint="eastAsia"/>
                      <w:kern w:val="0"/>
                      <w:sz w:val="21"/>
                      <w:szCs w:val="21"/>
                      <w:vertAlign w:val="superscript"/>
                    </w:rPr>
                    <w:t>2</w:t>
                  </w:r>
                  <w:r>
                    <w:rPr>
                      <w:rFonts w:hint="eastAsia"/>
                      <w:kern w:val="0"/>
                      <w:sz w:val="21"/>
                      <w:szCs w:val="21"/>
                    </w:rPr>
                    <w:t>，包括有机检测室（91.00m</w:t>
                  </w:r>
                  <w:r>
                    <w:rPr>
                      <w:rFonts w:hint="eastAsia"/>
                      <w:kern w:val="0"/>
                      <w:sz w:val="21"/>
                      <w:szCs w:val="21"/>
                      <w:vertAlign w:val="superscript"/>
                    </w:rPr>
                    <w:t>2</w:t>
                  </w:r>
                  <w:r>
                    <w:rPr>
                      <w:rFonts w:hint="eastAsia"/>
                      <w:kern w:val="0"/>
                      <w:sz w:val="21"/>
                      <w:szCs w:val="21"/>
                    </w:rPr>
                    <w:t>）、理化和无机检测室（89.92m</w:t>
                  </w:r>
                  <w:r>
                    <w:rPr>
                      <w:rFonts w:hint="eastAsia"/>
                      <w:kern w:val="0"/>
                      <w:sz w:val="21"/>
                      <w:szCs w:val="21"/>
                      <w:vertAlign w:val="superscript"/>
                    </w:rPr>
                    <w:t>2</w:t>
                  </w:r>
                  <w:r>
                    <w:rPr>
                      <w:rFonts w:hint="eastAsia"/>
                      <w:kern w:val="0"/>
                      <w:sz w:val="21"/>
                      <w:szCs w:val="21"/>
                    </w:rPr>
                    <w:t>）、固废晾晒及制备室（18.92m</w:t>
                  </w:r>
                  <w:r>
                    <w:rPr>
                      <w:rFonts w:hint="eastAsia"/>
                      <w:kern w:val="0"/>
                      <w:sz w:val="21"/>
                      <w:szCs w:val="21"/>
                      <w:vertAlign w:val="superscript"/>
                    </w:rPr>
                    <w:t>2</w:t>
                  </w:r>
                  <w:r>
                    <w:rPr>
                      <w:rFonts w:hint="eastAsia"/>
                      <w:kern w:val="0"/>
                      <w:sz w:val="21"/>
                      <w:szCs w:val="21"/>
                    </w:rPr>
                    <w:t>）、土壤晾晒及制备室（33.61m</w:t>
                  </w:r>
                  <w:r>
                    <w:rPr>
                      <w:rFonts w:hint="eastAsia"/>
                      <w:kern w:val="0"/>
                      <w:sz w:val="21"/>
                      <w:szCs w:val="21"/>
                      <w:vertAlign w:val="superscript"/>
                    </w:rPr>
                    <w:t>2</w:t>
                  </w:r>
                  <w:r>
                    <w:rPr>
                      <w:rFonts w:hint="eastAsia"/>
                      <w:kern w:val="0"/>
                      <w:sz w:val="21"/>
                      <w:szCs w:val="21"/>
                    </w:rPr>
                    <w:t>）、微生物1~2室（58.46m</w:t>
                  </w:r>
                  <w:r>
                    <w:rPr>
                      <w:rFonts w:hint="eastAsia"/>
                      <w:kern w:val="0"/>
                      <w:sz w:val="21"/>
                      <w:szCs w:val="21"/>
                      <w:vertAlign w:val="superscript"/>
                    </w:rPr>
                    <w:t>2</w:t>
                  </w:r>
                  <w:r>
                    <w:rPr>
                      <w:rFonts w:hint="eastAsia"/>
                      <w:kern w:val="0"/>
                      <w:sz w:val="21"/>
                      <w:szCs w:val="21"/>
                    </w:rPr>
                    <w:t>）、色谱1~4室（80.28m</w:t>
                  </w:r>
                  <w:r>
                    <w:rPr>
                      <w:rFonts w:hint="eastAsia"/>
                      <w:kern w:val="0"/>
                      <w:sz w:val="21"/>
                      <w:szCs w:val="21"/>
                      <w:vertAlign w:val="superscript"/>
                    </w:rPr>
                    <w:t>2</w:t>
                  </w:r>
                  <w:r>
                    <w:rPr>
                      <w:rFonts w:hint="eastAsia"/>
                      <w:kern w:val="0"/>
                      <w:sz w:val="21"/>
                      <w:szCs w:val="21"/>
                    </w:rPr>
                    <w:t>）、天平室1~2（24.23m</w:t>
                  </w:r>
                  <w:r>
                    <w:rPr>
                      <w:rFonts w:hint="eastAsia"/>
                      <w:kern w:val="0"/>
                      <w:sz w:val="21"/>
                      <w:szCs w:val="21"/>
                      <w:vertAlign w:val="superscript"/>
                    </w:rPr>
                    <w:t>2</w:t>
                  </w:r>
                  <w:r>
                    <w:rPr>
                      <w:rFonts w:hint="eastAsia"/>
                      <w:kern w:val="0"/>
                      <w:sz w:val="21"/>
                      <w:szCs w:val="21"/>
                    </w:rPr>
                    <w:t>）、臭气准备室（5.71m</w:t>
                  </w:r>
                  <w:r>
                    <w:rPr>
                      <w:rFonts w:hint="eastAsia"/>
                      <w:kern w:val="0"/>
                      <w:sz w:val="21"/>
                      <w:szCs w:val="21"/>
                      <w:vertAlign w:val="superscript"/>
                    </w:rPr>
                    <w:t>2</w:t>
                  </w:r>
                  <w:r>
                    <w:rPr>
                      <w:rFonts w:hint="eastAsia"/>
                      <w:kern w:val="0"/>
                      <w:sz w:val="21"/>
                      <w:szCs w:val="21"/>
                    </w:rPr>
                    <w:t>）、臭气制备室（7.56m</w:t>
                  </w:r>
                  <w:r>
                    <w:rPr>
                      <w:rFonts w:hint="eastAsia"/>
                      <w:kern w:val="0"/>
                      <w:sz w:val="21"/>
                      <w:szCs w:val="21"/>
                      <w:vertAlign w:val="superscript"/>
                    </w:rPr>
                    <w:t>2</w:t>
                  </w:r>
                  <w:r>
                    <w:rPr>
                      <w:rFonts w:hint="eastAsia"/>
                      <w:kern w:val="0"/>
                      <w:sz w:val="21"/>
                      <w:szCs w:val="21"/>
                    </w:rPr>
                    <w:t>）、嗅辨室（14.81m</w:t>
                  </w:r>
                  <w:r>
                    <w:rPr>
                      <w:rFonts w:hint="eastAsia"/>
                      <w:kern w:val="0"/>
                      <w:sz w:val="21"/>
                      <w:szCs w:val="21"/>
                      <w:vertAlign w:val="superscript"/>
                    </w:rPr>
                    <w:t>2</w:t>
                  </w:r>
                  <w:r>
                    <w:rPr>
                      <w:rFonts w:hint="eastAsia"/>
                      <w:kern w:val="0"/>
                      <w:sz w:val="21"/>
                      <w:szCs w:val="21"/>
                    </w:rPr>
                    <w:t>）、光谱1~2室（40.39m</w:t>
                  </w:r>
                  <w:r>
                    <w:rPr>
                      <w:rFonts w:hint="eastAsia"/>
                      <w:kern w:val="0"/>
                      <w:sz w:val="21"/>
                      <w:szCs w:val="21"/>
                      <w:vertAlign w:val="superscript"/>
                    </w:rPr>
                    <w:t>2</w:t>
                  </w:r>
                  <w:r>
                    <w:rPr>
                      <w:rFonts w:hint="eastAsia"/>
                      <w:kern w:val="0"/>
                      <w:sz w:val="21"/>
                      <w:szCs w:val="21"/>
                    </w:rPr>
                    <w:t>）、</w:t>
                  </w:r>
                  <w:r>
                    <w:rPr>
                      <w:rFonts w:hint="eastAsia"/>
                      <w:sz w:val="21"/>
                      <w:szCs w:val="21"/>
                    </w:rPr>
                    <w:t>小型设备1~4室（149.85m</w:t>
                  </w:r>
                  <w:r>
                    <w:rPr>
                      <w:rFonts w:hint="eastAsia"/>
                      <w:sz w:val="21"/>
                      <w:szCs w:val="21"/>
                      <w:vertAlign w:val="superscript"/>
                    </w:rPr>
                    <w:t>2</w:t>
                  </w:r>
                  <w:r>
                    <w:rPr>
                      <w:rFonts w:hint="eastAsia"/>
                      <w:sz w:val="21"/>
                      <w:szCs w:val="21"/>
                    </w:rPr>
                    <w:t>）、</w:t>
                  </w:r>
                  <w:r>
                    <w:rPr>
                      <w:rFonts w:hint="eastAsia"/>
                      <w:kern w:val="0"/>
                      <w:sz w:val="21"/>
                      <w:szCs w:val="21"/>
                    </w:rPr>
                    <w:t>洗瓶室（40.83m</w:t>
                  </w:r>
                  <w:r>
                    <w:rPr>
                      <w:rFonts w:hint="eastAsia"/>
                      <w:kern w:val="0"/>
                      <w:sz w:val="21"/>
                      <w:szCs w:val="21"/>
                      <w:vertAlign w:val="superscript"/>
                    </w:rPr>
                    <w:t>2</w:t>
                  </w:r>
                  <w:r>
                    <w:rPr>
                      <w:rFonts w:hint="eastAsia"/>
                      <w:kern w:val="0"/>
                      <w:sz w:val="21"/>
                      <w:szCs w:val="21"/>
                    </w:rPr>
                    <w:t>）、预留实验室（62.50m</w:t>
                  </w:r>
                  <w:r>
                    <w:rPr>
                      <w:rFonts w:hint="eastAsia"/>
                      <w:kern w:val="0"/>
                      <w:sz w:val="21"/>
                      <w:szCs w:val="21"/>
                      <w:vertAlign w:val="superscript"/>
                    </w:rPr>
                    <w:t>2</w:t>
                  </w:r>
                  <w:r>
                    <w:rPr>
                      <w:rFonts w:hint="eastAsia"/>
                      <w:kern w:val="0"/>
                      <w:sz w:val="21"/>
                      <w:szCs w:val="21"/>
                    </w:rPr>
                    <w:t>）、高温室（15.83m</w:t>
                  </w:r>
                  <w:r>
                    <w:rPr>
                      <w:rFonts w:hint="eastAsia"/>
                      <w:kern w:val="0"/>
                      <w:sz w:val="21"/>
                      <w:szCs w:val="21"/>
                      <w:vertAlign w:val="superscript"/>
                    </w:rPr>
                    <w:t>2</w:t>
                  </w:r>
                  <w:r>
                    <w:rPr>
                      <w:rFonts w:hint="eastAsia"/>
                      <w:kern w:val="0"/>
                      <w:sz w:val="21"/>
                      <w:szCs w:val="21"/>
                    </w:rPr>
                    <w:t>）等。</w:t>
                  </w:r>
                </w:p>
              </w:tc>
              <w:tc>
                <w:tcPr>
                  <w:tcW w:w="769" w:type="pct"/>
                  <w:vAlign w:val="center"/>
                </w:tcPr>
                <w:p w14:paraId="17117F18">
                  <w:pPr>
                    <w:jc w:val="center"/>
                    <w:rPr>
                      <w:bCs/>
                      <w:sz w:val="21"/>
                      <w:szCs w:val="21"/>
                    </w:rPr>
                  </w:pPr>
                  <w:r>
                    <w:rPr>
                      <w:rFonts w:hint="eastAsia"/>
                      <w:kern w:val="0"/>
                      <w:sz w:val="21"/>
                      <w:szCs w:val="21"/>
                    </w:rPr>
                    <w:t>位于4层；新建</w:t>
                  </w:r>
                </w:p>
              </w:tc>
            </w:tr>
            <w:tr w14:paraId="5FDBB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restart"/>
                  <w:vAlign w:val="center"/>
                </w:tcPr>
                <w:p w14:paraId="4771BA75">
                  <w:pPr>
                    <w:jc w:val="center"/>
                    <w:rPr>
                      <w:bCs/>
                      <w:sz w:val="21"/>
                      <w:szCs w:val="21"/>
                    </w:rPr>
                  </w:pPr>
                  <w:r>
                    <w:rPr>
                      <w:bCs/>
                      <w:sz w:val="21"/>
                      <w:szCs w:val="21"/>
                    </w:rPr>
                    <w:t>辅助工程</w:t>
                  </w:r>
                </w:p>
              </w:tc>
              <w:tc>
                <w:tcPr>
                  <w:tcW w:w="728" w:type="pct"/>
                  <w:vAlign w:val="center"/>
                </w:tcPr>
                <w:p w14:paraId="243C6874">
                  <w:pPr>
                    <w:jc w:val="center"/>
                    <w:rPr>
                      <w:sz w:val="21"/>
                      <w:szCs w:val="21"/>
                    </w:rPr>
                  </w:pPr>
                  <w:r>
                    <w:rPr>
                      <w:sz w:val="21"/>
                      <w:szCs w:val="21"/>
                    </w:rPr>
                    <w:t>办公用房</w:t>
                  </w:r>
                </w:p>
              </w:tc>
              <w:tc>
                <w:tcPr>
                  <w:tcW w:w="3081" w:type="pct"/>
                  <w:vAlign w:val="center"/>
                </w:tcPr>
                <w:p w14:paraId="733A565A">
                  <w:pPr>
                    <w:rPr>
                      <w:sz w:val="21"/>
                      <w:szCs w:val="21"/>
                    </w:rPr>
                  </w:pPr>
                  <w:r>
                    <w:rPr>
                      <w:rFonts w:hint="eastAsia"/>
                      <w:sz w:val="21"/>
                      <w:szCs w:val="21"/>
                    </w:rPr>
                    <w:t>总建筑面积约625.28</w:t>
                  </w:r>
                  <w:r>
                    <w:rPr>
                      <w:kern w:val="0"/>
                      <w:sz w:val="21"/>
                      <w:szCs w:val="21"/>
                    </w:rPr>
                    <w:t>m</w:t>
                  </w:r>
                  <w:r>
                    <w:rPr>
                      <w:kern w:val="0"/>
                      <w:sz w:val="21"/>
                      <w:szCs w:val="21"/>
                      <w:vertAlign w:val="superscript"/>
                    </w:rPr>
                    <w:t>2</w:t>
                  </w:r>
                  <w:r>
                    <w:rPr>
                      <w:rFonts w:hint="eastAsia"/>
                      <w:sz w:val="21"/>
                      <w:szCs w:val="21"/>
                    </w:rPr>
                    <w:t>、主要包括办公室（269.54</w:t>
                  </w:r>
                  <w:r>
                    <w:rPr>
                      <w:kern w:val="0"/>
                      <w:sz w:val="21"/>
                      <w:szCs w:val="21"/>
                    </w:rPr>
                    <w:t>m</w:t>
                  </w:r>
                  <w:r>
                    <w:rPr>
                      <w:kern w:val="0"/>
                      <w:sz w:val="21"/>
                      <w:szCs w:val="21"/>
                      <w:vertAlign w:val="superscript"/>
                    </w:rPr>
                    <w:t>2</w:t>
                  </w:r>
                  <w:r>
                    <w:rPr>
                      <w:rFonts w:hint="eastAsia"/>
                      <w:sz w:val="21"/>
                      <w:szCs w:val="21"/>
                    </w:rPr>
                    <w:t>）、综合办（13.54</w:t>
                  </w:r>
                  <w:r>
                    <w:rPr>
                      <w:kern w:val="0"/>
                      <w:sz w:val="21"/>
                      <w:szCs w:val="21"/>
                    </w:rPr>
                    <w:t>m</w:t>
                  </w:r>
                  <w:r>
                    <w:rPr>
                      <w:kern w:val="0"/>
                      <w:sz w:val="21"/>
                      <w:szCs w:val="21"/>
                      <w:vertAlign w:val="superscript"/>
                    </w:rPr>
                    <w:t>2</w:t>
                  </w:r>
                  <w:r>
                    <w:rPr>
                      <w:rFonts w:hint="eastAsia"/>
                      <w:sz w:val="21"/>
                      <w:szCs w:val="21"/>
                    </w:rPr>
                    <w:t>）、总经理室（32.66</w:t>
                  </w:r>
                  <w:r>
                    <w:rPr>
                      <w:kern w:val="0"/>
                      <w:sz w:val="21"/>
                      <w:szCs w:val="21"/>
                    </w:rPr>
                    <w:t>m</w:t>
                  </w:r>
                  <w:r>
                    <w:rPr>
                      <w:kern w:val="0"/>
                      <w:sz w:val="21"/>
                      <w:szCs w:val="21"/>
                      <w:vertAlign w:val="superscript"/>
                    </w:rPr>
                    <w:t>2</w:t>
                  </w:r>
                  <w:r>
                    <w:rPr>
                      <w:rFonts w:hint="eastAsia"/>
                      <w:sz w:val="21"/>
                      <w:szCs w:val="21"/>
                    </w:rPr>
                    <w:t>）、经理室（24.12</w:t>
                  </w:r>
                  <w:r>
                    <w:rPr>
                      <w:kern w:val="0"/>
                      <w:sz w:val="21"/>
                      <w:szCs w:val="21"/>
                    </w:rPr>
                    <w:t>m</w:t>
                  </w:r>
                  <w:r>
                    <w:rPr>
                      <w:kern w:val="0"/>
                      <w:sz w:val="21"/>
                      <w:szCs w:val="21"/>
                      <w:vertAlign w:val="superscript"/>
                    </w:rPr>
                    <w:t>2</w:t>
                  </w:r>
                  <w:r>
                    <w:rPr>
                      <w:rFonts w:hint="eastAsia"/>
                      <w:sz w:val="21"/>
                      <w:szCs w:val="21"/>
                    </w:rPr>
                    <w:t>）、财务室（17.62</w:t>
                  </w:r>
                  <w:r>
                    <w:rPr>
                      <w:kern w:val="0"/>
                      <w:sz w:val="21"/>
                      <w:szCs w:val="21"/>
                    </w:rPr>
                    <w:t>m</w:t>
                  </w:r>
                  <w:r>
                    <w:rPr>
                      <w:kern w:val="0"/>
                      <w:sz w:val="21"/>
                      <w:szCs w:val="21"/>
                      <w:vertAlign w:val="superscript"/>
                    </w:rPr>
                    <w:t>2</w:t>
                  </w:r>
                  <w:r>
                    <w:rPr>
                      <w:rFonts w:hint="eastAsia"/>
                      <w:sz w:val="21"/>
                      <w:szCs w:val="21"/>
                    </w:rPr>
                    <w:t>）、会议室（60.81</w:t>
                  </w:r>
                  <w:r>
                    <w:rPr>
                      <w:kern w:val="0"/>
                      <w:sz w:val="21"/>
                      <w:szCs w:val="21"/>
                    </w:rPr>
                    <w:t>m</w:t>
                  </w:r>
                  <w:r>
                    <w:rPr>
                      <w:kern w:val="0"/>
                      <w:sz w:val="21"/>
                      <w:szCs w:val="21"/>
                      <w:vertAlign w:val="superscript"/>
                    </w:rPr>
                    <w:t>2</w:t>
                  </w:r>
                  <w:r>
                    <w:rPr>
                      <w:rFonts w:hint="eastAsia"/>
                      <w:sz w:val="21"/>
                      <w:szCs w:val="21"/>
                    </w:rPr>
                    <w:t>）、客服中心（30.87</w:t>
                  </w:r>
                  <w:r>
                    <w:rPr>
                      <w:kern w:val="0"/>
                      <w:sz w:val="21"/>
                      <w:szCs w:val="21"/>
                    </w:rPr>
                    <w:t>m</w:t>
                  </w:r>
                  <w:r>
                    <w:rPr>
                      <w:kern w:val="0"/>
                      <w:sz w:val="21"/>
                      <w:szCs w:val="21"/>
                      <w:vertAlign w:val="superscript"/>
                    </w:rPr>
                    <w:t>2</w:t>
                  </w:r>
                  <w:r>
                    <w:rPr>
                      <w:rFonts w:hint="eastAsia"/>
                      <w:sz w:val="21"/>
                      <w:szCs w:val="21"/>
                    </w:rPr>
                    <w:t>）、市场部办公区（40.85m</w:t>
                  </w:r>
                  <w:r>
                    <w:rPr>
                      <w:rFonts w:hint="eastAsia"/>
                      <w:sz w:val="21"/>
                      <w:szCs w:val="21"/>
                      <w:vertAlign w:val="superscript"/>
                    </w:rPr>
                    <w:t>2</w:t>
                  </w:r>
                  <w:r>
                    <w:rPr>
                      <w:rFonts w:hint="eastAsia"/>
                      <w:sz w:val="21"/>
                      <w:szCs w:val="21"/>
                    </w:rPr>
                    <w:t>）、质量控制室（15.02</w:t>
                  </w:r>
                  <w:r>
                    <w:rPr>
                      <w:kern w:val="0"/>
                      <w:sz w:val="21"/>
                      <w:szCs w:val="21"/>
                    </w:rPr>
                    <w:t>m</w:t>
                  </w:r>
                  <w:r>
                    <w:rPr>
                      <w:kern w:val="0"/>
                      <w:sz w:val="21"/>
                      <w:szCs w:val="21"/>
                      <w:vertAlign w:val="superscript"/>
                    </w:rPr>
                    <w:t>2</w:t>
                  </w:r>
                  <w:r>
                    <w:rPr>
                      <w:rFonts w:hint="eastAsia"/>
                      <w:sz w:val="21"/>
                      <w:szCs w:val="21"/>
                    </w:rPr>
                    <w:t>）、预留办公室1~2（57.81m</w:t>
                  </w:r>
                  <w:r>
                    <w:rPr>
                      <w:rFonts w:hint="eastAsia"/>
                      <w:sz w:val="21"/>
                      <w:szCs w:val="21"/>
                      <w:vertAlign w:val="superscript"/>
                    </w:rPr>
                    <w:t>2</w:t>
                  </w:r>
                  <w:r>
                    <w:rPr>
                      <w:rFonts w:hint="eastAsia"/>
                      <w:sz w:val="21"/>
                      <w:szCs w:val="21"/>
                    </w:rPr>
                    <w:t>+62.44m</w:t>
                  </w:r>
                  <w:r>
                    <w:rPr>
                      <w:rFonts w:hint="eastAsia"/>
                      <w:sz w:val="21"/>
                      <w:szCs w:val="21"/>
                      <w:vertAlign w:val="superscript"/>
                    </w:rPr>
                    <w:t>2</w:t>
                  </w:r>
                  <w:r>
                    <w:rPr>
                      <w:rFonts w:hint="eastAsia"/>
                      <w:sz w:val="21"/>
                      <w:szCs w:val="21"/>
                    </w:rPr>
                    <w:t>）等，用于日常办公。</w:t>
                  </w:r>
                </w:p>
              </w:tc>
              <w:tc>
                <w:tcPr>
                  <w:tcW w:w="769" w:type="pct"/>
                  <w:vAlign w:val="center"/>
                </w:tcPr>
                <w:p w14:paraId="3FBB5C75">
                  <w:pPr>
                    <w:jc w:val="center"/>
                    <w:rPr>
                      <w:sz w:val="21"/>
                      <w:szCs w:val="21"/>
                    </w:rPr>
                  </w:pPr>
                  <w:r>
                    <w:rPr>
                      <w:rFonts w:hint="eastAsia"/>
                      <w:sz w:val="21"/>
                      <w:szCs w:val="21"/>
                    </w:rPr>
                    <w:t>位于3层；新建</w:t>
                  </w:r>
                </w:p>
              </w:tc>
            </w:tr>
            <w:tr w14:paraId="10680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5CBA8BD1">
                  <w:pPr>
                    <w:jc w:val="center"/>
                    <w:rPr>
                      <w:bCs/>
                      <w:sz w:val="21"/>
                      <w:szCs w:val="21"/>
                    </w:rPr>
                  </w:pPr>
                </w:p>
              </w:tc>
              <w:tc>
                <w:tcPr>
                  <w:tcW w:w="728" w:type="pct"/>
                  <w:vAlign w:val="center"/>
                </w:tcPr>
                <w:p w14:paraId="766FDC5C">
                  <w:pPr>
                    <w:jc w:val="center"/>
                    <w:rPr>
                      <w:sz w:val="21"/>
                      <w:szCs w:val="21"/>
                    </w:rPr>
                  </w:pPr>
                  <w:r>
                    <w:rPr>
                      <w:rFonts w:hint="eastAsia"/>
                      <w:sz w:val="21"/>
                      <w:szCs w:val="21"/>
                    </w:rPr>
                    <w:t>污水处理间</w:t>
                  </w:r>
                </w:p>
              </w:tc>
              <w:tc>
                <w:tcPr>
                  <w:tcW w:w="3081" w:type="pct"/>
                  <w:vAlign w:val="center"/>
                </w:tcPr>
                <w:p w14:paraId="6D6113CD">
                  <w:pPr>
                    <w:rPr>
                      <w:sz w:val="21"/>
                      <w:szCs w:val="21"/>
                    </w:rPr>
                  </w:pPr>
                  <w:r>
                    <w:rPr>
                      <w:rFonts w:hint="eastAsia"/>
                      <w:sz w:val="21"/>
                      <w:szCs w:val="21"/>
                    </w:rPr>
                    <w:t>建筑面积5.46m</w:t>
                  </w:r>
                  <w:r>
                    <w:rPr>
                      <w:rFonts w:hint="eastAsia"/>
                      <w:sz w:val="21"/>
                      <w:szCs w:val="21"/>
                      <w:vertAlign w:val="superscript"/>
                    </w:rPr>
                    <w:t>2</w:t>
                  </w:r>
                  <w:r>
                    <w:rPr>
                      <w:rFonts w:hint="eastAsia"/>
                      <w:sz w:val="21"/>
                      <w:szCs w:val="21"/>
                    </w:rPr>
                    <w:t>，放置废水处理设备（酸碱中和，1t/d），用于处理实验清洗废水、一般剩余水样和喷淋塔排水。</w:t>
                  </w:r>
                </w:p>
              </w:tc>
              <w:tc>
                <w:tcPr>
                  <w:tcW w:w="769" w:type="pct"/>
                  <w:vAlign w:val="center"/>
                </w:tcPr>
                <w:p w14:paraId="22A9E610">
                  <w:pPr>
                    <w:jc w:val="center"/>
                    <w:rPr>
                      <w:sz w:val="21"/>
                      <w:szCs w:val="21"/>
                    </w:rPr>
                  </w:pPr>
                  <w:r>
                    <w:rPr>
                      <w:rFonts w:hint="eastAsia"/>
                      <w:sz w:val="21"/>
                      <w:szCs w:val="21"/>
                    </w:rPr>
                    <w:t>位于3层；新建</w:t>
                  </w:r>
                </w:p>
              </w:tc>
            </w:tr>
            <w:tr w14:paraId="42801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6B5D627F">
                  <w:pPr>
                    <w:jc w:val="center"/>
                    <w:rPr>
                      <w:bCs/>
                      <w:sz w:val="21"/>
                      <w:szCs w:val="21"/>
                    </w:rPr>
                  </w:pPr>
                </w:p>
              </w:tc>
              <w:tc>
                <w:tcPr>
                  <w:tcW w:w="728" w:type="pct"/>
                  <w:vAlign w:val="center"/>
                </w:tcPr>
                <w:p w14:paraId="789FBFE2">
                  <w:pPr>
                    <w:jc w:val="center"/>
                    <w:rPr>
                      <w:sz w:val="21"/>
                      <w:szCs w:val="21"/>
                    </w:rPr>
                  </w:pPr>
                  <w:r>
                    <w:rPr>
                      <w:rFonts w:hint="eastAsia"/>
                      <w:sz w:val="21"/>
                      <w:szCs w:val="21"/>
                    </w:rPr>
                    <w:t>超纯水间</w:t>
                  </w:r>
                </w:p>
              </w:tc>
              <w:tc>
                <w:tcPr>
                  <w:tcW w:w="3081" w:type="pct"/>
                  <w:vAlign w:val="center"/>
                </w:tcPr>
                <w:p w14:paraId="5DC82618">
                  <w:pPr>
                    <w:rPr>
                      <w:sz w:val="21"/>
                      <w:szCs w:val="21"/>
                    </w:rPr>
                  </w:pPr>
                  <w:r>
                    <w:rPr>
                      <w:rFonts w:hint="eastAsia"/>
                      <w:sz w:val="21"/>
                      <w:szCs w:val="21"/>
                    </w:rPr>
                    <w:t>建筑面积3.11m</w:t>
                  </w:r>
                  <w:r>
                    <w:rPr>
                      <w:rFonts w:hint="eastAsia"/>
                      <w:sz w:val="21"/>
                      <w:szCs w:val="21"/>
                      <w:vertAlign w:val="superscript"/>
                    </w:rPr>
                    <w:t>2</w:t>
                  </w:r>
                  <w:r>
                    <w:rPr>
                      <w:rFonts w:hint="eastAsia"/>
                      <w:sz w:val="21"/>
                      <w:szCs w:val="21"/>
                    </w:rPr>
                    <w:t>，放置超纯水机（制备工艺为“预处理柱+超纯水柱”，制备规格为24L/h，制备率为70%），用于制备实验用超纯水。</w:t>
                  </w:r>
                </w:p>
              </w:tc>
              <w:tc>
                <w:tcPr>
                  <w:tcW w:w="769" w:type="pct"/>
                  <w:vAlign w:val="center"/>
                </w:tcPr>
                <w:p w14:paraId="16BE37FE">
                  <w:pPr>
                    <w:jc w:val="center"/>
                    <w:rPr>
                      <w:sz w:val="21"/>
                      <w:szCs w:val="21"/>
                    </w:rPr>
                  </w:pPr>
                  <w:r>
                    <w:rPr>
                      <w:rFonts w:hint="eastAsia"/>
                      <w:sz w:val="21"/>
                      <w:szCs w:val="21"/>
                    </w:rPr>
                    <w:t>位于4层，新建</w:t>
                  </w:r>
                </w:p>
              </w:tc>
            </w:tr>
            <w:tr w14:paraId="723D3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restart"/>
                  <w:vAlign w:val="center"/>
                </w:tcPr>
                <w:p w14:paraId="5C055733">
                  <w:pPr>
                    <w:jc w:val="center"/>
                    <w:rPr>
                      <w:bCs/>
                      <w:sz w:val="21"/>
                      <w:szCs w:val="21"/>
                    </w:rPr>
                  </w:pPr>
                  <w:r>
                    <w:rPr>
                      <w:rFonts w:hint="eastAsia"/>
                      <w:bCs/>
                      <w:sz w:val="21"/>
                      <w:szCs w:val="21"/>
                    </w:rPr>
                    <w:t>储运工程</w:t>
                  </w:r>
                </w:p>
              </w:tc>
              <w:tc>
                <w:tcPr>
                  <w:tcW w:w="728" w:type="pct"/>
                  <w:vAlign w:val="center"/>
                </w:tcPr>
                <w:p w14:paraId="2A3EF8DB">
                  <w:pPr>
                    <w:jc w:val="center"/>
                    <w:rPr>
                      <w:sz w:val="21"/>
                      <w:szCs w:val="21"/>
                    </w:rPr>
                  </w:pPr>
                  <w:r>
                    <w:rPr>
                      <w:rFonts w:hint="eastAsia"/>
                      <w:sz w:val="21"/>
                      <w:szCs w:val="21"/>
                    </w:rPr>
                    <w:t>试剂库房</w:t>
                  </w:r>
                </w:p>
              </w:tc>
              <w:tc>
                <w:tcPr>
                  <w:tcW w:w="3081" w:type="pct"/>
                  <w:vAlign w:val="center"/>
                </w:tcPr>
                <w:p w14:paraId="2F752210">
                  <w:pPr>
                    <w:rPr>
                      <w:sz w:val="21"/>
                      <w:szCs w:val="21"/>
                    </w:rPr>
                  </w:pPr>
                  <w:r>
                    <w:rPr>
                      <w:rFonts w:hint="eastAsia"/>
                      <w:kern w:val="0"/>
                      <w:sz w:val="21"/>
                      <w:szCs w:val="21"/>
                    </w:rPr>
                    <w:t>总建筑面积38.07</w:t>
                  </w:r>
                  <w:r>
                    <w:rPr>
                      <w:kern w:val="0"/>
                      <w:sz w:val="21"/>
                      <w:szCs w:val="21"/>
                    </w:rPr>
                    <w:t>m</w:t>
                  </w:r>
                  <w:r>
                    <w:rPr>
                      <w:kern w:val="0"/>
                      <w:sz w:val="21"/>
                      <w:szCs w:val="21"/>
                      <w:vertAlign w:val="superscript"/>
                    </w:rPr>
                    <w:t>2</w:t>
                  </w:r>
                  <w:r>
                    <w:rPr>
                      <w:rFonts w:hint="eastAsia"/>
                      <w:kern w:val="0"/>
                      <w:sz w:val="21"/>
                      <w:szCs w:val="21"/>
                    </w:rPr>
                    <w:t>，包括试剂室（13.98</w:t>
                  </w:r>
                  <w:r>
                    <w:rPr>
                      <w:kern w:val="0"/>
                      <w:sz w:val="21"/>
                      <w:szCs w:val="21"/>
                    </w:rPr>
                    <w:t>m</w:t>
                  </w:r>
                  <w:r>
                    <w:rPr>
                      <w:kern w:val="0"/>
                      <w:sz w:val="21"/>
                      <w:szCs w:val="21"/>
                      <w:vertAlign w:val="superscript"/>
                    </w:rPr>
                    <w:t>2</w:t>
                  </w:r>
                  <w:r>
                    <w:rPr>
                      <w:rFonts w:hint="eastAsia"/>
                      <w:kern w:val="0"/>
                      <w:sz w:val="21"/>
                      <w:szCs w:val="21"/>
                    </w:rPr>
                    <w:t>）、易制毒室1~2（6.12</w:t>
                  </w:r>
                  <w:r>
                    <w:rPr>
                      <w:kern w:val="0"/>
                      <w:sz w:val="21"/>
                      <w:szCs w:val="21"/>
                    </w:rPr>
                    <w:t>m</w:t>
                  </w:r>
                  <w:r>
                    <w:rPr>
                      <w:kern w:val="0"/>
                      <w:sz w:val="21"/>
                      <w:szCs w:val="21"/>
                      <w:vertAlign w:val="superscript"/>
                    </w:rPr>
                    <w:t>2</w:t>
                  </w:r>
                  <w:r>
                    <w:rPr>
                      <w:rFonts w:hint="eastAsia"/>
                      <w:kern w:val="0"/>
                      <w:sz w:val="21"/>
                      <w:szCs w:val="21"/>
                    </w:rPr>
                    <w:t>）、标准品室（5.80</w:t>
                  </w:r>
                  <w:r>
                    <w:rPr>
                      <w:kern w:val="0"/>
                      <w:sz w:val="21"/>
                      <w:szCs w:val="21"/>
                    </w:rPr>
                    <w:t>m</w:t>
                  </w:r>
                  <w:r>
                    <w:rPr>
                      <w:kern w:val="0"/>
                      <w:sz w:val="21"/>
                      <w:szCs w:val="21"/>
                      <w:vertAlign w:val="superscript"/>
                    </w:rPr>
                    <w:t>2</w:t>
                  </w:r>
                  <w:r>
                    <w:rPr>
                      <w:rFonts w:hint="eastAsia"/>
                      <w:kern w:val="0"/>
                      <w:sz w:val="21"/>
                      <w:szCs w:val="21"/>
                    </w:rPr>
                    <w:t>）、耗材室（12.17</w:t>
                  </w:r>
                  <w:r>
                    <w:rPr>
                      <w:kern w:val="0"/>
                      <w:sz w:val="21"/>
                      <w:szCs w:val="21"/>
                    </w:rPr>
                    <w:t>m</w:t>
                  </w:r>
                  <w:r>
                    <w:rPr>
                      <w:kern w:val="0"/>
                      <w:sz w:val="21"/>
                      <w:szCs w:val="21"/>
                      <w:vertAlign w:val="superscript"/>
                    </w:rPr>
                    <w:t>2</w:t>
                  </w:r>
                  <w:r>
                    <w:rPr>
                      <w:rFonts w:hint="eastAsia"/>
                      <w:kern w:val="0"/>
                      <w:sz w:val="21"/>
                      <w:szCs w:val="21"/>
                    </w:rPr>
                    <w:t>）等，用于存放实验检测试剂及耗材。</w:t>
                  </w:r>
                </w:p>
              </w:tc>
              <w:tc>
                <w:tcPr>
                  <w:tcW w:w="769" w:type="pct"/>
                  <w:vAlign w:val="center"/>
                </w:tcPr>
                <w:p w14:paraId="67F52F42">
                  <w:pPr>
                    <w:jc w:val="center"/>
                    <w:rPr>
                      <w:sz w:val="21"/>
                      <w:szCs w:val="21"/>
                    </w:rPr>
                  </w:pPr>
                  <w:r>
                    <w:rPr>
                      <w:rFonts w:hint="eastAsia"/>
                      <w:color w:val="auto"/>
                      <w:sz w:val="21"/>
                      <w:szCs w:val="21"/>
                    </w:rPr>
                    <w:t>位于3层；</w:t>
                  </w:r>
                  <w:r>
                    <w:rPr>
                      <w:rFonts w:hint="eastAsia"/>
                      <w:kern w:val="0"/>
                      <w:sz w:val="21"/>
                      <w:szCs w:val="21"/>
                    </w:rPr>
                    <w:t>新建</w:t>
                  </w:r>
                </w:p>
              </w:tc>
            </w:tr>
            <w:tr w14:paraId="603F9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00728FFF">
                  <w:pPr>
                    <w:jc w:val="center"/>
                    <w:rPr>
                      <w:bCs/>
                      <w:sz w:val="21"/>
                      <w:szCs w:val="21"/>
                    </w:rPr>
                  </w:pPr>
                </w:p>
              </w:tc>
              <w:tc>
                <w:tcPr>
                  <w:tcW w:w="728" w:type="pct"/>
                  <w:vAlign w:val="center"/>
                </w:tcPr>
                <w:p w14:paraId="4B61C7AF">
                  <w:pPr>
                    <w:ind w:left="-120" w:leftChars="-50" w:right="-120" w:rightChars="-50"/>
                    <w:jc w:val="center"/>
                    <w:rPr>
                      <w:sz w:val="21"/>
                      <w:szCs w:val="21"/>
                    </w:rPr>
                  </w:pPr>
                  <w:r>
                    <w:rPr>
                      <w:rFonts w:hint="eastAsia"/>
                      <w:sz w:val="21"/>
                      <w:szCs w:val="21"/>
                    </w:rPr>
                    <w:t>采样设备库房</w:t>
                  </w:r>
                </w:p>
              </w:tc>
              <w:tc>
                <w:tcPr>
                  <w:tcW w:w="3081" w:type="pct"/>
                  <w:vAlign w:val="center"/>
                </w:tcPr>
                <w:p w14:paraId="3442D687">
                  <w:pPr>
                    <w:rPr>
                      <w:sz w:val="21"/>
                      <w:szCs w:val="21"/>
                    </w:rPr>
                  </w:pPr>
                  <w:r>
                    <w:rPr>
                      <w:rFonts w:hint="eastAsia"/>
                      <w:sz w:val="21"/>
                      <w:szCs w:val="21"/>
                    </w:rPr>
                    <w:t>总建筑面积约83.60m</w:t>
                  </w:r>
                  <w:r>
                    <w:rPr>
                      <w:rFonts w:hint="eastAsia"/>
                      <w:sz w:val="21"/>
                      <w:szCs w:val="21"/>
                      <w:vertAlign w:val="superscript"/>
                    </w:rPr>
                    <w:t>2</w:t>
                  </w:r>
                  <w:r>
                    <w:rPr>
                      <w:rFonts w:hint="eastAsia"/>
                      <w:sz w:val="21"/>
                      <w:szCs w:val="21"/>
                    </w:rPr>
                    <w:t>，包括常用采样设备区、设备充电区、固废采样设备区、油气回收工具区等，主要用于存放采样设备。</w:t>
                  </w:r>
                </w:p>
              </w:tc>
              <w:tc>
                <w:tcPr>
                  <w:tcW w:w="769" w:type="pct"/>
                  <w:vAlign w:val="center"/>
                </w:tcPr>
                <w:p w14:paraId="19F9C1F5">
                  <w:pPr>
                    <w:jc w:val="center"/>
                    <w:rPr>
                      <w:sz w:val="21"/>
                      <w:szCs w:val="21"/>
                    </w:rPr>
                  </w:pPr>
                  <w:r>
                    <w:rPr>
                      <w:rFonts w:hint="eastAsia"/>
                      <w:sz w:val="21"/>
                      <w:szCs w:val="21"/>
                    </w:rPr>
                    <w:t>位于3层；新建</w:t>
                  </w:r>
                </w:p>
              </w:tc>
            </w:tr>
            <w:tr w14:paraId="3483D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5CBDAE11">
                  <w:pPr>
                    <w:jc w:val="center"/>
                    <w:rPr>
                      <w:bCs/>
                      <w:sz w:val="21"/>
                      <w:szCs w:val="21"/>
                    </w:rPr>
                  </w:pPr>
                </w:p>
              </w:tc>
              <w:tc>
                <w:tcPr>
                  <w:tcW w:w="728" w:type="pct"/>
                  <w:vAlign w:val="center"/>
                </w:tcPr>
                <w:p w14:paraId="21E8BA0D">
                  <w:pPr>
                    <w:jc w:val="center"/>
                    <w:rPr>
                      <w:sz w:val="21"/>
                      <w:szCs w:val="21"/>
                    </w:rPr>
                  </w:pPr>
                  <w:r>
                    <w:rPr>
                      <w:rFonts w:hint="eastAsia"/>
                      <w:sz w:val="21"/>
                      <w:szCs w:val="21"/>
                    </w:rPr>
                    <w:t>气瓶室</w:t>
                  </w:r>
                </w:p>
              </w:tc>
              <w:tc>
                <w:tcPr>
                  <w:tcW w:w="3081" w:type="pct"/>
                  <w:vAlign w:val="center"/>
                </w:tcPr>
                <w:p w14:paraId="3B6C2219">
                  <w:pPr>
                    <w:rPr>
                      <w:sz w:val="21"/>
                      <w:szCs w:val="21"/>
                    </w:rPr>
                  </w:pPr>
                  <w:r>
                    <w:rPr>
                      <w:rFonts w:hint="eastAsia"/>
                      <w:sz w:val="21"/>
                      <w:szCs w:val="21"/>
                    </w:rPr>
                    <w:t>建筑面积约11.31m</w:t>
                  </w:r>
                  <w:r>
                    <w:rPr>
                      <w:rFonts w:hint="eastAsia"/>
                      <w:sz w:val="21"/>
                      <w:szCs w:val="21"/>
                      <w:vertAlign w:val="superscript"/>
                    </w:rPr>
                    <w:t>2</w:t>
                  </w:r>
                  <w:r>
                    <w:rPr>
                      <w:rFonts w:hint="eastAsia"/>
                      <w:sz w:val="21"/>
                      <w:szCs w:val="21"/>
                    </w:rPr>
                    <w:t>，用于存放实验用气气瓶</w:t>
                  </w:r>
                  <w:r>
                    <w:rPr>
                      <w:rFonts w:hint="eastAsia"/>
                    </w:rPr>
                    <w:t>，</w:t>
                  </w:r>
                  <w:r>
                    <w:rPr>
                      <w:rFonts w:hint="eastAsia"/>
                      <w:sz w:val="21"/>
                      <w:szCs w:val="21"/>
                    </w:rPr>
                    <w:t>主要为氮气、氦气、氩气、乙炔。</w:t>
                  </w:r>
                </w:p>
              </w:tc>
              <w:tc>
                <w:tcPr>
                  <w:tcW w:w="769" w:type="pct"/>
                  <w:vAlign w:val="center"/>
                </w:tcPr>
                <w:p w14:paraId="0EF942FA">
                  <w:pPr>
                    <w:jc w:val="center"/>
                    <w:rPr>
                      <w:sz w:val="21"/>
                      <w:szCs w:val="21"/>
                    </w:rPr>
                  </w:pPr>
                  <w:r>
                    <w:rPr>
                      <w:rFonts w:hint="eastAsia"/>
                      <w:kern w:val="0"/>
                      <w:sz w:val="21"/>
                      <w:szCs w:val="21"/>
                    </w:rPr>
                    <w:t>位于4层，新建</w:t>
                  </w:r>
                </w:p>
              </w:tc>
            </w:tr>
            <w:tr w14:paraId="6F87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7124261A">
                  <w:pPr>
                    <w:jc w:val="center"/>
                    <w:rPr>
                      <w:bCs/>
                      <w:sz w:val="21"/>
                      <w:szCs w:val="21"/>
                    </w:rPr>
                  </w:pPr>
                </w:p>
              </w:tc>
              <w:tc>
                <w:tcPr>
                  <w:tcW w:w="728" w:type="pct"/>
                  <w:vAlign w:val="center"/>
                </w:tcPr>
                <w:p w14:paraId="2A71BFB6">
                  <w:pPr>
                    <w:jc w:val="center"/>
                    <w:rPr>
                      <w:sz w:val="21"/>
                      <w:szCs w:val="21"/>
                    </w:rPr>
                  </w:pPr>
                  <w:r>
                    <w:rPr>
                      <w:rFonts w:hint="eastAsia"/>
                      <w:sz w:val="21"/>
                      <w:szCs w:val="21"/>
                    </w:rPr>
                    <w:t>样品室</w:t>
                  </w:r>
                </w:p>
              </w:tc>
              <w:tc>
                <w:tcPr>
                  <w:tcW w:w="3081" w:type="pct"/>
                  <w:vAlign w:val="center"/>
                </w:tcPr>
                <w:p w14:paraId="59E7BB00">
                  <w:pPr>
                    <w:rPr>
                      <w:sz w:val="21"/>
                      <w:szCs w:val="21"/>
                    </w:rPr>
                  </w:pPr>
                  <w:r>
                    <w:rPr>
                      <w:rFonts w:hint="eastAsia"/>
                      <w:sz w:val="21"/>
                      <w:szCs w:val="21"/>
                    </w:rPr>
                    <w:t>建筑面积约25.93m</w:t>
                  </w:r>
                  <w:r>
                    <w:rPr>
                      <w:rFonts w:hint="eastAsia"/>
                      <w:sz w:val="21"/>
                      <w:szCs w:val="21"/>
                      <w:vertAlign w:val="superscript"/>
                    </w:rPr>
                    <w:t>2</w:t>
                  </w:r>
                  <w:r>
                    <w:rPr>
                      <w:rFonts w:hint="eastAsia"/>
                      <w:sz w:val="21"/>
                      <w:szCs w:val="21"/>
                    </w:rPr>
                    <w:t>，包括样品室1和样品室2，主要用于存放待检样品。</w:t>
                  </w:r>
                </w:p>
              </w:tc>
              <w:tc>
                <w:tcPr>
                  <w:tcW w:w="769" w:type="pct"/>
                  <w:vAlign w:val="center"/>
                </w:tcPr>
                <w:p w14:paraId="233D8EA5">
                  <w:pPr>
                    <w:jc w:val="center"/>
                    <w:rPr>
                      <w:sz w:val="21"/>
                      <w:szCs w:val="21"/>
                    </w:rPr>
                  </w:pPr>
                  <w:r>
                    <w:rPr>
                      <w:rFonts w:hint="eastAsia"/>
                      <w:sz w:val="21"/>
                      <w:szCs w:val="21"/>
                    </w:rPr>
                    <w:t>位于4层；新建</w:t>
                  </w:r>
                </w:p>
              </w:tc>
            </w:tr>
            <w:tr w14:paraId="52E29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3B53D84C">
                  <w:pPr>
                    <w:jc w:val="center"/>
                    <w:rPr>
                      <w:bCs/>
                      <w:sz w:val="21"/>
                      <w:szCs w:val="21"/>
                    </w:rPr>
                  </w:pPr>
                </w:p>
              </w:tc>
              <w:tc>
                <w:tcPr>
                  <w:tcW w:w="728" w:type="pct"/>
                  <w:vAlign w:val="center"/>
                </w:tcPr>
                <w:p w14:paraId="03F72AAD">
                  <w:pPr>
                    <w:jc w:val="center"/>
                    <w:rPr>
                      <w:sz w:val="21"/>
                      <w:szCs w:val="21"/>
                    </w:rPr>
                  </w:pPr>
                  <w:r>
                    <w:rPr>
                      <w:rFonts w:hint="eastAsia"/>
                      <w:sz w:val="21"/>
                      <w:szCs w:val="21"/>
                    </w:rPr>
                    <w:t>档案室</w:t>
                  </w:r>
                </w:p>
              </w:tc>
              <w:tc>
                <w:tcPr>
                  <w:tcW w:w="3081" w:type="pct"/>
                  <w:vAlign w:val="center"/>
                </w:tcPr>
                <w:p w14:paraId="304B97D4">
                  <w:pPr>
                    <w:rPr>
                      <w:sz w:val="21"/>
                      <w:szCs w:val="21"/>
                    </w:rPr>
                  </w:pPr>
                  <w:r>
                    <w:rPr>
                      <w:rFonts w:hint="eastAsia"/>
                      <w:sz w:val="21"/>
                      <w:szCs w:val="21"/>
                    </w:rPr>
                    <w:t>建筑面积约43.80m</w:t>
                  </w:r>
                  <w:r>
                    <w:rPr>
                      <w:rFonts w:hint="eastAsia"/>
                      <w:sz w:val="21"/>
                      <w:szCs w:val="21"/>
                      <w:vertAlign w:val="superscript"/>
                    </w:rPr>
                    <w:t>2</w:t>
                  </w:r>
                  <w:r>
                    <w:rPr>
                      <w:rFonts w:hint="eastAsia"/>
                      <w:sz w:val="21"/>
                      <w:szCs w:val="21"/>
                    </w:rPr>
                    <w:t>，用于存放档案。</w:t>
                  </w:r>
                </w:p>
              </w:tc>
              <w:tc>
                <w:tcPr>
                  <w:tcW w:w="769" w:type="pct"/>
                  <w:vAlign w:val="center"/>
                </w:tcPr>
                <w:p w14:paraId="4DA2B7A5">
                  <w:pPr>
                    <w:jc w:val="center"/>
                    <w:rPr>
                      <w:sz w:val="21"/>
                      <w:szCs w:val="21"/>
                    </w:rPr>
                  </w:pPr>
                  <w:r>
                    <w:rPr>
                      <w:rFonts w:hint="eastAsia"/>
                      <w:sz w:val="21"/>
                      <w:szCs w:val="21"/>
                    </w:rPr>
                    <w:t>位于3层，新建</w:t>
                  </w:r>
                </w:p>
              </w:tc>
            </w:tr>
            <w:tr w14:paraId="46B4A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restart"/>
                  <w:vAlign w:val="center"/>
                </w:tcPr>
                <w:p w14:paraId="74622A8D">
                  <w:pPr>
                    <w:jc w:val="center"/>
                    <w:rPr>
                      <w:bCs/>
                      <w:sz w:val="21"/>
                      <w:szCs w:val="21"/>
                    </w:rPr>
                  </w:pPr>
                  <w:r>
                    <w:rPr>
                      <w:bCs/>
                      <w:sz w:val="21"/>
                      <w:szCs w:val="21"/>
                    </w:rPr>
                    <w:t>公用工程</w:t>
                  </w:r>
                </w:p>
              </w:tc>
              <w:tc>
                <w:tcPr>
                  <w:tcW w:w="728" w:type="pct"/>
                  <w:vAlign w:val="center"/>
                </w:tcPr>
                <w:p w14:paraId="0DE2E62E">
                  <w:pPr>
                    <w:jc w:val="center"/>
                    <w:rPr>
                      <w:sz w:val="21"/>
                      <w:szCs w:val="21"/>
                    </w:rPr>
                  </w:pPr>
                  <w:r>
                    <w:rPr>
                      <w:sz w:val="21"/>
                      <w:szCs w:val="21"/>
                    </w:rPr>
                    <w:t>给水</w:t>
                  </w:r>
                </w:p>
              </w:tc>
              <w:tc>
                <w:tcPr>
                  <w:tcW w:w="3081" w:type="pct"/>
                  <w:vAlign w:val="center"/>
                </w:tcPr>
                <w:p w14:paraId="0B9016D8">
                  <w:pPr>
                    <w:rPr>
                      <w:sz w:val="21"/>
                      <w:szCs w:val="21"/>
                    </w:rPr>
                  </w:pPr>
                  <w:r>
                    <w:rPr>
                      <w:sz w:val="21"/>
                      <w:szCs w:val="21"/>
                    </w:rPr>
                    <w:t>市政自来水管网提供，</w:t>
                  </w:r>
                  <w:r>
                    <w:rPr>
                      <w:rFonts w:hint="eastAsia"/>
                      <w:sz w:val="21"/>
                      <w:szCs w:val="21"/>
                    </w:rPr>
                    <w:t>超纯水采用超纯水机制备。</w:t>
                  </w:r>
                </w:p>
              </w:tc>
              <w:tc>
                <w:tcPr>
                  <w:tcW w:w="769" w:type="pct"/>
                  <w:vAlign w:val="center"/>
                </w:tcPr>
                <w:p w14:paraId="35BDB60D">
                  <w:pPr>
                    <w:jc w:val="center"/>
                    <w:rPr>
                      <w:sz w:val="21"/>
                      <w:szCs w:val="21"/>
                    </w:rPr>
                  </w:pPr>
                  <w:r>
                    <w:rPr>
                      <w:rFonts w:hint="eastAsia"/>
                      <w:kern w:val="0"/>
                      <w:sz w:val="21"/>
                      <w:szCs w:val="21"/>
                    </w:rPr>
                    <w:t>新建</w:t>
                  </w:r>
                </w:p>
              </w:tc>
            </w:tr>
            <w:tr w14:paraId="3825E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582BBF95">
                  <w:pPr>
                    <w:jc w:val="center"/>
                    <w:rPr>
                      <w:bCs/>
                      <w:sz w:val="21"/>
                      <w:szCs w:val="21"/>
                    </w:rPr>
                  </w:pPr>
                </w:p>
              </w:tc>
              <w:tc>
                <w:tcPr>
                  <w:tcW w:w="728" w:type="pct"/>
                  <w:vAlign w:val="center"/>
                </w:tcPr>
                <w:p w14:paraId="0727C1B5">
                  <w:pPr>
                    <w:jc w:val="center"/>
                    <w:rPr>
                      <w:sz w:val="21"/>
                      <w:szCs w:val="21"/>
                    </w:rPr>
                  </w:pPr>
                  <w:r>
                    <w:rPr>
                      <w:sz w:val="21"/>
                      <w:szCs w:val="21"/>
                    </w:rPr>
                    <w:t>排水</w:t>
                  </w:r>
                </w:p>
              </w:tc>
              <w:tc>
                <w:tcPr>
                  <w:tcW w:w="3081" w:type="pct"/>
                  <w:vAlign w:val="center"/>
                </w:tcPr>
                <w:p w14:paraId="6E731BBB">
                  <w:pPr>
                    <w:rPr>
                      <w:sz w:val="21"/>
                      <w:szCs w:val="21"/>
                    </w:rPr>
                  </w:pPr>
                  <w:r>
                    <w:rPr>
                      <w:sz w:val="21"/>
                      <w:szCs w:val="21"/>
                    </w:rPr>
                    <w:t>项目采取雨污分流制</w:t>
                  </w:r>
                  <w:r>
                    <w:rPr>
                      <w:rFonts w:hint="eastAsia"/>
                      <w:sz w:val="21"/>
                      <w:szCs w:val="21"/>
                    </w:rPr>
                    <w:t>，雨水经收集管网排至市政雨水管网；实验器皿清洗废水（不含一次清洗废水）和剩余一般水样经4楼实验室水池下方排水管道收集，排入3楼污水处理间自建废水处理设备（酸碱中和，1t/d），经处理后排入园区化粪池；喷淋塔排水采用专用桶收集后转入废水处理设备，经处理后排入园区化粪池；生活污水和其他废水（地面清洁废水、职工工作服清洗废水、超纯水制备排放浓水）排入园区化粪池处理，最终经市政污水管网排入西安净水处理有限责任公司第六再生水厂。</w:t>
                  </w:r>
                </w:p>
              </w:tc>
              <w:tc>
                <w:tcPr>
                  <w:tcW w:w="769" w:type="pct"/>
                  <w:vAlign w:val="center"/>
                </w:tcPr>
                <w:p w14:paraId="3987A75D">
                  <w:pPr>
                    <w:jc w:val="center"/>
                    <w:rPr>
                      <w:sz w:val="21"/>
                      <w:szCs w:val="21"/>
                    </w:rPr>
                  </w:pPr>
                  <w:r>
                    <w:rPr>
                      <w:rFonts w:hint="eastAsia"/>
                      <w:sz w:val="21"/>
                      <w:szCs w:val="21"/>
                    </w:rPr>
                    <w:t>废水处理设备</w:t>
                  </w:r>
                  <w:r>
                    <w:rPr>
                      <w:rFonts w:hint="eastAsia"/>
                      <w:kern w:val="0"/>
                      <w:sz w:val="21"/>
                      <w:szCs w:val="21"/>
                    </w:rPr>
                    <w:t>新建，园区化粪池依托</w:t>
                  </w:r>
                </w:p>
              </w:tc>
            </w:tr>
            <w:tr w14:paraId="0FC9F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7B127F78">
                  <w:pPr>
                    <w:jc w:val="center"/>
                    <w:rPr>
                      <w:bCs/>
                      <w:sz w:val="21"/>
                      <w:szCs w:val="21"/>
                    </w:rPr>
                  </w:pPr>
                </w:p>
              </w:tc>
              <w:tc>
                <w:tcPr>
                  <w:tcW w:w="728" w:type="pct"/>
                  <w:vAlign w:val="center"/>
                </w:tcPr>
                <w:p w14:paraId="6B1D7AB3">
                  <w:pPr>
                    <w:contextualSpacing/>
                    <w:jc w:val="center"/>
                    <w:rPr>
                      <w:kern w:val="0"/>
                      <w:sz w:val="21"/>
                      <w:szCs w:val="21"/>
                    </w:rPr>
                  </w:pPr>
                  <w:r>
                    <w:rPr>
                      <w:kern w:val="0"/>
                      <w:sz w:val="21"/>
                      <w:szCs w:val="21"/>
                    </w:rPr>
                    <w:t>供电</w:t>
                  </w:r>
                </w:p>
              </w:tc>
              <w:tc>
                <w:tcPr>
                  <w:tcW w:w="3081" w:type="pct"/>
                  <w:vAlign w:val="center"/>
                </w:tcPr>
                <w:p w14:paraId="29F37AA0">
                  <w:pPr>
                    <w:contextualSpacing/>
                    <w:rPr>
                      <w:kern w:val="0"/>
                      <w:sz w:val="21"/>
                      <w:szCs w:val="21"/>
                    </w:rPr>
                  </w:pPr>
                  <w:r>
                    <w:rPr>
                      <w:rFonts w:hint="eastAsia"/>
                      <w:kern w:val="0"/>
                      <w:sz w:val="21"/>
                      <w:szCs w:val="21"/>
                    </w:rPr>
                    <w:t>市政供电</w:t>
                  </w:r>
                  <w:r>
                    <w:rPr>
                      <w:sz w:val="21"/>
                      <w:szCs w:val="21"/>
                    </w:rPr>
                    <w:t>，项目配套建设配电设施</w:t>
                  </w:r>
                </w:p>
              </w:tc>
              <w:tc>
                <w:tcPr>
                  <w:tcW w:w="769" w:type="pct"/>
                  <w:vAlign w:val="center"/>
                </w:tcPr>
                <w:p w14:paraId="7DC9CE16">
                  <w:pPr>
                    <w:contextualSpacing/>
                    <w:jc w:val="center"/>
                    <w:rPr>
                      <w:kern w:val="0"/>
                      <w:sz w:val="21"/>
                      <w:szCs w:val="21"/>
                    </w:rPr>
                  </w:pPr>
                  <w:r>
                    <w:rPr>
                      <w:rFonts w:hint="eastAsia"/>
                      <w:kern w:val="0"/>
                      <w:sz w:val="21"/>
                      <w:szCs w:val="21"/>
                    </w:rPr>
                    <w:t>新建</w:t>
                  </w:r>
                </w:p>
              </w:tc>
            </w:tr>
            <w:tr w14:paraId="6E88F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3EECBFF1">
                  <w:pPr>
                    <w:jc w:val="center"/>
                    <w:rPr>
                      <w:bCs/>
                      <w:sz w:val="21"/>
                      <w:szCs w:val="21"/>
                    </w:rPr>
                  </w:pPr>
                </w:p>
              </w:tc>
              <w:tc>
                <w:tcPr>
                  <w:tcW w:w="728" w:type="pct"/>
                  <w:vAlign w:val="center"/>
                </w:tcPr>
                <w:p w14:paraId="1E5BEE7C">
                  <w:pPr>
                    <w:jc w:val="center"/>
                    <w:rPr>
                      <w:sz w:val="21"/>
                      <w:szCs w:val="21"/>
                    </w:rPr>
                  </w:pPr>
                  <w:r>
                    <w:rPr>
                      <w:rFonts w:hint="eastAsia"/>
                      <w:sz w:val="21"/>
                      <w:szCs w:val="21"/>
                    </w:rPr>
                    <w:t>采暖</w:t>
                  </w:r>
                  <w:r>
                    <w:rPr>
                      <w:sz w:val="21"/>
                      <w:szCs w:val="21"/>
                    </w:rPr>
                    <w:t>制冷</w:t>
                  </w:r>
                </w:p>
              </w:tc>
              <w:tc>
                <w:tcPr>
                  <w:tcW w:w="3081" w:type="pct"/>
                  <w:vAlign w:val="center"/>
                </w:tcPr>
                <w:p w14:paraId="2D6C2E46">
                  <w:pPr>
                    <w:rPr>
                      <w:sz w:val="21"/>
                      <w:szCs w:val="21"/>
                    </w:rPr>
                  </w:pPr>
                  <w:r>
                    <w:rPr>
                      <w:rFonts w:hint="eastAsia"/>
                      <w:sz w:val="21"/>
                      <w:szCs w:val="21"/>
                    </w:rPr>
                    <w:t>均采用空调</w:t>
                  </w:r>
                </w:p>
              </w:tc>
              <w:tc>
                <w:tcPr>
                  <w:tcW w:w="769" w:type="pct"/>
                  <w:vAlign w:val="center"/>
                </w:tcPr>
                <w:p w14:paraId="43F7D364">
                  <w:pPr>
                    <w:jc w:val="center"/>
                    <w:rPr>
                      <w:sz w:val="21"/>
                      <w:szCs w:val="21"/>
                    </w:rPr>
                  </w:pPr>
                  <w:r>
                    <w:rPr>
                      <w:rFonts w:hint="eastAsia"/>
                      <w:kern w:val="0"/>
                      <w:sz w:val="21"/>
                      <w:szCs w:val="21"/>
                    </w:rPr>
                    <w:t>新建</w:t>
                  </w:r>
                </w:p>
              </w:tc>
            </w:tr>
            <w:tr w14:paraId="4413A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restart"/>
                  <w:vAlign w:val="center"/>
                </w:tcPr>
                <w:p w14:paraId="4B7F2DB9">
                  <w:pPr>
                    <w:jc w:val="center"/>
                    <w:rPr>
                      <w:bCs/>
                      <w:sz w:val="21"/>
                      <w:szCs w:val="21"/>
                    </w:rPr>
                  </w:pPr>
                  <w:r>
                    <w:rPr>
                      <w:bCs/>
                      <w:spacing w:val="-4"/>
                      <w:sz w:val="21"/>
                      <w:szCs w:val="21"/>
                    </w:rPr>
                    <w:t>环保工程</w:t>
                  </w:r>
                </w:p>
              </w:tc>
              <w:tc>
                <w:tcPr>
                  <w:tcW w:w="728" w:type="pct"/>
                  <w:vAlign w:val="center"/>
                </w:tcPr>
                <w:p w14:paraId="38DECDDF">
                  <w:pPr>
                    <w:pStyle w:val="18"/>
                    <w:spacing w:before="0" w:beforeAutospacing="0" w:after="0" w:afterAutospacing="0"/>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废水</w:t>
                  </w:r>
                </w:p>
              </w:tc>
              <w:tc>
                <w:tcPr>
                  <w:tcW w:w="3081" w:type="pct"/>
                  <w:vAlign w:val="center"/>
                </w:tcPr>
                <w:p w14:paraId="1858B417">
                  <w:pPr>
                    <w:rPr>
                      <w:sz w:val="21"/>
                      <w:szCs w:val="21"/>
                    </w:rPr>
                  </w:pPr>
                  <w:r>
                    <w:rPr>
                      <w:rFonts w:hint="eastAsia"/>
                      <w:sz w:val="21"/>
                      <w:szCs w:val="21"/>
                    </w:rPr>
                    <w:t>实验器皿清洗废水（不含一次清洗废水）和剩余一般水样经4楼实验室水池下方排水管道收集，排入3楼污水处理间自建废水处理设备（酸碱中和，1t/d），经处理后排入园区化粪池；喷淋塔排水采用专用桶收集后转入废水处理设备，经处理后排入园区化粪池；生活污水和其他废水（地面清洁废水、职工工作服清洗废水、超纯水制备排放浓水）排入园区化粪池处理，最终经市政污水管网排入西安净水处理有限责任公司第六再生水厂。</w:t>
                  </w:r>
                </w:p>
              </w:tc>
              <w:tc>
                <w:tcPr>
                  <w:tcW w:w="769" w:type="pct"/>
                  <w:vAlign w:val="center"/>
                </w:tcPr>
                <w:p w14:paraId="27796254">
                  <w:pPr>
                    <w:jc w:val="center"/>
                    <w:rPr>
                      <w:sz w:val="21"/>
                      <w:szCs w:val="21"/>
                    </w:rPr>
                  </w:pPr>
                  <w:r>
                    <w:rPr>
                      <w:rFonts w:hint="eastAsia"/>
                      <w:sz w:val="21"/>
                      <w:szCs w:val="21"/>
                    </w:rPr>
                    <w:t>废水处理设备</w:t>
                  </w:r>
                  <w:r>
                    <w:rPr>
                      <w:rFonts w:hint="eastAsia"/>
                      <w:kern w:val="0"/>
                      <w:sz w:val="21"/>
                      <w:szCs w:val="21"/>
                    </w:rPr>
                    <w:t>新建，园区化粪池依托</w:t>
                  </w:r>
                </w:p>
              </w:tc>
            </w:tr>
            <w:tr w14:paraId="19C0C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336ACA8A">
                  <w:pPr>
                    <w:jc w:val="center"/>
                    <w:rPr>
                      <w:b/>
                      <w:spacing w:val="-4"/>
                      <w:sz w:val="21"/>
                      <w:szCs w:val="21"/>
                    </w:rPr>
                  </w:pPr>
                </w:p>
              </w:tc>
              <w:tc>
                <w:tcPr>
                  <w:tcW w:w="728" w:type="pct"/>
                  <w:vAlign w:val="center"/>
                </w:tcPr>
                <w:p w14:paraId="7C14E6F0">
                  <w:pPr>
                    <w:pStyle w:val="18"/>
                    <w:spacing w:before="0" w:beforeAutospacing="0" w:after="0" w:afterAutospacing="0"/>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废气</w:t>
                  </w:r>
                </w:p>
              </w:tc>
              <w:tc>
                <w:tcPr>
                  <w:tcW w:w="3081" w:type="pct"/>
                  <w:vAlign w:val="center"/>
                </w:tcPr>
                <w:p w14:paraId="326866E0">
                  <w:pPr>
                    <w:rPr>
                      <w:bCs/>
                      <w:kern w:val="0"/>
                      <w:sz w:val="21"/>
                      <w:szCs w:val="21"/>
                      <w:highlight w:val="magenta"/>
                    </w:rPr>
                  </w:pPr>
                  <w:r>
                    <w:rPr>
                      <w:rFonts w:hint="eastAsia"/>
                      <w:sz w:val="21"/>
                      <w:szCs w:val="21"/>
                    </w:rPr>
                    <w:t>项目有机前处理及实验检测过程产生的有机废气（以非甲烷总烃计）经通风橱/</w:t>
                  </w:r>
                  <w:r>
                    <w:rPr>
                      <w:rFonts w:hint="eastAsia"/>
                      <w:sz w:val="21"/>
                      <w:szCs w:val="21"/>
                      <w:lang w:eastAsia="zh-CN"/>
                    </w:rPr>
                    <w:t>万向罩</w:t>
                  </w:r>
                  <w:r>
                    <w:rPr>
                      <w:rFonts w:hint="eastAsia"/>
                      <w:sz w:val="21"/>
                      <w:szCs w:val="21"/>
                    </w:rPr>
                    <w:t>上方排风管道收集后汇集到总排风管道上，引至楼顶两级活性炭吸附装置处理后经35m高排气筒（DA001）排放；无机前处理产生的无机酸性废气（硫酸雾、氯化氢、氮氧化物）经通风橱/</w:t>
                  </w:r>
                  <w:r>
                    <w:rPr>
                      <w:rFonts w:hint="eastAsia"/>
                      <w:sz w:val="21"/>
                      <w:szCs w:val="21"/>
                      <w:lang w:eastAsia="zh-CN"/>
                    </w:rPr>
                    <w:t>万向罩</w:t>
                  </w:r>
                  <w:r>
                    <w:rPr>
                      <w:rFonts w:hint="eastAsia"/>
                      <w:sz w:val="21"/>
                      <w:szCs w:val="21"/>
                    </w:rPr>
                    <w:t>/吸风罩上方排风管道收集后汇集到总排风管道上，引至楼顶喷淋塔装置处理后经35m高排气筒（DA002）排放。</w:t>
                  </w:r>
                </w:p>
              </w:tc>
              <w:tc>
                <w:tcPr>
                  <w:tcW w:w="769" w:type="pct"/>
                  <w:vAlign w:val="center"/>
                </w:tcPr>
                <w:p w14:paraId="53ADD348">
                  <w:pPr>
                    <w:jc w:val="center"/>
                    <w:rPr>
                      <w:sz w:val="21"/>
                      <w:szCs w:val="21"/>
                    </w:rPr>
                  </w:pPr>
                  <w:r>
                    <w:rPr>
                      <w:rFonts w:hint="eastAsia"/>
                      <w:kern w:val="0"/>
                      <w:sz w:val="21"/>
                      <w:szCs w:val="21"/>
                    </w:rPr>
                    <w:t>新建</w:t>
                  </w:r>
                </w:p>
              </w:tc>
            </w:tr>
            <w:tr w14:paraId="79DB0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29E3FA9F">
                  <w:pPr>
                    <w:jc w:val="center"/>
                    <w:rPr>
                      <w:b/>
                      <w:spacing w:val="-4"/>
                      <w:sz w:val="21"/>
                      <w:szCs w:val="21"/>
                    </w:rPr>
                  </w:pPr>
                </w:p>
              </w:tc>
              <w:tc>
                <w:tcPr>
                  <w:tcW w:w="728" w:type="pct"/>
                  <w:vMerge w:val="restart"/>
                  <w:vAlign w:val="center"/>
                </w:tcPr>
                <w:p w14:paraId="478E29D4">
                  <w:pPr>
                    <w:pStyle w:val="18"/>
                    <w:spacing w:before="0" w:beforeAutospacing="0" w:after="0" w:afterAutospacing="0"/>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固体废物</w:t>
                  </w:r>
                </w:p>
              </w:tc>
              <w:tc>
                <w:tcPr>
                  <w:tcW w:w="3081" w:type="pct"/>
                  <w:vAlign w:val="center"/>
                </w:tcPr>
                <w:p w14:paraId="71337015">
                  <w:pPr>
                    <w:rPr>
                      <w:sz w:val="21"/>
                      <w:szCs w:val="21"/>
                    </w:rPr>
                  </w:pPr>
                  <w:r>
                    <w:rPr>
                      <w:rFonts w:hint="eastAsia"/>
                      <w:sz w:val="21"/>
                      <w:szCs w:val="21"/>
                    </w:rPr>
                    <w:t>设置垃圾桶若干，</w:t>
                  </w:r>
                  <w:r>
                    <w:rPr>
                      <w:sz w:val="21"/>
                      <w:szCs w:val="21"/>
                    </w:rPr>
                    <w:t>生活垃圾</w:t>
                  </w:r>
                  <w:r>
                    <w:rPr>
                      <w:rFonts w:hint="eastAsia"/>
                      <w:sz w:val="21"/>
                      <w:szCs w:val="21"/>
                    </w:rPr>
                    <w:t>分类</w:t>
                  </w:r>
                  <w:r>
                    <w:rPr>
                      <w:sz w:val="21"/>
                      <w:szCs w:val="21"/>
                    </w:rPr>
                    <w:t>收集</w:t>
                  </w:r>
                  <w:r>
                    <w:rPr>
                      <w:kern w:val="0"/>
                      <w:sz w:val="21"/>
                      <w:szCs w:val="21"/>
                    </w:rPr>
                    <w:t>后运至园区指定地点</w:t>
                  </w:r>
                  <w:r>
                    <w:rPr>
                      <w:rFonts w:hint="eastAsia"/>
                      <w:kern w:val="0"/>
                      <w:sz w:val="21"/>
                      <w:szCs w:val="21"/>
                    </w:rPr>
                    <w:t>，</w:t>
                  </w:r>
                  <w:r>
                    <w:rPr>
                      <w:kern w:val="0"/>
                      <w:sz w:val="21"/>
                      <w:szCs w:val="21"/>
                    </w:rPr>
                    <w:t>由环卫</w:t>
                  </w:r>
                  <w:r>
                    <w:rPr>
                      <w:rFonts w:hint="eastAsia"/>
                      <w:kern w:val="0"/>
                      <w:sz w:val="21"/>
                      <w:szCs w:val="21"/>
                    </w:rPr>
                    <w:t>部门统一</w:t>
                  </w:r>
                  <w:r>
                    <w:rPr>
                      <w:kern w:val="0"/>
                      <w:sz w:val="21"/>
                      <w:szCs w:val="21"/>
                    </w:rPr>
                    <w:t>清运</w:t>
                  </w:r>
                  <w:r>
                    <w:rPr>
                      <w:rFonts w:hint="eastAsia"/>
                      <w:kern w:val="0"/>
                      <w:sz w:val="21"/>
                      <w:szCs w:val="21"/>
                    </w:rPr>
                    <w:t>。</w:t>
                  </w:r>
                </w:p>
              </w:tc>
              <w:tc>
                <w:tcPr>
                  <w:tcW w:w="769" w:type="pct"/>
                  <w:vAlign w:val="center"/>
                </w:tcPr>
                <w:p w14:paraId="58B061A9">
                  <w:pPr>
                    <w:jc w:val="center"/>
                    <w:rPr>
                      <w:sz w:val="21"/>
                      <w:szCs w:val="21"/>
                    </w:rPr>
                  </w:pPr>
                  <w:r>
                    <w:rPr>
                      <w:rFonts w:hint="eastAsia"/>
                      <w:kern w:val="0"/>
                      <w:sz w:val="21"/>
                      <w:szCs w:val="21"/>
                    </w:rPr>
                    <w:t>新建</w:t>
                  </w:r>
                </w:p>
              </w:tc>
            </w:tr>
            <w:tr w14:paraId="12F70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31EAF0A5">
                  <w:pPr>
                    <w:jc w:val="center"/>
                    <w:rPr>
                      <w:b/>
                      <w:spacing w:val="-4"/>
                      <w:sz w:val="21"/>
                      <w:szCs w:val="21"/>
                    </w:rPr>
                  </w:pPr>
                </w:p>
              </w:tc>
              <w:tc>
                <w:tcPr>
                  <w:tcW w:w="728" w:type="pct"/>
                  <w:vMerge w:val="continue"/>
                  <w:vAlign w:val="center"/>
                </w:tcPr>
                <w:p w14:paraId="4FDBD391">
                  <w:pPr>
                    <w:pStyle w:val="18"/>
                    <w:spacing w:before="0" w:beforeAutospacing="0" w:after="0" w:afterAutospacing="0"/>
                    <w:contextualSpacing/>
                    <w:jc w:val="center"/>
                    <w:rPr>
                      <w:rFonts w:ascii="Times New Roman" w:hAnsi="Times New Roman" w:eastAsia="宋体" w:cs="Times New Roman"/>
                      <w:sz w:val="21"/>
                      <w:szCs w:val="21"/>
                    </w:rPr>
                  </w:pPr>
                </w:p>
              </w:tc>
              <w:tc>
                <w:tcPr>
                  <w:tcW w:w="3081" w:type="pct"/>
                  <w:vAlign w:val="center"/>
                </w:tcPr>
                <w:p w14:paraId="760F46F4">
                  <w:pPr>
                    <w:rPr>
                      <w:sz w:val="21"/>
                      <w:szCs w:val="21"/>
                    </w:rPr>
                  </w:pPr>
                  <w:r>
                    <w:rPr>
                      <w:rFonts w:hint="eastAsia"/>
                      <w:kern w:val="0"/>
                      <w:sz w:val="21"/>
                      <w:szCs w:val="21"/>
                    </w:rPr>
                    <w:t>废滤芯由超纯水机厂家更换后带走处置；</w:t>
                  </w:r>
                  <w:r>
                    <w:rPr>
                      <w:kern w:val="0"/>
                      <w:sz w:val="21"/>
                      <w:szCs w:val="21"/>
                    </w:rPr>
                    <w:t>办公过程</w:t>
                  </w:r>
                  <w:r>
                    <w:rPr>
                      <w:rFonts w:hint="eastAsia"/>
                      <w:kern w:val="0"/>
                      <w:sz w:val="21"/>
                      <w:szCs w:val="21"/>
                    </w:rPr>
                    <w:t>中</w:t>
                  </w:r>
                  <w:r>
                    <w:rPr>
                      <w:kern w:val="0"/>
                      <w:sz w:val="21"/>
                      <w:szCs w:val="21"/>
                    </w:rPr>
                    <w:t>产生的废包装收集后外售</w:t>
                  </w:r>
                  <w:r>
                    <w:rPr>
                      <w:rFonts w:hint="eastAsia"/>
                      <w:kern w:val="0"/>
                      <w:sz w:val="21"/>
                      <w:szCs w:val="21"/>
                    </w:rPr>
                    <w:t>利用；剩余一般样品和废培养基（灭菌锅灭菌）收集后作为一般固废</w:t>
                  </w:r>
                  <w:r>
                    <w:rPr>
                      <w:kern w:val="0"/>
                      <w:sz w:val="21"/>
                      <w:szCs w:val="21"/>
                    </w:rPr>
                    <w:t>处置</w:t>
                  </w:r>
                  <w:r>
                    <w:rPr>
                      <w:rFonts w:hint="eastAsia"/>
                      <w:kern w:val="0"/>
                      <w:sz w:val="21"/>
                      <w:szCs w:val="21"/>
                    </w:rPr>
                    <w:t>，剩余超标样品</w:t>
                  </w:r>
                  <w:r>
                    <w:rPr>
                      <w:rFonts w:hint="eastAsia"/>
                      <w:sz w:val="21"/>
                      <w:szCs w:val="21"/>
                    </w:rPr>
                    <w:t>待出具检测报告后退回送检单位。</w:t>
                  </w:r>
                </w:p>
              </w:tc>
              <w:tc>
                <w:tcPr>
                  <w:tcW w:w="769" w:type="pct"/>
                  <w:vAlign w:val="center"/>
                </w:tcPr>
                <w:p w14:paraId="122B0899">
                  <w:pPr>
                    <w:jc w:val="center"/>
                    <w:rPr>
                      <w:kern w:val="0"/>
                      <w:sz w:val="21"/>
                      <w:szCs w:val="21"/>
                    </w:rPr>
                  </w:pPr>
                  <w:r>
                    <w:rPr>
                      <w:rFonts w:hint="eastAsia"/>
                      <w:kern w:val="0"/>
                      <w:sz w:val="21"/>
                      <w:szCs w:val="21"/>
                    </w:rPr>
                    <w:t>新建</w:t>
                  </w:r>
                </w:p>
              </w:tc>
            </w:tr>
            <w:tr w14:paraId="1CED6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21A1265B">
                  <w:pPr>
                    <w:jc w:val="center"/>
                    <w:rPr>
                      <w:b/>
                      <w:spacing w:val="-4"/>
                      <w:sz w:val="21"/>
                      <w:szCs w:val="21"/>
                    </w:rPr>
                  </w:pPr>
                </w:p>
              </w:tc>
              <w:tc>
                <w:tcPr>
                  <w:tcW w:w="728" w:type="pct"/>
                  <w:vMerge w:val="continue"/>
                  <w:vAlign w:val="center"/>
                </w:tcPr>
                <w:p w14:paraId="011738D5">
                  <w:pPr>
                    <w:pStyle w:val="18"/>
                    <w:spacing w:before="0" w:beforeAutospacing="0" w:after="0" w:afterAutospacing="0"/>
                    <w:contextualSpacing/>
                    <w:jc w:val="center"/>
                    <w:rPr>
                      <w:rFonts w:ascii="Times New Roman" w:hAnsi="Times New Roman" w:eastAsia="宋体" w:cs="Times New Roman"/>
                      <w:sz w:val="21"/>
                      <w:szCs w:val="21"/>
                    </w:rPr>
                  </w:pPr>
                </w:p>
              </w:tc>
              <w:tc>
                <w:tcPr>
                  <w:tcW w:w="3081" w:type="pct"/>
                  <w:vAlign w:val="center"/>
                </w:tcPr>
                <w:p w14:paraId="7FE5884C">
                  <w:pPr>
                    <w:rPr>
                      <w:sz w:val="21"/>
                      <w:szCs w:val="21"/>
                    </w:rPr>
                  </w:pPr>
                  <w:r>
                    <w:rPr>
                      <w:rFonts w:hint="eastAsia"/>
                      <w:sz w:val="21"/>
                      <w:szCs w:val="21"/>
                    </w:rPr>
                    <w:t>设危废贮存点1间（建筑面积约15.61</w:t>
                  </w:r>
                  <w:r>
                    <w:rPr>
                      <w:sz w:val="21"/>
                      <w:szCs w:val="21"/>
                    </w:rPr>
                    <w:t>m</w:t>
                  </w:r>
                  <w:r>
                    <w:rPr>
                      <w:sz w:val="21"/>
                      <w:szCs w:val="21"/>
                      <w:vertAlign w:val="superscript"/>
                    </w:rPr>
                    <w:t>2</w:t>
                  </w:r>
                  <w:r>
                    <w:rPr>
                      <w:rFonts w:hint="eastAsia"/>
                    </w:rPr>
                    <w:t>，</w:t>
                  </w:r>
                  <w:r>
                    <w:rPr>
                      <w:rFonts w:hint="eastAsia"/>
                      <w:sz w:val="21"/>
                      <w:szCs w:val="21"/>
                    </w:rPr>
                    <w:t>位于4层厂房东北角，</w:t>
                  </w:r>
                  <w:r>
                    <w:rPr>
                      <w:sz w:val="21"/>
                      <w:szCs w:val="21"/>
                    </w:rPr>
                    <w:t>环氧地面防渗，标识清晰，危废分类存放，内设托盘</w:t>
                  </w:r>
                  <w:r>
                    <w:rPr>
                      <w:rFonts w:hint="eastAsia"/>
                      <w:sz w:val="21"/>
                      <w:szCs w:val="21"/>
                    </w:rPr>
                    <w:t>），用于贮存实验检测产生的实验废液、一次清洗废水、废试剂瓶、过期试剂、废紫外灯管、废活性炭等，</w:t>
                  </w:r>
                  <w:r>
                    <w:rPr>
                      <w:sz w:val="21"/>
                      <w:szCs w:val="21"/>
                    </w:rPr>
                    <w:t>定期交</w:t>
                  </w:r>
                  <w:r>
                    <w:rPr>
                      <w:rFonts w:hint="eastAsia"/>
                      <w:sz w:val="21"/>
                      <w:szCs w:val="21"/>
                    </w:rPr>
                    <w:t>由有资质单位</w:t>
                  </w:r>
                  <w:r>
                    <w:rPr>
                      <w:sz w:val="21"/>
                      <w:szCs w:val="21"/>
                    </w:rPr>
                    <w:t>处置</w:t>
                  </w:r>
                  <w:r>
                    <w:rPr>
                      <w:rFonts w:hint="eastAsia"/>
                      <w:sz w:val="21"/>
                      <w:szCs w:val="21"/>
                    </w:rPr>
                    <w:t>。</w:t>
                  </w:r>
                </w:p>
              </w:tc>
              <w:tc>
                <w:tcPr>
                  <w:tcW w:w="769" w:type="pct"/>
                  <w:vAlign w:val="center"/>
                </w:tcPr>
                <w:p w14:paraId="690E088A">
                  <w:pPr>
                    <w:jc w:val="center"/>
                    <w:rPr>
                      <w:sz w:val="21"/>
                      <w:szCs w:val="21"/>
                    </w:rPr>
                  </w:pPr>
                  <w:r>
                    <w:rPr>
                      <w:rFonts w:hint="eastAsia"/>
                      <w:sz w:val="21"/>
                      <w:szCs w:val="21"/>
                    </w:rPr>
                    <w:t>新建</w:t>
                  </w:r>
                </w:p>
              </w:tc>
            </w:tr>
            <w:tr w14:paraId="737A9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vAlign w:val="center"/>
                </w:tcPr>
                <w:p w14:paraId="45702F50">
                  <w:pPr>
                    <w:jc w:val="center"/>
                    <w:rPr>
                      <w:b/>
                      <w:spacing w:val="-4"/>
                      <w:sz w:val="21"/>
                      <w:szCs w:val="21"/>
                    </w:rPr>
                  </w:pPr>
                </w:p>
              </w:tc>
              <w:tc>
                <w:tcPr>
                  <w:tcW w:w="728" w:type="pct"/>
                  <w:vAlign w:val="center"/>
                </w:tcPr>
                <w:p w14:paraId="7BEE32B3">
                  <w:pPr>
                    <w:pStyle w:val="18"/>
                    <w:spacing w:before="0" w:beforeAutospacing="0" w:after="0" w:afterAutospacing="0"/>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噪声</w:t>
                  </w:r>
                </w:p>
              </w:tc>
              <w:tc>
                <w:tcPr>
                  <w:tcW w:w="3081" w:type="pct"/>
                  <w:vAlign w:val="center"/>
                </w:tcPr>
                <w:p w14:paraId="4C0C0C7D">
                  <w:pPr>
                    <w:autoSpaceDE w:val="0"/>
                    <w:autoSpaceDN w:val="0"/>
                    <w:adjustRightInd w:val="0"/>
                    <w:snapToGrid w:val="0"/>
                    <w:rPr>
                      <w:sz w:val="21"/>
                      <w:szCs w:val="21"/>
                    </w:rPr>
                  </w:pPr>
                  <w:r>
                    <w:rPr>
                      <w:sz w:val="21"/>
                      <w:szCs w:val="21"/>
                    </w:rPr>
                    <w:t>选用低噪声设备，加装减振基座，管道设柔性连接</w:t>
                  </w:r>
                  <w:r>
                    <w:rPr>
                      <w:rFonts w:hint="eastAsia"/>
                      <w:sz w:val="21"/>
                      <w:szCs w:val="21"/>
                    </w:rPr>
                    <w:t>，厂房隔声等措施。</w:t>
                  </w:r>
                </w:p>
              </w:tc>
              <w:tc>
                <w:tcPr>
                  <w:tcW w:w="769" w:type="pct"/>
                  <w:vAlign w:val="center"/>
                </w:tcPr>
                <w:p w14:paraId="04131A5A">
                  <w:pPr>
                    <w:jc w:val="center"/>
                    <w:rPr>
                      <w:sz w:val="21"/>
                      <w:szCs w:val="21"/>
                    </w:rPr>
                  </w:pPr>
                  <w:r>
                    <w:rPr>
                      <w:rFonts w:hint="eastAsia"/>
                      <w:sz w:val="21"/>
                      <w:szCs w:val="21"/>
                    </w:rPr>
                    <w:t>新建</w:t>
                  </w:r>
                </w:p>
              </w:tc>
            </w:tr>
          </w:tbl>
          <w:p w14:paraId="772D72ED">
            <w:pPr>
              <w:adjustRightInd w:val="0"/>
              <w:snapToGrid w:val="0"/>
              <w:spacing w:before="156" w:beforeLines="50" w:line="360" w:lineRule="auto"/>
              <w:ind w:firstLine="482" w:firstLineChars="200"/>
              <w:rPr>
                <w:b/>
              </w:rPr>
            </w:pPr>
            <w:r>
              <w:rPr>
                <w:rFonts w:hint="eastAsia"/>
                <w:b/>
              </w:rPr>
              <w:t>3、检测能力</w:t>
            </w:r>
          </w:p>
          <w:p w14:paraId="1F3822D0">
            <w:pPr>
              <w:adjustRightInd w:val="0"/>
              <w:snapToGrid w:val="0"/>
              <w:spacing w:line="360" w:lineRule="auto"/>
              <w:ind w:firstLine="480" w:firstLineChars="200"/>
            </w:pPr>
            <w:r>
              <w:rPr>
                <w:rFonts w:hint="eastAsia"/>
              </w:rPr>
              <w:t>项目运营期检测能力见表2-2。</w:t>
            </w:r>
          </w:p>
          <w:p w14:paraId="5742B07B">
            <w:pPr>
              <w:adjustRightInd w:val="0"/>
              <w:snapToGrid w:val="0"/>
              <w:jc w:val="center"/>
              <w:rPr>
                <w:b/>
                <w:bCs/>
                <w:kern w:val="0"/>
                <w:sz w:val="21"/>
                <w:szCs w:val="21"/>
              </w:rPr>
            </w:pPr>
          </w:p>
          <w:p w14:paraId="22F17343">
            <w:pPr>
              <w:adjustRightInd w:val="0"/>
              <w:snapToGrid w:val="0"/>
              <w:jc w:val="center"/>
              <w:rPr>
                <w:b/>
                <w:bCs/>
                <w:kern w:val="0"/>
                <w:sz w:val="21"/>
                <w:szCs w:val="21"/>
              </w:rPr>
            </w:pPr>
          </w:p>
          <w:p w14:paraId="2A761CAD">
            <w:pPr>
              <w:adjustRightInd w:val="0"/>
              <w:snapToGrid w:val="0"/>
              <w:jc w:val="center"/>
              <w:rPr>
                <w:b/>
                <w:bCs/>
                <w:sz w:val="21"/>
                <w:szCs w:val="21"/>
              </w:rPr>
            </w:pPr>
            <w:r>
              <w:rPr>
                <w:b/>
                <w:bCs/>
                <w:kern w:val="0"/>
                <w:sz w:val="21"/>
                <w:szCs w:val="21"/>
              </w:rPr>
              <w:t>表2-</w:t>
            </w:r>
            <w:r>
              <w:rPr>
                <w:rFonts w:hint="eastAsia"/>
                <w:b/>
                <w:bCs/>
                <w:kern w:val="0"/>
                <w:sz w:val="21"/>
                <w:szCs w:val="21"/>
              </w:rPr>
              <w:t>2</w:t>
            </w:r>
            <w:r>
              <w:rPr>
                <w:b/>
                <w:bCs/>
                <w:kern w:val="0"/>
                <w:sz w:val="21"/>
                <w:szCs w:val="21"/>
              </w:rPr>
              <w:t xml:space="preserve">  </w:t>
            </w:r>
            <w:r>
              <w:rPr>
                <w:rFonts w:hint="eastAsia"/>
                <w:b/>
                <w:bCs/>
                <w:sz w:val="21"/>
                <w:szCs w:val="21"/>
              </w:rPr>
              <w:t>检测能力一览表</w:t>
            </w:r>
          </w:p>
          <w:tbl>
            <w:tblPr>
              <w:tblStyle w:val="23"/>
              <w:tblW w:w="79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360"/>
              <w:gridCol w:w="1814"/>
              <w:gridCol w:w="2835"/>
              <w:gridCol w:w="840"/>
            </w:tblGrid>
            <w:tr w14:paraId="722BF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80" w:type="dxa"/>
                  <w:vAlign w:val="center"/>
                </w:tcPr>
                <w:p w14:paraId="08828E78">
                  <w:pPr>
                    <w:adjustRightInd w:val="0"/>
                    <w:snapToGrid w:val="0"/>
                    <w:jc w:val="center"/>
                    <w:rPr>
                      <w:b/>
                      <w:bCs/>
                      <w:sz w:val="21"/>
                      <w:szCs w:val="21"/>
                    </w:rPr>
                  </w:pPr>
                  <w:r>
                    <w:rPr>
                      <w:rFonts w:hint="eastAsia"/>
                      <w:b/>
                      <w:bCs/>
                      <w:sz w:val="21"/>
                      <w:szCs w:val="21"/>
                    </w:rPr>
                    <w:t>项目类别</w:t>
                  </w:r>
                </w:p>
              </w:tc>
              <w:tc>
                <w:tcPr>
                  <w:tcW w:w="1360" w:type="dxa"/>
                  <w:vAlign w:val="center"/>
                </w:tcPr>
                <w:p w14:paraId="289C06EE">
                  <w:pPr>
                    <w:adjustRightInd w:val="0"/>
                    <w:snapToGrid w:val="0"/>
                    <w:jc w:val="center"/>
                    <w:rPr>
                      <w:b/>
                      <w:bCs/>
                      <w:sz w:val="21"/>
                      <w:szCs w:val="21"/>
                    </w:rPr>
                  </w:pPr>
                  <w:r>
                    <w:rPr>
                      <w:rFonts w:hint="eastAsia"/>
                      <w:b/>
                      <w:bCs/>
                      <w:sz w:val="21"/>
                      <w:szCs w:val="21"/>
                    </w:rPr>
                    <w:t>检测能力</w:t>
                  </w:r>
                </w:p>
              </w:tc>
              <w:tc>
                <w:tcPr>
                  <w:tcW w:w="1814" w:type="dxa"/>
                  <w:vAlign w:val="center"/>
                </w:tcPr>
                <w:p w14:paraId="6217A928">
                  <w:pPr>
                    <w:adjustRightInd w:val="0"/>
                    <w:snapToGrid w:val="0"/>
                    <w:jc w:val="center"/>
                    <w:rPr>
                      <w:b/>
                      <w:bCs/>
                      <w:sz w:val="21"/>
                      <w:szCs w:val="21"/>
                    </w:rPr>
                  </w:pPr>
                  <w:r>
                    <w:rPr>
                      <w:rFonts w:hint="eastAsia"/>
                      <w:b/>
                      <w:bCs/>
                      <w:sz w:val="21"/>
                      <w:szCs w:val="21"/>
                    </w:rPr>
                    <w:t>检测类别</w:t>
                  </w:r>
                </w:p>
              </w:tc>
              <w:tc>
                <w:tcPr>
                  <w:tcW w:w="2835" w:type="dxa"/>
                  <w:vAlign w:val="center"/>
                </w:tcPr>
                <w:p w14:paraId="1097641E">
                  <w:pPr>
                    <w:adjustRightInd w:val="0"/>
                    <w:snapToGrid w:val="0"/>
                    <w:jc w:val="center"/>
                    <w:rPr>
                      <w:b/>
                      <w:bCs/>
                      <w:sz w:val="21"/>
                      <w:szCs w:val="21"/>
                    </w:rPr>
                  </w:pPr>
                  <w:r>
                    <w:rPr>
                      <w:rFonts w:hint="eastAsia"/>
                      <w:b/>
                      <w:bCs/>
                      <w:sz w:val="21"/>
                      <w:szCs w:val="21"/>
                    </w:rPr>
                    <w:t>检测项目</w:t>
                  </w:r>
                </w:p>
              </w:tc>
              <w:tc>
                <w:tcPr>
                  <w:tcW w:w="840" w:type="dxa"/>
                  <w:vAlign w:val="center"/>
                </w:tcPr>
                <w:p w14:paraId="3F200E45">
                  <w:pPr>
                    <w:adjustRightInd w:val="0"/>
                    <w:snapToGrid w:val="0"/>
                    <w:jc w:val="center"/>
                    <w:rPr>
                      <w:b/>
                      <w:bCs/>
                      <w:color w:val="auto"/>
                      <w:sz w:val="21"/>
                      <w:szCs w:val="21"/>
                    </w:rPr>
                  </w:pPr>
                  <w:r>
                    <w:rPr>
                      <w:rFonts w:hint="eastAsia"/>
                      <w:b/>
                      <w:bCs/>
                      <w:color w:val="auto"/>
                      <w:sz w:val="21"/>
                      <w:szCs w:val="21"/>
                    </w:rPr>
                    <w:t>备注</w:t>
                  </w:r>
                </w:p>
              </w:tc>
            </w:tr>
            <w:tr w14:paraId="00343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80" w:type="dxa"/>
                  <w:vAlign w:val="center"/>
                </w:tcPr>
                <w:p w14:paraId="20BFDB3D">
                  <w:pPr>
                    <w:adjustRightInd w:val="0"/>
                    <w:snapToGrid w:val="0"/>
                    <w:jc w:val="center"/>
                    <w:rPr>
                      <w:sz w:val="21"/>
                      <w:szCs w:val="21"/>
                    </w:rPr>
                  </w:pPr>
                  <w:r>
                    <w:rPr>
                      <w:rFonts w:hint="eastAsia"/>
                      <w:sz w:val="21"/>
                      <w:szCs w:val="21"/>
                    </w:rPr>
                    <w:t>环境检测实验室</w:t>
                  </w:r>
                </w:p>
              </w:tc>
              <w:tc>
                <w:tcPr>
                  <w:tcW w:w="1360" w:type="dxa"/>
                  <w:vAlign w:val="center"/>
                </w:tcPr>
                <w:p w14:paraId="3D44B00A">
                  <w:pPr>
                    <w:adjustRightInd w:val="0"/>
                    <w:snapToGrid w:val="0"/>
                    <w:jc w:val="center"/>
                    <w:rPr>
                      <w:sz w:val="21"/>
                      <w:szCs w:val="21"/>
                    </w:rPr>
                  </w:pPr>
                  <w:r>
                    <w:rPr>
                      <w:rFonts w:hint="eastAsia"/>
                      <w:sz w:val="21"/>
                      <w:szCs w:val="21"/>
                    </w:rPr>
                    <w:t>2000批次/年</w:t>
                  </w:r>
                </w:p>
              </w:tc>
              <w:tc>
                <w:tcPr>
                  <w:tcW w:w="1814" w:type="dxa"/>
                  <w:vAlign w:val="center"/>
                </w:tcPr>
                <w:p w14:paraId="7E8D85AD">
                  <w:pPr>
                    <w:adjustRightInd w:val="0"/>
                    <w:snapToGrid w:val="0"/>
                    <w:jc w:val="center"/>
                    <w:rPr>
                      <w:b/>
                      <w:bCs/>
                      <w:sz w:val="21"/>
                      <w:szCs w:val="21"/>
                    </w:rPr>
                  </w:pPr>
                  <w:r>
                    <w:rPr>
                      <w:sz w:val="21"/>
                      <w:szCs w:val="21"/>
                    </w:rPr>
                    <w:t>水和废水、环境空气和废气、土壤和水系沉积物、固体废物、室内空气、油气回收、噪声和振动</w:t>
                  </w:r>
                  <w:r>
                    <w:rPr>
                      <w:rFonts w:hint="eastAsia"/>
                      <w:sz w:val="21"/>
                      <w:szCs w:val="21"/>
                    </w:rPr>
                    <w:t>等</w:t>
                  </w:r>
                </w:p>
              </w:tc>
              <w:tc>
                <w:tcPr>
                  <w:tcW w:w="2835" w:type="dxa"/>
                  <w:vAlign w:val="center"/>
                </w:tcPr>
                <w:p w14:paraId="30E6494E">
                  <w:pPr>
                    <w:adjustRightInd w:val="0"/>
                    <w:snapToGrid w:val="0"/>
                    <w:jc w:val="center"/>
                    <w:rPr>
                      <w:sz w:val="21"/>
                      <w:szCs w:val="21"/>
                    </w:rPr>
                  </w:pPr>
                  <w:r>
                    <w:rPr>
                      <w:rFonts w:hint="eastAsia"/>
                      <w:sz w:val="21"/>
                      <w:szCs w:val="21"/>
                    </w:rPr>
                    <w:t>水和废水145项，环境空气和废气56项，土壤和水系沉积物53项，</w:t>
                  </w:r>
                  <w:r>
                    <w:rPr>
                      <w:sz w:val="21"/>
                      <w:szCs w:val="21"/>
                    </w:rPr>
                    <w:t>固体废物</w:t>
                  </w:r>
                  <w:r>
                    <w:rPr>
                      <w:rFonts w:hint="eastAsia"/>
                      <w:sz w:val="21"/>
                      <w:szCs w:val="21"/>
                    </w:rPr>
                    <w:t>29项，室内空气7项，</w:t>
                  </w:r>
                  <w:r>
                    <w:rPr>
                      <w:sz w:val="21"/>
                      <w:szCs w:val="21"/>
                    </w:rPr>
                    <w:t>油气回收</w:t>
                  </w:r>
                  <w:r>
                    <w:rPr>
                      <w:rFonts w:hint="eastAsia"/>
                      <w:sz w:val="21"/>
                      <w:szCs w:val="21"/>
                    </w:rPr>
                    <w:t>4项，</w:t>
                  </w:r>
                  <w:r>
                    <w:rPr>
                      <w:sz w:val="21"/>
                      <w:szCs w:val="21"/>
                    </w:rPr>
                    <w:t>噪声</w:t>
                  </w:r>
                  <w:r>
                    <w:rPr>
                      <w:rFonts w:hint="eastAsia"/>
                      <w:sz w:val="21"/>
                      <w:szCs w:val="21"/>
                    </w:rPr>
                    <w:t>5项，</w:t>
                  </w:r>
                  <w:r>
                    <w:rPr>
                      <w:sz w:val="21"/>
                      <w:szCs w:val="21"/>
                    </w:rPr>
                    <w:t>振动</w:t>
                  </w:r>
                  <w:r>
                    <w:rPr>
                      <w:rFonts w:hint="eastAsia"/>
                      <w:sz w:val="21"/>
                      <w:szCs w:val="21"/>
                    </w:rPr>
                    <w:t>1项等，具体检测类别及检测项目以实验室资质认定证书为准</w:t>
                  </w:r>
                </w:p>
              </w:tc>
              <w:tc>
                <w:tcPr>
                  <w:tcW w:w="840" w:type="dxa"/>
                  <w:vAlign w:val="center"/>
                </w:tcPr>
                <w:p w14:paraId="23E2BFA7">
                  <w:pPr>
                    <w:adjustRightInd w:val="0"/>
                    <w:snapToGrid w:val="0"/>
                    <w:jc w:val="center"/>
                    <w:rPr>
                      <w:color w:val="auto"/>
                      <w:sz w:val="21"/>
                      <w:szCs w:val="21"/>
                    </w:rPr>
                  </w:pPr>
                  <w:r>
                    <w:rPr>
                      <w:rFonts w:hint="eastAsia"/>
                      <w:color w:val="auto"/>
                      <w:sz w:val="21"/>
                      <w:szCs w:val="21"/>
                    </w:rPr>
                    <w:t>与现有项目检测能力相比无变化</w:t>
                  </w:r>
                </w:p>
              </w:tc>
            </w:tr>
          </w:tbl>
          <w:p w14:paraId="3A11D022">
            <w:pPr>
              <w:adjustRightInd w:val="0"/>
              <w:snapToGrid w:val="0"/>
              <w:spacing w:before="156" w:beforeLines="50" w:line="360" w:lineRule="auto"/>
              <w:ind w:firstLine="482" w:firstLineChars="200"/>
              <w:rPr>
                <w:b/>
              </w:rPr>
            </w:pPr>
            <w:r>
              <w:rPr>
                <w:rFonts w:hint="eastAsia"/>
                <w:b/>
              </w:rPr>
              <w:t>4、</w:t>
            </w:r>
            <w:r>
              <w:rPr>
                <w:b/>
              </w:rPr>
              <w:t>生产设备</w:t>
            </w:r>
          </w:p>
          <w:p w14:paraId="0DEC5D39">
            <w:pPr>
              <w:adjustRightInd w:val="0"/>
              <w:snapToGrid w:val="0"/>
              <w:spacing w:line="360" w:lineRule="auto"/>
              <w:ind w:firstLine="480"/>
              <w:rPr>
                <w:bCs/>
              </w:rPr>
            </w:pPr>
            <w:r>
              <w:rPr>
                <w:rFonts w:hint="eastAsia"/>
                <w:bCs/>
              </w:rPr>
              <w:t>本项目主要</w:t>
            </w:r>
            <w:r>
              <w:rPr>
                <w:bCs/>
              </w:rPr>
              <w:t>设备见表2-</w:t>
            </w:r>
            <w:r>
              <w:rPr>
                <w:rFonts w:hint="eastAsia"/>
                <w:bCs/>
              </w:rPr>
              <w:t>3</w:t>
            </w:r>
            <w:r>
              <w:rPr>
                <w:bCs/>
              </w:rPr>
              <w:t>。</w:t>
            </w:r>
          </w:p>
          <w:p w14:paraId="5F25C24F">
            <w:pPr>
              <w:widowControl/>
              <w:spacing w:before="156" w:beforeLines="50" w:after="156" w:afterLines="50"/>
              <w:contextualSpacing/>
              <w:jc w:val="center"/>
              <w:rPr>
                <w:b/>
                <w:bCs/>
                <w:kern w:val="0"/>
              </w:rPr>
            </w:pPr>
            <w:r>
              <w:rPr>
                <w:b/>
                <w:bCs/>
                <w:kern w:val="0"/>
                <w:sz w:val="21"/>
                <w:szCs w:val="21"/>
              </w:rPr>
              <w:t>表2-</w:t>
            </w:r>
            <w:r>
              <w:rPr>
                <w:rFonts w:hint="eastAsia"/>
                <w:b/>
                <w:bCs/>
                <w:kern w:val="0"/>
                <w:sz w:val="21"/>
                <w:szCs w:val="21"/>
              </w:rPr>
              <w:t>3</w:t>
            </w:r>
            <w:r>
              <w:rPr>
                <w:b/>
                <w:bCs/>
                <w:kern w:val="0"/>
                <w:sz w:val="21"/>
                <w:szCs w:val="21"/>
              </w:rPr>
              <w:t xml:space="preserve">  </w:t>
            </w:r>
            <w:r>
              <w:rPr>
                <w:b/>
                <w:bCs/>
                <w:sz w:val="21"/>
                <w:szCs w:val="21"/>
                <w:lang w:val="zh-CN"/>
              </w:rPr>
              <w:t>项目</w:t>
            </w:r>
            <w:r>
              <w:rPr>
                <w:b/>
                <w:bCs/>
                <w:kern w:val="0"/>
                <w:sz w:val="21"/>
                <w:szCs w:val="21"/>
              </w:rPr>
              <w:t>主要</w:t>
            </w:r>
            <w:r>
              <w:rPr>
                <w:rFonts w:hint="eastAsia"/>
                <w:b/>
                <w:bCs/>
                <w:kern w:val="0"/>
                <w:sz w:val="21"/>
                <w:szCs w:val="21"/>
              </w:rPr>
              <w:t>生产</w:t>
            </w:r>
            <w:r>
              <w:rPr>
                <w:b/>
                <w:bCs/>
                <w:kern w:val="0"/>
                <w:sz w:val="21"/>
                <w:szCs w:val="21"/>
              </w:rPr>
              <w:t>设备一览表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575"/>
              <w:gridCol w:w="3283"/>
              <w:gridCol w:w="1918"/>
              <w:gridCol w:w="804"/>
              <w:gridCol w:w="788"/>
            </w:tblGrid>
            <w:tr w14:paraId="740F3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2EB863DD">
                  <w:pPr>
                    <w:widowControl/>
                    <w:contextualSpacing/>
                    <w:jc w:val="center"/>
                    <w:rPr>
                      <w:kern w:val="0"/>
                      <w:sz w:val="21"/>
                      <w:szCs w:val="21"/>
                    </w:rPr>
                  </w:pPr>
                  <w:r>
                    <w:rPr>
                      <w:kern w:val="0"/>
                      <w:sz w:val="21"/>
                      <w:szCs w:val="21"/>
                    </w:rPr>
                    <w:t>序号</w:t>
                  </w:r>
                </w:p>
              </w:tc>
              <w:tc>
                <w:tcPr>
                  <w:tcW w:w="362" w:type="pct"/>
                  <w:vAlign w:val="center"/>
                </w:tcPr>
                <w:p w14:paraId="3DF77ABB">
                  <w:pPr>
                    <w:widowControl/>
                    <w:jc w:val="center"/>
                    <w:textAlignment w:val="center"/>
                    <w:rPr>
                      <w:kern w:val="0"/>
                      <w:sz w:val="21"/>
                      <w:szCs w:val="21"/>
                      <w:lang w:bidi="ar"/>
                    </w:rPr>
                  </w:pPr>
                  <w:r>
                    <w:rPr>
                      <w:rFonts w:hint="eastAsia"/>
                      <w:kern w:val="0"/>
                      <w:sz w:val="21"/>
                      <w:szCs w:val="21"/>
                      <w:lang w:bidi="ar"/>
                    </w:rPr>
                    <w:t>类型</w:t>
                  </w:r>
                </w:p>
              </w:tc>
              <w:tc>
                <w:tcPr>
                  <w:tcW w:w="2068" w:type="pct"/>
                  <w:vAlign w:val="center"/>
                </w:tcPr>
                <w:p w14:paraId="7B488FB8">
                  <w:pPr>
                    <w:widowControl/>
                    <w:jc w:val="center"/>
                    <w:textAlignment w:val="center"/>
                    <w:rPr>
                      <w:sz w:val="21"/>
                      <w:szCs w:val="21"/>
                    </w:rPr>
                  </w:pPr>
                  <w:r>
                    <w:rPr>
                      <w:kern w:val="0"/>
                      <w:sz w:val="21"/>
                      <w:szCs w:val="21"/>
                      <w:lang w:bidi="ar"/>
                    </w:rPr>
                    <w:t>设备名称</w:t>
                  </w:r>
                </w:p>
              </w:tc>
              <w:tc>
                <w:tcPr>
                  <w:tcW w:w="1209" w:type="pct"/>
                  <w:vAlign w:val="center"/>
                </w:tcPr>
                <w:p w14:paraId="6D520827">
                  <w:pPr>
                    <w:widowControl/>
                    <w:contextualSpacing/>
                    <w:jc w:val="center"/>
                    <w:rPr>
                      <w:kern w:val="0"/>
                      <w:sz w:val="21"/>
                      <w:szCs w:val="21"/>
                    </w:rPr>
                  </w:pPr>
                  <w:r>
                    <w:rPr>
                      <w:rFonts w:hint="eastAsia"/>
                      <w:kern w:val="0"/>
                      <w:sz w:val="21"/>
                      <w:szCs w:val="21"/>
                    </w:rPr>
                    <w:t>型号规格</w:t>
                  </w:r>
                </w:p>
              </w:tc>
              <w:tc>
                <w:tcPr>
                  <w:tcW w:w="507" w:type="pct"/>
                  <w:vAlign w:val="center"/>
                </w:tcPr>
                <w:p w14:paraId="2ECA812C">
                  <w:pPr>
                    <w:widowControl/>
                    <w:contextualSpacing/>
                    <w:jc w:val="center"/>
                    <w:rPr>
                      <w:kern w:val="0"/>
                      <w:sz w:val="21"/>
                      <w:szCs w:val="21"/>
                    </w:rPr>
                  </w:pPr>
                  <w:r>
                    <w:rPr>
                      <w:rFonts w:hint="eastAsia"/>
                      <w:kern w:val="0"/>
                      <w:sz w:val="21"/>
                      <w:szCs w:val="21"/>
                    </w:rPr>
                    <w:t>数量</w:t>
                  </w:r>
                </w:p>
              </w:tc>
              <w:tc>
                <w:tcPr>
                  <w:tcW w:w="497" w:type="pct"/>
                  <w:vAlign w:val="center"/>
                </w:tcPr>
                <w:p w14:paraId="64257D87">
                  <w:pPr>
                    <w:widowControl/>
                    <w:contextualSpacing/>
                    <w:jc w:val="center"/>
                    <w:rPr>
                      <w:kern w:val="0"/>
                      <w:sz w:val="21"/>
                      <w:szCs w:val="21"/>
                    </w:rPr>
                  </w:pPr>
                  <w:r>
                    <w:rPr>
                      <w:rFonts w:hint="eastAsia"/>
                      <w:kern w:val="0"/>
                      <w:sz w:val="21"/>
                      <w:szCs w:val="21"/>
                    </w:rPr>
                    <w:t>备注</w:t>
                  </w:r>
                </w:p>
              </w:tc>
            </w:tr>
            <w:tr w14:paraId="43C2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2C4ECD00">
                  <w:pPr>
                    <w:widowControl/>
                    <w:contextualSpacing/>
                    <w:jc w:val="center"/>
                    <w:rPr>
                      <w:kern w:val="0"/>
                      <w:sz w:val="21"/>
                      <w:szCs w:val="21"/>
                    </w:rPr>
                  </w:pPr>
                  <w:r>
                    <w:rPr>
                      <w:rFonts w:hint="eastAsia"/>
                      <w:kern w:val="0"/>
                      <w:sz w:val="21"/>
                      <w:szCs w:val="21"/>
                    </w:rPr>
                    <w:t>1</w:t>
                  </w:r>
                </w:p>
              </w:tc>
              <w:tc>
                <w:tcPr>
                  <w:tcW w:w="362" w:type="pct"/>
                  <w:vMerge w:val="restart"/>
                  <w:vAlign w:val="center"/>
                </w:tcPr>
                <w:p w14:paraId="01CD55DC">
                  <w:pPr>
                    <w:widowControl/>
                    <w:jc w:val="center"/>
                    <w:textAlignment w:val="bottom"/>
                    <w:rPr>
                      <w:sz w:val="21"/>
                      <w:szCs w:val="21"/>
                    </w:rPr>
                  </w:pPr>
                  <w:r>
                    <w:rPr>
                      <w:rFonts w:hint="eastAsia"/>
                      <w:sz w:val="21"/>
                      <w:szCs w:val="21"/>
                    </w:rPr>
                    <w:t>实验室检测设备</w:t>
                  </w:r>
                </w:p>
              </w:tc>
              <w:tc>
                <w:tcPr>
                  <w:tcW w:w="2068" w:type="pct"/>
                  <w:vMerge w:val="restart"/>
                  <w:vAlign w:val="center"/>
                </w:tcPr>
                <w:p w14:paraId="7AC2C6AB">
                  <w:pPr>
                    <w:widowControl/>
                    <w:jc w:val="center"/>
                    <w:textAlignment w:val="bottom"/>
                    <w:rPr>
                      <w:sz w:val="21"/>
                      <w:szCs w:val="21"/>
                    </w:rPr>
                  </w:pPr>
                  <w:r>
                    <w:rPr>
                      <w:sz w:val="21"/>
                      <w:szCs w:val="21"/>
                    </w:rPr>
                    <w:t>电子天平</w:t>
                  </w:r>
                </w:p>
              </w:tc>
              <w:tc>
                <w:tcPr>
                  <w:tcW w:w="1209" w:type="pct"/>
                  <w:vAlign w:val="center"/>
                </w:tcPr>
                <w:p w14:paraId="12163A2A">
                  <w:pPr>
                    <w:widowControl/>
                    <w:contextualSpacing/>
                    <w:jc w:val="center"/>
                    <w:rPr>
                      <w:kern w:val="0"/>
                      <w:sz w:val="21"/>
                      <w:szCs w:val="21"/>
                    </w:rPr>
                  </w:pPr>
                  <w:r>
                    <w:rPr>
                      <w:kern w:val="0"/>
                      <w:sz w:val="21"/>
                      <w:szCs w:val="21"/>
                    </w:rPr>
                    <w:t>BT25S</w:t>
                  </w:r>
                </w:p>
              </w:tc>
              <w:tc>
                <w:tcPr>
                  <w:tcW w:w="507" w:type="pct"/>
                  <w:vAlign w:val="center"/>
                </w:tcPr>
                <w:p w14:paraId="1CFE7722">
                  <w:pPr>
                    <w:widowControl/>
                    <w:contextualSpacing/>
                    <w:jc w:val="center"/>
                    <w:rPr>
                      <w:kern w:val="0"/>
                      <w:sz w:val="21"/>
                      <w:szCs w:val="21"/>
                    </w:rPr>
                  </w:pPr>
                  <w:r>
                    <w:rPr>
                      <w:rFonts w:hint="eastAsia"/>
                      <w:kern w:val="0"/>
                      <w:sz w:val="21"/>
                      <w:szCs w:val="21"/>
                    </w:rPr>
                    <w:t>1台</w:t>
                  </w:r>
                </w:p>
              </w:tc>
              <w:tc>
                <w:tcPr>
                  <w:tcW w:w="497" w:type="pct"/>
                  <w:vMerge w:val="restart"/>
                  <w:vAlign w:val="center"/>
                </w:tcPr>
                <w:p w14:paraId="6514C9A7">
                  <w:pPr>
                    <w:widowControl/>
                    <w:contextualSpacing/>
                    <w:jc w:val="center"/>
                    <w:rPr>
                      <w:kern w:val="0"/>
                      <w:sz w:val="21"/>
                      <w:szCs w:val="21"/>
                    </w:rPr>
                  </w:pPr>
                  <w:r>
                    <w:rPr>
                      <w:rFonts w:hint="eastAsia"/>
                      <w:kern w:val="0"/>
                      <w:sz w:val="21"/>
                      <w:szCs w:val="21"/>
                    </w:rPr>
                    <w:t>利旧搬迁</w:t>
                  </w:r>
                </w:p>
              </w:tc>
            </w:tr>
            <w:tr w14:paraId="57E4F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6B72312B">
                  <w:pPr>
                    <w:widowControl/>
                    <w:contextualSpacing/>
                    <w:jc w:val="center"/>
                    <w:rPr>
                      <w:kern w:val="0"/>
                      <w:sz w:val="21"/>
                      <w:szCs w:val="21"/>
                    </w:rPr>
                  </w:pPr>
                </w:p>
              </w:tc>
              <w:tc>
                <w:tcPr>
                  <w:tcW w:w="362" w:type="pct"/>
                  <w:vMerge w:val="continue"/>
                  <w:vAlign w:val="center"/>
                </w:tcPr>
                <w:p w14:paraId="4CD88387">
                  <w:pPr>
                    <w:widowControl/>
                    <w:jc w:val="center"/>
                    <w:textAlignment w:val="bottom"/>
                    <w:rPr>
                      <w:sz w:val="21"/>
                      <w:szCs w:val="21"/>
                    </w:rPr>
                  </w:pPr>
                </w:p>
              </w:tc>
              <w:tc>
                <w:tcPr>
                  <w:tcW w:w="2068" w:type="pct"/>
                  <w:vMerge w:val="continue"/>
                  <w:vAlign w:val="center"/>
                </w:tcPr>
                <w:p w14:paraId="740919E4">
                  <w:pPr>
                    <w:widowControl/>
                    <w:jc w:val="center"/>
                    <w:textAlignment w:val="bottom"/>
                    <w:rPr>
                      <w:sz w:val="21"/>
                      <w:szCs w:val="21"/>
                    </w:rPr>
                  </w:pPr>
                </w:p>
              </w:tc>
              <w:tc>
                <w:tcPr>
                  <w:tcW w:w="1209" w:type="pct"/>
                  <w:vAlign w:val="center"/>
                </w:tcPr>
                <w:p w14:paraId="3CE4E4AC">
                  <w:pPr>
                    <w:widowControl/>
                    <w:jc w:val="center"/>
                    <w:textAlignment w:val="center"/>
                    <w:rPr>
                      <w:kern w:val="0"/>
                      <w:sz w:val="21"/>
                      <w:szCs w:val="21"/>
                    </w:rPr>
                  </w:pPr>
                  <w:r>
                    <w:rPr>
                      <w:kern w:val="0"/>
                      <w:sz w:val="21"/>
                      <w:szCs w:val="21"/>
                      <w:lang w:bidi="ar"/>
                    </w:rPr>
                    <w:t>BSA124S</w:t>
                  </w:r>
                </w:p>
              </w:tc>
              <w:tc>
                <w:tcPr>
                  <w:tcW w:w="507" w:type="pct"/>
                  <w:vAlign w:val="center"/>
                </w:tcPr>
                <w:p w14:paraId="19C8FE25">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737990CA">
                  <w:pPr>
                    <w:widowControl/>
                    <w:contextualSpacing/>
                    <w:jc w:val="center"/>
                    <w:rPr>
                      <w:kern w:val="0"/>
                      <w:sz w:val="21"/>
                      <w:szCs w:val="21"/>
                    </w:rPr>
                  </w:pPr>
                </w:p>
              </w:tc>
            </w:tr>
            <w:tr w14:paraId="52BF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265FEFFA">
                  <w:pPr>
                    <w:widowControl/>
                    <w:contextualSpacing/>
                    <w:jc w:val="center"/>
                    <w:rPr>
                      <w:kern w:val="0"/>
                      <w:sz w:val="21"/>
                      <w:szCs w:val="21"/>
                    </w:rPr>
                  </w:pPr>
                </w:p>
              </w:tc>
              <w:tc>
                <w:tcPr>
                  <w:tcW w:w="362" w:type="pct"/>
                  <w:vMerge w:val="continue"/>
                  <w:vAlign w:val="center"/>
                </w:tcPr>
                <w:p w14:paraId="15F4D059">
                  <w:pPr>
                    <w:widowControl/>
                    <w:jc w:val="center"/>
                    <w:textAlignment w:val="bottom"/>
                    <w:rPr>
                      <w:sz w:val="21"/>
                      <w:szCs w:val="21"/>
                    </w:rPr>
                  </w:pPr>
                </w:p>
              </w:tc>
              <w:tc>
                <w:tcPr>
                  <w:tcW w:w="2068" w:type="pct"/>
                  <w:vMerge w:val="continue"/>
                  <w:vAlign w:val="center"/>
                </w:tcPr>
                <w:p w14:paraId="25947127">
                  <w:pPr>
                    <w:widowControl/>
                    <w:jc w:val="center"/>
                    <w:textAlignment w:val="bottom"/>
                    <w:rPr>
                      <w:sz w:val="21"/>
                      <w:szCs w:val="21"/>
                    </w:rPr>
                  </w:pPr>
                </w:p>
              </w:tc>
              <w:tc>
                <w:tcPr>
                  <w:tcW w:w="1209" w:type="pct"/>
                  <w:vAlign w:val="center"/>
                </w:tcPr>
                <w:p w14:paraId="262E6EE0">
                  <w:pPr>
                    <w:widowControl/>
                    <w:jc w:val="center"/>
                    <w:textAlignment w:val="center"/>
                    <w:rPr>
                      <w:kern w:val="0"/>
                      <w:sz w:val="21"/>
                      <w:szCs w:val="21"/>
                    </w:rPr>
                  </w:pPr>
                  <w:r>
                    <w:rPr>
                      <w:kern w:val="0"/>
                      <w:sz w:val="21"/>
                      <w:szCs w:val="21"/>
                      <w:lang w:bidi="ar"/>
                    </w:rPr>
                    <w:t>JA5002</w:t>
                  </w:r>
                </w:p>
              </w:tc>
              <w:tc>
                <w:tcPr>
                  <w:tcW w:w="507" w:type="pct"/>
                  <w:vAlign w:val="center"/>
                </w:tcPr>
                <w:p w14:paraId="67C9C049">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66149C6A">
                  <w:pPr>
                    <w:widowControl/>
                    <w:contextualSpacing/>
                    <w:jc w:val="center"/>
                    <w:rPr>
                      <w:kern w:val="0"/>
                      <w:sz w:val="21"/>
                      <w:szCs w:val="21"/>
                    </w:rPr>
                  </w:pPr>
                </w:p>
              </w:tc>
            </w:tr>
            <w:tr w14:paraId="5759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6638D826">
                  <w:pPr>
                    <w:widowControl/>
                    <w:contextualSpacing/>
                    <w:jc w:val="center"/>
                    <w:rPr>
                      <w:kern w:val="0"/>
                      <w:sz w:val="21"/>
                      <w:szCs w:val="21"/>
                    </w:rPr>
                  </w:pPr>
                </w:p>
              </w:tc>
              <w:tc>
                <w:tcPr>
                  <w:tcW w:w="362" w:type="pct"/>
                  <w:vMerge w:val="continue"/>
                  <w:vAlign w:val="center"/>
                </w:tcPr>
                <w:p w14:paraId="3172F557">
                  <w:pPr>
                    <w:widowControl/>
                    <w:jc w:val="center"/>
                    <w:rPr>
                      <w:kern w:val="0"/>
                      <w:sz w:val="21"/>
                      <w:szCs w:val="21"/>
                    </w:rPr>
                  </w:pPr>
                </w:p>
              </w:tc>
              <w:tc>
                <w:tcPr>
                  <w:tcW w:w="2068" w:type="pct"/>
                  <w:vMerge w:val="continue"/>
                  <w:vAlign w:val="center"/>
                </w:tcPr>
                <w:p w14:paraId="59B93136">
                  <w:pPr>
                    <w:widowControl/>
                    <w:jc w:val="center"/>
                    <w:rPr>
                      <w:kern w:val="0"/>
                      <w:sz w:val="21"/>
                      <w:szCs w:val="21"/>
                    </w:rPr>
                  </w:pPr>
                </w:p>
              </w:tc>
              <w:tc>
                <w:tcPr>
                  <w:tcW w:w="1209" w:type="pct"/>
                  <w:vAlign w:val="center"/>
                </w:tcPr>
                <w:p w14:paraId="2E0A4AC2">
                  <w:pPr>
                    <w:widowControl/>
                    <w:jc w:val="center"/>
                    <w:textAlignment w:val="center"/>
                    <w:rPr>
                      <w:kern w:val="0"/>
                      <w:sz w:val="21"/>
                      <w:szCs w:val="21"/>
                    </w:rPr>
                  </w:pPr>
                  <w:r>
                    <w:rPr>
                      <w:kern w:val="0"/>
                      <w:sz w:val="21"/>
                      <w:szCs w:val="21"/>
                      <w:lang w:bidi="ar"/>
                    </w:rPr>
                    <w:t>YP10001</w:t>
                  </w:r>
                </w:p>
              </w:tc>
              <w:tc>
                <w:tcPr>
                  <w:tcW w:w="507" w:type="pct"/>
                  <w:vAlign w:val="center"/>
                </w:tcPr>
                <w:p w14:paraId="27F9B50C">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24CE5AC2">
                  <w:pPr>
                    <w:widowControl/>
                    <w:contextualSpacing/>
                    <w:jc w:val="center"/>
                    <w:rPr>
                      <w:kern w:val="0"/>
                      <w:sz w:val="21"/>
                      <w:szCs w:val="21"/>
                    </w:rPr>
                  </w:pPr>
                </w:p>
              </w:tc>
            </w:tr>
            <w:tr w14:paraId="28D4B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79D131C5">
                  <w:pPr>
                    <w:widowControl/>
                    <w:contextualSpacing/>
                    <w:jc w:val="center"/>
                    <w:rPr>
                      <w:kern w:val="0"/>
                      <w:sz w:val="21"/>
                      <w:szCs w:val="21"/>
                    </w:rPr>
                  </w:pPr>
                </w:p>
              </w:tc>
              <w:tc>
                <w:tcPr>
                  <w:tcW w:w="362" w:type="pct"/>
                  <w:vMerge w:val="continue"/>
                  <w:vAlign w:val="center"/>
                </w:tcPr>
                <w:p w14:paraId="37BDDB90">
                  <w:pPr>
                    <w:widowControl/>
                    <w:jc w:val="center"/>
                    <w:rPr>
                      <w:kern w:val="0"/>
                      <w:sz w:val="21"/>
                      <w:szCs w:val="21"/>
                    </w:rPr>
                  </w:pPr>
                </w:p>
              </w:tc>
              <w:tc>
                <w:tcPr>
                  <w:tcW w:w="2068" w:type="pct"/>
                  <w:vMerge w:val="continue"/>
                  <w:vAlign w:val="center"/>
                </w:tcPr>
                <w:p w14:paraId="0DDFEFD0">
                  <w:pPr>
                    <w:widowControl/>
                    <w:jc w:val="center"/>
                    <w:rPr>
                      <w:kern w:val="0"/>
                      <w:sz w:val="21"/>
                      <w:szCs w:val="21"/>
                    </w:rPr>
                  </w:pPr>
                </w:p>
              </w:tc>
              <w:tc>
                <w:tcPr>
                  <w:tcW w:w="1209" w:type="pct"/>
                  <w:vAlign w:val="center"/>
                </w:tcPr>
                <w:p w14:paraId="3EBB5D8D">
                  <w:pPr>
                    <w:widowControl/>
                    <w:jc w:val="center"/>
                    <w:textAlignment w:val="center"/>
                    <w:rPr>
                      <w:kern w:val="0"/>
                      <w:sz w:val="21"/>
                      <w:szCs w:val="21"/>
                    </w:rPr>
                  </w:pPr>
                  <w:r>
                    <w:rPr>
                      <w:kern w:val="0"/>
                      <w:sz w:val="21"/>
                      <w:szCs w:val="21"/>
                      <w:lang w:bidi="ar"/>
                    </w:rPr>
                    <w:t>JAB1204N</w:t>
                  </w:r>
                </w:p>
              </w:tc>
              <w:tc>
                <w:tcPr>
                  <w:tcW w:w="507" w:type="pct"/>
                  <w:vAlign w:val="center"/>
                </w:tcPr>
                <w:p w14:paraId="7BDD6AD9">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32DEB0D6">
                  <w:pPr>
                    <w:widowControl/>
                    <w:contextualSpacing/>
                    <w:jc w:val="center"/>
                    <w:rPr>
                      <w:kern w:val="0"/>
                      <w:sz w:val="21"/>
                      <w:szCs w:val="21"/>
                    </w:rPr>
                  </w:pPr>
                </w:p>
              </w:tc>
            </w:tr>
            <w:tr w14:paraId="550B7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77B87A56">
                  <w:pPr>
                    <w:widowControl/>
                    <w:contextualSpacing/>
                    <w:jc w:val="center"/>
                    <w:rPr>
                      <w:kern w:val="0"/>
                      <w:sz w:val="21"/>
                      <w:szCs w:val="21"/>
                    </w:rPr>
                  </w:pPr>
                </w:p>
              </w:tc>
              <w:tc>
                <w:tcPr>
                  <w:tcW w:w="362" w:type="pct"/>
                  <w:vMerge w:val="continue"/>
                  <w:vAlign w:val="center"/>
                </w:tcPr>
                <w:p w14:paraId="7ADF6319">
                  <w:pPr>
                    <w:widowControl/>
                    <w:jc w:val="center"/>
                    <w:rPr>
                      <w:kern w:val="0"/>
                      <w:sz w:val="21"/>
                      <w:szCs w:val="21"/>
                    </w:rPr>
                  </w:pPr>
                </w:p>
              </w:tc>
              <w:tc>
                <w:tcPr>
                  <w:tcW w:w="2068" w:type="pct"/>
                  <w:vMerge w:val="continue"/>
                  <w:vAlign w:val="center"/>
                </w:tcPr>
                <w:p w14:paraId="68886D8B">
                  <w:pPr>
                    <w:widowControl/>
                    <w:jc w:val="center"/>
                    <w:rPr>
                      <w:kern w:val="0"/>
                      <w:sz w:val="21"/>
                      <w:szCs w:val="21"/>
                    </w:rPr>
                  </w:pPr>
                </w:p>
              </w:tc>
              <w:tc>
                <w:tcPr>
                  <w:tcW w:w="1209" w:type="pct"/>
                  <w:vAlign w:val="center"/>
                </w:tcPr>
                <w:p w14:paraId="7285E6D0">
                  <w:pPr>
                    <w:widowControl/>
                    <w:jc w:val="center"/>
                    <w:textAlignment w:val="center"/>
                    <w:rPr>
                      <w:kern w:val="0"/>
                      <w:sz w:val="21"/>
                      <w:szCs w:val="21"/>
                    </w:rPr>
                  </w:pPr>
                  <w:r>
                    <w:rPr>
                      <w:kern w:val="0"/>
                      <w:sz w:val="21"/>
                      <w:szCs w:val="21"/>
                      <w:lang w:bidi="ar"/>
                    </w:rPr>
                    <w:t>JA5003</w:t>
                  </w:r>
                </w:p>
              </w:tc>
              <w:tc>
                <w:tcPr>
                  <w:tcW w:w="507" w:type="pct"/>
                  <w:vAlign w:val="center"/>
                </w:tcPr>
                <w:p w14:paraId="2A35CD5A">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163A178E">
                  <w:pPr>
                    <w:widowControl/>
                    <w:contextualSpacing/>
                    <w:jc w:val="center"/>
                    <w:rPr>
                      <w:kern w:val="0"/>
                      <w:sz w:val="21"/>
                      <w:szCs w:val="21"/>
                    </w:rPr>
                  </w:pPr>
                </w:p>
              </w:tc>
            </w:tr>
            <w:tr w14:paraId="3602A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535D65F3">
                  <w:pPr>
                    <w:widowControl/>
                    <w:contextualSpacing/>
                    <w:jc w:val="center"/>
                    <w:rPr>
                      <w:kern w:val="0"/>
                      <w:sz w:val="21"/>
                      <w:szCs w:val="21"/>
                    </w:rPr>
                  </w:pPr>
                </w:p>
              </w:tc>
              <w:tc>
                <w:tcPr>
                  <w:tcW w:w="362" w:type="pct"/>
                  <w:vMerge w:val="continue"/>
                  <w:vAlign w:val="center"/>
                </w:tcPr>
                <w:p w14:paraId="22C314B4">
                  <w:pPr>
                    <w:widowControl/>
                    <w:jc w:val="center"/>
                    <w:rPr>
                      <w:kern w:val="0"/>
                      <w:sz w:val="21"/>
                      <w:szCs w:val="21"/>
                    </w:rPr>
                  </w:pPr>
                </w:p>
              </w:tc>
              <w:tc>
                <w:tcPr>
                  <w:tcW w:w="2068" w:type="pct"/>
                  <w:vMerge w:val="continue"/>
                  <w:vAlign w:val="center"/>
                </w:tcPr>
                <w:p w14:paraId="37FADD2D">
                  <w:pPr>
                    <w:widowControl/>
                    <w:jc w:val="center"/>
                    <w:rPr>
                      <w:kern w:val="0"/>
                      <w:sz w:val="21"/>
                      <w:szCs w:val="21"/>
                    </w:rPr>
                  </w:pPr>
                </w:p>
              </w:tc>
              <w:tc>
                <w:tcPr>
                  <w:tcW w:w="1209" w:type="pct"/>
                  <w:vAlign w:val="center"/>
                </w:tcPr>
                <w:p w14:paraId="7D35E27C">
                  <w:pPr>
                    <w:widowControl/>
                    <w:jc w:val="center"/>
                    <w:textAlignment w:val="center"/>
                    <w:rPr>
                      <w:kern w:val="0"/>
                      <w:sz w:val="21"/>
                      <w:szCs w:val="21"/>
                    </w:rPr>
                  </w:pPr>
                  <w:r>
                    <w:rPr>
                      <w:kern w:val="0"/>
                      <w:sz w:val="21"/>
                      <w:szCs w:val="21"/>
                      <w:lang w:bidi="ar"/>
                    </w:rPr>
                    <w:t>HY-103</w:t>
                  </w:r>
                </w:p>
              </w:tc>
              <w:tc>
                <w:tcPr>
                  <w:tcW w:w="507" w:type="pct"/>
                  <w:vAlign w:val="center"/>
                </w:tcPr>
                <w:p w14:paraId="3B4E17D3">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1EF2F17D">
                  <w:pPr>
                    <w:widowControl/>
                    <w:contextualSpacing/>
                    <w:jc w:val="center"/>
                    <w:rPr>
                      <w:kern w:val="0"/>
                      <w:sz w:val="21"/>
                      <w:szCs w:val="21"/>
                    </w:rPr>
                  </w:pPr>
                </w:p>
              </w:tc>
            </w:tr>
            <w:tr w14:paraId="46218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75A76005">
                  <w:pPr>
                    <w:widowControl/>
                    <w:contextualSpacing/>
                    <w:jc w:val="center"/>
                    <w:rPr>
                      <w:kern w:val="0"/>
                      <w:sz w:val="21"/>
                      <w:szCs w:val="21"/>
                    </w:rPr>
                  </w:pPr>
                </w:p>
              </w:tc>
              <w:tc>
                <w:tcPr>
                  <w:tcW w:w="362" w:type="pct"/>
                  <w:vMerge w:val="continue"/>
                  <w:vAlign w:val="center"/>
                </w:tcPr>
                <w:p w14:paraId="28D65B7C">
                  <w:pPr>
                    <w:widowControl/>
                    <w:jc w:val="center"/>
                    <w:rPr>
                      <w:kern w:val="0"/>
                      <w:sz w:val="21"/>
                      <w:szCs w:val="21"/>
                    </w:rPr>
                  </w:pPr>
                </w:p>
              </w:tc>
              <w:tc>
                <w:tcPr>
                  <w:tcW w:w="2068" w:type="pct"/>
                  <w:vMerge w:val="continue"/>
                  <w:vAlign w:val="center"/>
                </w:tcPr>
                <w:p w14:paraId="4F86209D">
                  <w:pPr>
                    <w:widowControl/>
                    <w:jc w:val="center"/>
                    <w:rPr>
                      <w:kern w:val="0"/>
                      <w:sz w:val="21"/>
                      <w:szCs w:val="21"/>
                    </w:rPr>
                  </w:pPr>
                </w:p>
              </w:tc>
              <w:tc>
                <w:tcPr>
                  <w:tcW w:w="1209" w:type="pct"/>
                  <w:vAlign w:val="center"/>
                </w:tcPr>
                <w:p w14:paraId="3754934C">
                  <w:pPr>
                    <w:widowControl/>
                    <w:jc w:val="center"/>
                    <w:textAlignment w:val="center"/>
                    <w:rPr>
                      <w:kern w:val="0"/>
                      <w:sz w:val="21"/>
                      <w:szCs w:val="21"/>
                    </w:rPr>
                  </w:pPr>
                  <w:r>
                    <w:rPr>
                      <w:kern w:val="0"/>
                      <w:sz w:val="21"/>
                      <w:szCs w:val="21"/>
                      <w:lang w:bidi="ar"/>
                    </w:rPr>
                    <w:t>YP10002B</w:t>
                  </w:r>
                </w:p>
              </w:tc>
              <w:tc>
                <w:tcPr>
                  <w:tcW w:w="507" w:type="pct"/>
                  <w:vAlign w:val="center"/>
                </w:tcPr>
                <w:p w14:paraId="45F50011">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33AEA9FA">
                  <w:pPr>
                    <w:widowControl/>
                    <w:contextualSpacing/>
                    <w:jc w:val="center"/>
                    <w:rPr>
                      <w:kern w:val="0"/>
                      <w:sz w:val="21"/>
                      <w:szCs w:val="21"/>
                    </w:rPr>
                  </w:pPr>
                </w:p>
              </w:tc>
            </w:tr>
            <w:tr w14:paraId="218F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5DFE51B9">
                  <w:pPr>
                    <w:widowControl/>
                    <w:contextualSpacing/>
                    <w:jc w:val="center"/>
                    <w:rPr>
                      <w:kern w:val="0"/>
                      <w:sz w:val="21"/>
                      <w:szCs w:val="21"/>
                    </w:rPr>
                  </w:pPr>
                </w:p>
              </w:tc>
              <w:tc>
                <w:tcPr>
                  <w:tcW w:w="362" w:type="pct"/>
                  <w:vMerge w:val="continue"/>
                  <w:vAlign w:val="center"/>
                </w:tcPr>
                <w:p w14:paraId="31A0955A">
                  <w:pPr>
                    <w:widowControl/>
                    <w:jc w:val="center"/>
                    <w:textAlignment w:val="center"/>
                    <w:rPr>
                      <w:sz w:val="21"/>
                      <w:szCs w:val="21"/>
                    </w:rPr>
                  </w:pPr>
                </w:p>
              </w:tc>
              <w:tc>
                <w:tcPr>
                  <w:tcW w:w="2068" w:type="pct"/>
                  <w:vMerge w:val="continue"/>
                  <w:vAlign w:val="center"/>
                </w:tcPr>
                <w:p w14:paraId="66A57220">
                  <w:pPr>
                    <w:widowControl/>
                    <w:jc w:val="center"/>
                    <w:textAlignment w:val="center"/>
                    <w:rPr>
                      <w:sz w:val="21"/>
                      <w:szCs w:val="21"/>
                    </w:rPr>
                  </w:pPr>
                </w:p>
              </w:tc>
              <w:tc>
                <w:tcPr>
                  <w:tcW w:w="1209" w:type="pct"/>
                  <w:vAlign w:val="center"/>
                </w:tcPr>
                <w:p w14:paraId="0A5BFAA4">
                  <w:pPr>
                    <w:widowControl/>
                    <w:jc w:val="center"/>
                    <w:textAlignment w:val="center"/>
                    <w:rPr>
                      <w:kern w:val="0"/>
                      <w:sz w:val="21"/>
                      <w:szCs w:val="21"/>
                    </w:rPr>
                  </w:pPr>
                  <w:r>
                    <w:rPr>
                      <w:kern w:val="0"/>
                      <w:sz w:val="21"/>
                      <w:szCs w:val="21"/>
                      <w:lang w:bidi="ar"/>
                    </w:rPr>
                    <w:t>SF-400</w:t>
                  </w:r>
                </w:p>
              </w:tc>
              <w:tc>
                <w:tcPr>
                  <w:tcW w:w="507" w:type="pct"/>
                  <w:vAlign w:val="center"/>
                </w:tcPr>
                <w:p w14:paraId="0FB434EF">
                  <w:pPr>
                    <w:widowControl/>
                    <w:contextualSpacing/>
                    <w:jc w:val="center"/>
                    <w:rPr>
                      <w:kern w:val="0"/>
                      <w:sz w:val="21"/>
                      <w:szCs w:val="21"/>
                    </w:rPr>
                  </w:pPr>
                  <w:r>
                    <w:rPr>
                      <w:rFonts w:hint="eastAsia"/>
                      <w:kern w:val="0"/>
                      <w:sz w:val="21"/>
                      <w:szCs w:val="21"/>
                    </w:rPr>
                    <w:t>2台</w:t>
                  </w:r>
                </w:p>
              </w:tc>
              <w:tc>
                <w:tcPr>
                  <w:tcW w:w="497" w:type="pct"/>
                  <w:vMerge w:val="continue"/>
                  <w:vAlign w:val="center"/>
                </w:tcPr>
                <w:p w14:paraId="4287421F">
                  <w:pPr>
                    <w:widowControl/>
                    <w:contextualSpacing/>
                    <w:jc w:val="center"/>
                    <w:rPr>
                      <w:kern w:val="0"/>
                      <w:sz w:val="21"/>
                      <w:szCs w:val="21"/>
                    </w:rPr>
                  </w:pPr>
                </w:p>
              </w:tc>
            </w:tr>
            <w:tr w14:paraId="4EB7C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5A950468">
                  <w:pPr>
                    <w:widowControl/>
                    <w:contextualSpacing/>
                    <w:jc w:val="center"/>
                    <w:rPr>
                      <w:kern w:val="0"/>
                      <w:sz w:val="21"/>
                      <w:szCs w:val="21"/>
                    </w:rPr>
                  </w:pPr>
                  <w:r>
                    <w:rPr>
                      <w:rFonts w:hint="eastAsia"/>
                      <w:kern w:val="0"/>
                      <w:sz w:val="21"/>
                      <w:szCs w:val="21"/>
                    </w:rPr>
                    <w:t>2</w:t>
                  </w:r>
                </w:p>
              </w:tc>
              <w:tc>
                <w:tcPr>
                  <w:tcW w:w="362" w:type="pct"/>
                  <w:vMerge w:val="continue"/>
                  <w:vAlign w:val="center"/>
                </w:tcPr>
                <w:p w14:paraId="7F7A8C04">
                  <w:pPr>
                    <w:widowControl/>
                    <w:jc w:val="center"/>
                    <w:textAlignment w:val="center"/>
                    <w:rPr>
                      <w:rFonts w:ascii="宋体" w:hAnsi="宋体" w:cs="宋体"/>
                      <w:kern w:val="0"/>
                      <w:sz w:val="21"/>
                      <w:szCs w:val="21"/>
                      <w:lang w:bidi="ar"/>
                    </w:rPr>
                  </w:pPr>
                </w:p>
              </w:tc>
              <w:tc>
                <w:tcPr>
                  <w:tcW w:w="2068" w:type="pct"/>
                  <w:vAlign w:val="center"/>
                </w:tcPr>
                <w:p w14:paraId="39EF3EAC">
                  <w:pPr>
                    <w:widowControl/>
                    <w:jc w:val="center"/>
                    <w:textAlignment w:val="center"/>
                    <w:rPr>
                      <w:sz w:val="21"/>
                      <w:szCs w:val="21"/>
                    </w:rPr>
                  </w:pPr>
                  <w:r>
                    <w:rPr>
                      <w:rFonts w:hint="eastAsia" w:ascii="宋体" w:hAnsi="宋体" w:cs="宋体"/>
                      <w:kern w:val="0"/>
                      <w:sz w:val="21"/>
                      <w:szCs w:val="21"/>
                      <w:lang w:bidi="ar"/>
                    </w:rPr>
                    <w:t>可见分光光度计</w:t>
                  </w:r>
                </w:p>
              </w:tc>
              <w:tc>
                <w:tcPr>
                  <w:tcW w:w="1209" w:type="pct"/>
                  <w:vAlign w:val="center"/>
                </w:tcPr>
                <w:p w14:paraId="3EFAA3E6">
                  <w:pPr>
                    <w:widowControl/>
                    <w:jc w:val="center"/>
                    <w:textAlignment w:val="center"/>
                    <w:rPr>
                      <w:kern w:val="0"/>
                      <w:sz w:val="21"/>
                      <w:szCs w:val="21"/>
                    </w:rPr>
                  </w:pPr>
                  <w:r>
                    <w:rPr>
                      <w:kern w:val="0"/>
                      <w:sz w:val="21"/>
                      <w:szCs w:val="21"/>
                      <w:lang w:bidi="ar"/>
                    </w:rPr>
                    <w:t>721G</w:t>
                  </w:r>
                </w:p>
              </w:tc>
              <w:tc>
                <w:tcPr>
                  <w:tcW w:w="507" w:type="pct"/>
                  <w:vAlign w:val="center"/>
                </w:tcPr>
                <w:p w14:paraId="2F618D27">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218DB201">
                  <w:pPr>
                    <w:widowControl/>
                    <w:contextualSpacing/>
                    <w:jc w:val="center"/>
                    <w:rPr>
                      <w:kern w:val="0"/>
                      <w:sz w:val="21"/>
                      <w:szCs w:val="21"/>
                    </w:rPr>
                  </w:pPr>
                </w:p>
              </w:tc>
            </w:tr>
            <w:tr w14:paraId="6CEF0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694510CE">
                  <w:pPr>
                    <w:widowControl/>
                    <w:contextualSpacing/>
                    <w:jc w:val="center"/>
                    <w:rPr>
                      <w:kern w:val="0"/>
                      <w:sz w:val="21"/>
                      <w:szCs w:val="21"/>
                    </w:rPr>
                  </w:pPr>
                  <w:r>
                    <w:rPr>
                      <w:rFonts w:hint="eastAsia"/>
                      <w:kern w:val="0"/>
                      <w:sz w:val="21"/>
                      <w:szCs w:val="21"/>
                    </w:rPr>
                    <w:t>3</w:t>
                  </w:r>
                </w:p>
              </w:tc>
              <w:tc>
                <w:tcPr>
                  <w:tcW w:w="362" w:type="pct"/>
                  <w:vMerge w:val="continue"/>
                  <w:vAlign w:val="center"/>
                </w:tcPr>
                <w:p w14:paraId="442D035D">
                  <w:pPr>
                    <w:widowControl/>
                    <w:jc w:val="center"/>
                    <w:textAlignment w:val="center"/>
                    <w:rPr>
                      <w:rFonts w:ascii="宋体" w:hAnsi="宋体" w:cs="宋体"/>
                      <w:kern w:val="0"/>
                      <w:sz w:val="21"/>
                      <w:szCs w:val="21"/>
                      <w:lang w:bidi="ar"/>
                    </w:rPr>
                  </w:pPr>
                </w:p>
              </w:tc>
              <w:tc>
                <w:tcPr>
                  <w:tcW w:w="2068" w:type="pct"/>
                  <w:vAlign w:val="center"/>
                </w:tcPr>
                <w:p w14:paraId="29465A9E">
                  <w:pPr>
                    <w:widowControl/>
                    <w:jc w:val="center"/>
                    <w:textAlignment w:val="center"/>
                    <w:rPr>
                      <w:sz w:val="21"/>
                      <w:szCs w:val="21"/>
                    </w:rPr>
                  </w:pPr>
                  <w:r>
                    <w:rPr>
                      <w:rFonts w:hint="eastAsia" w:ascii="宋体" w:hAnsi="宋体" w:cs="宋体"/>
                      <w:kern w:val="0"/>
                      <w:sz w:val="21"/>
                      <w:szCs w:val="21"/>
                      <w:lang w:bidi="ar"/>
                    </w:rPr>
                    <w:t>火焰原子吸收分光光度计</w:t>
                  </w:r>
                </w:p>
              </w:tc>
              <w:tc>
                <w:tcPr>
                  <w:tcW w:w="1209" w:type="pct"/>
                  <w:vAlign w:val="center"/>
                </w:tcPr>
                <w:p w14:paraId="504E14C3">
                  <w:pPr>
                    <w:widowControl/>
                    <w:jc w:val="center"/>
                    <w:textAlignment w:val="center"/>
                    <w:rPr>
                      <w:kern w:val="0"/>
                      <w:sz w:val="21"/>
                      <w:szCs w:val="21"/>
                    </w:rPr>
                  </w:pPr>
                  <w:r>
                    <w:rPr>
                      <w:kern w:val="0"/>
                      <w:sz w:val="21"/>
                      <w:szCs w:val="21"/>
                      <w:lang w:bidi="ar"/>
                    </w:rPr>
                    <w:t>Agilent AA</w:t>
                  </w:r>
                  <w:r>
                    <w:rPr>
                      <w:rFonts w:hint="eastAsia"/>
                      <w:kern w:val="0"/>
                      <w:sz w:val="21"/>
                      <w:szCs w:val="21"/>
                      <w:lang w:bidi="ar"/>
                    </w:rPr>
                    <w:t xml:space="preserve"> </w:t>
                  </w:r>
                  <w:r>
                    <w:rPr>
                      <w:kern w:val="0"/>
                      <w:sz w:val="21"/>
                      <w:szCs w:val="21"/>
                      <w:lang w:bidi="ar"/>
                    </w:rPr>
                    <w:t>240FS</w:t>
                  </w:r>
                </w:p>
              </w:tc>
              <w:tc>
                <w:tcPr>
                  <w:tcW w:w="507" w:type="pct"/>
                  <w:vAlign w:val="center"/>
                </w:tcPr>
                <w:p w14:paraId="67831267">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000AC447">
                  <w:pPr>
                    <w:widowControl/>
                    <w:contextualSpacing/>
                    <w:jc w:val="center"/>
                    <w:rPr>
                      <w:kern w:val="0"/>
                      <w:sz w:val="21"/>
                      <w:szCs w:val="21"/>
                    </w:rPr>
                  </w:pPr>
                </w:p>
              </w:tc>
            </w:tr>
            <w:tr w14:paraId="01AA3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1579C5F7">
                  <w:pPr>
                    <w:widowControl/>
                    <w:contextualSpacing/>
                    <w:jc w:val="center"/>
                    <w:rPr>
                      <w:kern w:val="0"/>
                      <w:sz w:val="21"/>
                      <w:szCs w:val="21"/>
                    </w:rPr>
                  </w:pPr>
                  <w:r>
                    <w:rPr>
                      <w:rFonts w:hint="eastAsia"/>
                      <w:kern w:val="0"/>
                      <w:sz w:val="21"/>
                      <w:szCs w:val="21"/>
                    </w:rPr>
                    <w:t>4</w:t>
                  </w:r>
                </w:p>
              </w:tc>
              <w:tc>
                <w:tcPr>
                  <w:tcW w:w="362" w:type="pct"/>
                  <w:vMerge w:val="continue"/>
                  <w:vAlign w:val="center"/>
                </w:tcPr>
                <w:p w14:paraId="393165B3">
                  <w:pPr>
                    <w:widowControl/>
                    <w:jc w:val="center"/>
                    <w:textAlignment w:val="center"/>
                    <w:rPr>
                      <w:rFonts w:ascii="宋体" w:hAnsi="宋体" w:cs="宋体"/>
                      <w:kern w:val="0"/>
                      <w:sz w:val="21"/>
                      <w:szCs w:val="21"/>
                      <w:lang w:bidi="ar"/>
                    </w:rPr>
                  </w:pPr>
                </w:p>
              </w:tc>
              <w:tc>
                <w:tcPr>
                  <w:tcW w:w="2068" w:type="pct"/>
                  <w:vAlign w:val="center"/>
                </w:tcPr>
                <w:p w14:paraId="16EB2D3D">
                  <w:pPr>
                    <w:widowControl/>
                    <w:jc w:val="center"/>
                    <w:textAlignment w:val="center"/>
                    <w:rPr>
                      <w:sz w:val="21"/>
                      <w:szCs w:val="21"/>
                    </w:rPr>
                  </w:pPr>
                  <w:r>
                    <w:rPr>
                      <w:rFonts w:hint="eastAsia" w:ascii="宋体" w:hAnsi="宋体" w:cs="宋体"/>
                      <w:kern w:val="0"/>
                      <w:sz w:val="21"/>
                      <w:szCs w:val="21"/>
                      <w:lang w:bidi="ar"/>
                    </w:rPr>
                    <w:t>石墨炉原子吸收分光光度计</w:t>
                  </w:r>
                </w:p>
              </w:tc>
              <w:tc>
                <w:tcPr>
                  <w:tcW w:w="1209" w:type="pct"/>
                  <w:vAlign w:val="center"/>
                </w:tcPr>
                <w:p w14:paraId="41D71691">
                  <w:pPr>
                    <w:widowControl/>
                    <w:jc w:val="center"/>
                    <w:textAlignment w:val="center"/>
                    <w:rPr>
                      <w:kern w:val="0"/>
                      <w:sz w:val="21"/>
                      <w:szCs w:val="21"/>
                    </w:rPr>
                  </w:pPr>
                  <w:r>
                    <w:rPr>
                      <w:kern w:val="0"/>
                      <w:sz w:val="21"/>
                      <w:szCs w:val="21"/>
                      <w:lang w:bidi="ar"/>
                    </w:rPr>
                    <w:t>Agilent AA 240Z</w:t>
                  </w:r>
                </w:p>
              </w:tc>
              <w:tc>
                <w:tcPr>
                  <w:tcW w:w="507" w:type="pct"/>
                  <w:vAlign w:val="center"/>
                </w:tcPr>
                <w:p w14:paraId="5431E229">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101FA142">
                  <w:pPr>
                    <w:widowControl/>
                    <w:contextualSpacing/>
                    <w:jc w:val="center"/>
                    <w:rPr>
                      <w:kern w:val="0"/>
                      <w:sz w:val="21"/>
                      <w:szCs w:val="21"/>
                    </w:rPr>
                  </w:pPr>
                </w:p>
              </w:tc>
            </w:tr>
            <w:tr w14:paraId="0EC70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058BE3F8">
                  <w:pPr>
                    <w:widowControl/>
                    <w:contextualSpacing/>
                    <w:jc w:val="center"/>
                    <w:rPr>
                      <w:kern w:val="0"/>
                      <w:sz w:val="21"/>
                      <w:szCs w:val="21"/>
                    </w:rPr>
                  </w:pPr>
                  <w:r>
                    <w:rPr>
                      <w:rFonts w:hint="eastAsia"/>
                      <w:kern w:val="0"/>
                      <w:sz w:val="21"/>
                      <w:szCs w:val="21"/>
                    </w:rPr>
                    <w:t>5</w:t>
                  </w:r>
                </w:p>
              </w:tc>
              <w:tc>
                <w:tcPr>
                  <w:tcW w:w="362" w:type="pct"/>
                  <w:vMerge w:val="continue"/>
                  <w:vAlign w:val="center"/>
                </w:tcPr>
                <w:p w14:paraId="64671257">
                  <w:pPr>
                    <w:widowControl/>
                    <w:jc w:val="center"/>
                    <w:rPr>
                      <w:kern w:val="0"/>
                      <w:sz w:val="21"/>
                      <w:szCs w:val="21"/>
                    </w:rPr>
                  </w:pPr>
                </w:p>
              </w:tc>
              <w:tc>
                <w:tcPr>
                  <w:tcW w:w="2068" w:type="pct"/>
                  <w:vMerge w:val="restart"/>
                  <w:vAlign w:val="center"/>
                </w:tcPr>
                <w:p w14:paraId="534A61F1">
                  <w:pPr>
                    <w:widowControl/>
                    <w:jc w:val="center"/>
                    <w:rPr>
                      <w:kern w:val="0"/>
                      <w:sz w:val="21"/>
                      <w:szCs w:val="21"/>
                    </w:rPr>
                  </w:pPr>
                  <w:r>
                    <w:rPr>
                      <w:kern w:val="0"/>
                      <w:sz w:val="21"/>
                      <w:szCs w:val="21"/>
                    </w:rPr>
                    <w:t>气相色谱仪</w:t>
                  </w:r>
                </w:p>
              </w:tc>
              <w:tc>
                <w:tcPr>
                  <w:tcW w:w="1209" w:type="pct"/>
                  <w:vAlign w:val="center"/>
                </w:tcPr>
                <w:p w14:paraId="650082BC">
                  <w:pPr>
                    <w:widowControl/>
                    <w:contextualSpacing/>
                    <w:jc w:val="center"/>
                    <w:rPr>
                      <w:kern w:val="0"/>
                      <w:sz w:val="21"/>
                      <w:szCs w:val="21"/>
                    </w:rPr>
                  </w:pPr>
                  <w:r>
                    <w:rPr>
                      <w:kern w:val="0"/>
                      <w:sz w:val="21"/>
                      <w:szCs w:val="21"/>
                    </w:rPr>
                    <w:t>GC-2014</w:t>
                  </w:r>
                </w:p>
              </w:tc>
              <w:tc>
                <w:tcPr>
                  <w:tcW w:w="507" w:type="pct"/>
                  <w:vAlign w:val="center"/>
                </w:tcPr>
                <w:p w14:paraId="0FD96E18">
                  <w:pPr>
                    <w:widowControl/>
                    <w:contextualSpacing/>
                    <w:jc w:val="center"/>
                    <w:rPr>
                      <w:kern w:val="0"/>
                      <w:sz w:val="21"/>
                      <w:szCs w:val="21"/>
                    </w:rPr>
                  </w:pPr>
                  <w:r>
                    <w:rPr>
                      <w:rFonts w:hint="eastAsia"/>
                      <w:kern w:val="0"/>
                      <w:sz w:val="21"/>
                      <w:szCs w:val="21"/>
                    </w:rPr>
                    <w:t>2台</w:t>
                  </w:r>
                </w:p>
              </w:tc>
              <w:tc>
                <w:tcPr>
                  <w:tcW w:w="497" w:type="pct"/>
                  <w:vMerge w:val="continue"/>
                  <w:vAlign w:val="center"/>
                </w:tcPr>
                <w:p w14:paraId="61274E36">
                  <w:pPr>
                    <w:widowControl/>
                    <w:contextualSpacing/>
                    <w:jc w:val="center"/>
                    <w:rPr>
                      <w:kern w:val="0"/>
                      <w:sz w:val="21"/>
                      <w:szCs w:val="21"/>
                    </w:rPr>
                  </w:pPr>
                </w:p>
              </w:tc>
            </w:tr>
            <w:tr w14:paraId="30CE9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61674D18">
                  <w:pPr>
                    <w:widowControl/>
                    <w:contextualSpacing/>
                    <w:jc w:val="center"/>
                    <w:rPr>
                      <w:kern w:val="0"/>
                      <w:sz w:val="21"/>
                      <w:szCs w:val="21"/>
                    </w:rPr>
                  </w:pPr>
                </w:p>
              </w:tc>
              <w:tc>
                <w:tcPr>
                  <w:tcW w:w="362" w:type="pct"/>
                  <w:vMerge w:val="continue"/>
                  <w:vAlign w:val="center"/>
                </w:tcPr>
                <w:p w14:paraId="27D62282">
                  <w:pPr>
                    <w:widowControl/>
                    <w:jc w:val="center"/>
                    <w:rPr>
                      <w:kern w:val="0"/>
                      <w:sz w:val="21"/>
                      <w:szCs w:val="21"/>
                    </w:rPr>
                  </w:pPr>
                </w:p>
              </w:tc>
              <w:tc>
                <w:tcPr>
                  <w:tcW w:w="2068" w:type="pct"/>
                  <w:vMerge w:val="continue"/>
                  <w:vAlign w:val="center"/>
                </w:tcPr>
                <w:p w14:paraId="2BE73522">
                  <w:pPr>
                    <w:widowControl/>
                    <w:jc w:val="center"/>
                    <w:rPr>
                      <w:kern w:val="0"/>
                      <w:sz w:val="21"/>
                      <w:szCs w:val="21"/>
                    </w:rPr>
                  </w:pPr>
                </w:p>
              </w:tc>
              <w:tc>
                <w:tcPr>
                  <w:tcW w:w="1209" w:type="pct"/>
                  <w:vAlign w:val="center"/>
                </w:tcPr>
                <w:p w14:paraId="2C251AF8">
                  <w:pPr>
                    <w:widowControl/>
                    <w:jc w:val="center"/>
                    <w:textAlignment w:val="center"/>
                    <w:rPr>
                      <w:kern w:val="0"/>
                      <w:sz w:val="21"/>
                      <w:szCs w:val="21"/>
                    </w:rPr>
                  </w:pPr>
                  <w:r>
                    <w:rPr>
                      <w:kern w:val="0"/>
                      <w:sz w:val="21"/>
                      <w:szCs w:val="21"/>
                      <w:lang w:bidi="ar"/>
                    </w:rPr>
                    <w:t>GC9790 II</w:t>
                  </w:r>
                </w:p>
              </w:tc>
              <w:tc>
                <w:tcPr>
                  <w:tcW w:w="507" w:type="pct"/>
                  <w:vAlign w:val="center"/>
                </w:tcPr>
                <w:p w14:paraId="5F78837F">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680232CA">
                  <w:pPr>
                    <w:widowControl/>
                    <w:contextualSpacing/>
                    <w:jc w:val="center"/>
                    <w:rPr>
                      <w:kern w:val="0"/>
                      <w:sz w:val="21"/>
                      <w:szCs w:val="21"/>
                    </w:rPr>
                  </w:pPr>
                </w:p>
              </w:tc>
            </w:tr>
            <w:tr w14:paraId="2BC8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6E6A24BA">
                  <w:pPr>
                    <w:widowControl/>
                    <w:contextualSpacing/>
                    <w:jc w:val="center"/>
                    <w:rPr>
                      <w:kern w:val="0"/>
                      <w:sz w:val="21"/>
                      <w:szCs w:val="21"/>
                    </w:rPr>
                  </w:pPr>
                </w:p>
              </w:tc>
              <w:tc>
                <w:tcPr>
                  <w:tcW w:w="362" w:type="pct"/>
                  <w:vMerge w:val="continue"/>
                  <w:vAlign w:val="center"/>
                </w:tcPr>
                <w:p w14:paraId="23AE07BE">
                  <w:pPr>
                    <w:widowControl/>
                    <w:jc w:val="center"/>
                    <w:rPr>
                      <w:kern w:val="0"/>
                      <w:sz w:val="21"/>
                      <w:szCs w:val="21"/>
                    </w:rPr>
                  </w:pPr>
                </w:p>
              </w:tc>
              <w:tc>
                <w:tcPr>
                  <w:tcW w:w="2068" w:type="pct"/>
                  <w:vMerge w:val="continue"/>
                  <w:vAlign w:val="center"/>
                </w:tcPr>
                <w:p w14:paraId="1117EECC">
                  <w:pPr>
                    <w:widowControl/>
                    <w:jc w:val="center"/>
                    <w:rPr>
                      <w:kern w:val="0"/>
                      <w:sz w:val="21"/>
                      <w:szCs w:val="21"/>
                    </w:rPr>
                  </w:pPr>
                </w:p>
              </w:tc>
              <w:tc>
                <w:tcPr>
                  <w:tcW w:w="1209" w:type="pct"/>
                  <w:vAlign w:val="center"/>
                </w:tcPr>
                <w:p w14:paraId="3F1F83BC">
                  <w:pPr>
                    <w:widowControl/>
                    <w:jc w:val="center"/>
                    <w:textAlignment w:val="center"/>
                    <w:rPr>
                      <w:kern w:val="0"/>
                      <w:sz w:val="21"/>
                      <w:szCs w:val="21"/>
                    </w:rPr>
                  </w:pPr>
                  <w:r>
                    <w:rPr>
                      <w:kern w:val="0"/>
                      <w:sz w:val="21"/>
                      <w:szCs w:val="21"/>
                      <w:lang w:bidi="ar"/>
                    </w:rPr>
                    <w:t>8860</w:t>
                  </w:r>
                </w:p>
              </w:tc>
              <w:tc>
                <w:tcPr>
                  <w:tcW w:w="507" w:type="pct"/>
                  <w:vAlign w:val="center"/>
                </w:tcPr>
                <w:p w14:paraId="3B3D3F0F">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364F9F3C">
                  <w:pPr>
                    <w:widowControl/>
                    <w:contextualSpacing/>
                    <w:jc w:val="center"/>
                    <w:rPr>
                      <w:kern w:val="0"/>
                      <w:sz w:val="21"/>
                      <w:szCs w:val="21"/>
                    </w:rPr>
                  </w:pPr>
                </w:p>
              </w:tc>
            </w:tr>
            <w:tr w14:paraId="4186E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5F82A861">
                  <w:pPr>
                    <w:widowControl/>
                    <w:contextualSpacing/>
                    <w:jc w:val="center"/>
                    <w:rPr>
                      <w:kern w:val="0"/>
                      <w:sz w:val="21"/>
                      <w:szCs w:val="21"/>
                    </w:rPr>
                  </w:pPr>
                  <w:r>
                    <w:rPr>
                      <w:rFonts w:hint="eastAsia"/>
                      <w:kern w:val="0"/>
                      <w:sz w:val="21"/>
                      <w:szCs w:val="21"/>
                    </w:rPr>
                    <w:t>6</w:t>
                  </w:r>
                </w:p>
              </w:tc>
              <w:tc>
                <w:tcPr>
                  <w:tcW w:w="362" w:type="pct"/>
                  <w:vMerge w:val="continue"/>
                  <w:vAlign w:val="center"/>
                </w:tcPr>
                <w:p w14:paraId="544B3B0D">
                  <w:pPr>
                    <w:widowControl/>
                    <w:jc w:val="center"/>
                    <w:textAlignment w:val="center"/>
                    <w:rPr>
                      <w:rFonts w:ascii="宋体" w:hAnsi="宋体" w:cs="宋体"/>
                      <w:kern w:val="0"/>
                      <w:sz w:val="21"/>
                      <w:szCs w:val="21"/>
                      <w:lang w:bidi="ar"/>
                    </w:rPr>
                  </w:pPr>
                </w:p>
              </w:tc>
              <w:tc>
                <w:tcPr>
                  <w:tcW w:w="2068" w:type="pct"/>
                  <w:vAlign w:val="center"/>
                </w:tcPr>
                <w:p w14:paraId="614CF00C">
                  <w:pPr>
                    <w:widowControl/>
                    <w:jc w:val="center"/>
                    <w:textAlignment w:val="center"/>
                    <w:rPr>
                      <w:kern w:val="0"/>
                      <w:sz w:val="21"/>
                      <w:szCs w:val="21"/>
                    </w:rPr>
                  </w:pPr>
                  <w:r>
                    <w:rPr>
                      <w:rFonts w:hint="eastAsia" w:ascii="宋体" w:hAnsi="宋体" w:cs="宋体"/>
                      <w:kern w:val="0"/>
                      <w:sz w:val="21"/>
                      <w:szCs w:val="21"/>
                      <w:lang w:bidi="ar"/>
                    </w:rPr>
                    <w:t>原子荧光光度计</w:t>
                  </w:r>
                </w:p>
              </w:tc>
              <w:tc>
                <w:tcPr>
                  <w:tcW w:w="1209" w:type="pct"/>
                  <w:vAlign w:val="center"/>
                </w:tcPr>
                <w:p w14:paraId="450B6570">
                  <w:pPr>
                    <w:widowControl/>
                    <w:jc w:val="center"/>
                    <w:textAlignment w:val="center"/>
                    <w:rPr>
                      <w:kern w:val="0"/>
                      <w:sz w:val="21"/>
                      <w:szCs w:val="21"/>
                    </w:rPr>
                  </w:pPr>
                  <w:r>
                    <w:rPr>
                      <w:kern w:val="0"/>
                      <w:sz w:val="21"/>
                      <w:szCs w:val="21"/>
                      <w:lang w:bidi="ar"/>
                    </w:rPr>
                    <w:t>AFS-8520</w:t>
                  </w:r>
                </w:p>
              </w:tc>
              <w:tc>
                <w:tcPr>
                  <w:tcW w:w="507" w:type="pct"/>
                  <w:vAlign w:val="center"/>
                </w:tcPr>
                <w:p w14:paraId="1D8F5024">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47E829B3">
                  <w:pPr>
                    <w:widowControl/>
                    <w:contextualSpacing/>
                    <w:jc w:val="center"/>
                    <w:rPr>
                      <w:kern w:val="0"/>
                      <w:sz w:val="21"/>
                      <w:szCs w:val="21"/>
                    </w:rPr>
                  </w:pPr>
                </w:p>
              </w:tc>
            </w:tr>
            <w:tr w14:paraId="597F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0755D759">
                  <w:pPr>
                    <w:widowControl/>
                    <w:contextualSpacing/>
                    <w:jc w:val="center"/>
                    <w:rPr>
                      <w:kern w:val="0"/>
                      <w:sz w:val="21"/>
                      <w:szCs w:val="21"/>
                    </w:rPr>
                  </w:pPr>
                  <w:r>
                    <w:rPr>
                      <w:rFonts w:hint="eastAsia"/>
                      <w:kern w:val="0"/>
                      <w:sz w:val="21"/>
                      <w:szCs w:val="21"/>
                    </w:rPr>
                    <w:t>7</w:t>
                  </w:r>
                </w:p>
              </w:tc>
              <w:tc>
                <w:tcPr>
                  <w:tcW w:w="362" w:type="pct"/>
                  <w:vMerge w:val="continue"/>
                  <w:vAlign w:val="center"/>
                </w:tcPr>
                <w:p w14:paraId="72E1FE17">
                  <w:pPr>
                    <w:widowControl/>
                    <w:jc w:val="center"/>
                    <w:textAlignment w:val="center"/>
                    <w:rPr>
                      <w:rFonts w:ascii="宋体" w:hAnsi="宋体" w:cs="宋体"/>
                      <w:kern w:val="0"/>
                      <w:sz w:val="21"/>
                      <w:szCs w:val="21"/>
                      <w:lang w:bidi="ar"/>
                    </w:rPr>
                  </w:pPr>
                </w:p>
              </w:tc>
              <w:tc>
                <w:tcPr>
                  <w:tcW w:w="2068" w:type="pct"/>
                  <w:vMerge w:val="restart"/>
                  <w:vAlign w:val="center"/>
                </w:tcPr>
                <w:p w14:paraId="3FAA57FF">
                  <w:pPr>
                    <w:widowControl/>
                    <w:jc w:val="center"/>
                    <w:textAlignment w:val="center"/>
                    <w:rPr>
                      <w:kern w:val="0"/>
                      <w:sz w:val="21"/>
                      <w:szCs w:val="21"/>
                    </w:rPr>
                  </w:pPr>
                  <w:r>
                    <w:rPr>
                      <w:rFonts w:hint="eastAsia" w:ascii="宋体" w:hAnsi="宋体" w:cs="宋体"/>
                      <w:kern w:val="0"/>
                      <w:sz w:val="21"/>
                      <w:szCs w:val="21"/>
                      <w:lang w:bidi="ar"/>
                    </w:rPr>
                    <w:t>红外分光测油仪</w:t>
                  </w:r>
                </w:p>
              </w:tc>
              <w:tc>
                <w:tcPr>
                  <w:tcW w:w="1209" w:type="pct"/>
                  <w:vAlign w:val="center"/>
                </w:tcPr>
                <w:p w14:paraId="7BF025DA">
                  <w:pPr>
                    <w:widowControl/>
                    <w:jc w:val="center"/>
                    <w:textAlignment w:val="center"/>
                    <w:rPr>
                      <w:kern w:val="0"/>
                      <w:sz w:val="21"/>
                      <w:szCs w:val="21"/>
                    </w:rPr>
                  </w:pPr>
                  <w:r>
                    <w:rPr>
                      <w:kern w:val="0"/>
                      <w:sz w:val="21"/>
                      <w:szCs w:val="21"/>
                      <w:lang w:bidi="ar"/>
                    </w:rPr>
                    <w:t>OIL460型</w:t>
                  </w:r>
                </w:p>
              </w:tc>
              <w:tc>
                <w:tcPr>
                  <w:tcW w:w="507" w:type="pct"/>
                  <w:vAlign w:val="center"/>
                </w:tcPr>
                <w:p w14:paraId="379B7A6D">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08553D01">
                  <w:pPr>
                    <w:widowControl/>
                    <w:contextualSpacing/>
                    <w:jc w:val="center"/>
                    <w:rPr>
                      <w:kern w:val="0"/>
                      <w:sz w:val="21"/>
                      <w:szCs w:val="21"/>
                    </w:rPr>
                  </w:pPr>
                </w:p>
              </w:tc>
            </w:tr>
            <w:tr w14:paraId="38A0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4E5F1DD9">
                  <w:pPr>
                    <w:widowControl/>
                    <w:contextualSpacing/>
                    <w:jc w:val="center"/>
                    <w:rPr>
                      <w:kern w:val="0"/>
                      <w:sz w:val="21"/>
                      <w:szCs w:val="21"/>
                    </w:rPr>
                  </w:pPr>
                </w:p>
              </w:tc>
              <w:tc>
                <w:tcPr>
                  <w:tcW w:w="362" w:type="pct"/>
                  <w:vMerge w:val="continue"/>
                  <w:vAlign w:val="center"/>
                </w:tcPr>
                <w:p w14:paraId="7622D093">
                  <w:pPr>
                    <w:widowControl/>
                    <w:jc w:val="center"/>
                    <w:textAlignment w:val="center"/>
                    <w:rPr>
                      <w:kern w:val="0"/>
                      <w:sz w:val="21"/>
                      <w:szCs w:val="21"/>
                    </w:rPr>
                  </w:pPr>
                </w:p>
              </w:tc>
              <w:tc>
                <w:tcPr>
                  <w:tcW w:w="2068" w:type="pct"/>
                  <w:vMerge w:val="continue"/>
                  <w:vAlign w:val="center"/>
                </w:tcPr>
                <w:p w14:paraId="7FE3068F">
                  <w:pPr>
                    <w:widowControl/>
                    <w:jc w:val="center"/>
                    <w:textAlignment w:val="center"/>
                    <w:rPr>
                      <w:kern w:val="0"/>
                      <w:sz w:val="21"/>
                      <w:szCs w:val="21"/>
                    </w:rPr>
                  </w:pPr>
                </w:p>
              </w:tc>
              <w:tc>
                <w:tcPr>
                  <w:tcW w:w="1209" w:type="pct"/>
                  <w:vAlign w:val="center"/>
                </w:tcPr>
                <w:p w14:paraId="46BE8474">
                  <w:pPr>
                    <w:widowControl/>
                    <w:jc w:val="center"/>
                    <w:textAlignment w:val="center"/>
                    <w:rPr>
                      <w:kern w:val="0"/>
                      <w:sz w:val="21"/>
                      <w:szCs w:val="21"/>
                    </w:rPr>
                  </w:pPr>
                  <w:r>
                    <w:rPr>
                      <w:kern w:val="0"/>
                      <w:sz w:val="21"/>
                      <w:szCs w:val="21"/>
                      <w:lang w:bidi="ar"/>
                    </w:rPr>
                    <w:t>GH-800A型</w:t>
                  </w:r>
                </w:p>
              </w:tc>
              <w:tc>
                <w:tcPr>
                  <w:tcW w:w="507" w:type="pct"/>
                  <w:vAlign w:val="center"/>
                </w:tcPr>
                <w:p w14:paraId="67F64273">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0BDB6D77">
                  <w:pPr>
                    <w:widowControl/>
                    <w:contextualSpacing/>
                    <w:jc w:val="center"/>
                    <w:rPr>
                      <w:kern w:val="0"/>
                      <w:sz w:val="21"/>
                      <w:szCs w:val="21"/>
                    </w:rPr>
                  </w:pPr>
                </w:p>
              </w:tc>
            </w:tr>
            <w:tr w14:paraId="086B3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266DA88D">
                  <w:pPr>
                    <w:widowControl/>
                    <w:contextualSpacing/>
                    <w:jc w:val="center"/>
                    <w:rPr>
                      <w:kern w:val="0"/>
                      <w:sz w:val="21"/>
                      <w:szCs w:val="21"/>
                    </w:rPr>
                  </w:pPr>
                  <w:r>
                    <w:rPr>
                      <w:rFonts w:hint="eastAsia"/>
                      <w:kern w:val="0"/>
                      <w:sz w:val="21"/>
                      <w:szCs w:val="21"/>
                    </w:rPr>
                    <w:t>8</w:t>
                  </w:r>
                </w:p>
              </w:tc>
              <w:tc>
                <w:tcPr>
                  <w:tcW w:w="362" w:type="pct"/>
                  <w:vMerge w:val="continue"/>
                  <w:vAlign w:val="center"/>
                </w:tcPr>
                <w:p w14:paraId="3D3A5123">
                  <w:pPr>
                    <w:widowControl/>
                    <w:jc w:val="center"/>
                    <w:textAlignment w:val="center"/>
                    <w:rPr>
                      <w:rFonts w:ascii="宋体" w:hAnsi="宋体" w:cs="宋体"/>
                      <w:kern w:val="0"/>
                      <w:sz w:val="21"/>
                      <w:szCs w:val="21"/>
                      <w:lang w:bidi="ar"/>
                    </w:rPr>
                  </w:pPr>
                </w:p>
              </w:tc>
              <w:tc>
                <w:tcPr>
                  <w:tcW w:w="2068" w:type="pct"/>
                  <w:vAlign w:val="center"/>
                </w:tcPr>
                <w:p w14:paraId="12B69748">
                  <w:pPr>
                    <w:widowControl/>
                    <w:jc w:val="center"/>
                    <w:textAlignment w:val="center"/>
                    <w:rPr>
                      <w:kern w:val="0"/>
                      <w:sz w:val="21"/>
                      <w:szCs w:val="21"/>
                    </w:rPr>
                  </w:pPr>
                  <w:r>
                    <w:rPr>
                      <w:rFonts w:hint="eastAsia" w:ascii="宋体" w:hAnsi="宋体" w:cs="宋体"/>
                      <w:kern w:val="0"/>
                      <w:sz w:val="21"/>
                      <w:szCs w:val="21"/>
                      <w:lang w:bidi="ar"/>
                    </w:rPr>
                    <w:t>智能高精度综合标准仪</w:t>
                  </w:r>
                </w:p>
              </w:tc>
              <w:tc>
                <w:tcPr>
                  <w:tcW w:w="1209" w:type="pct"/>
                  <w:vAlign w:val="center"/>
                </w:tcPr>
                <w:p w14:paraId="5FC9F5AD">
                  <w:pPr>
                    <w:widowControl/>
                    <w:jc w:val="center"/>
                    <w:textAlignment w:val="center"/>
                    <w:rPr>
                      <w:kern w:val="0"/>
                      <w:sz w:val="21"/>
                      <w:szCs w:val="21"/>
                    </w:rPr>
                  </w:pPr>
                  <w:r>
                    <w:rPr>
                      <w:kern w:val="0"/>
                      <w:sz w:val="21"/>
                      <w:szCs w:val="21"/>
                      <w:lang w:bidi="ar"/>
                    </w:rPr>
                    <w:t>崂应8040型</w:t>
                  </w:r>
                </w:p>
              </w:tc>
              <w:tc>
                <w:tcPr>
                  <w:tcW w:w="507" w:type="pct"/>
                  <w:vAlign w:val="center"/>
                </w:tcPr>
                <w:p w14:paraId="56FC8DA9">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1947434E">
                  <w:pPr>
                    <w:widowControl/>
                    <w:contextualSpacing/>
                    <w:jc w:val="center"/>
                    <w:rPr>
                      <w:kern w:val="0"/>
                      <w:sz w:val="21"/>
                      <w:szCs w:val="21"/>
                    </w:rPr>
                  </w:pPr>
                </w:p>
              </w:tc>
            </w:tr>
            <w:tr w14:paraId="47560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18DFD656">
                  <w:pPr>
                    <w:widowControl/>
                    <w:contextualSpacing/>
                    <w:jc w:val="center"/>
                    <w:rPr>
                      <w:kern w:val="0"/>
                      <w:sz w:val="21"/>
                      <w:szCs w:val="21"/>
                    </w:rPr>
                  </w:pPr>
                  <w:r>
                    <w:rPr>
                      <w:rFonts w:hint="eastAsia"/>
                      <w:kern w:val="0"/>
                      <w:sz w:val="21"/>
                      <w:szCs w:val="21"/>
                    </w:rPr>
                    <w:t>9</w:t>
                  </w:r>
                </w:p>
              </w:tc>
              <w:tc>
                <w:tcPr>
                  <w:tcW w:w="362" w:type="pct"/>
                  <w:vMerge w:val="continue"/>
                  <w:vAlign w:val="center"/>
                </w:tcPr>
                <w:p w14:paraId="557B4C81">
                  <w:pPr>
                    <w:widowControl/>
                    <w:jc w:val="center"/>
                    <w:textAlignment w:val="center"/>
                    <w:rPr>
                      <w:rFonts w:ascii="宋体" w:hAnsi="宋体" w:cs="宋体"/>
                      <w:kern w:val="0"/>
                      <w:sz w:val="21"/>
                      <w:szCs w:val="21"/>
                      <w:lang w:bidi="ar"/>
                    </w:rPr>
                  </w:pPr>
                </w:p>
              </w:tc>
              <w:tc>
                <w:tcPr>
                  <w:tcW w:w="2068" w:type="pct"/>
                  <w:vAlign w:val="center"/>
                </w:tcPr>
                <w:p w14:paraId="201B1EA6">
                  <w:pPr>
                    <w:widowControl/>
                    <w:jc w:val="center"/>
                    <w:textAlignment w:val="center"/>
                    <w:rPr>
                      <w:kern w:val="0"/>
                      <w:sz w:val="21"/>
                      <w:szCs w:val="21"/>
                    </w:rPr>
                  </w:pPr>
                  <w:r>
                    <w:rPr>
                      <w:rFonts w:hint="eastAsia" w:ascii="宋体" w:hAnsi="宋体" w:cs="宋体"/>
                      <w:kern w:val="0"/>
                      <w:sz w:val="21"/>
                      <w:szCs w:val="21"/>
                      <w:lang w:bidi="ar"/>
                    </w:rPr>
                    <w:t>紫外可见分光光度计</w:t>
                  </w:r>
                </w:p>
              </w:tc>
              <w:tc>
                <w:tcPr>
                  <w:tcW w:w="1209" w:type="pct"/>
                  <w:vAlign w:val="center"/>
                </w:tcPr>
                <w:p w14:paraId="571DF466">
                  <w:pPr>
                    <w:widowControl/>
                    <w:jc w:val="center"/>
                    <w:textAlignment w:val="center"/>
                    <w:rPr>
                      <w:kern w:val="0"/>
                      <w:sz w:val="21"/>
                      <w:szCs w:val="21"/>
                    </w:rPr>
                  </w:pPr>
                  <w:r>
                    <w:rPr>
                      <w:kern w:val="0"/>
                      <w:sz w:val="21"/>
                      <w:szCs w:val="21"/>
                      <w:lang w:bidi="ar"/>
                    </w:rPr>
                    <w:t>756P</w:t>
                  </w:r>
                </w:p>
              </w:tc>
              <w:tc>
                <w:tcPr>
                  <w:tcW w:w="507" w:type="pct"/>
                  <w:vAlign w:val="center"/>
                </w:tcPr>
                <w:p w14:paraId="4F2096F3">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6BE49B23">
                  <w:pPr>
                    <w:widowControl/>
                    <w:contextualSpacing/>
                    <w:jc w:val="center"/>
                    <w:rPr>
                      <w:kern w:val="0"/>
                      <w:sz w:val="21"/>
                      <w:szCs w:val="21"/>
                    </w:rPr>
                  </w:pPr>
                </w:p>
              </w:tc>
            </w:tr>
            <w:tr w14:paraId="2E6F5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3623499">
                  <w:pPr>
                    <w:widowControl/>
                    <w:contextualSpacing/>
                    <w:jc w:val="center"/>
                    <w:rPr>
                      <w:kern w:val="0"/>
                      <w:sz w:val="21"/>
                      <w:szCs w:val="21"/>
                    </w:rPr>
                  </w:pPr>
                  <w:r>
                    <w:rPr>
                      <w:rFonts w:hint="eastAsia"/>
                      <w:kern w:val="0"/>
                      <w:sz w:val="21"/>
                      <w:szCs w:val="21"/>
                    </w:rPr>
                    <w:t>10</w:t>
                  </w:r>
                </w:p>
              </w:tc>
              <w:tc>
                <w:tcPr>
                  <w:tcW w:w="362" w:type="pct"/>
                  <w:vMerge w:val="continue"/>
                  <w:vAlign w:val="center"/>
                </w:tcPr>
                <w:p w14:paraId="4B3B582F">
                  <w:pPr>
                    <w:widowControl/>
                    <w:jc w:val="center"/>
                    <w:textAlignment w:val="center"/>
                    <w:rPr>
                      <w:kern w:val="0"/>
                      <w:sz w:val="21"/>
                      <w:szCs w:val="21"/>
                      <w:lang w:bidi="ar"/>
                    </w:rPr>
                  </w:pPr>
                </w:p>
              </w:tc>
              <w:tc>
                <w:tcPr>
                  <w:tcW w:w="2068" w:type="pct"/>
                  <w:vAlign w:val="center"/>
                </w:tcPr>
                <w:p w14:paraId="3B97C87E">
                  <w:pPr>
                    <w:widowControl/>
                    <w:jc w:val="center"/>
                    <w:textAlignment w:val="center"/>
                    <w:rPr>
                      <w:kern w:val="0"/>
                      <w:sz w:val="21"/>
                      <w:szCs w:val="21"/>
                    </w:rPr>
                  </w:pPr>
                  <w:r>
                    <w:rPr>
                      <w:kern w:val="0"/>
                      <w:sz w:val="21"/>
                      <w:szCs w:val="21"/>
                      <w:lang w:bidi="ar"/>
                    </w:rPr>
                    <w:t>pH计</w:t>
                  </w:r>
                </w:p>
              </w:tc>
              <w:tc>
                <w:tcPr>
                  <w:tcW w:w="1209" w:type="pct"/>
                  <w:vAlign w:val="center"/>
                </w:tcPr>
                <w:p w14:paraId="259E1562">
                  <w:pPr>
                    <w:widowControl/>
                    <w:jc w:val="center"/>
                    <w:textAlignment w:val="center"/>
                    <w:rPr>
                      <w:kern w:val="0"/>
                      <w:sz w:val="21"/>
                      <w:szCs w:val="21"/>
                    </w:rPr>
                  </w:pPr>
                  <w:r>
                    <w:rPr>
                      <w:kern w:val="0"/>
                      <w:sz w:val="21"/>
                      <w:szCs w:val="21"/>
                      <w:lang w:bidi="ar"/>
                    </w:rPr>
                    <w:t>S210</w:t>
                  </w:r>
                </w:p>
              </w:tc>
              <w:tc>
                <w:tcPr>
                  <w:tcW w:w="507" w:type="pct"/>
                  <w:vAlign w:val="center"/>
                </w:tcPr>
                <w:p w14:paraId="2FB545E5">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532BCE0A">
                  <w:pPr>
                    <w:widowControl/>
                    <w:contextualSpacing/>
                    <w:jc w:val="center"/>
                    <w:rPr>
                      <w:kern w:val="0"/>
                      <w:sz w:val="21"/>
                      <w:szCs w:val="21"/>
                    </w:rPr>
                  </w:pPr>
                </w:p>
              </w:tc>
            </w:tr>
            <w:tr w14:paraId="0417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494FF634">
                  <w:pPr>
                    <w:widowControl/>
                    <w:contextualSpacing/>
                    <w:jc w:val="center"/>
                    <w:rPr>
                      <w:kern w:val="0"/>
                      <w:sz w:val="21"/>
                      <w:szCs w:val="21"/>
                    </w:rPr>
                  </w:pPr>
                  <w:r>
                    <w:rPr>
                      <w:rFonts w:hint="eastAsia"/>
                      <w:kern w:val="0"/>
                      <w:sz w:val="21"/>
                      <w:szCs w:val="21"/>
                    </w:rPr>
                    <w:t>11</w:t>
                  </w:r>
                </w:p>
              </w:tc>
              <w:tc>
                <w:tcPr>
                  <w:tcW w:w="362" w:type="pct"/>
                  <w:vMerge w:val="continue"/>
                  <w:vAlign w:val="center"/>
                </w:tcPr>
                <w:p w14:paraId="4BC9C798">
                  <w:pPr>
                    <w:widowControl/>
                    <w:jc w:val="center"/>
                    <w:textAlignment w:val="center"/>
                    <w:rPr>
                      <w:kern w:val="0"/>
                      <w:sz w:val="21"/>
                      <w:szCs w:val="21"/>
                      <w:lang w:bidi="ar"/>
                    </w:rPr>
                  </w:pPr>
                </w:p>
              </w:tc>
              <w:tc>
                <w:tcPr>
                  <w:tcW w:w="2068" w:type="pct"/>
                  <w:vAlign w:val="center"/>
                </w:tcPr>
                <w:p w14:paraId="4D10B8BA">
                  <w:pPr>
                    <w:widowControl/>
                    <w:jc w:val="center"/>
                    <w:textAlignment w:val="center"/>
                    <w:rPr>
                      <w:kern w:val="0"/>
                      <w:sz w:val="21"/>
                      <w:szCs w:val="21"/>
                    </w:rPr>
                  </w:pPr>
                  <w:r>
                    <w:rPr>
                      <w:kern w:val="0"/>
                      <w:sz w:val="21"/>
                      <w:szCs w:val="21"/>
                      <w:lang w:bidi="ar"/>
                    </w:rPr>
                    <w:t>电导率仪</w:t>
                  </w:r>
                </w:p>
              </w:tc>
              <w:tc>
                <w:tcPr>
                  <w:tcW w:w="1209" w:type="pct"/>
                  <w:vAlign w:val="center"/>
                </w:tcPr>
                <w:p w14:paraId="22833DD8">
                  <w:pPr>
                    <w:widowControl/>
                    <w:jc w:val="center"/>
                    <w:textAlignment w:val="center"/>
                    <w:rPr>
                      <w:kern w:val="0"/>
                      <w:sz w:val="21"/>
                      <w:szCs w:val="21"/>
                    </w:rPr>
                  </w:pPr>
                  <w:r>
                    <w:rPr>
                      <w:kern w:val="0"/>
                      <w:sz w:val="21"/>
                      <w:szCs w:val="21"/>
                      <w:lang w:bidi="ar"/>
                    </w:rPr>
                    <w:t>DDSJ-308F</w:t>
                  </w:r>
                </w:p>
              </w:tc>
              <w:tc>
                <w:tcPr>
                  <w:tcW w:w="507" w:type="pct"/>
                  <w:vAlign w:val="center"/>
                </w:tcPr>
                <w:p w14:paraId="3C7CD05C">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491A9488">
                  <w:pPr>
                    <w:widowControl/>
                    <w:contextualSpacing/>
                    <w:jc w:val="center"/>
                    <w:rPr>
                      <w:kern w:val="0"/>
                      <w:sz w:val="21"/>
                      <w:szCs w:val="21"/>
                    </w:rPr>
                  </w:pPr>
                </w:p>
              </w:tc>
            </w:tr>
            <w:tr w14:paraId="46504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0CCFE959">
                  <w:pPr>
                    <w:widowControl/>
                    <w:contextualSpacing/>
                    <w:jc w:val="center"/>
                    <w:rPr>
                      <w:kern w:val="0"/>
                      <w:sz w:val="21"/>
                      <w:szCs w:val="21"/>
                    </w:rPr>
                  </w:pPr>
                  <w:r>
                    <w:rPr>
                      <w:rFonts w:hint="eastAsia"/>
                      <w:kern w:val="0"/>
                      <w:sz w:val="21"/>
                      <w:szCs w:val="21"/>
                    </w:rPr>
                    <w:t>12</w:t>
                  </w:r>
                </w:p>
              </w:tc>
              <w:tc>
                <w:tcPr>
                  <w:tcW w:w="362" w:type="pct"/>
                  <w:vMerge w:val="continue"/>
                  <w:vAlign w:val="center"/>
                </w:tcPr>
                <w:p w14:paraId="48469266">
                  <w:pPr>
                    <w:widowControl/>
                    <w:jc w:val="center"/>
                    <w:textAlignment w:val="center"/>
                    <w:rPr>
                      <w:kern w:val="0"/>
                      <w:sz w:val="21"/>
                      <w:szCs w:val="21"/>
                      <w:lang w:bidi="ar"/>
                    </w:rPr>
                  </w:pPr>
                </w:p>
              </w:tc>
              <w:tc>
                <w:tcPr>
                  <w:tcW w:w="2068" w:type="pct"/>
                  <w:vAlign w:val="center"/>
                </w:tcPr>
                <w:p w14:paraId="5827CAB7">
                  <w:pPr>
                    <w:widowControl/>
                    <w:jc w:val="center"/>
                    <w:textAlignment w:val="center"/>
                    <w:rPr>
                      <w:kern w:val="0"/>
                      <w:sz w:val="21"/>
                      <w:szCs w:val="21"/>
                    </w:rPr>
                  </w:pPr>
                  <w:r>
                    <w:rPr>
                      <w:kern w:val="0"/>
                      <w:sz w:val="21"/>
                      <w:szCs w:val="21"/>
                      <w:lang w:bidi="ar"/>
                    </w:rPr>
                    <w:t>离子计</w:t>
                  </w:r>
                </w:p>
              </w:tc>
              <w:tc>
                <w:tcPr>
                  <w:tcW w:w="1209" w:type="pct"/>
                  <w:vAlign w:val="center"/>
                </w:tcPr>
                <w:p w14:paraId="5A52ED6A">
                  <w:pPr>
                    <w:widowControl/>
                    <w:jc w:val="center"/>
                    <w:textAlignment w:val="center"/>
                    <w:rPr>
                      <w:kern w:val="0"/>
                      <w:sz w:val="21"/>
                      <w:szCs w:val="21"/>
                    </w:rPr>
                  </w:pPr>
                  <w:r>
                    <w:rPr>
                      <w:kern w:val="0"/>
                      <w:sz w:val="21"/>
                      <w:szCs w:val="21"/>
                      <w:lang w:bidi="ar"/>
                    </w:rPr>
                    <w:t>PXSJ-216F</w:t>
                  </w:r>
                </w:p>
              </w:tc>
              <w:tc>
                <w:tcPr>
                  <w:tcW w:w="507" w:type="pct"/>
                  <w:vAlign w:val="center"/>
                </w:tcPr>
                <w:p w14:paraId="4977338C">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56214DF8">
                  <w:pPr>
                    <w:widowControl/>
                    <w:contextualSpacing/>
                    <w:jc w:val="center"/>
                    <w:rPr>
                      <w:kern w:val="0"/>
                      <w:sz w:val="21"/>
                      <w:szCs w:val="21"/>
                    </w:rPr>
                  </w:pPr>
                </w:p>
              </w:tc>
            </w:tr>
            <w:tr w14:paraId="64D1B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47DDCA8">
                  <w:pPr>
                    <w:widowControl/>
                    <w:contextualSpacing/>
                    <w:jc w:val="center"/>
                    <w:rPr>
                      <w:kern w:val="0"/>
                      <w:sz w:val="21"/>
                      <w:szCs w:val="21"/>
                    </w:rPr>
                  </w:pPr>
                  <w:r>
                    <w:rPr>
                      <w:rFonts w:hint="eastAsia"/>
                      <w:kern w:val="0"/>
                      <w:sz w:val="21"/>
                      <w:szCs w:val="21"/>
                    </w:rPr>
                    <w:t>13</w:t>
                  </w:r>
                </w:p>
              </w:tc>
              <w:tc>
                <w:tcPr>
                  <w:tcW w:w="362" w:type="pct"/>
                  <w:vMerge w:val="continue"/>
                  <w:vAlign w:val="center"/>
                </w:tcPr>
                <w:p w14:paraId="0D1CD95C">
                  <w:pPr>
                    <w:widowControl/>
                    <w:jc w:val="center"/>
                    <w:textAlignment w:val="center"/>
                    <w:rPr>
                      <w:kern w:val="0"/>
                      <w:sz w:val="21"/>
                      <w:szCs w:val="21"/>
                      <w:lang w:bidi="ar"/>
                    </w:rPr>
                  </w:pPr>
                </w:p>
              </w:tc>
              <w:tc>
                <w:tcPr>
                  <w:tcW w:w="2068" w:type="pct"/>
                  <w:vAlign w:val="center"/>
                </w:tcPr>
                <w:p w14:paraId="77A1DED5">
                  <w:pPr>
                    <w:widowControl/>
                    <w:jc w:val="center"/>
                    <w:textAlignment w:val="center"/>
                    <w:rPr>
                      <w:kern w:val="0"/>
                      <w:sz w:val="21"/>
                      <w:szCs w:val="21"/>
                    </w:rPr>
                  </w:pPr>
                  <w:r>
                    <w:rPr>
                      <w:kern w:val="0"/>
                      <w:sz w:val="21"/>
                      <w:szCs w:val="21"/>
                      <w:lang w:bidi="ar"/>
                    </w:rPr>
                    <w:t>立式压力蒸汽灭菌锅</w:t>
                  </w:r>
                </w:p>
              </w:tc>
              <w:tc>
                <w:tcPr>
                  <w:tcW w:w="1209" w:type="pct"/>
                  <w:vAlign w:val="center"/>
                </w:tcPr>
                <w:p w14:paraId="21DA8EE3">
                  <w:pPr>
                    <w:widowControl/>
                    <w:jc w:val="center"/>
                    <w:textAlignment w:val="center"/>
                    <w:rPr>
                      <w:kern w:val="0"/>
                      <w:sz w:val="21"/>
                      <w:szCs w:val="21"/>
                    </w:rPr>
                  </w:pPr>
                  <w:r>
                    <w:rPr>
                      <w:kern w:val="0"/>
                      <w:sz w:val="21"/>
                      <w:szCs w:val="21"/>
                      <w:lang w:bidi="ar"/>
                    </w:rPr>
                    <w:t>YXQ-LS-50SⅡ</w:t>
                  </w:r>
                </w:p>
              </w:tc>
              <w:tc>
                <w:tcPr>
                  <w:tcW w:w="507" w:type="pct"/>
                  <w:vAlign w:val="center"/>
                </w:tcPr>
                <w:p w14:paraId="4FFA7AE6">
                  <w:pPr>
                    <w:widowControl/>
                    <w:contextualSpacing/>
                    <w:jc w:val="center"/>
                    <w:rPr>
                      <w:kern w:val="0"/>
                      <w:sz w:val="21"/>
                      <w:szCs w:val="21"/>
                    </w:rPr>
                  </w:pPr>
                  <w:r>
                    <w:rPr>
                      <w:rFonts w:hint="eastAsia"/>
                      <w:kern w:val="0"/>
                      <w:sz w:val="21"/>
                      <w:szCs w:val="21"/>
                    </w:rPr>
                    <w:t>2台</w:t>
                  </w:r>
                </w:p>
              </w:tc>
              <w:tc>
                <w:tcPr>
                  <w:tcW w:w="497" w:type="pct"/>
                  <w:vMerge w:val="continue"/>
                  <w:vAlign w:val="center"/>
                </w:tcPr>
                <w:p w14:paraId="4E17C408">
                  <w:pPr>
                    <w:widowControl/>
                    <w:contextualSpacing/>
                    <w:jc w:val="center"/>
                    <w:rPr>
                      <w:kern w:val="0"/>
                      <w:sz w:val="21"/>
                      <w:szCs w:val="21"/>
                    </w:rPr>
                  </w:pPr>
                </w:p>
              </w:tc>
            </w:tr>
            <w:tr w14:paraId="01C6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2DE0746">
                  <w:pPr>
                    <w:widowControl/>
                    <w:contextualSpacing/>
                    <w:jc w:val="center"/>
                    <w:rPr>
                      <w:kern w:val="0"/>
                      <w:sz w:val="21"/>
                      <w:szCs w:val="21"/>
                    </w:rPr>
                  </w:pPr>
                  <w:r>
                    <w:rPr>
                      <w:rFonts w:hint="eastAsia"/>
                      <w:kern w:val="0"/>
                      <w:sz w:val="21"/>
                      <w:szCs w:val="21"/>
                    </w:rPr>
                    <w:t>14</w:t>
                  </w:r>
                </w:p>
              </w:tc>
              <w:tc>
                <w:tcPr>
                  <w:tcW w:w="362" w:type="pct"/>
                  <w:vMerge w:val="continue"/>
                  <w:vAlign w:val="center"/>
                </w:tcPr>
                <w:p w14:paraId="6491378A">
                  <w:pPr>
                    <w:widowControl/>
                    <w:jc w:val="center"/>
                    <w:textAlignment w:val="center"/>
                    <w:rPr>
                      <w:kern w:val="0"/>
                      <w:sz w:val="21"/>
                      <w:szCs w:val="21"/>
                      <w:lang w:bidi="ar"/>
                    </w:rPr>
                  </w:pPr>
                </w:p>
              </w:tc>
              <w:tc>
                <w:tcPr>
                  <w:tcW w:w="2068" w:type="pct"/>
                  <w:vAlign w:val="center"/>
                </w:tcPr>
                <w:p w14:paraId="735AE940">
                  <w:pPr>
                    <w:widowControl/>
                    <w:jc w:val="center"/>
                    <w:textAlignment w:val="center"/>
                    <w:rPr>
                      <w:kern w:val="0"/>
                      <w:sz w:val="21"/>
                      <w:szCs w:val="21"/>
                    </w:rPr>
                  </w:pPr>
                  <w:r>
                    <w:rPr>
                      <w:rFonts w:hint="eastAsia"/>
                      <w:kern w:val="0"/>
                      <w:sz w:val="21"/>
                      <w:szCs w:val="21"/>
                      <w:lang w:bidi="ar"/>
                    </w:rPr>
                    <w:t>超</w:t>
                  </w:r>
                  <w:r>
                    <w:rPr>
                      <w:kern w:val="0"/>
                      <w:sz w:val="21"/>
                      <w:szCs w:val="21"/>
                      <w:lang w:bidi="ar"/>
                    </w:rPr>
                    <w:t>纯水</w:t>
                  </w:r>
                  <w:r>
                    <w:rPr>
                      <w:rFonts w:hint="eastAsia"/>
                      <w:kern w:val="0"/>
                      <w:sz w:val="21"/>
                      <w:szCs w:val="21"/>
                      <w:lang w:bidi="ar"/>
                    </w:rPr>
                    <w:t>机</w:t>
                  </w:r>
                </w:p>
              </w:tc>
              <w:tc>
                <w:tcPr>
                  <w:tcW w:w="1209" w:type="pct"/>
                  <w:vAlign w:val="center"/>
                </w:tcPr>
                <w:p w14:paraId="028135EA">
                  <w:pPr>
                    <w:widowControl/>
                    <w:jc w:val="center"/>
                    <w:textAlignment w:val="center"/>
                    <w:rPr>
                      <w:kern w:val="0"/>
                      <w:sz w:val="21"/>
                      <w:szCs w:val="21"/>
                    </w:rPr>
                  </w:pPr>
                  <w:r>
                    <w:rPr>
                      <w:kern w:val="0"/>
                      <w:sz w:val="21"/>
                      <w:szCs w:val="21"/>
                      <w:lang w:bidi="ar"/>
                    </w:rPr>
                    <w:t>明澈-D24UV</w:t>
                  </w:r>
                </w:p>
              </w:tc>
              <w:tc>
                <w:tcPr>
                  <w:tcW w:w="507" w:type="pct"/>
                  <w:vAlign w:val="center"/>
                </w:tcPr>
                <w:p w14:paraId="65AF6A8D">
                  <w:pPr>
                    <w:widowControl/>
                    <w:contextualSpacing/>
                    <w:jc w:val="center"/>
                    <w:rPr>
                      <w:kern w:val="0"/>
                      <w:sz w:val="21"/>
                      <w:szCs w:val="21"/>
                    </w:rPr>
                  </w:pPr>
                  <w:r>
                    <w:rPr>
                      <w:rFonts w:hint="eastAsia"/>
                      <w:kern w:val="0"/>
                      <w:sz w:val="21"/>
                      <w:szCs w:val="21"/>
                    </w:rPr>
                    <w:t>1台</w:t>
                  </w:r>
                </w:p>
              </w:tc>
              <w:tc>
                <w:tcPr>
                  <w:tcW w:w="497" w:type="pct"/>
                  <w:vMerge w:val="continue"/>
                  <w:vAlign w:val="center"/>
                </w:tcPr>
                <w:p w14:paraId="7290E26C">
                  <w:pPr>
                    <w:widowControl/>
                    <w:contextualSpacing/>
                    <w:jc w:val="center"/>
                    <w:rPr>
                      <w:kern w:val="0"/>
                      <w:sz w:val="21"/>
                      <w:szCs w:val="21"/>
                    </w:rPr>
                  </w:pPr>
                </w:p>
              </w:tc>
            </w:tr>
            <w:tr w14:paraId="0C91F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2414FA94">
                  <w:pPr>
                    <w:widowControl/>
                    <w:contextualSpacing/>
                    <w:jc w:val="center"/>
                    <w:rPr>
                      <w:kern w:val="0"/>
                      <w:sz w:val="21"/>
                      <w:szCs w:val="21"/>
                    </w:rPr>
                  </w:pPr>
                  <w:r>
                    <w:rPr>
                      <w:rFonts w:hint="eastAsia"/>
                      <w:kern w:val="0"/>
                      <w:sz w:val="21"/>
                      <w:szCs w:val="21"/>
                    </w:rPr>
                    <w:t>15</w:t>
                  </w:r>
                </w:p>
              </w:tc>
              <w:tc>
                <w:tcPr>
                  <w:tcW w:w="362" w:type="pct"/>
                  <w:vMerge w:val="continue"/>
                  <w:vAlign w:val="center"/>
                </w:tcPr>
                <w:p w14:paraId="2FD041D4">
                  <w:pPr>
                    <w:widowControl/>
                    <w:jc w:val="center"/>
                    <w:textAlignment w:val="center"/>
                    <w:rPr>
                      <w:kern w:val="0"/>
                      <w:sz w:val="21"/>
                      <w:szCs w:val="21"/>
                      <w:lang w:bidi="ar"/>
                    </w:rPr>
                  </w:pPr>
                </w:p>
              </w:tc>
              <w:tc>
                <w:tcPr>
                  <w:tcW w:w="2068" w:type="pct"/>
                  <w:vAlign w:val="center"/>
                </w:tcPr>
                <w:p w14:paraId="73D96678">
                  <w:pPr>
                    <w:widowControl/>
                    <w:jc w:val="center"/>
                    <w:textAlignment w:val="center"/>
                    <w:rPr>
                      <w:kern w:val="0"/>
                      <w:sz w:val="21"/>
                      <w:szCs w:val="21"/>
                    </w:rPr>
                  </w:pPr>
                  <w:r>
                    <w:rPr>
                      <w:kern w:val="0"/>
                      <w:sz w:val="21"/>
                      <w:szCs w:val="21"/>
                      <w:lang w:bidi="ar"/>
                    </w:rPr>
                    <w:t>电热鼓风干燥箱</w:t>
                  </w:r>
                </w:p>
              </w:tc>
              <w:tc>
                <w:tcPr>
                  <w:tcW w:w="1209" w:type="pct"/>
                  <w:vAlign w:val="center"/>
                </w:tcPr>
                <w:p w14:paraId="19CF8D4E">
                  <w:pPr>
                    <w:widowControl/>
                    <w:jc w:val="center"/>
                    <w:textAlignment w:val="center"/>
                    <w:rPr>
                      <w:kern w:val="0"/>
                      <w:sz w:val="21"/>
                      <w:szCs w:val="21"/>
                    </w:rPr>
                  </w:pPr>
                  <w:r>
                    <w:rPr>
                      <w:kern w:val="0"/>
                      <w:sz w:val="21"/>
                      <w:szCs w:val="21"/>
                      <w:lang w:bidi="ar"/>
                    </w:rPr>
                    <w:t>GZX-9146 MBE</w:t>
                  </w:r>
                </w:p>
              </w:tc>
              <w:tc>
                <w:tcPr>
                  <w:tcW w:w="507" w:type="pct"/>
                  <w:vAlign w:val="center"/>
                </w:tcPr>
                <w:p w14:paraId="56258006">
                  <w:pPr>
                    <w:widowControl/>
                    <w:contextualSpacing/>
                    <w:jc w:val="center"/>
                    <w:rPr>
                      <w:kern w:val="0"/>
                      <w:sz w:val="21"/>
                      <w:szCs w:val="21"/>
                    </w:rPr>
                  </w:pPr>
                  <w:r>
                    <w:rPr>
                      <w:rFonts w:hint="eastAsia"/>
                      <w:kern w:val="0"/>
                      <w:sz w:val="21"/>
                      <w:szCs w:val="21"/>
                    </w:rPr>
                    <w:t>2台</w:t>
                  </w:r>
                </w:p>
              </w:tc>
              <w:tc>
                <w:tcPr>
                  <w:tcW w:w="497" w:type="pct"/>
                  <w:vMerge w:val="continue"/>
                  <w:vAlign w:val="center"/>
                </w:tcPr>
                <w:p w14:paraId="15DACB63">
                  <w:pPr>
                    <w:widowControl/>
                    <w:contextualSpacing/>
                    <w:jc w:val="center"/>
                    <w:rPr>
                      <w:kern w:val="0"/>
                      <w:sz w:val="21"/>
                      <w:szCs w:val="21"/>
                    </w:rPr>
                  </w:pPr>
                </w:p>
              </w:tc>
            </w:tr>
            <w:tr w14:paraId="6334B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11FAA63">
                  <w:pPr>
                    <w:widowControl/>
                    <w:contextualSpacing/>
                    <w:jc w:val="center"/>
                    <w:rPr>
                      <w:kern w:val="0"/>
                      <w:sz w:val="21"/>
                      <w:szCs w:val="21"/>
                    </w:rPr>
                  </w:pPr>
                  <w:r>
                    <w:rPr>
                      <w:rFonts w:hint="eastAsia"/>
                      <w:kern w:val="0"/>
                      <w:sz w:val="21"/>
                      <w:szCs w:val="21"/>
                    </w:rPr>
                    <w:t>16</w:t>
                  </w:r>
                </w:p>
              </w:tc>
              <w:tc>
                <w:tcPr>
                  <w:tcW w:w="362" w:type="pct"/>
                  <w:vMerge w:val="continue"/>
                  <w:vAlign w:val="center"/>
                </w:tcPr>
                <w:p w14:paraId="56FAFF20">
                  <w:pPr>
                    <w:widowControl/>
                    <w:jc w:val="center"/>
                    <w:textAlignment w:val="center"/>
                    <w:rPr>
                      <w:rFonts w:ascii="宋体" w:hAnsi="宋体" w:cs="宋体"/>
                      <w:kern w:val="0"/>
                      <w:sz w:val="21"/>
                      <w:szCs w:val="21"/>
                      <w:lang w:bidi="ar"/>
                    </w:rPr>
                  </w:pPr>
                </w:p>
              </w:tc>
              <w:tc>
                <w:tcPr>
                  <w:tcW w:w="2068" w:type="pct"/>
                  <w:vAlign w:val="center"/>
                </w:tcPr>
                <w:p w14:paraId="4C9C31F9">
                  <w:pPr>
                    <w:widowControl/>
                    <w:jc w:val="center"/>
                    <w:textAlignment w:val="center"/>
                    <w:rPr>
                      <w:sz w:val="21"/>
                      <w:szCs w:val="21"/>
                    </w:rPr>
                  </w:pPr>
                  <w:r>
                    <w:rPr>
                      <w:rFonts w:hint="eastAsia" w:ascii="宋体" w:hAnsi="宋体" w:cs="宋体"/>
                      <w:kern w:val="0"/>
                      <w:sz w:val="21"/>
                      <w:szCs w:val="21"/>
                      <w:lang w:bidi="ar"/>
                    </w:rPr>
                    <w:t>车载冰箱</w:t>
                  </w:r>
                </w:p>
              </w:tc>
              <w:tc>
                <w:tcPr>
                  <w:tcW w:w="1209" w:type="pct"/>
                  <w:vAlign w:val="center"/>
                </w:tcPr>
                <w:p w14:paraId="717AE914">
                  <w:pPr>
                    <w:widowControl/>
                    <w:jc w:val="center"/>
                    <w:textAlignment w:val="center"/>
                    <w:rPr>
                      <w:sz w:val="21"/>
                      <w:szCs w:val="21"/>
                    </w:rPr>
                  </w:pPr>
                  <w:r>
                    <w:rPr>
                      <w:kern w:val="0"/>
                      <w:sz w:val="21"/>
                      <w:szCs w:val="21"/>
                      <w:lang w:bidi="ar"/>
                    </w:rPr>
                    <w:t>C15/C20（40L）</w:t>
                  </w:r>
                </w:p>
              </w:tc>
              <w:tc>
                <w:tcPr>
                  <w:tcW w:w="507" w:type="pct"/>
                  <w:vAlign w:val="center"/>
                </w:tcPr>
                <w:p w14:paraId="67A1EA5F">
                  <w:pPr>
                    <w:widowControl/>
                    <w:jc w:val="center"/>
                    <w:textAlignment w:val="center"/>
                    <w:rPr>
                      <w:sz w:val="21"/>
                      <w:szCs w:val="21"/>
                    </w:rPr>
                  </w:pPr>
                  <w:r>
                    <w:rPr>
                      <w:rFonts w:hint="eastAsia"/>
                      <w:kern w:val="0"/>
                      <w:sz w:val="21"/>
                      <w:szCs w:val="21"/>
                    </w:rPr>
                    <w:t>1</w:t>
                  </w:r>
                  <w:r>
                    <w:rPr>
                      <w:kern w:val="0"/>
                      <w:sz w:val="21"/>
                      <w:szCs w:val="21"/>
                    </w:rPr>
                    <w:t>0</w:t>
                  </w:r>
                  <w:r>
                    <w:rPr>
                      <w:rFonts w:hint="eastAsia"/>
                      <w:kern w:val="0"/>
                      <w:sz w:val="21"/>
                      <w:szCs w:val="21"/>
                    </w:rPr>
                    <w:t>台</w:t>
                  </w:r>
                </w:p>
              </w:tc>
              <w:tc>
                <w:tcPr>
                  <w:tcW w:w="497" w:type="pct"/>
                  <w:vMerge w:val="continue"/>
                  <w:vAlign w:val="center"/>
                </w:tcPr>
                <w:p w14:paraId="6146C381">
                  <w:pPr>
                    <w:widowControl/>
                    <w:jc w:val="center"/>
                    <w:textAlignment w:val="center"/>
                    <w:rPr>
                      <w:kern w:val="0"/>
                      <w:sz w:val="21"/>
                      <w:szCs w:val="21"/>
                      <w:lang w:bidi="ar"/>
                    </w:rPr>
                  </w:pPr>
                </w:p>
              </w:tc>
            </w:tr>
            <w:tr w14:paraId="0FD41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40EB5DBA">
                  <w:pPr>
                    <w:widowControl/>
                    <w:contextualSpacing/>
                    <w:jc w:val="center"/>
                    <w:rPr>
                      <w:kern w:val="0"/>
                      <w:sz w:val="21"/>
                      <w:szCs w:val="21"/>
                    </w:rPr>
                  </w:pPr>
                  <w:r>
                    <w:rPr>
                      <w:rFonts w:hint="eastAsia"/>
                      <w:kern w:val="0"/>
                      <w:sz w:val="21"/>
                      <w:szCs w:val="21"/>
                    </w:rPr>
                    <w:t>17</w:t>
                  </w:r>
                </w:p>
              </w:tc>
              <w:tc>
                <w:tcPr>
                  <w:tcW w:w="362" w:type="pct"/>
                  <w:vMerge w:val="continue"/>
                  <w:vAlign w:val="center"/>
                </w:tcPr>
                <w:p w14:paraId="730F0110">
                  <w:pPr>
                    <w:widowControl/>
                    <w:jc w:val="center"/>
                    <w:textAlignment w:val="center"/>
                    <w:rPr>
                      <w:kern w:val="0"/>
                      <w:sz w:val="21"/>
                      <w:szCs w:val="21"/>
                      <w:lang w:bidi="ar"/>
                    </w:rPr>
                  </w:pPr>
                </w:p>
              </w:tc>
              <w:tc>
                <w:tcPr>
                  <w:tcW w:w="2068" w:type="pct"/>
                  <w:vAlign w:val="center"/>
                </w:tcPr>
                <w:p w14:paraId="5FF9A4C1">
                  <w:pPr>
                    <w:widowControl/>
                    <w:jc w:val="center"/>
                    <w:textAlignment w:val="center"/>
                    <w:rPr>
                      <w:sz w:val="21"/>
                      <w:szCs w:val="21"/>
                    </w:rPr>
                  </w:pPr>
                  <w:r>
                    <w:rPr>
                      <w:kern w:val="0"/>
                      <w:sz w:val="21"/>
                      <w:szCs w:val="21"/>
                      <w:lang w:bidi="ar"/>
                    </w:rPr>
                    <w:t>离子色谱仪</w:t>
                  </w:r>
                </w:p>
              </w:tc>
              <w:tc>
                <w:tcPr>
                  <w:tcW w:w="1209" w:type="pct"/>
                  <w:vAlign w:val="center"/>
                </w:tcPr>
                <w:p w14:paraId="355E8CA0">
                  <w:pPr>
                    <w:widowControl/>
                    <w:jc w:val="center"/>
                    <w:textAlignment w:val="center"/>
                    <w:rPr>
                      <w:sz w:val="21"/>
                      <w:szCs w:val="21"/>
                    </w:rPr>
                  </w:pPr>
                  <w:r>
                    <w:rPr>
                      <w:kern w:val="0"/>
                      <w:sz w:val="21"/>
                      <w:szCs w:val="21"/>
                      <w:lang w:bidi="ar"/>
                    </w:rPr>
                    <w:t>CIC-D120</w:t>
                  </w:r>
                </w:p>
              </w:tc>
              <w:tc>
                <w:tcPr>
                  <w:tcW w:w="507" w:type="pct"/>
                  <w:vAlign w:val="center"/>
                </w:tcPr>
                <w:p w14:paraId="1E717F37">
                  <w:pPr>
                    <w:widowControl/>
                    <w:jc w:val="center"/>
                    <w:textAlignment w:val="center"/>
                    <w:rPr>
                      <w:sz w:val="21"/>
                      <w:szCs w:val="21"/>
                    </w:rPr>
                  </w:pPr>
                  <w:r>
                    <w:rPr>
                      <w:rFonts w:hint="eastAsia"/>
                      <w:kern w:val="0"/>
                      <w:sz w:val="21"/>
                      <w:szCs w:val="21"/>
                    </w:rPr>
                    <w:t>1台</w:t>
                  </w:r>
                </w:p>
              </w:tc>
              <w:tc>
                <w:tcPr>
                  <w:tcW w:w="497" w:type="pct"/>
                  <w:vMerge w:val="continue"/>
                  <w:vAlign w:val="center"/>
                </w:tcPr>
                <w:p w14:paraId="6868B43F">
                  <w:pPr>
                    <w:widowControl/>
                    <w:jc w:val="center"/>
                    <w:textAlignment w:val="center"/>
                    <w:rPr>
                      <w:kern w:val="0"/>
                      <w:sz w:val="21"/>
                      <w:szCs w:val="21"/>
                      <w:lang w:bidi="ar"/>
                    </w:rPr>
                  </w:pPr>
                </w:p>
              </w:tc>
            </w:tr>
            <w:tr w14:paraId="2F45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5D19BA73">
                  <w:pPr>
                    <w:widowControl/>
                    <w:contextualSpacing/>
                    <w:jc w:val="center"/>
                    <w:rPr>
                      <w:kern w:val="0"/>
                      <w:sz w:val="21"/>
                      <w:szCs w:val="21"/>
                    </w:rPr>
                  </w:pPr>
                  <w:r>
                    <w:rPr>
                      <w:rFonts w:hint="eastAsia"/>
                      <w:kern w:val="0"/>
                      <w:sz w:val="21"/>
                      <w:szCs w:val="21"/>
                    </w:rPr>
                    <w:t>18</w:t>
                  </w:r>
                </w:p>
              </w:tc>
              <w:tc>
                <w:tcPr>
                  <w:tcW w:w="362" w:type="pct"/>
                  <w:vMerge w:val="continue"/>
                  <w:vAlign w:val="center"/>
                </w:tcPr>
                <w:p w14:paraId="5B22E931">
                  <w:pPr>
                    <w:widowControl/>
                    <w:jc w:val="center"/>
                    <w:textAlignment w:val="center"/>
                    <w:rPr>
                      <w:kern w:val="0"/>
                      <w:sz w:val="21"/>
                      <w:szCs w:val="21"/>
                      <w:lang w:bidi="ar"/>
                    </w:rPr>
                  </w:pPr>
                </w:p>
              </w:tc>
              <w:tc>
                <w:tcPr>
                  <w:tcW w:w="2068" w:type="pct"/>
                  <w:vAlign w:val="center"/>
                </w:tcPr>
                <w:p w14:paraId="5ABCFF77">
                  <w:pPr>
                    <w:widowControl/>
                    <w:jc w:val="center"/>
                    <w:textAlignment w:val="center"/>
                    <w:rPr>
                      <w:sz w:val="21"/>
                      <w:szCs w:val="21"/>
                    </w:rPr>
                  </w:pPr>
                  <w:r>
                    <w:rPr>
                      <w:kern w:val="0"/>
                      <w:sz w:val="21"/>
                      <w:szCs w:val="21"/>
                      <w:lang w:bidi="ar"/>
                    </w:rPr>
                    <w:t>环境振动分析仪</w:t>
                  </w:r>
                </w:p>
              </w:tc>
              <w:tc>
                <w:tcPr>
                  <w:tcW w:w="1209" w:type="pct"/>
                  <w:vAlign w:val="center"/>
                </w:tcPr>
                <w:p w14:paraId="4FEDCDDE">
                  <w:pPr>
                    <w:widowControl/>
                    <w:jc w:val="center"/>
                    <w:textAlignment w:val="center"/>
                    <w:rPr>
                      <w:sz w:val="21"/>
                      <w:szCs w:val="21"/>
                    </w:rPr>
                  </w:pPr>
                  <w:r>
                    <w:rPr>
                      <w:kern w:val="0"/>
                      <w:sz w:val="21"/>
                      <w:szCs w:val="21"/>
                      <w:lang w:bidi="ar"/>
                    </w:rPr>
                    <w:t>AWA6256B+</w:t>
                  </w:r>
                </w:p>
              </w:tc>
              <w:tc>
                <w:tcPr>
                  <w:tcW w:w="507" w:type="pct"/>
                  <w:vAlign w:val="center"/>
                </w:tcPr>
                <w:p w14:paraId="6B01B23F">
                  <w:pPr>
                    <w:widowControl/>
                    <w:jc w:val="center"/>
                    <w:textAlignment w:val="center"/>
                    <w:rPr>
                      <w:sz w:val="21"/>
                      <w:szCs w:val="21"/>
                    </w:rPr>
                  </w:pPr>
                  <w:r>
                    <w:rPr>
                      <w:rFonts w:hint="eastAsia"/>
                      <w:kern w:val="0"/>
                      <w:sz w:val="21"/>
                      <w:szCs w:val="21"/>
                    </w:rPr>
                    <w:t>1台</w:t>
                  </w:r>
                </w:p>
              </w:tc>
              <w:tc>
                <w:tcPr>
                  <w:tcW w:w="497" w:type="pct"/>
                  <w:vMerge w:val="continue"/>
                  <w:vAlign w:val="center"/>
                </w:tcPr>
                <w:p w14:paraId="083E4ADE">
                  <w:pPr>
                    <w:widowControl/>
                    <w:jc w:val="center"/>
                    <w:textAlignment w:val="center"/>
                    <w:rPr>
                      <w:kern w:val="0"/>
                      <w:sz w:val="21"/>
                      <w:szCs w:val="21"/>
                      <w:lang w:bidi="ar"/>
                    </w:rPr>
                  </w:pPr>
                </w:p>
              </w:tc>
            </w:tr>
            <w:tr w14:paraId="4CC39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4D859DC2">
                  <w:pPr>
                    <w:widowControl/>
                    <w:contextualSpacing/>
                    <w:jc w:val="center"/>
                    <w:rPr>
                      <w:kern w:val="0"/>
                      <w:sz w:val="21"/>
                      <w:szCs w:val="21"/>
                    </w:rPr>
                  </w:pPr>
                  <w:r>
                    <w:rPr>
                      <w:rFonts w:hint="eastAsia"/>
                      <w:kern w:val="0"/>
                      <w:sz w:val="21"/>
                      <w:szCs w:val="21"/>
                    </w:rPr>
                    <w:t>19</w:t>
                  </w:r>
                </w:p>
              </w:tc>
              <w:tc>
                <w:tcPr>
                  <w:tcW w:w="362" w:type="pct"/>
                  <w:vMerge w:val="continue"/>
                  <w:vAlign w:val="center"/>
                </w:tcPr>
                <w:p w14:paraId="175682C1">
                  <w:pPr>
                    <w:widowControl/>
                    <w:jc w:val="center"/>
                    <w:textAlignment w:val="center"/>
                    <w:rPr>
                      <w:kern w:val="0"/>
                      <w:sz w:val="21"/>
                      <w:szCs w:val="21"/>
                      <w:lang w:bidi="ar"/>
                    </w:rPr>
                  </w:pPr>
                </w:p>
              </w:tc>
              <w:tc>
                <w:tcPr>
                  <w:tcW w:w="2068" w:type="pct"/>
                  <w:vMerge w:val="restart"/>
                  <w:vAlign w:val="center"/>
                </w:tcPr>
                <w:p w14:paraId="1372268F">
                  <w:pPr>
                    <w:widowControl/>
                    <w:jc w:val="center"/>
                    <w:textAlignment w:val="center"/>
                    <w:rPr>
                      <w:sz w:val="21"/>
                      <w:szCs w:val="21"/>
                    </w:rPr>
                  </w:pPr>
                  <w:r>
                    <w:rPr>
                      <w:kern w:val="0"/>
                      <w:sz w:val="21"/>
                      <w:szCs w:val="21"/>
                      <w:lang w:bidi="ar"/>
                    </w:rPr>
                    <w:t>便携式红外线气体分析器</w:t>
                  </w:r>
                </w:p>
              </w:tc>
              <w:tc>
                <w:tcPr>
                  <w:tcW w:w="1209" w:type="pct"/>
                  <w:vAlign w:val="center"/>
                </w:tcPr>
                <w:p w14:paraId="2DA87CC6">
                  <w:pPr>
                    <w:widowControl/>
                    <w:jc w:val="center"/>
                    <w:textAlignment w:val="center"/>
                    <w:rPr>
                      <w:sz w:val="21"/>
                      <w:szCs w:val="21"/>
                    </w:rPr>
                  </w:pPr>
                  <w:r>
                    <w:rPr>
                      <w:kern w:val="0"/>
                      <w:sz w:val="21"/>
                      <w:szCs w:val="21"/>
                      <w:lang w:bidi="ar"/>
                    </w:rPr>
                    <w:t>GXH-3010/3011BF</w:t>
                  </w:r>
                </w:p>
              </w:tc>
              <w:tc>
                <w:tcPr>
                  <w:tcW w:w="507" w:type="pct"/>
                  <w:vAlign w:val="center"/>
                </w:tcPr>
                <w:p w14:paraId="458BE62B">
                  <w:pPr>
                    <w:widowControl/>
                    <w:jc w:val="center"/>
                    <w:textAlignment w:val="center"/>
                    <w:rPr>
                      <w:sz w:val="21"/>
                      <w:szCs w:val="21"/>
                    </w:rPr>
                  </w:pPr>
                  <w:r>
                    <w:rPr>
                      <w:rFonts w:hint="eastAsia"/>
                      <w:kern w:val="0"/>
                      <w:sz w:val="21"/>
                      <w:szCs w:val="21"/>
                    </w:rPr>
                    <w:t>1台</w:t>
                  </w:r>
                </w:p>
              </w:tc>
              <w:tc>
                <w:tcPr>
                  <w:tcW w:w="497" w:type="pct"/>
                  <w:vMerge w:val="continue"/>
                  <w:vAlign w:val="center"/>
                </w:tcPr>
                <w:p w14:paraId="6C1B76AE">
                  <w:pPr>
                    <w:widowControl/>
                    <w:jc w:val="center"/>
                    <w:textAlignment w:val="center"/>
                    <w:rPr>
                      <w:kern w:val="0"/>
                      <w:sz w:val="21"/>
                      <w:szCs w:val="21"/>
                      <w:lang w:bidi="ar"/>
                    </w:rPr>
                  </w:pPr>
                </w:p>
              </w:tc>
            </w:tr>
            <w:tr w14:paraId="53CBC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0BF52C42">
                  <w:pPr>
                    <w:widowControl/>
                    <w:contextualSpacing/>
                    <w:jc w:val="center"/>
                    <w:rPr>
                      <w:kern w:val="0"/>
                      <w:sz w:val="21"/>
                      <w:szCs w:val="21"/>
                    </w:rPr>
                  </w:pPr>
                </w:p>
              </w:tc>
              <w:tc>
                <w:tcPr>
                  <w:tcW w:w="362" w:type="pct"/>
                  <w:vMerge w:val="continue"/>
                  <w:vAlign w:val="center"/>
                </w:tcPr>
                <w:p w14:paraId="1D4BAE8D">
                  <w:pPr>
                    <w:widowControl/>
                    <w:jc w:val="center"/>
                    <w:textAlignment w:val="center"/>
                    <w:rPr>
                      <w:sz w:val="21"/>
                      <w:szCs w:val="21"/>
                    </w:rPr>
                  </w:pPr>
                </w:p>
              </w:tc>
              <w:tc>
                <w:tcPr>
                  <w:tcW w:w="2068" w:type="pct"/>
                  <w:vMerge w:val="continue"/>
                  <w:vAlign w:val="center"/>
                </w:tcPr>
                <w:p w14:paraId="1E53060E">
                  <w:pPr>
                    <w:widowControl/>
                    <w:jc w:val="center"/>
                    <w:textAlignment w:val="center"/>
                    <w:rPr>
                      <w:sz w:val="21"/>
                      <w:szCs w:val="21"/>
                    </w:rPr>
                  </w:pPr>
                </w:p>
              </w:tc>
              <w:tc>
                <w:tcPr>
                  <w:tcW w:w="1209" w:type="pct"/>
                  <w:vAlign w:val="center"/>
                </w:tcPr>
                <w:p w14:paraId="68D80A25">
                  <w:pPr>
                    <w:widowControl/>
                    <w:jc w:val="center"/>
                    <w:textAlignment w:val="center"/>
                    <w:rPr>
                      <w:sz w:val="21"/>
                      <w:szCs w:val="21"/>
                    </w:rPr>
                  </w:pPr>
                  <w:r>
                    <w:rPr>
                      <w:kern w:val="0"/>
                      <w:sz w:val="21"/>
                      <w:szCs w:val="21"/>
                      <w:lang w:bidi="ar"/>
                    </w:rPr>
                    <w:t>GXH-3010/3011AE</w:t>
                  </w:r>
                </w:p>
              </w:tc>
              <w:tc>
                <w:tcPr>
                  <w:tcW w:w="507" w:type="pct"/>
                  <w:vAlign w:val="center"/>
                </w:tcPr>
                <w:p w14:paraId="5C009723">
                  <w:pPr>
                    <w:widowControl/>
                    <w:jc w:val="center"/>
                    <w:textAlignment w:val="center"/>
                    <w:rPr>
                      <w:sz w:val="21"/>
                      <w:szCs w:val="21"/>
                    </w:rPr>
                  </w:pPr>
                  <w:r>
                    <w:rPr>
                      <w:rFonts w:hint="eastAsia"/>
                      <w:kern w:val="0"/>
                      <w:sz w:val="21"/>
                      <w:szCs w:val="21"/>
                    </w:rPr>
                    <w:t>1台</w:t>
                  </w:r>
                </w:p>
              </w:tc>
              <w:tc>
                <w:tcPr>
                  <w:tcW w:w="497" w:type="pct"/>
                  <w:vMerge w:val="continue"/>
                  <w:vAlign w:val="center"/>
                </w:tcPr>
                <w:p w14:paraId="1F7E2C58">
                  <w:pPr>
                    <w:widowControl/>
                    <w:jc w:val="center"/>
                    <w:textAlignment w:val="center"/>
                    <w:rPr>
                      <w:kern w:val="0"/>
                      <w:sz w:val="21"/>
                      <w:szCs w:val="21"/>
                      <w:lang w:bidi="ar"/>
                    </w:rPr>
                  </w:pPr>
                </w:p>
              </w:tc>
            </w:tr>
            <w:tr w14:paraId="20AB1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03850474">
                  <w:pPr>
                    <w:widowControl/>
                    <w:contextualSpacing/>
                    <w:jc w:val="center"/>
                    <w:rPr>
                      <w:kern w:val="0"/>
                      <w:sz w:val="21"/>
                      <w:szCs w:val="21"/>
                    </w:rPr>
                  </w:pPr>
                  <w:r>
                    <w:rPr>
                      <w:rFonts w:hint="eastAsia"/>
                      <w:kern w:val="0"/>
                      <w:sz w:val="21"/>
                      <w:szCs w:val="21"/>
                    </w:rPr>
                    <w:t>20</w:t>
                  </w:r>
                </w:p>
              </w:tc>
              <w:tc>
                <w:tcPr>
                  <w:tcW w:w="362" w:type="pct"/>
                  <w:vMerge w:val="continue"/>
                  <w:vAlign w:val="center"/>
                </w:tcPr>
                <w:p w14:paraId="15DEEA9C">
                  <w:pPr>
                    <w:widowControl/>
                    <w:jc w:val="center"/>
                    <w:textAlignment w:val="center"/>
                    <w:rPr>
                      <w:rFonts w:ascii="宋体" w:hAnsi="宋体" w:cs="宋体"/>
                      <w:kern w:val="0"/>
                      <w:sz w:val="21"/>
                      <w:szCs w:val="21"/>
                      <w:lang w:bidi="ar"/>
                    </w:rPr>
                  </w:pPr>
                </w:p>
              </w:tc>
              <w:tc>
                <w:tcPr>
                  <w:tcW w:w="2068" w:type="pct"/>
                  <w:vAlign w:val="center"/>
                </w:tcPr>
                <w:p w14:paraId="03989130">
                  <w:pPr>
                    <w:widowControl/>
                    <w:jc w:val="center"/>
                    <w:textAlignment w:val="center"/>
                    <w:rPr>
                      <w:sz w:val="21"/>
                      <w:szCs w:val="21"/>
                    </w:rPr>
                  </w:pPr>
                  <w:r>
                    <w:rPr>
                      <w:rFonts w:hint="eastAsia" w:ascii="宋体" w:hAnsi="宋体" w:cs="宋体"/>
                      <w:kern w:val="0"/>
                      <w:sz w:val="21"/>
                      <w:szCs w:val="21"/>
                      <w:lang w:bidi="ar"/>
                    </w:rPr>
                    <w:t>岛津紫外可见分光光度计</w:t>
                  </w:r>
                </w:p>
              </w:tc>
              <w:tc>
                <w:tcPr>
                  <w:tcW w:w="1209" w:type="pct"/>
                  <w:vAlign w:val="center"/>
                </w:tcPr>
                <w:p w14:paraId="22B23FA6">
                  <w:pPr>
                    <w:widowControl/>
                    <w:jc w:val="center"/>
                    <w:textAlignment w:val="center"/>
                    <w:rPr>
                      <w:sz w:val="21"/>
                      <w:szCs w:val="21"/>
                    </w:rPr>
                  </w:pPr>
                  <w:r>
                    <w:rPr>
                      <w:kern w:val="0"/>
                      <w:sz w:val="21"/>
                      <w:szCs w:val="21"/>
                      <w:lang w:bidi="ar"/>
                    </w:rPr>
                    <w:t>UV-1800</w:t>
                  </w:r>
                </w:p>
              </w:tc>
              <w:tc>
                <w:tcPr>
                  <w:tcW w:w="507" w:type="pct"/>
                  <w:vAlign w:val="center"/>
                </w:tcPr>
                <w:p w14:paraId="2DFB0629">
                  <w:pPr>
                    <w:widowControl/>
                    <w:jc w:val="center"/>
                    <w:textAlignment w:val="center"/>
                    <w:rPr>
                      <w:sz w:val="21"/>
                      <w:szCs w:val="21"/>
                    </w:rPr>
                  </w:pPr>
                  <w:r>
                    <w:rPr>
                      <w:rFonts w:hint="eastAsia"/>
                      <w:kern w:val="0"/>
                      <w:sz w:val="21"/>
                      <w:szCs w:val="21"/>
                    </w:rPr>
                    <w:t>1台</w:t>
                  </w:r>
                </w:p>
              </w:tc>
              <w:tc>
                <w:tcPr>
                  <w:tcW w:w="497" w:type="pct"/>
                  <w:vMerge w:val="continue"/>
                  <w:vAlign w:val="center"/>
                </w:tcPr>
                <w:p w14:paraId="1F0E9861">
                  <w:pPr>
                    <w:widowControl/>
                    <w:jc w:val="center"/>
                    <w:textAlignment w:val="center"/>
                    <w:rPr>
                      <w:kern w:val="0"/>
                      <w:sz w:val="21"/>
                      <w:szCs w:val="21"/>
                      <w:lang w:bidi="ar"/>
                    </w:rPr>
                  </w:pPr>
                </w:p>
              </w:tc>
            </w:tr>
            <w:tr w14:paraId="5EAF3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22907C09">
                  <w:pPr>
                    <w:widowControl/>
                    <w:contextualSpacing/>
                    <w:jc w:val="center"/>
                    <w:rPr>
                      <w:kern w:val="0"/>
                      <w:sz w:val="21"/>
                      <w:szCs w:val="21"/>
                    </w:rPr>
                  </w:pPr>
                  <w:r>
                    <w:rPr>
                      <w:rFonts w:hint="eastAsia"/>
                      <w:kern w:val="0"/>
                      <w:sz w:val="21"/>
                      <w:szCs w:val="21"/>
                    </w:rPr>
                    <w:t>21</w:t>
                  </w:r>
                </w:p>
              </w:tc>
              <w:tc>
                <w:tcPr>
                  <w:tcW w:w="362" w:type="pct"/>
                  <w:vMerge w:val="continue"/>
                  <w:vAlign w:val="center"/>
                </w:tcPr>
                <w:p w14:paraId="3F6BC687">
                  <w:pPr>
                    <w:widowControl/>
                    <w:jc w:val="center"/>
                    <w:textAlignment w:val="center"/>
                    <w:rPr>
                      <w:rFonts w:ascii="宋体" w:hAnsi="宋体" w:cs="宋体"/>
                      <w:kern w:val="0"/>
                      <w:sz w:val="21"/>
                      <w:szCs w:val="21"/>
                      <w:lang w:bidi="ar"/>
                    </w:rPr>
                  </w:pPr>
                </w:p>
              </w:tc>
              <w:tc>
                <w:tcPr>
                  <w:tcW w:w="2068" w:type="pct"/>
                  <w:vMerge w:val="restart"/>
                  <w:vAlign w:val="center"/>
                </w:tcPr>
                <w:p w14:paraId="38DCA70D">
                  <w:pPr>
                    <w:widowControl/>
                    <w:jc w:val="center"/>
                    <w:textAlignment w:val="center"/>
                    <w:rPr>
                      <w:sz w:val="21"/>
                      <w:szCs w:val="21"/>
                    </w:rPr>
                  </w:pPr>
                  <w:r>
                    <w:rPr>
                      <w:rFonts w:hint="eastAsia" w:ascii="宋体" w:hAnsi="宋体" w:cs="宋体"/>
                      <w:kern w:val="0"/>
                      <w:sz w:val="21"/>
                      <w:szCs w:val="21"/>
                      <w:lang w:bidi="ar"/>
                    </w:rPr>
                    <w:t>浊度计</w:t>
                  </w:r>
                </w:p>
              </w:tc>
              <w:tc>
                <w:tcPr>
                  <w:tcW w:w="1209" w:type="pct"/>
                  <w:vAlign w:val="center"/>
                </w:tcPr>
                <w:p w14:paraId="377FE34A">
                  <w:pPr>
                    <w:widowControl/>
                    <w:jc w:val="center"/>
                    <w:textAlignment w:val="center"/>
                    <w:rPr>
                      <w:sz w:val="21"/>
                      <w:szCs w:val="21"/>
                    </w:rPr>
                  </w:pPr>
                  <w:r>
                    <w:rPr>
                      <w:kern w:val="0"/>
                      <w:sz w:val="21"/>
                      <w:szCs w:val="21"/>
                      <w:lang w:bidi="ar"/>
                    </w:rPr>
                    <w:t>WGZ-2B</w:t>
                  </w:r>
                </w:p>
              </w:tc>
              <w:tc>
                <w:tcPr>
                  <w:tcW w:w="507" w:type="pct"/>
                  <w:vAlign w:val="center"/>
                </w:tcPr>
                <w:p w14:paraId="44E3F46B">
                  <w:pPr>
                    <w:widowControl/>
                    <w:jc w:val="center"/>
                    <w:textAlignment w:val="center"/>
                    <w:rPr>
                      <w:sz w:val="21"/>
                      <w:szCs w:val="21"/>
                    </w:rPr>
                  </w:pPr>
                  <w:r>
                    <w:rPr>
                      <w:rFonts w:hint="eastAsia"/>
                      <w:kern w:val="0"/>
                      <w:sz w:val="21"/>
                      <w:szCs w:val="21"/>
                    </w:rPr>
                    <w:t>1台</w:t>
                  </w:r>
                </w:p>
              </w:tc>
              <w:tc>
                <w:tcPr>
                  <w:tcW w:w="497" w:type="pct"/>
                  <w:vMerge w:val="continue"/>
                  <w:vAlign w:val="center"/>
                </w:tcPr>
                <w:p w14:paraId="44ED9DFE">
                  <w:pPr>
                    <w:widowControl/>
                    <w:jc w:val="center"/>
                    <w:textAlignment w:val="center"/>
                    <w:rPr>
                      <w:kern w:val="0"/>
                      <w:sz w:val="21"/>
                      <w:szCs w:val="21"/>
                      <w:lang w:bidi="ar"/>
                    </w:rPr>
                  </w:pPr>
                </w:p>
              </w:tc>
            </w:tr>
            <w:tr w14:paraId="3FC22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6A14205F">
                  <w:pPr>
                    <w:widowControl/>
                    <w:contextualSpacing/>
                    <w:jc w:val="center"/>
                    <w:rPr>
                      <w:kern w:val="0"/>
                      <w:sz w:val="21"/>
                      <w:szCs w:val="21"/>
                    </w:rPr>
                  </w:pPr>
                </w:p>
              </w:tc>
              <w:tc>
                <w:tcPr>
                  <w:tcW w:w="362" w:type="pct"/>
                  <w:vMerge w:val="continue"/>
                  <w:vAlign w:val="center"/>
                </w:tcPr>
                <w:p w14:paraId="5254CF55">
                  <w:pPr>
                    <w:widowControl/>
                    <w:jc w:val="center"/>
                    <w:textAlignment w:val="center"/>
                    <w:rPr>
                      <w:sz w:val="21"/>
                      <w:szCs w:val="21"/>
                    </w:rPr>
                  </w:pPr>
                </w:p>
              </w:tc>
              <w:tc>
                <w:tcPr>
                  <w:tcW w:w="2068" w:type="pct"/>
                  <w:vMerge w:val="continue"/>
                  <w:vAlign w:val="center"/>
                </w:tcPr>
                <w:p w14:paraId="7250D788">
                  <w:pPr>
                    <w:widowControl/>
                    <w:jc w:val="center"/>
                    <w:textAlignment w:val="center"/>
                    <w:rPr>
                      <w:sz w:val="21"/>
                      <w:szCs w:val="21"/>
                    </w:rPr>
                  </w:pPr>
                </w:p>
              </w:tc>
              <w:tc>
                <w:tcPr>
                  <w:tcW w:w="1209" w:type="pct"/>
                  <w:vAlign w:val="center"/>
                </w:tcPr>
                <w:p w14:paraId="10EA3073">
                  <w:pPr>
                    <w:widowControl/>
                    <w:jc w:val="center"/>
                    <w:textAlignment w:val="center"/>
                    <w:rPr>
                      <w:sz w:val="21"/>
                      <w:szCs w:val="21"/>
                    </w:rPr>
                  </w:pPr>
                  <w:r>
                    <w:rPr>
                      <w:kern w:val="0"/>
                      <w:sz w:val="21"/>
                      <w:szCs w:val="21"/>
                      <w:lang w:bidi="ar"/>
                    </w:rPr>
                    <w:t>WGZ-2B</w:t>
                  </w:r>
                </w:p>
              </w:tc>
              <w:tc>
                <w:tcPr>
                  <w:tcW w:w="507" w:type="pct"/>
                  <w:vAlign w:val="center"/>
                </w:tcPr>
                <w:p w14:paraId="07D51B9A">
                  <w:pPr>
                    <w:widowControl/>
                    <w:jc w:val="center"/>
                    <w:textAlignment w:val="center"/>
                    <w:rPr>
                      <w:kern w:val="0"/>
                      <w:sz w:val="21"/>
                      <w:szCs w:val="21"/>
                    </w:rPr>
                  </w:pPr>
                  <w:r>
                    <w:rPr>
                      <w:rFonts w:hint="eastAsia"/>
                      <w:kern w:val="0"/>
                      <w:sz w:val="21"/>
                      <w:szCs w:val="21"/>
                    </w:rPr>
                    <w:t>1台</w:t>
                  </w:r>
                </w:p>
              </w:tc>
              <w:tc>
                <w:tcPr>
                  <w:tcW w:w="497" w:type="pct"/>
                  <w:vMerge w:val="continue"/>
                  <w:vAlign w:val="center"/>
                </w:tcPr>
                <w:p w14:paraId="294834BC">
                  <w:pPr>
                    <w:widowControl/>
                    <w:jc w:val="center"/>
                    <w:textAlignment w:val="center"/>
                    <w:rPr>
                      <w:kern w:val="0"/>
                      <w:sz w:val="21"/>
                      <w:szCs w:val="21"/>
                      <w:lang w:bidi="ar"/>
                    </w:rPr>
                  </w:pPr>
                </w:p>
              </w:tc>
            </w:tr>
            <w:tr w14:paraId="6DA13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2B2B1334">
                  <w:pPr>
                    <w:widowControl/>
                    <w:contextualSpacing/>
                    <w:jc w:val="center"/>
                    <w:rPr>
                      <w:kern w:val="0"/>
                      <w:sz w:val="21"/>
                      <w:szCs w:val="21"/>
                    </w:rPr>
                  </w:pPr>
                </w:p>
              </w:tc>
              <w:tc>
                <w:tcPr>
                  <w:tcW w:w="362" w:type="pct"/>
                  <w:vMerge w:val="continue"/>
                  <w:vAlign w:val="center"/>
                </w:tcPr>
                <w:p w14:paraId="7174676D">
                  <w:pPr>
                    <w:widowControl/>
                    <w:jc w:val="center"/>
                    <w:textAlignment w:val="center"/>
                    <w:rPr>
                      <w:sz w:val="21"/>
                      <w:szCs w:val="21"/>
                    </w:rPr>
                  </w:pPr>
                </w:p>
              </w:tc>
              <w:tc>
                <w:tcPr>
                  <w:tcW w:w="2068" w:type="pct"/>
                  <w:vMerge w:val="continue"/>
                  <w:vAlign w:val="center"/>
                </w:tcPr>
                <w:p w14:paraId="4913B8CD">
                  <w:pPr>
                    <w:widowControl/>
                    <w:jc w:val="center"/>
                    <w:textAlignment w:val="center"/>
                    <w:rPr>
                      <w:sz w:val="21"/>
                      <w:szCs w:val="21"/>
                    </w:rPr>
                  </w:pPr>
                </w:p>
              </w:tc>
              <w:tc>
                <w:tcPr>
                  <w:tcW w:w="1209" w:type="pct"/>
                  <w:vAlign w:val="center"/>
                </w:tcPr>
                <w:p w14:paraId="01DBDA91">
                  <w:pPr>
                    <w:widowControl/>
                    <w:jc w:val="center"/>
                    <w:textAlignment w:val="center"/>
                    <w:rPr>
                      <w:sz w:val="21"/>
                      <w:szCs w:val="21"/>
                    </w:rPr>
                  </w:pPr>
                  <w:r>
                    <w:rPr>
                      <w:kern w:val="0"/>
                      <w:sz w:val="21"/>
                      <w:szCs w:val="21"/>
                      <w:lang w:bidi="ar"/>
                    </w:rPr>
                    <w:t>NTU-100</w:t>
                  </w:r>
                </w:p>
              </w:tc>
              <w:tc>
                <w:tcPr>
                  <w:tcW w:w="507" w:type="pct"/>
                  <w:vAlign w:val="center"/>
                </w:tcPr>
                <w:p w14:paraId="1C22DB0F">
                  <w:pPr>
                    <w:widowControl/>
                    <w:jc w:val="center"/>
                    <w:textAlignment w:val="center"/>
                    <w:rPr>
                      <w:sz w:val="21"/>
                      <w:szCs w:val="21"/>
                    </w:rPr>
                  </w:pPr>
                  <w:r>
                    <w:rPr>
                      <w:rFonts w:hint="eastAsia"/>
                      <w:kern w:val="0"/>
                      <w:sz w:val="21"/>
                      <w:szCs w:val="21"/>
                      <w:lang w:bidi="ar"/>
                    </w:rPr>
                    <w:t>19台</w:t>
                  </w:r>
                </w:p>
              </w:tc>
              <w:tc>
                <w:tcPr>
                  <w:tcW w:w="497" w:type="pct"/>
                  <w:vMerge w:val="continue"/>
                  <w:vAlign w:val="center"/>
                </w:tcPr>
                <w:p w14:paraId="7621CFC6">
                  <w:pPr>
                    <w:widowControl/>
                    <w:jc w:val="center"/>
                    <w:textAlignment w:val="center"/>
                    <w:rPr>
                      <w:kern w:val="0"/>
                      <w:sz w:val="21"/>
                      <w:szCs w:val="21"/>
                      <w:lang w:bidi="ar"/>
                    </w:rPr>
                  </w:pPr>
                </w:p>
              </w:tc>
            </w:tr>
            <w:tr w14:paraId="580F4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3C565A63">
                  <w:pPr>
                    <w:widowControl/>
                    <w:contextualSpacing/>
                    <w:jc w:val="center"/>
                    <w:rPr>
                      <w:kern w:val="0"/>
                      <w:sz w:val="21"/>
                      <w:szCs w:val="21"/>
                    </w:rPr>
                  </w:pPr>
                  <w:r>
                    <w:rPr>
                      <w:rFonts w:hint="eastAsia"/>
                      <w:kern w:val="0"/>
                      <w:sz w:val="21"/>
                      <w:szCs w:val="21"/>
                    </w:rPr>
                    <w:t>22</w:t>
                  </w:r>
                </w:p>
              </w:tc>
              <w:tc>
                <w:tcPr>
                  <w:tcW w:w="362" w:type="pct"/>
                  <w:vMerge w:val="continue"/>
                  <w:vAlign w:val="center"/>
                </w:tcPr>
                <w:p w14:paraId="758F06EB">
                  <w:pPr>
                    <w:widowControl/>
                    <w:jc w:val="center"/>
                    <w:textAlignment w:val="center"/>
                    <w:rPr>
                      <w:rFonts w:ascii="宋体" w:hAnsi="宋体" w:cs="宋体"/>
                      <w:kern w:val="0"/>
                      <w:sz w:val="21"/>
                      <w:szCs w:val="21"/>
                      <w:lang w:bidi="ar"/>
                    </w:rPr>
                  </w:pPr>
                </w:p>
              </w:tc>
              <w:tc>
                <w:tcPr>
                  <w:tcW w:w="2068" w:type="pct"/>
                  <w:vMerge w:val="restart"/>
                  <w:vAlign w:val="center"/>
                </w:tcPr>
                <w:p w14:paraId="74C00CFC">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气相色谱</w:t>
                  </w:r>
                  <w:r>
                    <w:rPr>
                      <w:kern w:val="0"/>
                      <w:sz w:val="21"/>
                      <w:szCs w:val="21"/>
                      <w:lang w:bidi="ar"/>
                    </w:rPr>
                    <w:t>-</w:t>
                  </w:r>
                  <w:r>
                    <w:rPr>
                      <w:rFonts w:hint="eastAsia" w:ascii="宋体" w:hAnsi="宋体" w:cs="宋体"/>
                      <w:kern w:val="0"/>
                      <w:sz w:val="21"/>
                      <w:szCs w:val="21"/>
                      <w:lang w:bidi="ar"/>
                    </w:rPr>
                    <w:t>质谱联用仪</w:t>
                  </w:r>
                </w:p>
              </w:tc>
              <w:tc>
                <w:tcPr>
                  <w:tcW w:w="1209" w:type="pct"/>
                  <w:vAlign w:val="center"/>
                </w:tcPr>
                <w:p w14:paraId="1DF5B2F4">
                  <w:pPr>
                    <w:widowControl/>
                    <w:jc w:val="center"/>
                    <w:textAlignment w:val="center"/>
                    <w:rPr>
                      <w:kern w:val="0"/>
                      <w:sz w:val="21"/>
                      <w:szCs w:val="21"/>
                      <w:lang w:bidi="ar"/>
                    </w:rPr>
                  </w:pPr>
                  <w:r>
                    <w:rPr>
                      <w:kern w:val="0"/>
                      <w:sz w:val="21"/>
                      <w:szCs w:val="21"/>
                      <w:lang w:bidi="ar"/>
                    </w:rPr>
                    <w:t>7890B/5977B</w:t>
                  </w:r>
                </w:p>
              </w:tc>
              <w:tc>
                <w:tcPr>
                  <w:tcW w:w="507" w:type="pct"/>
                  <w:vAlign w:val="center"/>
                </w:tcPr>
                <w:p w14:paraId="2B07CC90">
                  <w:pPr>
                    <w:widowControl/>
                    <w:jc w:val="center"/>
                    <w:textAlignment w:val="center"/>
                    <w:rPr>
                      <w:kern w:val="0"/>
                      <w:sz w:val="21"/>
                      <w:szCs w:val="21"/>
                      <w:lang w:bidi="ar"/>
                    </w:rPr>
                  </w:pPr>
                  <w:r>
                    <w:rPr>
                      <w:rFonts w:hint="eastAsia"/>
                      <w:kern w:val="0"/>
                      <w:sz w:val="21"/>
                      <w:szCs w:val="21"/>
                    </w:rPr>
                    <w:t>1台</w:t>
                  </w:r>
                </w:p>
              </w:tc>
              <w:tc>
                <w:tcPr>
                  <w:tcW w:w="497" w:type="pct"/>
                  <w:vMerge w:val="continue"/>
                  <w:vAlign w:val="center"/>
                </w:tcPr>
                <w:p w14:paraId="2D5C6B41">
                  <w:pPr>
                    <w:widowControl/>
                    <w:jc w:val="center"/>
                    <w:textAlignment w:val="center"/>
                    <w:rPr>
                      <w:kern w:val="0"/>
                      <w:sz w:val="21"/>
                      <w:szCs w:val="21"/>
                      <w:lang w:bidi="ar"/>
                    </w:rPr>
                  </w:pPr>
                </w:p>
              </w:tc>
            </w:tr>
            <w:tr w14:paraId="6B58C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3374C781">
                  <w:pPr>
                    <w:widowControl/>
                    <w:contextualSpacing/>
                    <w:jc w:val="center"/>
                    <w:rPr>
                      <w:kern w:val="0"/>
                      <w:sz w:val="21"/>
                      <w:szCs w:val="21"/>
                    </w:rPr>
                  </w:pPr>
                </w:p>
              </w:tc>
              <w:tc>
                <w:tcPr>
                  <w:tcW w:w="362" w:type="pct"/>
                  <w:vMerge w:val="continue"/>
                  <w:vAlign w:val="center"/>
                </w:tcPr>
                <w:p w14:paraId="1665C932">
                  <w:pPr>
                    <w:widowControl/>
                    <w:jc w:val="center"/>
                    <w:textAlignment w:val="center"/>
                    <w:rPr>
                      <w:rFonts w:ascii="宋体" w:hAnsi="宋体" w:cs="宋体"/>
                      <w:kern w:val="0"/>
                      <w:sz w:val="21"/>
                      <w:szCs w:val="21"/>
                      <w:lang w:bidi="ar"/>
                    </w:rPr>
                  </w:pPr>
                </w:p>
              </w:tc>
              <w:tc>
                <w:tcPr>
                  <w:tcW w:w="2068" w:type="pct"/>
                  <w:vMerge w:val="continue"/>
                  <w:vAlign w:val="center"/>
                </w:tcPr>
                <w:p w14:paraId="3C2D03B1">
                  <w:pPr>
                    <w:widowControl/>
                    <w:jc w:val="center"/>
                    <w:textAlignment w:val="center"/>
                    <w:rPr>
                      <w:rFonts w:ascii="宋体" w:hAnsi="宋体" w:cs="宋体"/>
                      <w:kern w:val="0"/>
                      <w:sz w:val="21"/>
                      <w:szCs w:val="21"/>
                      <w:lang w:bidi="ar"/>
                    </w:rPr>
                  </w:pPr>
                </w:p>
              </w:tc>
              <w:tc>
                <w:tcPr>
                  <w:tcW w:w="1209" w:type="pct"/>
                  <w:vAlign w:val="center"/>
                </w:tcPr>
                <w:p w14:paraId="3B295D85">
                  <w:pPr>
                    <w:widowControl/>
                    <w:jc w:val="center"/>
                    <w:textAlignment w:val="center"/>
                    <w:rPr>
                      <w:kern w:val="0"/>
                      <w:sz w:val="21"/>
                      <w:szCs w:val="21"/>
                      <w:lang w:bidi="ar"/>
                    </w:rPr>
                  </w:pPr>
                  <w:r>
                    <w:rPr>
                      <w:kern w:val="0"/>
                      <w:sz w:val="21"/>
                      <w:szCs w:val="21"/>
                      <w:lang w:bidi="ar"/>
                    </w:rPr>
                    <w:t>8860-5977B</w:t>
                  </w:r>
                </w:p>
              </w:tc>
              <w:tc>
                <w:tcPr>
                  <w:tcW w:w="507" w:type="pct"/>
                  <w:vAlign w:val="center"/>
                </w:tcPr>
                <w:p w14:paraId="7944F9EF">
                  <w:pPr>
                    <w:widowControl/>
                    <w:jc w:val="center"/>
                    <w:textAlignment w:val="center"/>
                    <w:rPr>
                      <w:kern w:val="0"/>
                      <w:sz w:val="21"/>
                      <w:szCs w:val="21"/>
                      <w:lang w:bidi="ar"/>
                    </w:rPr>
                  </w:pPr>
                  <w:r>
                    <w:rPr>
                      <w:rFonts w:hint="eastAsia"/>
                      <w:kern w:val="0"/>
                      <w:sz w:val="21"/>
                      <w:szCs w:val="21"/>
                    </w:rPr>
                    <w:t>1台</w:t>
                  </w:r>
                </w:p>
              </w:tc>
              <w:tc>
                <w:tcPr>
                  <w:tcW w:w="497" w:type="pct"/>
                  <w:vMerge w:val="continue"/>
                  <w:vAlign w:val="center"/>
                </w:tcPr>
                <w:p w14:paraId="3B740CAF">
                  <w:pPr>
                    <w:widowControl/>
                    <w:jc w:val="center"/>
                    <w:textAlignment w:val="center"/>
                    <w:rPr>
                      <w:kern w:val="0"/>
                      <w:sz w:val="21"/>
                      <w:szCs w:val="21"/>
                      <w:lang w:bidi="ar"/>
                    </w:rPr>
                  </w:pPr>
                </w:p>
              </w:tc>
            </w:tr>
            <w:tr w14:paraId="20E62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5817A6E">
                  <w:pPr>
                    <w:widowControl/>
                    <w:contextualSpacing/>
                    <w:jc w:val="center"/>
                    <w:rPr>
                      <w:kern w:val="0"/>
                      <w:sz w:val="21"/>
                      <w:szCs w:val="21"/>
                    </w:rPr>
                  </w:pPr>
                  <w:r>
                    <w:rPr>
                      <w:rFonts w:hint="eastAsia"/>
                      <w:kern w:val="0"/>
                      <w:sz w:val="21"/>
                      <w:szCs w:val="21"/>
                    </w:rPr>
                    <w:t>23</w:t>
                  </w:r>
                </w:p>
              </w:tc>
              <w:tc>
                <w:tcPr>
                  <w:tcW w:w="362" w:type="pct"/>
                  <w:vMerge w:val="continue"/>
                  <w:vAlign w:val="center"/>
                </w:tcPr>
                <w:p w14:paraId="311ACD3E">
                  <w:pPr>
                    <w:widowControl/>
                    <w:jc w:val="center"/>
                    <w:textAlignment w:val="center"/>
                    <w:rPr>
                      <w:rFonts w:ascii="宋体" w:hAnsi="宋体" w:cs="宋体"/>
                      <w:kern w:val="0"/>
                      <w:sz w:val="21"/>
                      <w:szCs w:val="21"/>
                      <w:lang w:bidi="ar"/>
                    </w:rPr>
                  </w:pPr>
                </w:p>
              </w:tc>
              <w:tc>
                <w:tcPr>
                  <w:tcW w:w="2068" w:type="pct"/>
                  <w:vAlign w:val="center"/>
                </w:tcPr>
                <w:p w14:paraId="19A4C366">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恒温水浴锅</w:t>
                  </w:r>
                </w:p>
              </w:tc>
              <w:tc>
                <w:tcPr>
                  <w:tcW w:w="1209" w:type="pct"/>
                  <w:vAlign w:val="center"/>
                </w:tcPr>
                <w:p w14:paraId="2A91307E">
                  <w:pPr>
                    <w:widowControl/>
                    <w:jc w:val="center"/>
                    <w:textAlignment w:val="center"/>
                    <w:rPr>
                      <w:kern w:val="0"/>
                      <w:sz w:val="21"/>
                      <w:szCs w:val="21"/>
                      <w:lang w:bidi="ar"/>
                    </w:rPr>
                  </w:pPr>
                  <w:r>
                    <w:rPr>
                      <w:kern w:val="0"/>
                      <w:sz w:val="21"/>
                      <w:szCs w:val="21"/>
                      <w:lang w:bidi="ar"/>
                    </w:rPr>
                    <w:t>WB20</w:t>
                  </w:r>
                </w:p>
              </w:tc>
              <w:tc>
                <w:tcPr>
                  <w:tcW w:w="507" w:type="pct"/>
                  <w:vAlign w:val="center"/>
                </w:tcPr>
                <w:p w14:paraId="5A58F38F">
                  <w:pPr>
                    <w:widowControl/>
                    <w:jc w:val="center"/>
                    <w:textAlignment w:val="center"/>
                    <w:rPr>
                      <w:kern w:val="0"/>
                      <w:sz w:val="21"/>
                      <w:szCs w:val="21"/>
                      <w:lang w:bidi="ar"/>
                    </w:rPr>
                  </w:pPr>
                  <w:r>
                    <w:rPr>
                      <w:rFonts w:hint="eastAsia"/>
                      <w:kern w:val="0"/>
                      <w:sz w:val="21"/>
                      <w:szCs w:val="21"/>
                    </w:rPr>
                    <w:t>1台</w:t>
                  </w:r>
                </w:p>
              </w:tc>
              <w:tc>
                <w:tcPr>
                  <w:tcW w:w="497" w:type="pct"/>
                  <w:vMerge w:val="continue"/>
                  <w:vAlign w:val="center"/>
                </w:tcPr>
                <w:p w14:paraId="271BA20C">
                  <w:pPr>
                    <w:widowControl/>
                    <w:jc w:val="center"/>
                    <w:textAlignment w:val="center"/>
                    <w:rPr>
                      <w:kern w:val="0"/>
                      <w:sz w:val="21"/>
                      <w:szCs w:val="21"/>
                      <w:lang w:bidi="ar"/>
                    </w:rPr>
                  </w:pPr>
                </w:p>
              </w:tc>
            </w:tr>
            <w:tr w14:paraId="47D60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64EE216F">
                  <w:pPr>
                    <w:widowControl/>
                    <w:contextualSpacing/>
                    <w:jc w:val="center"/>
                    <w:rPr>
                      <w:kern w:val="0"/>
                      <w:sz w:val="21"/>
                      <w:szCs w:val="21"/>
                    </w:rPr>
                  </w:pPr>
                  <w:r>
                    <w:rPr>
                      <w:rFonts w:hint="eastAsia"/>
                      <w:kern w:val="0"/>
                      <w:sz w:val="21"/>
                      <w:szCs w:val="21"/>
                    </w:rPr>
                    <w:t>24</w:t>
                  </w:r>
                </w:p>
              </w:tc>
              <w:tc>
                <w:tcPr>
                  <w:tcW w:w="362" w:type="pct"/>
                  <w:vMerge w:val="continue"/>
                  <w:vAlign w:val="center"/>
                </w:tcPr>
                <w:p w14:paraId="78C9481F">
                  <w:pPr>
                    <w:widowControl/>
                    <w:jc w:val="center"/>
                    <w:textAlignment w:val="center"/>
                    <w:rPr>
                      <w:rFonts w:ascii="宋体" w:hAnsi="宋体" w:cs="宋体"/>
                      <w:kern w:val="0"/>
                      <w:sz w:val="21"/>
                      <w:szCs w:val="21"/>
                      <w:lang w:bidi="ar"/>
                    </w:rPr>
                  </w:pPr>
                </w:p>
              </w:tc>
              <w:tc>
                <w:tcPr>
                  <w:tcW w:w="2068" w:type="pct"/>
                  <w:vMerge w:val="restart"/>
                  <w:vAlign w:val="center"/>
                </w:tcPr>
                <w:p w14:paraId="27967ADA">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便携式多参数分析仪</w:t>
                  </w:r>
                </w:p>
              </w:tc>
              <w:tc>
                <w:tcPr>
                  <w:tcW w:w="1209" w:type="pct"/>
                  <w:vAlign w:val="center"/>
                </w:tcPr>
                <w:p w14:paraId="51C4A931">
                  <w:pPr>
                    <w:widowControl/>
                    <w:jc w:val="center"/>
                    <w:textAlignment w:val="center"/>
                    <w:rPr>
                      <w:kern w:val="0"/>
                      <w:sz w:val="21"/>
                      <w:szCs w:val="21"/>
                      <w:lang w:bidi="ar"/>
                    </w:rPr>
                  </w:pPr>
                  <w:r>
                    <w:rPr>
                      <w:kern w:val="0"/>
                      <w:sz w:val="21"/>
                      <w:szCs w:val="21"/>
                      <w:lang w:bidi="ar"/>
                    </w:rPr>
                    <w:t>DZB-718L</w:t>
                  </w:r>
                </w:p>
              </w:tc>
              <w:tc>
                <w:tcPr>
                  <w:tcW w:w="507" w:type="pct"/>
                  <w:vAlign w:val="center"/>
                </w:tcPr>
                <w:p w14:paraId="6DF4313E">
                  <w:pPr>
                    <w:widowControl/>
                    <w:jc w:val="center"/>
                    <w:textAlignment w:val="center"/>
                    <w:rPr>
                      <w:sz w:val="21"/>
                      <w:szCs w:val="21"/>
                    </w:rPr>
                  </w:pPr>
                  <w:r>
                    <w:rPr>
                      <w:rFonts w:hint="eastAsia"/>
                      <w:sz w:val="21"/>
                      <w:szCs w:val="21"/>
                    </w:rPr>
                    <w:t>13台</w:t>
                  </w:r>
                </w:p>
              </w:tc>
              <w:tc>
                <w:tcPr>
                  <w:tcW w:w="497" w:type="pct"/>
                  <w:vMerge w:val="continue"/>
                  <w:vAlign w:val="center"/>
                </w:tcPr>
                <w:p w14:paraId="57F15AB8">
                  <w:pPr>
                    <w:widowControl/>
                    <w:jc w:val="center"/>
                    <w:textAlignment w:val="center"/>
                    <w:rPr>
                      <w:kern w:val="0"/>
                      <w:sz w:val="21"/>
                      <w:szCs w:val="21"/>
                      <w:lang w:bidi="ar"/>
                    </w:rPr>
                  </w:pPr>
                </w:p>
              </w:tc>
            </w:tr>
            <w:tr w14:paraId="55238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0AE7894A">
                  <w:pPr>
                    <w:widowControl/>
                    <w:contextualSpacing/>
                    <w:jc w:val="center"/>
                    <w:rPr>
                      <w:kern w:val="0"/>
                      <w:sz w:val="21"/>
                      <w:szCs w:val="21"/>
                    </w:rPr>
                  </w:pPr>
                </w:p>
              </w:tc>
              <w:tc>
                <w:tcPr>
                  <w:tcW w:w="362" w:type="pct"/>
                  <w:vMerge w:val="continue"/>
                  <w:vAlign w:val="center"/>
                </w:tcPr>
                <w:p w14:paraId="53FBA41A">
                  <w:pPr>
                    <w:widowControl/>
                    <w:jc w:val="center"/>
                    <w:textAlignment w:val="center"/>
                    <w:rPr>
                      <w:rFonts w:ascii="宋体" w:hAnsi="宋体" w:cs="宋体"/>
                      <w:kern w:val="0"/>
                      <w:sz w:val="21"/>
                      <w:szCs w:val="21"/>
                      <w:lang w:bidi="ar"/>
                    </w:rPr>
                  </w:pPr>
                </w:p>
              </w:tc>
              <w:tc>
                <w:tcPr>
                  <w:tcW w:w="2068" w:type="pct"/>
                  <w:vMerge w:val="continue"/>
                  <w:vAlign w:val="center"/>
                </w:tcPr>
                <w:p w14:paraId="6F8959AF">
                  <w:pPr>
                    <w:widowControl/>
                    <w:jc w:val="center"/>
                    <w:textAlignment w:val="center"/>
                    <w:rPr>
                      <w:rFonts w:ascii="宋体" w:hAnsi="宋体" w:cs="宋体"/>
                      <w:kern w:val="0"/>
                      <w:sz w:val="21"/>
                      <w:szCs w:val="21"/>
                      <w:lang w:bidi="ar"/>
                    </w:rPr>
                  </w:pPr>
                </w:p>
              </w:tc>
              <w:tc>
                <w:tcPr>
                  <w:tcW w:w="1209" w:type="pct"/>
                  <w:vAlign w:val="center"/>
                </w:tcPr>
                <w:p w14:paraId="1524B7E3">
                  <w:pPr>
                    <w:widowControl/>
                    <w:jc w:val="center"/>
                    <w:textAlignment w:val="center"/>
                    <w:rPr>
                      <w:kern w:val="0"/>
                      <w:sz w:val="21"/>
                      <w:szCs w:val="21"/>
                      <w:lang w:bidi="ar"/>
                    </w:rPr>
                  </w:pPr>
                  <w:r>
                    <w:rPr>
                      <w:kern w:val="0"/>
                      <w:sz w:val="21"/>
                      <w:szCs w:val="21"/>
                      <w:lang w:bidi="ar"/>
                    </w:rPr>
                    <w:t>HQ40d</w:t>
                  </w:r>
                </w:p>
              </w:tc>
              <w:tc>
                <w:tcPr>
                  <w:tcW w:w="507" w:type="pct"/>
                  <w:vAlign w:val="center"/>
                </w:tcPr>
                <w:p w14:paraId="0E541C3C">
                  <w:pPr>
                    <w:widowControl/>
                    <w:jc w:val="center"/>
                    <w:textAlignment w:val="center"/>
                    <w:rPr>
                      <w:sz w:val="21"/>
                      <w:szCs w:val="21"/>
                    </w:rPr>
                  </w:pPr>
                  <w:r>
                    <w:rPr>
                      <w:rFonts w:hint="eastAsia"/>
                      <w:kern w:val="0"/>
                      <w:sz w:val="21"/>
                      <w:szCs w:val="21"/>
                    </w:rPr>
                    <w:t>1台</w:t>
                  </w:r>
                </w:p>
              </w:tc>
              <w:tc>
                <w:tcPr>
                  <w:tcW w:w="497" w:type="pct"/>
                  <w:vMerge w:val="continue"/>
                  <w:vAlign w:val="center"/>
                </w:tcPr>
                <w:p w14:paraId="27E60128">
                  <w:pPr>
                    <w:widowControl/>
                    <w:jc w:val="center"/>
                    <w:textAlignment w:val="center"/>
                    <w:rPr>
                      <w:kern w:val="0"/>
                      <w:sz w:val="21"/>
                      <w:szCs w:val="21"/>
                      <w:lang w:bidi="ar"/>
                    </w:rPr>
                  </w:pPr>
                </w:p>
              </w:tc>
            </w:tr>
            <w:tr w14:paraId="14F43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0C63361F">
                  <w:pPr>
                    <w:widowControl/>
                    <w:contextualSpacing/>
                    <w:jc w:val="center"/>
                    <w:rPr>
                      <w:kern w:val="0"/>
                      <w:sz w:val="21"/>
                      <w:szCs w:val="21"/>
                    </w:rPr>
                  </w:pPr>
                </w:p>
              </w:tc>
              <w:tc>
                <w:tcPr>
                  <w:tcW w:w="362" w:type="pct"/>
                  <w:vMerge w:val="continue"/>
                  <w:vAlign w:val="center"/>
                </w:tcPr>
                <w:p w14:paraId="1C830460">
                  <w:pPr>
                    <w:widowControl/>
                    <w:jc w:val="center"/>
                    <w:textAlignment w:val="center"/>
                    <w:rPr>
                      <w:rFonts w:ascii="宋体" w:hAnsi="宋体" w:cs="宋体"/>
                      <w:kern w:val="0"/>
                      <w:sz w:val="21"/>
                      <w:szCs w:val="21"/>
                      <w:lang w:bidi="ar"/>
                    </w:rPr>
                  </w:pPr>
                </w:p>
              </w:tc>
              <w:tc>
                <w:tcPr>
                  <w:tcW w:w="2068" w:type="pct"/>
                  <w:vMerge w:val="continue"/>
                  <w:vAlign w:val="center"/>
                </w:tcPr>
                <w:p w14:paraId="31824A03">
                  <w:pPr>
                    <w:widowControl/>
                    <w:jc w:val="center"/>
                    <w:textAlignment w:val="center"/>
                    <w:rPr>
                      <w:rFonts w:ascii="宋体" w:hAnsi="宋体" w:cs="宋体"/>
                      <w:kern w:val="0"/>
                      <w:sz w:val="21"/>
                      <w:szCs w:val="21"/>
                      <w:lang w:bidi="ar"/>
                    </w:rPr>
                  </w:pPr>
                </w:p>
              </w:tc>
              <w:tc>
                <w:tcPr>
                  <w:tcW w:w="1209" w:type="pct"/>
                  <w:vAlign w:val="center"/>
                </w:tcPr>
                <w:p w14:paraId="77473E5D">
                  <w:pPr>
                    <w:widowControl/>
                    <w:jc w:val="center"/>
                    <w:textAlignment w:val="center"/>
                    <w:rPr>
                      <w:kern w:val="0"/>
                      <w:sz w:val="21"/>
                      <w:szCs w:val="21"/>
                      <w:lang w:bidi="ar"/>
                    </w:rPr>
                  </w:pPr>
                  <w:r>
                    <w:rPr>
                      <w:kern w:val="0"/>
                      <w:sz w:val="21"/>
                      <w:szCs w:val="21"/>
                      <w:lang w:bidi="ar"/>
                    </w:rPr>
                    <w:t>DZB-712F</w:t>
                  </w:r>
                </w:p>
              </w:tc>
              <w:tc>
                <w:tcPr>
                  <w:tcW w:w="507" w:type="pct"/>
                  <w:vAlign w:val="center"/>
                </w:tcPr>
                <w:p w14:paraId="7C2E9472">
                  <w:pPr>
                    <w:widowControl/>
                    <w:jc w:val="center"/>
                    <w:textAlignment w:val="center"/>
                    <w:rPr>
                      <w:sz w:val="21"/>
                      <w:szCs w:val="21"/>
                    </w:rPr>
                  </w:pPr>
                  <w:r>
                    <w:rPr>
                      <w:rFonts w:hint="eastAsia"/>
                      <w:kern w:val="0"/>
                      <w:sz w:val="21"/>
                      <w:szCs w:val="21"/>
                    </w:rPr>
                    <w:t>2台</w:t>
                  </w:r>
                </w:p>
              </w:tc>
              <w:tc>
                <w:tcPr>
                  <w:tcW w:w="497" w:type="pct"/>
                  <w:vMerge w:val="continue"/>
                  <w:vAlign w:val="center"/>
                </w:tcPr>
                <w:p w14:paraId="63C9D036">
                  <w:pPr>
                    <w:widowControl/>
                    <w:jc w:val="center"/>
                    <w:textAlignment w:val="center"/>
                    <w:rPr>
                      <w:kern w:val="0"/>
                      <w:sz w:val="21"/>
                      <w:szCs w:val="21"/>
                      <w:lang w:bidi="ar"/>
                    </w:rPr>
                  </w:pPr>
                </w:p>
              </w:tc>
            </w:tr>
            <w:tr w14:paraId="422D5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0FD72866">
                  <w:pPr>
                    <w:widowControl/>
                    <w:contextualSpacing/>
                    <w:jc w:val="center"/>
                    <w:rPr>
                      <w:kern w:val="0"/>
                      <w:sz w:val="21"/>
                      <w:szCs w:val="21"/>
                    </w:rPr>
                  </w:pPr>
                  <w:r>
                    <w:rPr>
                      <w:rFonts w:hint="eastAsia"/>
                      <w:kern w:val="0"/>
                      <w:sz w:val="21"/>
                      <w:szCs w:val="21"/>
                    </w:rPr>
                    <w:t>25</w:t>
                  </w:r>
                </w:p>
              </w:tc>
              <w:tc>
                <w:tcPr>
                  <w:tcW w:w="362" w:type="pct"/>
                  <w:vMerge w:val="continue"/>
                  <w:vAlign w:val="center"/>
                </w:tcPr>
                <w:p w14:paraId="0EE2E3A2">
                  <w:pPr>
                    <w:widowControl/>
                    <w:jc w:val="center"/>
                    <w:textAlignment w:val="center"/>
                    <w:rPr>
                      <w:rFonts w:ascii="宋体" w:hAnsi="宋体" w:cs="宋体"/>
                      <w:kern w:val="0"/>
                      <w:sz w:val="21"/>
                      <w:szCs w:val="21"/>
                      <w:lang w:bidi="ar"/>
                    </w:rPr>
                  </w:pPr>
                </w:p>
              </w:tc>
              <w:tc>
                <w:tcPr>
                  <w:tcW w:w="2068" w:type="pct"/>
                  <w:vAlign w:val="center"/>
                </w:tcPr>
                <w:p w14:paraId="1F6D034A">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土壤研磨机</w:t>
                  </w:r>
                </w:p>
              </w:tc>
              <w:tc>
                <w:tcPr>
                  <w:tcW w:w="1209" w:type="pct"/>
                  <w:vAlign w:val="center"/>
                </w:tcPr>
                <w:p w14:paraId="41B4CB1E">
                  <w:pPr>
                    <w:widowControl/>
                    <w:jc w:val="center"/>
                    <w:textAlignment w:val="center"/>
                    <w:rPr>
                      <w:kern w:val="0"/>
                      <w:sz w:val="21"/>
                      <w:szCs w:val="21"/>
                      <w:lang w:bidi="ar"/>
                    </w:rPr>
                  </w:pPr>
                  <w:r>
                    <w:rPr>
                      <w:kern w:val="0"/>
                      <w:sz w:val="21"/>
                      <w:szCs w:val="21"/>
                      <w:lang w:bidi="ar"/>
                    </w:rPr>
                    <w:t>XQM-4</w:t>
                  </w:r>
                </w:p>
              </w:tc>
              <w:tc>
                <w:tcPr>
                  <w:tcW w:w="507" w:type="pct"/>
                  <w:vAlign w:val="center"/>
                </w:tcPr>
                <w:p w14:paraId="6A329660">
                  <w:pPr>
                    <w:widowControl/>
                    <w:jc w:val="center"/>
                    <w:textAlignment w:val="center"/>
                    <w:rPr>
                      <w:sz w:val="21"/>
                      <w:szCs w:val="21"/>
                    </w:rPr>
                  </w:pPr>
                  <w:r>
                    <w:rPr>
                      <w:rFonts w:hint="eastAsia"/>
                      <w:kern w:val="0"/>
                      <w:sz w:val="21"/>
                      <w:szCs w:val="21"/>
                    </w:rPr>
                    <w:t>3台</w:t>
                  </w:r>
                </w:p>
              </w:tc>
              <w:tc>
                <w:tcPr>
                  <w:tcW w:w="497" w:type="pct"/>
                  <w:vMerge w:val="continue"/>
                  <w:vAlign w:val="center"/>
                </w:tcPr>
                <w:p w14:paraId="24EA130E">
                  <w:pPr>
                    <w:widowControl/>
                    <w:jc w:val="center"/>
                    <w:textAlignment w:val="center"/>
                    <w:rPr>
                      <w:kern w:val="0"/>
                      <w:sz w:val="21"/>
                      <w:szCs w:val="21"/>
                      <w:lang w:bidi="ar"/>
                    </w:rPr>
                  </w:pPr>
                </w:p>
              </w:tc>
            </w:tr>
            <w:tr w14:paraId="3BB21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5B47652B">
                  <w:pPr>
                    <w:widowControl/>
                    <w:contextualSpacing/>
                    <w:jc w:val="center"/>
                    <w:rPr>
                      <w:kern w:val="0"/>
                      <w:sz w:val="21"/>
                      <w:szCs w:val="21"/>
                    </w:rPr>
                  </w:pPr>
                  <w:r>
                    <w:rPr>
                      <w:rFonts w:hint="eastAsia"/>
                      <w:kern w:val="0"/>
                      <w:sz w:val="21"/>
                      <w:szCs w:val="21"/>
                    </w:rPr>
                    <w:t>26</w:t>
                  </w:r>
                </w:p>
              </w:tc>
              <w:tc>
                <w:tcPr>
                  <w:tcW w:w="362" w:type="pct"/>
                  <w:vMerge w:val="continue"/>
                  <w:vAlign w:val="center"/>
                </w:tcPr>
                <w:p w14:paraId="5900EF1E">
                  <w:pPr>
                    <w:widowControl/>
                    <w:jc w:val="center"/>
                    <w:textAlignment w:val="center"/>
                    <w:rPr>
                      <w:rFonts w:ascii="宋体" w:hAnsi="宋体" w:cs="宋体"/>
                      <w:kern w:val="0"/>
                      <w:sz w:val="21"/>
                      <w:szCs w:val="21"/>
                      <w:lang w:bidi="ar"/>
                    </w:rPr>
                  </w:pPr>
                </w:p>
              </w:tc>
              <w:tc>
                <w:tcPr>
                  <w:tcW w:w="2068" w:type="pct"/>
                  <w:vAlign w:val="center"/>
                </w:tcPr>
                <w:p w14:paraId="6D2EBF0C">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振筛机</w:t>
                  </w:r>
                </w:p>
              </w:tc>
              <w:tc>
                <w:tcPr>
                  <w:tcW w:w="1209" w:type="pct"/>
                  <w:vAlign w:val="center"/>
                </w:tcPr>
                <w:p w14:paraId="19B1644E">
                  <w:pPr>
                    <w:widowControl/>
                    <w:jc w:val="center"/>
                    <w:textAlignment w:val="center"/>
                    <w:rPr>
                      <w:kern w:val="0"/>
                      <w:sz w:val="21"/>
                      <w:szCs w:val="21"/>
                      <w:lang w:bidi="ar"/>
                    </w:rPr>
                  </w:pPr>
                  <w:r>
                    <w:rPr>
                      <w:kern w:val="0"/>
                      <w:sz w:val="21"/>
                      <w:szCs w:val="21"/>
                      <w:lang w:bidi="ar"/>
                    </w:rPr>
                    <w:t>ZS-200</w:t>
                  </w:r>
                </w:p>
              </w:tc>
              <w:tc>
                <w:tcPr>
                  <w:tcW w:w="507" w:type="pct"/>
                  <w:vAlign w:val="center"/>
                </w:tcPr>
                <w:p w14:paraId="4E889B50">
                  <w:pPr>
                    <w:widowControl/>
                    <w:jc w:val="center"/>
                    <w:textAlignment w:val="center"/>
                    <w:rPr>
                      <w:sz w:val="21"/>
                      <w:szCs w:val="21"/>
                    </w:rPr>
                  </w:pPr>
                  <w:r>
                    <w:rPr>
                      <w:rFonts w:hint="eastAsia"/>
                      <w:kern w:val="0"/>
                      <w:sz w:val="21"/>
                      <w:szCs w:val="21"/>
                    </w:rPr>
                    <w:t>3台</w:t>
                  </w:r>
                </w:p>
              </w:tc>
              <w:tc>
                <w:tcPr>
                  <w:tcW w:w="497" w:type="pct"/>
                  <w:vMerge w:val="continue"/>
                  <w:vAlign w:val="center"/>
                </w:tcPr>
                <w:p w14:paraId="2CB77D2E">
                  <w:pPr>
                    <w:widowControl/>
                    <w:jc w:val="center"/>
                    <w:textAlignment w:val="center"/>
                    <w:rPr>
                      <w:kern w:val="0"/>
                      <w:sz w:val="21"/>
                      <w:szCs w:val="21"/>
                      <w:lang w:bidi="ar"/>
                    </w:rPr>
                  </w:pPr>
                </w:p>
              </w:tc>
            </w:tr>
            <w:tr w14:paraId="41AE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65BB4E7">
                  <w:pPr>
                    <w:widowControl/>
                    <w:contextualSpacing/>
                    <w:jc w:val="center"/>
                    <w:rPr>
                      <w:kern w:val="0"/>
                      <w:sz w:val="21"/>
                      <w:szCs w:val="21"/>
                    </w:rPr>
                  </w:pPr>
                  <w:r>
                    <w:rPr>
                      <w:rFonts w:hint="eastAsia"/>
                      <w:kern w:val="0"/>
                      <w:sz w:val="21"/>
                      <w:szCs w:val="21"/>
                    </w:rPr>
                    <w:t>27</w:t>
                  </w:r>
                </w:p>
              </w:tc>
              <w:tc>
                <w:tcPr>
                  <w:tcW w:w="362" w:type="pct"/>
                  <w:vMerge w:val="continue"/>
                  <w:vAlign w:val="center"/>
                </w:tcPr>
                <w:p w14:paraId="2DA2155C">
                  <w:pPr>
                    <w:widowControl/>
                    <w:jc w:val="center"/>
                    <w:textAlignment w:val="center"/>
                    <w:rPr>
                      <w:rFonts w:ascii="宋体" w:hAnsi="宋体" w:cs="宋体"/>
                      <w:kern w:val="0"/>
                      <w:sz w:val="21"/>
                      <w:szCs w:val="21"/>
                      <w:lang w:bidi="ar"/>
                    </w:rPr>
                  </w:pPr>
                </w:p>
              </w:tc>
              <w:tc>
                <w:tcPr>
                  <w:tcW w:w="2068" w:type="pct"/>
                  <w:vAlign w:val="center"/>
                </w:tcPr>
                <w:p w14:paraId="5CA276EA">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气相分子吸收光谱仪</w:t>
                  </w:r>
                </w:p>
              </w:tc>
              <w:tc>
                <w:tcPr>
                  <w:tcW w:w="1209" w:type="pct"/>
                  <w:vAlign w:val="center"/>
                </w:tcPr>
                <w:p w14:paraId="0285ECCB">
                  <w:pPr>
                    <w:widowControl/>
                    <w:jc w:val="center"/>
                    <w:textAlignment w:val="center"/>
                    <w:rPr>
                      <w:kern w:val="0"/>
                      <w:sz w:val="21"/>
                      <w:szCs w:val="21"/>
                      <w:lang w:bidi="ar"/>
                    </w:rPr>
                  </w:pPr>
                  <w:r>
                    <w:rPr>
                      <w:kern w:val="0"/>
                      <w:sz w:val="21"/>
                      <w:szCs w:val="21"/>
                      <w:lang w:bidi="ar"/>
                    </w:rPr>
                    <w:t>GMA3212</w:t>
                  </w:r>
                  <w:r>
                    <w:rPr>
                      <w:rFonts w:hint="eastAsia"/>
                      <w:kern w:val="0"/>
                      <w:sz w:val="21"/>
                      <w:szCs w:val="21"/>
                      <w:lang w:bidi="ar"/>
                    </w:rPr>
                    <w:t>（</w:t>
                  </w:r>
                  <w:r>
                    <w:rPr>
                      <w:kern w:val="0"/>
                      <w:sz w:val="21"/>
                      <w:szCs w:val="21"/>
                      <w:lang w:bidi="ar"/>
                    </w:rPr>
                    <w:t>3376</w:t>
                  </w:r>
                  <w:r>
                    <w:rPr>
                      <w:rFonts w:hint="eastAsia"/>
                      <w:kern w:val="0"/>
                      <w:sz w:val="21"/>
                      <w:szCs w:val="21"/>
                      <w:lang w:bidi="ar"/>
                    </w:rPr>
                    <w:t>）</w:t>
                  </w:r>
                </w:p>
              </w:tc>
              <w:tc>
                <w:tcPr>
                  <w:tcW w:w="507" w:type="pct"/>
                  <w:vAlign w:val="center"/>
                </w:tcPr>
                <w:p w14:paraId="18460CFC">
                  <w:pPr>
                    <w:widowControl/>
                    <w:jc w:val="center"/>
                    <w:textAlignment w:val="center"/>
                    <w:rPr>
                      <w:sz w:val="21"/>
                      <w:szCs w:val="21"/>
                    </w:rPr>
                  </w:pPr>
                  <w:r>
                    <w:rPr>
                      <w:rFonts w:hint="eastAsia"/>
                      <w:kern w:val="0"/>
                      <w:sz w:val="21"/>
                      <w:szCs w:val="21"/>
                    </w:rPr>
                    <w:t>1台</w:t>
                  </w:r>
                </w:p>
              </w:tc>
              <w:tc>
                <w:tcPr>
                  <w:tcW w:w="497" w:type="pct"/>
                  <w:vMerge w:val="continue"/>
                  <w:vAlign w:val="center"/>
                </w:tcPr>
                <w:p w14:paraId="38868F67">
                  <w:pPr>
                    <w:widowControl/>
                    <w:jc w:val="center"/>
                    <w:textAlignment w:val="center"/>
                    <w:rPr>
                      <w:kern w:val="0"/>
                      <w:sz w:val="21"/>
                      <w:szCs w:val="21"/>
                      <w:lang w:bidi="ar"/>
                    </w:rPr>
                  </w:pPr>
                </w:p>
              </w:tc>
            </w:tr>
            <w:tr w14:paraId="44B4E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40687A66">
                  <w:pPr>
                    <w:widowControl/>
                    <w:contextualSpacing/>
                    <w:jc w:val="center"/>
                    <w:rPr>
                      <w:kern w:val="0"/>
                      <w:sz w:val="21"/>
                      <w:szCs w:val="21"/>
                    </w:rPr>
                  </w:pPr>
                  <w:r>
                    <w:rPr>
                      <w:rFonts w:hint="eastAsia"/>
                      <w:kern w:val="0"/>
                      <w:sz w:val="21"/>
                      <w:szCs w:val="21"/>
                    </w:rPr>
                    <w:t>28</w:t>
                  </w:r>
                </w:p>
              </w:tc>
              <w:tc>
                <w:tcPr>
                  <w:tcW w:w="362" w:type="pct"/>
                  <w:vMerge w:val="continue"/>
                  <w:vAlign w:val="center"/>
                </w:tcPr>
                <w:p w14:paraId="0F83E9B5">
                  <w:pPr>
                    <w:widowControl/>
                    <w:jc w:val="center"/>
                    <w:textAlignment w:val="center"/>
                    <w:rPr>
                      <w:rFonts w:ascii="宋体" w:hAnsi="宋体" w:cs="宋体"/>
                      <w:kern w:val="0"/>
                      <w:sz w:val="21"/>
                      <w:szCs w:val="21"/>
                      <w:lang w:bidi="ar"/>
                    </w:rPr>
                  </w:pPr>
                </w:p>
              </w:tc>
              <w:tc>
                <w:tcPr>
                  <w:tcW w:w="2068" w:type="pct"/>
                  <w:vAlign w:val="center"/>
                </w:tcPr>
                <w:p w14:paraId="1B0F2A5F">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低本底</w:t>
                  </w:r>
                  <w:r>
                    <w:rPr>
                      <w:kern w:val="0"/>
                      <w:sz w:val="21"/>
                      <w:szCs w:val="21"/>
                      <w:lang w:bidi="ar"/>
                    </w:rPr>
                    <w:t>α</w:t>
                  </w:r>
                  <w:r>
                    <w:rPr>
                      <w:rFonts w:hint="eastAsia" w:ascii="宋体" w:hAnsi="宋体" w:cs="宋体"/>
                      <w:kern w:val="0"/>
                      <w:sz w:val="21"/>
                      <w:szCs w:val="21"/>
                      <w:lang w:bidi="ar"/>
                    </w:rPr>
                    <w:t>、</w:t>
                  </w:r>
                  <w:r>
                    <w:rPr>
                      <w:kern w:val="0"/>
                      <w:sz w:val="21"/>
                      <w:szCs w:val="21"/>
                      <w:lang w:bidi="ar"/>
                    </w:rPr>
                    <w:t>β</w:t>
                  </w:r>
                  <w:r>
                    <w:rPr>
                      <w:rFonts w:hint="eastAsia" w:ascii="宋体" w:hAnsi="宋体" w:cs="宋体"/>
                      <w:kern w:val="0"/>
                      <w:sz w:val="21"/>
                      <w:szCs w:val="21"/>
                      <w:lang w:bidi="ar"/>
                    </w:rPr>
                    <w:t>测量仪</w:t>
                  </w:r>
                </w:p>
              </w:tc>
              <w:tc>
                <w:tcPr>
                  <w:tcW w:w="1209" w:type="pct"/>
                  <w:vAlign w:val="center"/>
                </w:tcPr>
                <w:p w14:paraId="5E47B2AF">
                  <w:pPr>
                    <w:widowControl/>
                    <w:jc w:val="center"/>
                    <w:textAlignment w:val="center"/>
                    <w:rPr>
                      <w:kern w:val="0"/>
                      <w:sz w:val="21"/>
                      <w:szCs w:val="21"/>
                      <w:lang w:bidi="ar"/>
                    </w:rPr>
                  </w:pPr>
                  <w:r>
                    <w:rPr>
                      <w:kern w:val="0"/>
                      <w:sz w:val="21"/>
                      <w:szCs w:val="21"/>
                      <w:lang w:bidi="ar"/>
                    </w:rPr>
                    <w:t>FYFS-400X</w:t>
                  </w:r>
                </w:p>
              </w:tc>
              <w:tc>
                <w:tcPr>
                  <w:tcW w:w="507" w:type="pct"/>
                  <w:vAlign w:val="center"/>
                </w:tcPr>
                <w:p w14:paraId="2F3D6C7E">
                  <w:pPr>
                    <w:widowControl/>
                    <w:jc w:val="center"/>
                    <w:textAlignment w:val="center"/>
                    <w:rPr>
                      <w:sz w:val="21"/>
                      <w:szCs w:val="21"/>
                    </w:rPr>
                  </w:pPr>
                  <w:r>
                    <w:rPr>
                      <w:rFonts w:hint="eastAsia"/>
                      <w:kern w:val="0"/>
                      <w:sz w:val="21"/>
                      <w:szCs w:val="21"/>
                    </w:rPr>
                    <w:t>1台</w:t>
                  </w:r>
                </w:p>
              </w:tc>
              <w:tc>
                <w:tcPr>
                  <w:tcW w:w="497" w:type="pct"/>
                  <w:vMerge w:val="continue"/>
                  <w:vAlign w:val="center"/>
                </w:tcPr>
                <w:p w14:paraId="608A3030">
                  <w:pPr>
                    <w:widowControl/>
                    <w:jc w:val="center"/>
                    <w:textAlignment w:val="center"/>
                    <w:rPr>
                      <w:kern w:val="0"/>
                      <w:sz w:val="21"/>
                      <w:szCs w:val="21"/>
                      <w:lang w:bidi="ar"/>
                    </w:rPr>
                  </w:pPr>
                </w:p>
              </w:tc>
            </w:tr>
            <w:tr w14:paraId="6F85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56128626">
                  <w:pPr>
                    <w:widowControl/>
                    <w:contextualSpacing/>
                    <w:jc w:val="center"/>
                    <w:rPr>
                      <w:kern w:val="0"/>
                      <w:sz w:val="21"/>
                      <w:szCs w:val="21"/>
                    </w:rPr>
                  </w:pPr>
                  <w:r>
                    <w:rPr>
                      <w:rFonts w:hint="eastAsia"/>
                      <w:kern w:val="0"/>
                      <w:sz w:val="21"/>
                      <w:szCs w:val="21"/>
                    </w:rPr>
                    <w:t>29</w:t>
                  </w:r>
                </w:p>
              </w:tc>
              <w:tc>
                <w:tcPr>
                  <w:tcW w:w="362" w:type="pct"/>
                  <w:vMerge w:val="continue"/>
                  <w:vAlign w:val="center"/>
                </w:tcPr>
                <w:p w14:paraId="55D14796">
                  <w:pPr>
                    <w:widowControl/>
                    <w:jc w:val="center"/>
                    <w:textAlignment w:val="center"/>
                    <w:rPr>
                      <w:rFonts w:ascii="宋体" w:hAnsi="宋体" w:cs="宋体"/>
                      <w:kern w:val="0"/>
                      <w:sz w:val="21"/>
                      <w:szCs w:val="21"/>
                      <w:lang w:bidi="ar"/>
                    </w:rPr>
                  </w:pPr>
                </w:p>
              </w:tc>
              <w:tc>
                <w:tcPr>
                  <w:tcW w:w="2068" w:type="pct"/>
                  <w:vAlign w:val="center"/>
                </w:tcPr>
                <w:p w14:paraId="0592EB2A">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液相色谱仪</w:t>
                  </w:r>
                </w:p>
              </w:tc>
              <w:tc>
                <w:tcPr>
                  <w:tcW w:w="1209" w:type="pct"/>
                  <w:vAlign w:val="center"/>
                </w:tcPr>
                <w:p w14:paraId="67314B43">
                  <w:pPr>
                    <w:widowControl/>
                    <w:jc w:val="center"/>
                    <w:textAlignment w:val="center"/>
                    <w:rPr>
                      <w:kern w:val="0"/>
                      <w:sz w:val="21"/>
                      <w:szCs w:val="21"/>
                      <w:lang w:bidi="ar"/>
                    </w:rPr>
                  </w:pPr>
                  <w:r>
                    <w:rPr>
                      <w:kern w:val="0"/>
                      <w:sz w:val="21"/>
                      <w:szCs w:val="21"/>
                      <w:lang w:bidi="ar"/>
                    </w:rPr>
                    <w:t>1260 Infinity Ⅱ</w:t>
                  </w:r>
                </w:p>
              </w:tc>
              <w:tc>
                <w:tcPr>
                  <w:tcW w:w="507" w:type="pct"/>
                  <w:vAlign w:val="center"/>
                </w:tcPr>
                <w:p w14:paraId="1C37429E">
                  <w:pPr>
                    <w:widowControl/>
                    <w:jc w:val="center"/>
                    <w:textAlignment w:val="center"/>
                    <w:rPr>
                      <w:sz w:val="21"/>
                      <w:szCs w:val="21"/>
                    </w:rPr>
                  </w:pPr>
                  <w:r>
                    <w:rPr>
                      <w:rFonts w:hint="eastAsia"/>
                      <w:kern w:val="0"/>
                      <w:sz w:val="21"/>
                      <w:szCs w:val="21"/>
                    </w:rPr>
                    <w:t>1台</w:t>
                  </w:r>
                </w:p>
              </w:tc>
              <w:tc>
                <w:tcPr>
                  <w:tcW w:w="497" w:type="pct"/>
                  <w:vMerge w:val="continue"/>
                  <w:vAlign w:val="center"/>
                </w:tcPr>
                <w:p w14:paraId="3BABA62E">
                  <w:pPr>
                    <w:widowControl/>
                    <w:jc w:val="center"/>
                    <w:textAlignment w:val="center"/>
                    <w:rPr>
                      <w:kern w:val="0"/>
                      <w:sz w:val="21"/>
                      <w:szCs w:val="21"/>
                      <w:lang w:bidi="ar"/>
                    </w:rPr>
                  </w:pPr>
                </w:p>
              </w:tc>
            </w:tr>
            <w:tr w14:paraId="14BC3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C4336E7">
                  <w:pPr>
                    <w:widowControl/>
                    <w:contextualSpacing/>
                    <w:jc w:val="center"/>
                    <w:rPr>
                      <w:kern w:val="0"/>
                      <w:sz w:val="21"/>
                      <w:szCs w:val="21"/>
                    </w:rPr>
                  </w:pPr>
                  <w:r>
                    <w:rPr>
                      <w:rFonts w:hint="eastAsia"/>
                      <w:kern w:val="0"/>
                      <w:sz w:val="21"/>
                      <w:szCs w:val="21"/>
                    </w:rPr>
                    <w:t>30</w:t>
                  </w:r>
                </w:p>
              </w:tc>
              <w:tc>
                <w:tcPr>
                  <w:tcW w:w="362" w:type="pct"/>
                  <w:vMerge w:val="continue"/>
                  <w:vAlign w:val="center"/>
                </w:tcPr>
                <w:p w14:paraId="70885ABB">
                  <w:pPr>
                    <w:widowControl/>
                    <w:jc w:val="center"/>
                    <w:textAlignment w:val="center"/>
                    <w:rPr>
                      <w:rFonts w:ascii="宋体" w:hAnsi="宋体" w:cs="宋体"/>
                      <w:kern w:val="0"/>
                      <w:sz w:val="21"/>
                      <w:szCs w:val="21"/>
                      <w:lang w:bidi="ar"/>
                    </w:rPr>
                  </w:pPr>
                </w:p>
              </w:tc>
              <w:tc>
                <w:tcPr>
                  <w:tcW w:w="2068" w:type="pct"/>
                  <w:vAlign w:val="center"/>
                </w:tcPr>
                <w:p w14:paraId="1FEF2A1A">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便携式余氯测试仪</w:t>
                  </w:r>
                </w:p>
              </w:tc>
              <w:tc>
                <w:tcPr>
                  <w:tcW w:w="1209" w:type="pct"/>
                  <w:vAlign w:val="center"/>
                </w:tcPr>
                <w:p w14:paraId="45793951">
                  <w:pPr>
                    <w:widowControl/>
                    <w:jc w:val="center"/>
                    <w:textAlignment w:val="center"/>
                    <w:rPr>
                      <w:kern w:val="0"/>
                      <w:sz w:val="21"/>
                      <w:szCs w:val="21"/>
                      <w:lang w:bidi="ar"/>
                    </w:rPr>
                  </w:pPr>
                  <w:r>
                    <w:rPr>
                      <w:kern w:val="0"/>
                      <w:sz w:val="21"/>
                      <w:szCs w:val="21"/>
                      <w:lang w:bidi="ar"/>
                    </w:rPr>
                    <w:t>DR300</w:t>
                  </w:r>
                </w:p>
              </w:tc>
              <w:tc>
                <w:tcPr>
                  <w:tcW w:w="507" w:type="pct"/>
                  <w:vAlign w:val="center"/>
                </w:tcPr>
                <w:p w14:paraId="04F0DB00">
                  <w:pPr>
                    <w:widowControl/>
                    <w:jc w:val="center"/>
                    <w:textAlignment w:val="center"/>
                    <w:rPr>
                      <w:sz w:val="21"/>
                      <w:szCs w:val="21"/>
                    </w:rPr>
                  </w:pPr>
                  <w:r>
                    <w:rPr>
                      <w:rFonts w:hint="eastAsia"/>
                      <w:kern w:val="0"/>
                      <w:sz w:val="21"/>
                      <w:szCs w:val="21"/>
                    </w:rPr>
                    <w:t>1台</w:t>
                  </w:r>
                </w:p>
              </w:tc>
              <w:tc>
                <w:tcPr>
                  <w:tcW w:w="497" w:type="pct"/>
                  <w:vMerge w:val="continue"/>
                  <w:vAlign w:val="center"/>
                </w:tcPr>
                <w:p w14:paraId="512D5FEB">
                  <w:pPr>
                    <w:widowControl/>
                    <w:jc w:val="center"/>
                    <w:textAlignment w:val="center"/>
                    <w:rPr>
                      <w:kern w:val="0"/>
                      <w:sz w:val="21"/>
                      <w:szCs w:val="21"/>
                      <w:lang w:bidi="ar"/>
                    </w:rPr>
                  </w:pPr>
                </w:p>
              </w:tc>
            </w:tr>
            <w:tr w14:paraId="1E13F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052EEA89">
                  <w:pPr>
                    <w:widowControl/>
                    <w:contextualSpacing/>
                    <w:jc w:val="center"/>
                    <w:rPr>
                      <w:kern w:val="0"/>
                      <w:sz w:val="21"/>
                      <w:szCs w:val="21"/>
                    </w:rPr>
                  </w:pPr>
                  <w:r>
                    <w:rPr>
                      <w:rFonts w:hint="eastAsia"/>
                      <w:kern w:val="0"/>
                      <w:sz w:val="21"/>
                      <w:szCs w:val="21"/>
                    </w:rPr>
                    <w:t>31</w:t>
                  </w:r>
                </w:p>
              </w:tc>
              <w:tc>
                <w:tcPr>
                  <w:tcW w:w="362" w:type="pct"/>
                  <w:vMerge w:val="continue"/>
                  <w:vAlign w:val="center"/>
                </w:tcPr>
                <w:p w14:paraId="54D4C054">
                  <w:pPr>
                    <w:widowControl/>
                    <w:jc w:val="center"/>
                    <w:textAlignment w:val="center"/>
                    <w:rPr>
                      <w:rFonts w:ascii="宋体" w:hAnsi="宋体" w:cs="宋体"/>
                      <w:kern w:val="0"/>
                      <w:sz w:val="21"/>
                      <w:szCs w:val="21"/>
                      <w:lang w:bidi="ar"/>
                    </w:rPr>
                  </w:pPr>
                </w:p>
              </w:tc>
              <w:tc>
                <w:tcPr>
                  <w:tcW w:w="2068" w:type="pct"/>
                  <w:vAlign w:val="center"/>
                </w:tcPr>
                <w:p w14:paraId="71A41805">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火焰光度计</w:t>
                  </w:r>
                </w:p>
              </w:tc>
              <w:tc>
                <w:tcPr>
                  <w:tcW w:w="1209" w:type="pct"/>
                  <w:vAlign w:val="center"/>
                </w:tcPr>
                <w:p w14:paraId="5210E4FA">
                  <w:pPr>
                    <w:widowControl/>
                    <w:jc w:val="center"/>
                    <w:textAlignment w:val="center"/>
                    <w:rPr>
                      <w:kern w:val="0"/>
                      <w:sz w:val="21"/>
                      <w:szCs w:val="21"/>
                      <w:lang w:bidi="ar"/>
                    </w:rPr>
                  </w:pPr>
                  <w:r>
                    <w:rPr>
                      <w:kern w:val="0"/>
                      <w:sz w:val="21"/>
                      <w:szCs w:val="21"/>
                      <w:lang w:bidi="ar"/>
                    </w:rPr>
                    <w:t>FP6410</w:t>
                  </w:r>
                </w:p>
              </w:tc>
              <w:tc>
                <w:tcPr>
                  <w:tcW w:w="507" w:type="pct"/>
                  <w:vAlign w:val="center"/>
                </w:tcPr>
                <w:p w14:paraId="516B529C">
                  <w:pPr>
                    <w:widowControl/>
                    <w:jc w:val="center"/>
                    <w:textAlignment w:val="center"/>
                    <w:rPr>
                      <w:sz w:val="21"/>
                      <w:szCs w:val="21"/>
                    </w:rPr>
                  </w:pPr>
                  <w:r>
                    <w:rPr>
                      <w:rFonts w:hint="eastAsia"/>
                      <w:kern w:val="0"/>
                      <w:sz w:val="21"/>
                      <w:szCs w:val="21"/>
                    </w:rPr>
                    <w:t>1台</w:t>
                  </w:r>
                </w:p>
              </w:tc>
              <w:tc>
                <w:tcPr>
                  <w:tcW w:w="497" w:type="pct"/>
                  <w:vMerge w:val="continue"/>
                  <w:vAlign w:val="center"/>
                </w:tcPr>
                <w:p w14:paraId="7C9AE0EE">
                  <w:pPr>
                    <w:widowControl/>
                    <w:jc w:val="center"/>
                    <w:textAlignment w:val="center"/>
                    <w:rPr>
                      <w:kern w:val="0"/>
                      <w:sz w:val="21"/>
                      <w:szCs w:val="21"/>
                      <w:lang w:bidi="ar"/>
                    </w:rPr>
                  </w:pPr>
                </w:p>
              </w:tc>
            </w:tr>
            <w:tr w14:paraId="52C91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90FD02D">
                  <w:pPr>
                    <w:widowControl/>
                    <w:contextualSpacing/>
                    <w:jc w:val="center"/>
                    <w:rPr>
                      <w:kern w:val="0"/>
                      <w:sz w:val="21"/>
                      <w:szCs w:val="21"/>
                    </w:rPr>
                  </w:pPr>
                  <w:r>
                    <w:rPr>
                      <w:rFonts w:hint="eastAsia"/>
                      <w:kern w:val="0"/>
                      <w:sz w:val="21"/>
                      <w:szCs w:val="21"/>
                    </w:rPr>
                    <w:t>32</w:t>
                  </w:r>
                </w:p>
              </w:tc>
              <w:tc>
                <w:tcPr>
                  <w:tcW w:w="362" w:type="pct"/>
                  <w:vMerge w:val="continue"/>
                  <w:vAlign w:val="center"/>
                </w:tcPr>
                <w:p w14:paraId="44BC97E2">
                  <w:pPr>
                    <w:widowControl/>
                    <w:jc w:val="center"/>
                    <w:textAlignment w:val="center"/>
                    <w:rPr>
                      <w:rFonts w:ascii="宋体" w:hAnsi="宋体" w:cs="宋体"/>
                      <w:kern w:val="0"/>
                      <w:sz w:val="21"/>
                      <w:szCs w:val="21"/>
                      <w:lang w:bidi="ar"/>
                    </w:rPr>
                  </w:pPr>
                </w:p>
              </w:tc>
              <w:tc>
                <w:tcPr>
                  <w:tcW w:w="2068" w:type="pct"/>
                  <w:vAlign w:val="center"/>
                </w:tcPr>
                <w:p w14:paraId="206DA853">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石墨消解仪</w:t>
                  </w:r>
                </w:p>
              </w:tc>
              <w:tc>
                <w:tcPr>
                  <w:tcW w:w="1209" w:type="pct"/>
                  <w:vAlign w:val="center"/>
                </w:tcPr>
                <w:p w14:paraId="25174D80">
                  <w:pPr>
                    <w:widowControl/>
                    <w:jc w:val="center"/>
                    <w:textAlignment w:val="center"/>
                    <w:rPr>
                      <w:kern w:val="0"/>
                      <w:sz w:val="21"/>
                      <w:szCs w:val="21"/>
                      <w:lang w:bidi="ar"/>
                    </w:rPr>
                  </w:pPr>
                  <w:r>
                    <w:rPr>
                      <w:kern w:val="0"/>
                      <w:sz w:val="21"/>
                      <w:szCs w:val="21"/>
                      <w:lang w:bidi="ar"/>
                    </w:rPr>
                    <w:t>SH220F</w:t>
                  </w:r>
                </w:p>
              </w:tc>
              <w:tc>
                <w:tcPr>
                  <w:tcW w:w="507" w:type="pct"/>
                  <w:vAlign w:val="center"/>
                </w:tcPr>
                <w:p w14:paraId="69BC6826">
                  <w:pPr>
                    <w:widowControl/>
                    <w:jc w:val="center"/>
                    <w:textAlignment w:val="center"/>
                    <w:rPr>
                      <w:sz w:val="21"/>
                      <w:szCs w:val="21"/>
                    </w:rPr>
                  </w:pPr>
                  <w:r>
                    <w:rPr>
                      <w:rFonts w:hint="eastAsia"/>
                      <w:kern w:val="0"/>
                      <w:sz w:val="21"/>
                      <w:szCs w:val="21"/>
                    </w:rPr>
                    <w:t>1台</w:t>
                  </w:r>
                </w:p>
              </w:tc>
              <w:tc>
                <w:tcPr>
                  <w:tcW w:w="497" w:type="pct"/>
                  <w:vMerge w:val="continue"/>
                  <w:vAlign w:val="center"/>
                </w:tcPr>
                <w:p w14:paraId="4682C619">
                  <w:pPr>
                    <w:widowControl/>
                    <w:jc w:val="center"/>
                    <w:textAlignment w:val="center"/>
                    <w:rPr>
                      <w:kern w:val="0"/>
                      <w:sz w:val="21"/>
                      <w:szCs w:val="21"/>
                      <w:lang w:bidi="ar"/>
                    </w:rPr>
                  </w:pPr>
                </w:p>
              </w:tc>
            </w:tr>
            <w:tr w14:paraId="2AEE9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53C57A47">
                  <w:pPr>
                    <w:widowControl/>
                    <w:contextualSpacing/>
                    <w:jc w:val="center"/>
                    <w:rPr>
                      <w:kern w:val="0"/>
                      <w:sz w:val="21"/>
                      <w:szCs w:val="21"/>
                    </w:rPr>
                  </w:pPr>
                  <w:r>
                    <w:rPr>
                      <w:rFonts w:hint="eastAsia"/>
                      <w:kern w:val="0"/>
                      <w:sz w:val="21"/>
                      <w:szCs w:val="21"/>
                    </w:rPr>
                    <w:t>33</w:t>
                  </w:r>
                </w:p>
              </w:tc>
              <w:tc>
                <w:tcPr>
                  <w:tcW w:w="362" w:type="pct"/>
                  <w:vMerge w:val="continue"/>
                  <w:vAlign w:val="center"/>
                </w:tcPr>
                <w:p w14:paraId="1267D05A">
                  <w:pPr>
                    <w:widowControl/>
                    <w:jc w:val="center"/>
                    <w:textAlignment w:val="center"/>
                    <w:rPr>
                      <w:rFonts w:ascii="宋体" w:hAnsi="宋体" w:cs="宋体"/>
                      <w:kern w:val="0"/>
                      <w:sz w:val="21"/>
                      <w:szCs w:val="21"/>
                      <w:lang w:bidi="ar"/>
                    </w:rPr>
                  </w:pPr>
                </w:p>
              </w:tc>
              <w:tc>
                <w:tcPr>
                  <w:tcW w:w="2068" w:type="pct"/>
                  <w:vAlign w:val="center"/>
                </w:tcPr>
                <w:p w14:paraId="55E52877">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微波消解仪</w:t>
                  </w:r>
                </w:p>
              </w:tc>
              <w:tc>
                <w:tcPr>
                  <w:tcW w:w="1209" w:type="pct"/>
                  <w:vAlign w:val="center"/>
                </w:tcPr>
                <w:p w14:paraId="26FE7D01">
                  <w:pPr>
                    <w:widowControl/>
                    <w:jc w:val="center"/>
                    <w:textAlignment w:val="center"/>
                    <w:rPr>
                      <w:kern w:val="0"/>
                      <w:sz w:val="21"/>
                      <w:szCs w:val="21"/>
                      <w:lang w:bidi="ar"/>
                    </w:rPr>
                  </w:pPr>
                  <w:r>
                    <w:rPr>
                      <w:kern w:val="0"/>
                      <w:sz w:val="21"/>
                      <w:szCs w:val="21"/>
                      <w:lang w:bidi="ar"/>
                    </w:rPr>
                    <w:t>极光3</w:t>
                  </w:r>
                </w:p>
              </w:tc>
              <w:tc>
                <w:tcPr>
                  <w:tcW w:w="507" w:type="pct"/>
                  <w:vAlign w:val="center"/>
                </w:tcPr>
                <w:p w14:paraId="0F0894F0">
                  <w:pPr>
                    <w:widowControl/>
                    <w:jc w:val="center"/>
                    <w:textAlignment w:val="center"/>
                    <w:rPr>
                      <w:sz w:val="21"/>
                      <w:szCs w:val="21"/>
                    </w:rPr>
                  </w:pPr>
                  <w:r>
                    <w:rPr>
                      <w:rFonts w:hint="eastAsia"/>
                      <w:kern w:val="0"/>
                      <w:sz w:val="21"/>
                      <w:szCs w:val="21"/>
                    </w:rPr>
                    <w:t>1台</w:t>
                  </w:r>
                </w:p>
              </w:tc>
              <w:tc>
                <w:tcPr>
                  <w:tcW w:w="497" w:type="pct"/>
                  <w:vMerge w:val="continue"/>
                  <w:vAlign w:val="center"/>
                </w:tcPr>
                <w:p w14:paraId="1099F7A6">
                  <w:pPr>
                    <w:widowControl/>
                    <w:jc w:val="center"/>
                    <w:textAlignment w:val="center"/>
                    <w:rPr>
                      <w:kern w:val="0"/>
                      <w:sz w:val="21"/>
                      <w:szCs w:val="21"/>
                      <w:lang w:bidi="ar"/>
                    </w:rPr>
                  </w:pPr>
                </w:p>
              </w:tc>
            </w:tr>
            <w:tr w14:paraId="0E083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939E0EE">
                  <w:pPr>
                    <w:widowControl/>
                    <w:contextualSpacing/>
                    <w:jc w:val="center"/>
                    <w:rPr>
                      <w:kern w:val="0"/>
                      <w:sz w:val="21"/>
                      <w:szCs w:val="21"/>
                    </w:rPr>
                  </w:pPr>
                  <w:r>
                    <w:rPr>
                      <w:rFonts w:hint="eastAsia"/>
                      <w:kern w:val="0"/>
                      <w:sz w:val="21"/>
                      <w:szCs w:val="21"/>
                    </w:rPr>
                    <w:t>34</w:t>
                  </w:r>
                </w:p>
              </w:tc>
              <w:tc>
                <w:tcPr>
                  <w:tcW w:w="362" w:type="pct"/>
                  <w:vMerge w:val="continue"/>
                  <w:vAlign w:val="center"/>
                </w:tcPr>
                <w:p w14:paraId="1A125C07">
                  <w:pPr>
                    <w:widowControl/>
                    <w:jc w:val="center"/>
                    <w:textAlignment w:val="center"/>
                    <w:rPr>
                      <w:rFonts w:ascii="宋体" w:hAnsi="宋体" w:cs="宋体"/>
                      <w:kern w:val="0"/>
                      <w:sz w:val="21"/>
                      <w:szCs w:val="21"/>
                      <w:lang w:bidi="ar"/>
                    </w:rPr>
                  </w:pPr>
                </w:p>
              </w:tc>
              <w:tc>
                <w:tcPr>
                  <w:tcW w:w="2068" w:type="pct"/>
                  <w:vAlign w:val="center"/>
                </w:tcPr>
                <w:p w14:paraId="1AC6EABD">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电感耦合等离子体质谱仪</w:t>
                  </w:r>
                </w:p>
              </w:tc>
              <w:tc>
                <w:tcPr>
                  <w:tcW w:w="1209" w:type="pct"/>
                  <w:vAlign w:val="center"/>
                </w:tcPr>
                <w:p w14:paraId="48DC2BDB">
                  <w:pPr>
                    <w:widowControl/>
                    <w:jc w:val="center"/>
                    <w:textAlignment w:val="center"/>
                    <w:rPr>
                      <w:kern w:val="0"/>
                      <w:sz w:val="21"/>
                      <w:szCs w:val="21"/>
                      <w:lang w:bidi="ar"/>
                    </w:rPr>
                  </w:pPr>
                  <w:r>
                    <w:rPr>
                      <w:kern w:val="0"/>
                      <w:sz w:val="21"/>
                      <w:szCs w:val="21"/>
                      <w:lang w:bidi="ar"/>
                    </w:rPr>
                    <w:t>iCAP RQ</w:t>
                  </w:r>
                </w:p>
              </w:tc>
              <w:tc>
                <w:tcPr>
                  <w:tcW w:w="507" w:type="pct"/>
                  <w:vAlign w:val="center"/>
                </w:tcPr>
                <w:p w14:paraId="105A4F72">
                  <w:pPr>
                    <w:widowControl/>
                    <w:jc w:val="center"/>
                    <w:textAlignment w:val="center"/>
                    <w:rPr>
                      <w:sz w:val="21"/>
                      <w:szCs w:val="21"/>
                    </w:rPr>
                  </w:pPr>
                  <w:r>
                    <w:rPr>
                      <w:rFonts w:hint="eastAsia"/>
                      <w:kern w:val="0"/>
                      <w:sz w:val="21"/>
                      <w:szCs w:val="21"/>
                    </w:rPr>
                    <w:t>1台</w:t>
                  </w:r>
                </w:p>
              </w:tc>
              <w:tc>
                <w:tcPr>
                  <w:tcW w:w="497" w:type="pct"/>
                  <w:vMerge w:val="continue"/>
                  <w:vAlign w:val="center"/>
                </w:tcPr>
                <w:p w14:paraId="47026F2E">
                  <w:pPr>
                    <w:widowControl/>
                    <w:jc w:val="center"/>
                    <w:textAlignment w:val="center"/>
                    <w:rPr>
                      <w:kern w:val="0"/>
                      <w:sz w:val="21"/>
                      <w:szCs w:val="21"/>
                      <w:lang w:bidi="ar"/>
                    </w:rPr>
                  </w:pPr>
                </w:p>
              </w:tc>
            </w:tr>
            <w:tr w14:paraId="7C6C3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1D886592">
                  <w:pPr>
                    <w:widowControl/>
                    <w:contextualSpacing/>
                    <w:jc w:val="center"/>
                    <w:rPr>
                      <w:kern w:val="0"/>
                      <w:sz w:val="21"/>
                      <w:szCs w:val="21"/>
                    </w:rPr>
                  </w:pPr>
                  <w:r>
                    <w:rPr>
                      <w:rFonts w:hint="eastAsia"/>
                      <w:kern w:val="0"/>
                      <w:sz w:val="21"/>
                      <w:szCs w:val="21"/>
                    </w:rPr>
                    <w:t>35</w:t>
                  </w:r>
                </w:p>
              </w:tc>
              <w:tc>
                <w:tcPr>
                  <w:tcW w:w="362" w:type="pct"/>
                  <w:vMerge w:val="restart"/>
                  <w:vAlign w:val="center"/>
                </w:tcPr>
                <w:p w14:paraId="2A23D13A">
                  <w:pPr>
                    <w:widowControl/>
                    <w:jc w:val="center"/>
                    <w:textAlignment w:val="center"/>
                    <w:rPr>
                      <w:kern w:val="0"/>
                      <w:sz w:val="21"/>
                      <w:szCs w:val="21"/>
                      <w:lang w:bidi="ar"/>
                    </w:rPr>
                  </w:pPr>
                  <w:r>
                    <w:rPr>
                      <w:rFonts w:hint="eastAsia"/>
                      <w:kern w:val="0"/>
                      <w:sz w:val="21"/>
                      <w:szCs w:val="21"/>
                      <w:lang w:bidi="ar"/>
                    </w:rPr>
                    <w:t>采样设备</w:t>
                  </w:r>
                </w:p>
              </w:tc>
              <w:tc>
                <w:tcPr>
                  <w:tcW w:w="2068" w:type="pct"/>
                  <w:vAlign w:val="center"/>
                </w:tcPr>
                <w:p w14:paraId="16F9C175">
                  <w:pPr>
                    <w:widowControl/>
                    <w:jc w:val="center"/>
                    <w:textAlignment w:val="center"/>
                    <w:rPr>
                      <w:kern w:val="0"/>
                      <w:sz w:val="21"/>
                      <w:szCs w:val="21"/>
                      <w:lang w:bidi="ar"/>
                    </w:rPr>
                  </w:pPr>
                  <w:r>
                    <w:rPr>
                      <w:kern w:val="0"/>
                      <w:sz w:val="21"/>
                      <w:szCs w:val="21"/>
                      <w:lang w:bidi="ar"/>
                    </w:rPr>
                    <w:t>智能双路烟气采样器</w:t>
                  </w:r>
                </w:p>
              </w:tc>
              <w:tc>
                <w:tcPr>
                  <w:tcW w:w="1209" w:type="pct"/>
                  <w:vAlign w:val="center"/>
                </w:tcPr>
                <w:p w14:paraId="52CD5D79">
                  <w:pPr>
                    <w:widowControl/>
                    <w:jc w:val="center"/>
                    <w:textAlignment w:val="center"/>
                    <w:rPr>
                      <w:sz w:val="21"/>
                      <w:szCs w:val="21"/>
                    </w:rPr>
                  </w:pPr>
                  <w:r>
                    <w:rPr>
                      <w:kern w:val="0"/>
                      <w:sz w:val="21"/>
                      <w:szCs w:val="21"/>
                      <w:lang w:bidi="ar"/>
                    </w:rPr>
                    <w:t>崂应3072型</w:t>
                  </w:r>
                </w:p>
              </w:tc>
              <w:tc>
                <w:tcPr>
                  <w:tcW w:w="507" w:type="pct"/>
                  <w:vAlign w:val="center"/>
                </w:tcPr>
                <w:p w14:paraId="698B51CB">
                  <w:pPr>
                    <w:widowControl/>
                    <w:jc w:val="center"/>
                    <w:textAlignment w:val="center"/>
                    <w:rPr>
                      <w:kern w:val="0"/>
                      <w:sz w:val="21"/>
                      <w:szCs w:val="21"/>
                      <w:lang w:bidi="ar"/>
                    </w:rPr>
                  </w:pPr>
                  <w:r>
                    <w:rPr>
                      <w:rFonts w:hint="eastAsia"/>
                      <w:kern w:val="0"/>
                      <w:sz w:val="21"/>
                      <w:szCs w:val="21"/>
                    </w:rPr>
                    <w:t>1台</w:t>
                  </w:r>
                </w:p>
              </w:tc>
              <w:tc>
                <w:tcPr>
                  <w:tcW w:w="497" w:type="pct"/>
                  <w:vMerge w:val="restart"/>
                  <w:vAlign w:val="center"/>
                </w:tcPr>
                <w:p w14:paraId="008A939D">
                  <w:pPr>
                    <w:widowControl/>
                    <w:jc w:val="center"/>
                    <w:textAlignment w:val="center"/>
                    <w:rPr>
                      <w:kern w:val="0"/>
                      <w:sz w:val="21"/>
                      <w:szCs w:val="21"/>
                      <w:lang w:bidi="ar"/>
                    </w:rPr>
                  </w:pPr>
                  <w:r>
                    <w:rPr>
                      <w:rFonts w:hint="eastAsia"/>
                      <w:kern w:val="0"/>
                      <w:sz w:val="21"/>
                      <w:szCs w:val="21"/>
                    </w:rPr>
                    <w:t>利旧搬迁</w:t>
                  </w:r>
                </w:p>
              </w:tc>
            </w:tr>
            <w:tr w14:paraId="60B85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4A44573">
                  <w:pPr>
                    <w:widowControl/>
                    <w:contextualSpacing/>
                    <w:jc w:val="center"/>
                    <w:rPr>
                      <w:kern w:val="0"/>
                      <w:sz w:val="21"/>
                      <w:szCs w:val="21"/>
                    </w:rPr>
                  </w:pPr>
                  <w:r>
                    <w:rPr>
                      <w:rFonts w:hint="eastAsia"/>
                      <w:kern w:val="0"/>
                      <w:sz w:val="21"/>
                      <w:szCs w:val="21"/>
                    </w:rPr>
                    <w:t>36</w:t>
                  </w:r>
                </w:p>
              </w:tc>
              <w:tc>
                <w:tcPr>
                  <w:tcW w:w="362" w:type="pct"/>
                  <w:vMerge w:val="continue"/>
                  <w:vAlign w:val="center"/>
                </w:tcPr>
                <w:p w14:paraId="49BEC146">
                  <w:pPr>
                    <w:widowControl/>
                    <w:jc w:val="center"/>
                    <w:rPr>
                      <w:kern w:val="0"/>
                      <w:sz w:val="21"/>
                      <w:szCs w:val="21"/>
                    </w:rPr>
                  </w:pPr>
                </w:p>
              </w:tc>
              <w:tc>
                <w:tcPr>
                  <w:tcW w:w="2068" w:type="pct"/>
                  <w:vAlign w:val="center"/>
                </w:tcPr>
                <w:p w14:paraId="0AF699E8">
                  <w:pPr>
                    <w:widowControl/>
                    <w:jc w:val="center"/>
                    <w:rPr>
                      <w:rFonts w:ascii="宋体" w:hAnsi="宋体" w:cs="宋体"/>
                      <w:kern w:val="0"/>
                      <w:sz w:val="21"/>
                      <w:szCs w:val="21"/>
                      <w:lang w:bidi="ar"/>
                    </w:rPr>
                  </w:pPr>
                  <w:r>
                    <w:rPr>
                      <w:kern w:val="0"/>
                      <w:sz w:val="21"/>
                      <w:szCs w:val="21"/>
                    </w:rPr>
                    <w:t>自动烟尘（气）测试仪</w:t>
                  </w:r>
                </w:p>
              </w:tc>
              <w:tc>
                <w:tcPr>
                  <w:tcW w:w="1209" w:type="pct"/>
                  <w:vAlign w:val="center"/>
                </w:tcPr>
                <w:p w14:paraId="44D81E51">
                  <w:pPr>
                    <w:widowControl/>
                    <w:jc w:val="center"/>
                    <w:textAlignment w:val="center"/>
                    <w:rPr>
                      <w:kern w:val="0"/>
                      <w:sz w:val="21"/>
                      <w:szCs w:val="21"/>
                      <w:lang w:bidi="ar"/>
                    </w:rPr>
                  </w:pPr>
                  <w:r>
                    <w:rPr>
                      <w:kern w:val="0"/>
                      <w:sz w:val="21"/>
                      <w:szCs w:val="21"/>
                    </w:rPr>
                    <w:t>YQ3000-D</w:t>
                  </w:r>
                </w:p>
              </w:tc>
              <w:tc>
                <w:tcPr>
                  <w:tcW w:w="507" w:type="pct"/>
                  <w:vAlign w:val="center"/>
                </w:tcPr>
                <w:p w14:paraId="59C972F2">
                  <w:pPr>
                    <w:widowControl/>
                    <w:contextualSpacing/>
                    <w:jc w:val="center"/>
                    <w:rPr>
                      <w:kern w:val="0"/>
                      <w:sz w:val="21"/>
                      <w:szCs w:val="21"/>
                    </w:rPr>
                  </w:pPr>
                  <w:r>
                    <w:rPr>
                      <w:rFonts w:hint="eastAsia"/>
                      <w:kern w:val="0"/>
                      <w:sz w:val="21"/>
                      <w:szCs w:val="21"/>
                    </w:rPr>
                    <w:t>6台</w:t>
                  </w:r>
                </w:p>
              </w:tc>
              <w:tc>
                <w:tcPr>
                  <w:tcW w:w="497" w:type="pct"/>
                  <w:vMerge w:val="continue"/>
                  <w:vAlign w:val="center"/>
                </w:tcPr>
                <w:p w14:paraId="1F6F8ED5">
                  <w:pPr>
                    <w:widowControl/>
                    <w:jc w:val="center"/>
                    <w:textAlignment w:val="center"/>
                    <w:rPr>
                      <w:kern w:val="0"/>
                      <w:sz w:val="21"/>
                      <w:szCs w:val="21"/>
                      <w:lang w:bidi="ar"/>
                    </w:rPr>
                  </w:pPr>
                </w:p>
              </w:tc>
            </w:tr>
            <w:tr w14:paraId="15702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63720CC">
                  <w:pPr>
                    <w:widowControl/>
                    <w:contextualSpacing/>
                    <w:jc w:val="center"/>
                    <w:rPr>
                      <w:kern w:val="0"/>
                      <w:sz w:val="21"/>
                      <w:szCs w:val="21"/>
                    </w:rPr>
                  </w:pPr>
                  <w:r>
                    <w:rPr>
                      <w:rFonts w:hint="eastAsia"/>
                      <w:kern w:val="0"/>
                      <w:sz w:val="21"/>
                      <w:szCs w:val="21"/>
                    </w:rPr>
                    <w:t>37</w:t>
                  </w:r>
                </w:p>
              </w:tc>
              <w:tc>
                <w:tcPr>
                  <w:tcW w:w="362" w:type="pct"/>
                  <w:vMerge w:val="continue"/>
                  <w:vAlign w:val="center"/>
                </w:tcPr>
                <w:p w14:paraId="40A1E1A2">
                  <w:pPr>
                    <w:widowControl/>
                    <w:jc w:val="center"/>
                    <w:rPr>
                      <w:kern w:val="0"/>
                      <w:sz w:val="21"/>
                      <w:szCs w:val="21"/>
                    </w:rPr>
                  </w:pPr>
                </w:p>
              </w:tc>
              <w:tc>
                <w:tcPr>
                  <w:tcW w:w="2068" w:type="pct"/>
                  <w:vAlign w:val="center"/>
                </w:tcPr>
                <w:p w14:paraId="718F75B3">
                  <w:pPr>
                    <w:widowControl/>
                    <w:jc w:val="center"/>
                    <w:rPr>
                      <w:rFonts w:ascii="宋体" w:hAnsi="宋体" w:cs="宋体"/>
                      <w:kern w:val="0"/>
                      <w:sz w:val="21"/>
                      <w:szCs w:val="21"/>
                      <w:lang w:bidi="ar"/>
                    </w:rPr>
                  </w:pPr>
                  <w:r>
                    <w:rPr>
                      <w:kern w:val="0"/>
                      <w:sz w:val="21"/>
                      <w:szCs w:val="21"/>
                    </w:rPr>
                    <w:t>大流量烟尘（气）测试仪（20代）</w:t>
                  </w:r>
                </w:p>
              </w:tc>
              <w:tc>
                <w:tcPr>
                  <w:tcW w:w="1209" w:type="pct"/>
                  <w:vAlign w:val="center"/>
                </w:tcPr>
                <w:p w14:paraId="1363931B">
                  <w:pPr>
                    <w:widowControl/>
                    <w:jc w:val="center"/>
                    <w:textAlignment w:val="center"/>
                    <w:rPr>
                      <w:kern w:val="0"/>
                      <w:sz w:val="21"/>
                      <w:szCs w:val="21"/>
                      <w:lang w:bidi="ar"/>
                    </w:rPr>
                  </w:pPr>
                  <w:r>
                    <w:rPr>
                      <w:kern w:val="0"/>
                      <w:sz w:val="21"/>
                      <w:szCs w:val="21"/>
                    </w:rPr>
                    <w:t>YQ3000-D</w:t>
                  </w:r>
                </w:p>
              </w:tc>
              <w:tc>
                <w:tcPr>
                  <w:tcW w:w="507" w:type="pct"/>
                  <w:vAlign w:val="center"/>
                </w:tcPr>
                <w:p w14:paraId="2EB80F64">
                  <w:pPr>
                    <w:widowControl/>
                    <w:contextualSpacing/>
                    <w:jc w:val="center"/>
                    <w:rPr>
                      <w:kern w:val="0"/>
                      <w:sz w:val="21"/>
                      <w:szCs w:val="21"/>
                    </w:rPr>
                  </w:pPr>
                  <w:r>
                    <w:rPr>
                      <w:rFonts w:hint="eastAsia"/>
                      <w:kern w:val="0"/>
                      <w:sz w:val="21"/>
                      <w:szCs w:val="21"/>
                    </w:rPr>
                    <w:t>2台</w:t>
                  </w:r>
                </w:p>
              </w:tc>
              <w:tc>
                <w:tcPr>
                  <w:tcW w:w="497" w:type="pct"/>
                  <w:vMerge w:val="continue"/>
                  <w:vAlign w:val="center"/>
                </w:tcPr>
                <w:p w14:paraId="71355DB4">
                  <w:pPr>
                    <w:widowControl/>
                    <w:jc w:val="center"/>
                    <w:textAlignment w:val="center"/>
                    <w:rPr>
                      <w:kern w:val="0"/>
                      <w:sz w:val="21"/>
                      <w:szCs w:val="21"/>
                      <w:lang w:bidi="ar"/>
                    </w:rPr>
                  </w:pPr>
                </w:p>
              </w:tc>
            </w:tr>
            <w:tr w14:paraId="0D8A7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E5E26BD">
                  <w:pPr>
                    <w:widowControl/>
                    <w:contextualSpacing/>
                    <w:jc w:val="center"/>
                    <w:rPr>
                      <w:kern w:val="0"/>
                      <w:sz w:val="21"/>
                      <w:szCs w:val="21"/>
                    </w:rPr>
                  </w:pPr>
                  <w:r>
                    <w:rPr>
                      <w:rFonts w:hint="eastAsia"/>
                      <w:kern w:val="0"/>
                      <w:sz w:val="21"/>
                      <w:szCs w:val="21"/>
                    </w:rPr>
                    <w:t>38</w:t>
                  </w:r>
                </w:p>
              </w:tc>
              <w:tc>
                <w:tcPr>
                  <w:tcW w:w="362" w:type="pct"/>
                  <w:vMerge w:val="continue"/>
                  <w:vAlign w:val="center"/>
                </w:tcPr>
                <w:p w14:paraId="29CFC261">
                  <w:pPr>
                    <w:widowControl/>
                    <w:jc w:val="center"/>
                    <w:textAlignment w:val="center"/>
                    <w:rPr>
                      <w:sz w:val="21"/>
                      <w:szCs w:val="21"/>
                    </w:rPr>
                  </w:pPr>
                </w:p>
              </w:tc>
              <w:tc>
                <w:tcPr>
                  <w:tcW w:w="2068" w:type="pct"/>
                  <w:vAlign w:val="center"/>
                </w:tcPr>
                <w:p w14:paraId="29C38E78">
                  <w:pPr>
                    <w:widowControl/>
                    <w:jc w:val="center"/>
                    <w:textAlignment w:val="center"/>
                    <w:rPr>
                      <w:rFonts w:ascii="宋体" w:hAnsi="宋体" w:cs="宋体"/>
                      <w:kern w:val="0"/>
                      <w:sz w:val="21"/>
                      <w:szCs w:val="21"/>
                      <w:lang w:bidi="ar"/>
                    </w:rPr>
                  </w:pPr>
                  <w:r>
                    <w:rPr>
                      <w:sz w:val="21"/>
                      <w:szCs w:val="21"/>
                    </w:rPr>
                    <w:t>全自动大气/颗粒物采样器</w:t>
                  </w:r>
                </w:p>
              </w:tc>
              <w:tc>
                <w:tcPr>
                  <w:tcW w:w="1209" w:type="pct"/>
                  <w:vAlign w:val="center"/>
                </w:tcPr>
                <w:p w14:paraId="47FD1B3B">
                  <w:pPr>
                    <w:widowControl/>
                    <w:jc w:val="center"/>
                    <w:textAlignment w:val="center"/>
                    <w:rPr>
                      <w:kern w:val="0"/>
                      <w:sz w:val="21"/>
                      <w:szCs w:val="21"/>
                      <w:lang w:bidi="ar"/>
                    </w:rPr>
                  </w:pPr>
                  <w:r>
                    <w:rPr>
                      <w:kern w:val="0"/>
                      <w:sz w:val="21"/>
                      <w:szCs w:val="21"/>
                      <w:lang w:bidi="ar"/>
                    </w:rPr>
                    <w:t>MH1200</w:t>
                  </w:r>
                </w:p>
              </w:tc>
              <w:tc>
                <w:tcPr>
                  <w:tcW w:w="507" w:type="pct"/>
                  <w:vAlign w:val="center"/>
                </w:tcPr>
                <w:p w14:paraId="494CCF5B">
                  <w:pPr>
                    <w:widowControl/>
                    <w:jc w:val="center"/>
                    <w:textAlignment w:val="center"/>
                    <w:rPr>
                      <w:kern w:val="0"/>
                      <w:sz w:val="21"/>
                      <w:szCs w:val="21"/>
                    </w:rPr>
                  </w:pPr>
                  <w:r>
                    <w:rPr>
                      <w:rFonts w:hint="eastAsia"/>
                      <w:kern w:val="0"/>
                      <w:sz w:val="21"/>
                      <w:szCs w:val="21"/>
                    </w:rPr>
                    <w:t>15台</w:t>
                  </w:r>
                </w:p>
              </w:tc>
              <w:tc>
                <w:tcPr>
                  <w:tcW w:w="497" w:type="pct"/>
                  <w:vMerge w:val="continue"/>
                  <w:vAlign w:val="center"/>
                </w:tcPr>
                <w:p w14:paraId="49860B5E">
                  <w:pPr>
                    <w:widowControl/>
                    <w:jc w:val="center"/>
                    <w:textAlignment w:val="center"/>
                    <w:rPr>
                      <w:kern w:val="0"/>
                      <w:sz w:val="21"/>
                      <w:szCs w:val="21"/>
                      <w:lang w:bidi="ar"/>
                    </w:rPr>
                  </w:pPr>
                </w:p>
              </w:tc>
            </w:tr>
            <w:tr w14:paraId="4B97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46F81844">
                  <w:pPr>
                    <w:widowControl/>
                    <w:contextualSpacing/>
                    <w:jc w:val="center"/>
                    <w:rPr>
                      <w:kern w:val="0"/>
                      <w:sz w:val="21"/>
                      <w:szCs w:val="21"/>
                    </w:rPr>
                  </w:pPr>
                  <w:r>
                    <w:rPr>
                      <w:rFonts w:hint="eastAsia"/>
                      <w:kern w:val="0"/>
                      <w:sz w:val="21"/>
                      <w:szCs w:val="21"/>
                    </w:rPr>
                    <w:t>39</w:t>
                  </w:r>
                </w:p>
              </w:tc>
              <w:tc>
                <w:tcPr>
                  <w:tcW w:w="362" w:type="pct"/>
                  <w:vMerge w:val="continue"/>
                  <w:vAlign w:val="center"/>
                </w:tcPr>
                <w:p w14:paraId="29F51F37">
                  <w:pPr>
                    <w:widowControl/>
                    <w:jc w:val="center"/>
                    <w:textAlignment w:val="center"/>
                    <w:rPr>
                      <w:rFonts w:ascii="宋体" w:hAnsi="宋体" w:cs="宋体"/>
                      <w:kern w:val="0"/>
                      <w:sz w:val="21"/>
                      <w:szCs w:val="21"/>
                      <w:lang w:bidi="ar"/>
                    </w:rPr>
                  </w:pPr>
                </w:p>
              </w:tc>
              <w:tc>
                <w:tcPr>
                  <w:tcW w:w="2068" w:type="pct"/>
                  <w:vAlign w:val="center"/>
                </w:tcPr>
                <w:p w14:paraId="72338720">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恒温恒流大气</w:t>
                  </w:r>
                  <w:r>
                    <w:rPr>
                      <w:kern w:val="0"/>
                      <w:sz w:val="21"/>
                      <w:szCs w:val="21"/>
                      <w:lang w:bidi="ar"/>
                    </w:rPr>
                    <w:t>/</w:t>
                  </w:r>
                  <w:r>
                    <w:rPr>
                      <w:rFonts w:hint="eastAsia" w:ascii="宋体" w:hAnsi="宋体" w:cs="宋体"/>
                      <w:kern w:val="0"/>
                      <w:sz w:val="21"/>
                      <w:szCs w:val="21"/>
                      <w:lang w:bidi="ar"/>
                    </w:rPr>
                    <w:t>颗粒物采样器</w:t>
                  </w:r>
                </w:p>
              </w:tc>
              <w:tc>
                <w:tcPr>
                  <w:tcW w:w="1209" w:type="pct"/>
                  <w:vAlign w:val="center"/>
                </w:tcPr>
                <w:p w14:paraId="2108A5E7">
                  <w:pPr>
                    <w:widowControl/>
                    <w:jc w:val="center"/>
                    <w:textAlignment w:val="center"/>
                    <w:rPr>
                      <w:kern w:val="0"/>
                      <w:sz w:val="21"/>
                      <w:szCs w:val="21"/>
                      <w:lang w:bidi="ar"/>
                    </w:rPr>
                  </w:pPr>
                  <w:r>
                    <w:rPr>
                      <w:kern w:val="0"/>
                      <w:sz w:val="21"/>
                      <w:szCs w:val="21"/>
                      <w:lang w:bidi="ar"/>
                    </w:rPr>
                    <w:t>MH1205</w:t>
                  </w:r>
                </w:p>
              </w:tc>
              <w:tc>
                <w:tcPr>
                  <w:tcW w:w="507" w:type="pct"/>
                  <w:vAlign w:val="center"/>
                </w:tcPr>
                <w:p w14:paraId="7A96F954">
                  <w:pPr>
                    <w:widowControl/>
                    <w:jc w:val="center"/>
                    <w:textAlignment w:val="center"/>
                    <w:rPr>
                      <w:kern w:val="0"/>
                      <w:sz w:val="21"/>
                      <w:szCs w:val="21"/>
                    </w:rPr>
                  </w:pPr>
                  <w:r>
                    <w:rPr>
                      <w:rFonts w:hint="eastAsia"/>
                      <w:kern w:val="0"/>
                      <w:sz w:val="21"/>
                      <w:szCs w:val="21"/>
                    </w:rPr>
                    <w:t>6台</w:t>
                  </w:r>
                </w:p>
              </w:tc>
              <w:tc>
                <w:tcPr>
                  <w:tcW w:w="497" w:type="pct"/>
                  <w:vMerge w:val="continue"/>
                  <w:vAlign w:val="center"/>
                </w:tcPr>
                <w:p w14:paraId="53E0077A">
                  <w:pPr>
                    <w:widowControl/>
                    <w:jc w:val="center"/>
                    <w:textAlignment w:val="center"/>
                    <w:rPr>
                      <w:kern w:val="0"/>
                      <w:sz w:val="21"/>
                      <w:szCs w:val="21"/>
                      <w:lang w:bidi="ar"/>
                    </w:rPr>
                  </w:pPr>
                </w:p>
              </w:tc>
            </w:tr>
            <w:tr w14:paraId="37F1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949E4A7">
                  <w:pPr>
                    <w:widowControl/>
                    <w:contextualSpacing/>
                    <w:jc w:val="center"/>
                    <w:rPr>
                      <w:kern w:val="0"/>
                      <w:sz w:val="21"/>
                      <w:szCs w:val="21"/>
                    </w:rPr>
                  </w:pPr>
                  <w:r>
                    <w:rPr>
                      <w:rFonts w:hint="eastAsia"/>
                      <w:kern w:val="0"/>
                      <w:sz w:val="21"/>
                      <w:szCs w:val="21"/>
                    </w:rPr>
                    <w:t>40</w:t>
                  </w:r>
                </w:p>
              </w:tc>
              <w:tc>
                <w:tcPr>
                  <w:tcW w:w="362" w:type="pct"/>
                  <w:vMerge w:val="continue"/>
                  <w:vAlign w:val="center"/>
                </w:tcPr>
                <w:p w14:paraId="41E8F88E">
                  <w:pPr>
                    <w:widowControl/>
                    <w:jc w:val="center"/>
                    <w:textAlignment w:val="center"/>
                    <w:rPr>
                      <w:rFonts w:ascii="宋体" w:hAnsi="宋体" w:cs="宋体"/>
                      <w:kern w:val="0"/>
                      <w:sz w:val="21"/>
                      <w:szCs w:val="21"/>
                      <w:lang w:bidi="ar"/>
                    </w:rPr>
                  </w:pPr>
                </w:p>
              </w:tc>
              <w:tc>
                <w:tcPr>
                  <w:tcW w:w="2068" w:type="pct"/>
                  <w:vAlign w:val="center"/>
                </w:tcPr>
                <w:p w14:paraId="65FBCA20">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低流量空气采样器</w:t>
                  </w:r>
                </w:p>
              </w:tc>
              <w:tc>
                <w:tcPr>
                  <w:tcW w:w="1209" w:type="pct"/>
                  <w:vAlign w:val="center"/>
                </w:tcPr>
                <w:p w14:paraId="5AE34340">
                  <w:pPr>
                    <w:widowControl/>
                    <w:jc w:val="center"/>
                    <w:textAlignment w:val="center"/>
                    <w:rPr>
                      <w:kern w:val="0"/>
                      <w:sz w:val="21"/>
                      <w:szCs w:val="21"/>
                      <w:lang w:bidi="ar"/>
                    </w:rPr>
                  </w:pPr>
                  <w:r>
                    <w:rPr>
                      <w:kern w:val="0"/>
                      <w:sz w:val="21"/>
                      <w:szCs w:val="21"/>
                      <w:lang w:bidi="ar"/>
                    </w:rPr>
                    <w:t>TWA-500</w:t>
                  </w:r>
                </w:p>
              </w:tc>
              <w:tc>
                <w:tcPr>
                  <w:tcW w:w="507" w:type="pct"/>
                  <w:vAlign w:val="center"/>
                </w:tcPr>
                <w:p w14:paraId="3EA33863">
                  <w:pPr>
                    <w:widowControl/>
                    <w:jc w:val="center"/>
                    <w:textAlignment w:val="center"/>
                    <w:rPr>
                      <w:kern w:val="0"/>
                      <w:sz w:val="21"/>
                      <w:szCs w:val="21"/>
                    </w:rPr>
                  </w:pPr>
                  <w:r>
                    <w:rPr>
                      <w:rFonts w:hint="eastAsia"/>
                      <w:kern w:val="0"/>
                      <w:sz w:val="21"/>
                      <w:szCs w:val="21"/>
                    </w:rPr>
                    <w:t>3台</w:t>
                  </w:r>
                </w:p>
              </w:tc>
              <w:tc>
                <w:tcPr>
                  <w:tcW w:w="497" w:type="pct"/>
                  <w:vMerge w:val="continue"/>
                  <w:vAlign w:val="center"/>
                </w:tcPr>
                <w:p w14:paraId="05176D87">
                  <w:pPr>
                    <w:widowControl/>
                    <w:jc w:val="center"/>
                    <w:textAlignment w:val="center"/>
                    <w:rPr>
                      <w:kern w:val="0"/>
                      <w:sz w:val="21"/>
                      <w:szCs w:val="21"/>
                      <w:lang w:bidi="ar"/>
                    </w:rPr>
                  </w:pPr>
                </w:p>
              </w:tc>
            </w:tr>
            <w:tr w14:paraId="017EC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18FBC61E">
                  <w:pPr>
                    <w:widowControl/>
                    <w:contextualSpacing/>
                    <w:jc w:val="center"/>
                    <w:rPr>
                      <w:kern w:val="0"/>
                      <w:sz w:val="21"/>
                      <w:szCs w:val="21"/>
                    </w:rPr>
                  </w:pPr>
                  <w:r>
                    <w:rPr>
                      <w:rFonts w:hint="eastAsia"/>
                      <w:kern w:val="0"/>
                      <w:sz w:val="21"/>
                      <w:szCs w:val="21"/>
                    </w:rPr>
                    <w:t>41</w:t>
                  </w:r>
                </w:p>
              </w:tc>
              <w:tc>
                <w:tcPr>
                  <w:tcW w:w="362" w:type="pct"/>
                  <w:vMerge w:val="continue"/>
                  <w:vAlign w:val="center"/>
                </w:tcPr>
                <w:p w14:paraId="41D7EA9A">
                  <w:pPr>
                    <w:widowControl/>
                    <w:jc w:val="center"/>
                    <w:textAlignment w:val="center"/>
                    <w:rPr>
                      <w:rFonts w:ascii="宋体" w:hAnsi="宋体" w:cs="宋体"/>
                      <w:kern w:val="0"/>
                      <w:sz w:val="21"/>
                      <w:szCs w:val="21"/>
                      <w:lang w:bidi="ar"/>
                    </w:rPr>
                  </w:pPr>
                </w:p>
              </w:tc>
              <w:tc>
                <w:tcPr>
                  <w:tcW w:w="2068" w:type="pct"/>
                  <w:vMerge w:val="restart"/>
                  <w:vAlign w:val="center"/>
                </w:tcPr>
                <w:p w14:paraId="208D0B4A">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多功能声级计</w:t>
                  </w:r>
                </w:p>
              </w:tc>
              <w:tc>
                <w:tcPr>
                  <w:tcW w:w="1209" w:type="pct"/>
                  <w:vAlign w:val="center"/>
                </w:tcPr>
                <w:p w14:paraId="6D3CEBD2">
                  <w:pPr>
                    <w:widowControl/>
                    <w:jc w:val="center"/>
                    <w:textAlignment w:val="center"/>
                    <w:rPr>
                      <w:kern w:val="0"/>
                      <w:sz w:val="21"/>
                      <w:szCs w:val="21"/>
                      <w:lang w:bidi="ar"/>
                    </w:rPr>
                  </w:pPr>
                  <w:r>
                    <w:rPr>
                      <w:kern w:val="0"/>
                      <w:sz w:val="21"/>
                      <w:szCs w:val="21"/>
                      <w:lang w:bidi="ar"/>
                    </w:rPr>
                    <w:t>AWA6228</w:t>
                  </w:r>
                </w:p>
              </w:tc>
              <w:tc>
                <w:tcPr>
                  <w:tcW w:w="507" w:type="pct"/>
                  <w:vAlign w:val="center"/>
                </w:tcPr>
                <w:p w14:paraId="238B4956">
                  <w:pPr>
                    <w:widowControl/>
                    <w:jc w:val="center"/>
                    <w:textAlignment w:val="center"/>
                    <w:rPr>
                      <w:kern w:val="0"/>
                      <w:sz w:val="21"/>
                      <w:szCs w:val="21"/>
                    </w:rPr>
                  </w:pPr>
                  <w:r>
                    <w:rPr>
                      <w:rFonts w:hint="eastAsia"/>
                      <w:sz w:val="21"/>
                      <w:szCs w:val="21"/>
                    </w:rPr>
                    <w:t>2台</w:t>
                  </w:r>
                </w:p>
              </w:tc>
              <w:tc>
                <w:tcPr>
                  <w:tcW w:w="497" w:type="pct"/>
                  <w:vMerge w:val="continue"/>
                  <w:vAlign w:val="center"/>
                </w:tcPr>
                <w:p w14:paraId="73A52644">
                  <w:pPr>
                    <w:widowControl/>
                    <w:jc w:val="center"/>
                    <w:textAlignment w:val="center"/>
                    <w:rPr>
                      <w:kern w:val="0"/>
                      <w:sz w:val="21"/>
                      <w:szCs w:val="21"/>
                      <w:lang w:bidi="ar"/>
                    </w:rPr>
                  </w:pPr>
                </w:p>
              </w:tc>
            </w:tr>
            <w:tr w14:paraId="345D1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75385A56">
                  <w:pPr>
                    <w:widowControl/>
                    <w:contextualSpacing/>
                    <w:jc w:val="center"/>
                    <w:rPr>
                      <w:kern w:val="0"/>
                      <w:sz w:val="21"/>
                      <w:szCs w:val="21"/>
                    </w:rPr>
                  </w:pPr>
                </w:p>
              </w:tc>
              <w:tc>
                <w:tcPr>
                  <w:tcW w:w="362" w:type="pct"/>
                  <w:vMerge w:val="continue"/>
                  <w:vAlign w:val="center"/>
                </w:tcPr>
                <w:p w14:paraId="54483F8C">
                  <w:pPr>
                    <w:widowControl/>
                    <w:jc w:val="center"/>
                    <w:textAlignment w:val="center"/>
                    <w:rPr>
                      <w:rFonts w:ascii="宋体" w:hAnsi="宋体" w:cs="宋体"/>
                      <w:kern w:val="0"/>
                      <w:sz w:val="21"/>
                      <w:szCs w:val="21"/>
                      <w:lang w:bidi="ar"/>
                    </w:rPr>
                  </w:pPr>
                </w:p>
              </w:tc>
              <w:tc>
                <w:tcPr>
                  <w:tcW w:w="2068" w:type="pct"/>
                  <w:vMerge w:val="continue"/>
                  <w:vAlign w:val="center"/>
                </w:tcPr>
                <w:p w14:paraId="0E54C064">
                  <w:pPr>
                    <w:widowControl/>
                    <w:jc w:val="center"/>
                    <w:textAlignment w:val="center"/>
                    <w:rPr>
                      <w:rFonts w:ascii="宋体" w:hAnsi="宋体" w:cs="宋体"/>
                      <w:kern w:val="0"/>
                      <w:sz w:val="21"/>
                      <w:szCs w:val="21"/>
                      <w:lang w:bidi="ar"/>
                    </w:rPr>
                  </w:pPr>
                </w:p>
              </w:tc>
              <w:tc>
                <w:tcPr>
                  <w:tcW w:w="1209" w:type="pct"/>
                  <w:vAlign w:val="center"/>
                </w:tcPr>
                <w:p w14:paraId="00CDDD3F">
                  <w:pPr>
                    <w:widowControl/>
                    <w:jc w:val="center"/>
                    <w:textAlignment w:val="center"/>
                    <w:rPr>
                      <w:kern w:val="0"/>
                      <w:sz w:val="21"/>
                      <w:szCs w:val="21"/>
                      <w:lang w:bidi="ar"/>
                    </w:rPr>
                  </w:pPr>
                  <w:r>
                    <w:rPr>
                      <w:kern w:val="0"/>
                      <w:sz w:val="21"/>
                      <w:szCs w:val="21"/>
                      <w:lang w:bidi="ar"/>
                    </w:rPr>
                    <w:t>AWA5680</w:t>
                  </w:r>
                </w:p>
              </w:tc>
              <w:tc>
                <w:tcPr>
                  <w:tcW w:w="507" w:type="pct"/>
                  <w:vAlign w:val="center"/>
                </w:tcPr>
                <w:p w14:paraId="21B9D5B6">
                  <w:pPr>
                    <w:widowControl/>
                    <w:jc w:val="center"/>
                    <w:textAlignment w:val="center"/>
                    <w:rPr>
                      <w:kern w:val="0"/>
                      <w:sz w:val="21"/>
                      <w:szCs w:val="21"/>
                    </w:rPr>
                  </w:pPr>
                  <w:r>
                    <w:rPr>
                      <w:rFonts w:hint="eastAsia"/>
                      <w:kern w:val="0"/>
                      <w:sz w:val="21"/>
                      <w:szCs w:val="21"/>
                    </w:rPr>
                    <w:t>1台</w:t>
                  </w:r>
                </w:p>
              </w:tc>
              <w:tc>
                <w:tcPr>
                  <w:tcW w:w="497" w:type="pct"/>
                  <w:vMerge w:val="continue"/>
                  <w:vAlign w:val="center"/>
                </w:tcPr>
                <w:p w14:paraId="0EE2579D">
                  <w:pPr>
                    <w:widowControl/>
                    <w:jc w:val="center"/>
                    <w:textAlignment w:val="center"/>
                    <w:rPr>
                      <w:kern w:val="0"/>
                      <w:sz w:val="21"/>
                      <w:szCs w:val="21"/>
                      <w:lang w:bidi="ar"/>
                    </w:rPr>
                  </w:pPr>
                </w:p>
              </w:tc>
            </w:tr>
            <w:tr w14:paraId="7FCA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60008256">
                  <w:pPr>
                    <w:widowControl/>
                    <w:contextualSpacing/>
                    <w:jc w:val="center"/>
                    <w:rPr>
                      <w:kern w:val="0"/>
                      <w:sz w:val="21"/>
                      <w:szCs w:val="21"/>
                    </w:rPr>
                  </w:pPr>
                </w:p>
              </w:tc>
              <w:tc>
                <w:tcPr>
                  <w:tcW w:w="362" w:type="pct"/>
                  <w:vMerge w:val="continue"/>
                  <w:vAlign w:val="center"/>
                </w:tcPr>
                <w:p w14:paraId="1D4A15B2">
                  <w:pPr>
                    <w:widowControl/>
                    <w:jc w:val="center"/>
                    <w:textAlignment w:val="center"/>
                    <w:rPr>
                      <w:rFonts w:ascii="宋体" w:hAnsi="宋体" w:cs="宋体"/>
                      <w:kern w:val="0"/>
                      <w:sz w:val="21"/>
                      <w:szCs w:val="21"/>
                      <w:lang w:bidi="ar"/>
                    </w:rPr>
                  </w:pPr>
                </w:p>
              </w:tc>
              <w:tc>
                <w:tcPr>
                  <w:tcW w:w="2068" w:type="pct"/>
                  <w:vMerge w:val="continue"/>
                  <w:vAlign w:val="center"/>
                </w:tcPr>
                <w:p w14:paraId="5B9E2B95">
                  <w:pPr>
                    <w:widowControl/>
                    <w:jc w:val="center"/>
                    <w:textAlignment w:val="center"/>
                    <w:rPr>
                      <w:rFonts w:ascii="宋体" w:hAnsi="宋体" w:cs="宋体"/>
                      <w:kern w:val="0"/>
                      <w:sz w:val="21"/>
                      <w:szCs w:val="21"/>
                      <w:lang w:bidi="ar"/>
                    </w:rPr>
                  </w:pPr>
                </w:p>
              </w:tc>
              <w:tc>
                <w:tcPr>
                  <w:tcW w:w="1209" w:type="pct"/>
                  <w:vAlign w:val="center"/>
                </w:tcPr>
                <w:p w14:paraId="60364951">
                  <w:pPr>
                    <w:widowControl/>
                    <w:jc w:val="center"/>
                    <w:textAlignment w:val="center"/>
                    <w:rPr>
                      <w:kern w:val="0"/>
                      <w:sz w:val="21"/>
                      <w:szCs w:val="21"/>
                      <w:lang w:bidi="ar"/>
                    </w:rPr>
                  </w:pPr>
                  <w:r>
                    <w:rPr>
                      <w:kern w:val="0"/>
                      <w:sz w:val="21"/>
                      <w:szCs w:val="21"/>
                      <w:lang w:bidi="ar"/>
                    </w:rPr>
                    <w:t>AWA5688</w:t>
                  </w:r>
                </w:p>
              </w:tc>
              <w:tc>
                <w:tcPr>
                  <w:tcW w:w="507" w:type="pct"/>
                  <w:vAlign w:val="center"/>
                </w:tcPr>
                <w:p w14:paraId="6FFD9267">
                  <w:pPr>
                    <w:widowControl/>
                    <w:jc w:val="center"/>
                    <w:textAlignment w:val="center"/>
                    <w:rPr>
                      <w:kern w:val="0"/>
                      <w:sz w:val="21"/>
                      <w:szCs w:val="21"/>
                    </w:rPr>
                  </w:pPr>
                  <w:r>
                    <w:rPr>
                      <w:rFonts w:hint="eastAsia"/>
                      <w:sz w:val="21"/>
                      <w:szCs w:val="21"/>
                    </w:rPr>
                    <w:t>2台</w:t>
                  </w:r>
                </w:p>
              </w:tc>
              <w:tc>
                <w:tcPr>
                  <w:tcW w:w="497" w:type="pct"/>
                  <w:vMerge w:val="continue"/>
                  <w:vAlign w:val="center"/>
                </w:tcPr>
                <w:p w14:paraId="3B8C3409">
                  <w:pPr>
                    <w:widowControl/>
                    <w:jc w:val="center"/>
                    <w:textAlignment w:val="center"/>
                    <w:rPr>
                      <w:kern w:val="0"/>
                      <w:sz w:val="21"/>
                      <w:szCs w:val="21"/>
                      <w:lang w:bidi="ar"/>
                    </w:rPr>
                  </w:pPr>
                </w:p>
              </w:tc>
            </w:tr>
            <w:tr w14:paraId="64527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175C3B23">
                  <w:pPr>
                    <w:widowControl/>
                    <w:contextualSpacing/>
                    <w:jc w:val="center"/>
                    <w:rPr>
                      <w:kern w:val="0"/>
                      <w:sz w:val="21"/>
                      <w:szCs w:val="21"/>
                    </w:rPr>
                  </w:pPr>
                </w:p>
              </w:tc>
              <w:tc>
                <w:tcPr>
                  <w:tcW w:w="362" w:type="pct"/>
                  <w:vMerge w:val="continue"/>
                  <w:vAlign w:val="center"/>
                </w:tcPr>
                <w:p w14:paraId="65092D38">
                  <w:pPr>
                    <w:widowControl/>
                    <w:jc w:val="center"/>
                    <w:textAlignment w:val="center"/>
                    <w:rPr>
                      <w:rFonts w:ascii="宋体" w:hAnsi="宋体" w:cs="宋体"/>
                      <w:kern w:val="0"/>
                      <w:sz w:val="21"/>
                      <w:szCs w:val="21"/>
                      <w:lang w:bidi="ar"/>
                    </w:rPr>
                  </w:pPr>
                </w:p>
              </w:tc>
              <w:tc>
                <w:tcPr>
                  <w:tcW w:w="2068" w:type="pct"/>
                  <w:vMerge w:val="continue"/>
                  <w:vAlign w:val="center"/>
                </w:tcPr>
                <w:p w14:paraId="185FCFC2">
                  <w:pPr>
                    <w:widowControl/>
                    <w:jc w:val="center"/>
                    <w:textAlignment w:val="center"/>
                    <w:rPr>
                      <w:rFonts w:ascii="宋体" w:hAnsi="宋体" w:cs="宋体"/>
                      <w:kern w:val="0"/>
                      <w:sz w:val="21"/>
                      <w:szCs w:val="21"/>
                      <w:lang w:bidi="ar"/>
                    </w:rPr>
                  </w:pPr>
                </w:p>
              </w:tc>
              <w:tc>
                <w:tcPr>
                  <w:tcW w:w="1209" w:type="pct"/>
                  <w:vAlign w:val="center"/>
                </w:tcPr>
                <w:p w14:paraId="1C78A96A">
                  <w:pPr>
                    <w:widowControl/>
                    <w:jc w:val="center"/>
                    <w:textAlignment w:val="center"/>
                    <w:rPr>
                      <w:kern w:val="0"/>
                      <w:sz w:val="21"/>
                      <w:szCs w:val="21"/>
                      <w:lang w:bidi="ar"/>
                    </w:rPr>
                  </w:pPr>
                  <w:r>
                    <w:rPr>
                      <w:kern w:val="0"/>
                      <w:sz w:val="21"/>
                      <w:szCs w:val="21"/>
                      <w:lang w:bidi="ar"/>
                    </w:rPr>
                    <w:t>AWA6228+</w:t>
                  </w:r>
                </w:p>
              </w:tc>
              <w:tc>
                <w:tcPr>
                  <w:tcW w:w="507" w:type="pct"/>
                  <w:vAlign w:val="center"/>
                </w:tcPr>
                <w:p w14:paraId="00D21A9A">
                  <w:pPr>
                    <w:widowControl/>
                    <w:jc w:val="center"/>
                    <w:textAlignment w:val="center"/>
                    <w:rPr>
                      <w:kern w:val="0"/>
                      <w:sz w:val="21"/>
                      <w:szCs w:val="21"/>
                    </w:rPr>
                  </w:pPr>
                  <w:r>
                    <w:rPr>
                      <w:rFonts w:hint="eastAsia"/>
                      <w:sz w:val="21"/>
                      <w:szCs w:val="21"/>
                    </w:rPr>
                    <w:t>3台</w:t>
                  </w:r>
                </w:p>
              </w:tc>
              <w:tc>
                <w:tcPr>
                  <w:tcW w:w="497" w:type="pct"/>
                  <w:vMerge w:val="continue"/>
                  <w:vAlign w:val="center"/>
                </w:tcPr>
                <w:p w14:paraId="1313C736">
                  <w:pPr>
                    <w:widowControl/>
                    <w:jc w:val="center"/>
                    <w:textAlignment w:val="center"/>
                    <w:rPr>
                      <w:kern w:val="0"/>
                      <w:sz w:val="21"/>
                      <w:szCs w:val="21"/>
                      <w:lang w:bidi="ar"/>
                    </w:rPr>
                  </w:pPr>
                </w:p>
              </w:tc>
            </w:tr>
            <w:tr w14:paraId="25706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B653E64">
                  <w:pPr>
                    <w:widowControl/>
                    <w:contextualSpacing/>
                    <w:jc w:val="center"/>
                    <w:rPr>
                      <w:kern w:val="0"/>
                      <w:sz w:val="21"/>
                      <w:szCs w:val="21"/>
                    </w:rPr>
                  </w:pPr>
                  <w:r>
                    <w:rPr>
                      <w:rFonts w:hint="eastAsia"/>
                      <w:kern w:val="0"/>
                      <w:sz w:val="21"/>
                      <w:szCs w:val="21"/>
                    </w:rPr>
                    <w:t>42</w:t>
                  </w:r>
                </w:p>
              </w:tc>
              <w:tc>
                <w:tcPr>
                  <w:tcW w:w="362" w:type="pct"/>
                  <w:vMerge w:val="continue"/>
                  <w:vAlign w:val="center"/>
                </w:tcPr>
                <w:p w14:paraId="17CCA3CD">
                  <w:pPr>
                    <w:widowControl/>
                    <w:jc w:val="center"/>
                    <w:textAlignment w:val="center"/>
                    <w:rPr>
                      <w:kern w:val="0"/>
                      <w:sz w:val="21"/>
                      <w:szCs w:val="21"/>
                      <w:lang w:bidi="ar"/>
                    </w:rPr>
                  </w:pPr>
                </w:p>
              </w:tc>
              <w:tc>
                <w:tcPr>
                  <w:tcW w:w="2068" w:type="pct"/>
                  <w:vAlign w:val="center"/>
                </w:tcPr>
                <w:p w14:paraId="5A8EE707">
                  <w:pPr>
                    <w:widowControl/>
                    <w:jc w:val="center"/>
                    <w:textAlignment w:val="center"/>
                    <w:rPr>
                      <w:rFonts w:ascii="宋体" w:hAnsi="宋体" w:cs="宋体"/>
                      <w:kern w:val="0"/>
                      <w:sz w:val="21"/>
                      <w:szCs w:val="21"/>
                      <w:lang w:bidi="ar"/>
                    </w:rPr>
                  </w:pPr>
                  <w:r>
                    <w:rPr>
                      <w:kern w:val="0"/>
                      <w:sz w:val="21"/>
                      <w:szCs w:val="21"/>
                      <w:lang w:bidi="ar"/>
                    </w:rPr>
                    <w:t>林格曼测烟望远镜</w:t>
                  </w:r>
                </w:p>
              </w:tc>
              <w:tc>
                <w:tcPr>
                  <w:tcW w:w="1209" w:type="pct"/>
                  <w:vAlign w:val="center"/>
                </w:tcPr>
                <w:p w14:paraId="4568CA7A">
                  <w:pPr>
                    <w:widowControl/>
                    <w:jc w:val="center"/>
                    <w:textAlignment w:val="center"/>
                    <w:rPr>
                      <w:kern w:val="0"/>
                      <w:sz w:val="21"/>
                      <w:szCs w:val="21"/>
                      <w:lang w:bidi="ar"/>
                    </w:rPr>
                  </w:pPr>
                  <w:r>
                    <w:rPr>
                      <w:kern w:val="0"/>
                      <w:sz w:val="21"/>
                      <w:szCs w:val="21"/>
                      <w:lang w:bidi="ar"/>
                    </w:rPr>
                    <w:t>QT-201</w:t>
                  </w:r>
                </w:p>
              </w:tc>
              <w:tc>
                <w:tcPr>
                  <w:tcW w:w="507" w:type="pct"/>
                  <w:vAlign w:val="center"/>
                </w:tcPr>
                <w:p w14:paraId="07346595">
                  <w:pPr>
                    <w:widowControl/>
                    <w:jc w:val="center"/>
                    <w:textAlignment w:val="center"/>
                    <w:rPr>
                      <w:kern w:val="0"/>
                      <w:sz w:val="21"/>
                      <w:szCs w:val="21"/>
                    </w:rPr>
                  </w:pPr>
                  <w:r>
                    <w:rPr>
                      <w:rFonts w:hint="eastAsia"/>
                      <w:kern w:val="0"/>
                      <w:sz w:val="21"/>
                      <w:szCs w:val="21"/>
                    </w:rPr>
                    <w:t>1台</w:t>
                  </w:r>
                </w:p>
              </w:tc>
              <w:tc>
                <w:tcPr>
                  <w:tcW w:w="497" w:type="pct"/>
                  <w:vMerge w:val="continue"/>
                  <w:vAlign w:val="center"/>
                </w:tcPr>
                <w:p w14:paraId="06FE44A3">
                  <w:pPr>
                    <w:widowControl/>
                    <w:jc w:val="center"/>
                    <w:textAlignment w:val="center"/>
                    <w:rPr>
                      <w:kern w:val="0"/>
                      <w:sz w:val="21"/>
                      <w:szCs w:val="21"/>
                      <w:lang w:bidi="ar"/>
                    </w:rPr>
                  </w:pPr>
                </w:p>
              </w:tc>
            </w:tr>
            <w:tr w14:paraId="6ACD5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671DCC32">
                  <w:pPr>
                    <w:widowControl/>
                    <w:contextualSpacing/>
                    <w:jc w:val="center"/>
                    <w:rPr>
                      <w:kern w:val="0"/>
                      <w:sz w:val="21"/>
                      <w:szCs w:val="21"/>
                    </w:rPr>
                  </w:pPr>
                  <w:r>
                    <w:rPr>
                      <w:rFonts w:hint="eastAsia"/>
                      <w:kern w:val="0"/>
                      <w:sz w:val="21"/>
                      <w:szCs w:val="21"/>
                    </w:rPr>
                    <w:t>43</w:t>
                  </w:r>
                </w:p>
              </w:tc>
              <w:tc>
                <w:tcPr>
                  <w:tcW w:w="362" w:type="pct"/>
                  <w:vMerge w:val="continue"/>
                  <w:vAlign w:val="center"/>
                </w:tcPr>
                <w:p w14:paraId="098E9BBC">
                  <w:pPr>
                    <w:widowControl/>
                    <w:jc w:val="center"/>
                    <w:textAlignment w:val="center"/>
                    <w:rPr>
                      <w:kern w:val="0"/>
                      <w:sz w:val="21"/>
                      <w:szCs w:val="21"/>
                      <w:lang w:bidi="ar"/>
                    </w:rPr>
                  </w:pPr>
                </w:p>
              </w:tc>
              <w:tc>
                <w:tcPr>
                  <w:tcW w:w="2068" w:type="pct"/>
                  <w:vAlign w:val="center"/>
                </w:tcPr>
                <w:p w14:paraId="4C945E4A">
                  <w:pPr>
                    <w:widowControl/>
                    <w:jc w:val="center"/>
                    <w:textAlignment w:val="center"/>
                    <w:rPr>
                      <w:rFonts w:ascii="宋体" w:hAnsi="宋体" w:cs="宋体"/>
                      <w:kern w:val="0"/>
                      <w:sz w:val="21"/>
                      <w:szCs w:val="21"/>
                      <w:lang w:bidi="ar"/>
                    </w:rPr>
                  </w:pPr>
                  <w:r>
                    <w:rPr>
                      <w:kern w:val="0"/>
                      <w:sz w:val="21"/>
                      <w:szCs w:val="21"/>
                      <w:lang w:bidi="ar"/>
                    </w:rPr>
                    <w:t>测烟望远镜</w:t>
                  </w:r>
                </w:p>
              </w:tc>
              <w:tc>
                <w:tcPr>
                  <w:tcW w:w="1209" w:type="pct"/>
                  <w:vAlign w:val="center"/>
                </w:tcPr>
                <w:p w14:paraId="2C478D13">
                  <w:pPr>
                    <w:widowControl/>
                    <w:jc w:val="center"/>
                    <w:textAlignment w:val="center"/>
                    <w:rPr>
                      <w:kern w:val="0"/>
                      <w:sz w:val="21"/>
                      <w:szCs w:val="21"/>
                      <w:lang w:bidi="ar"/>
                    </w:rPr>
                  </w:pPr>
                  <w:r>
                    <w:rPr>
                      <w:kern w:val="0"/>
                      <w:sz w:val="21"/>
                      <w:szCs w:val="21"/>
                      <w:lang w:bidi="ar"/>
                    </w:rPr>
                    <w:t>10×50WA</w:t>
                  </w:r>
                </w:p>
              </w:tc>
              <w:tc>
                <w:tcPr>
                  <w:tcW w:w="507" w:type="pct"/>
                  <w:vAlign w:val="center"/>
                </w:tcPr>
                <w:p w14:paraId="4FA48094">
                  <w:pPr>
                    <w:widowControl/>
                    <w:jc w:val="center"/>
                    <w:textAlignment w:val="center"/>
                    <w:rPr>
                      <w:kern w:val="0"/>
                      <w:sz w:val="21"/>
                      <w:szCs w:val="21"/>
                    </w:rPr>
                  </w:pPr>
                  <w:r>
                    <w:rPr>
                      <w:rFonts w:hint="eastAsia"/>
                      <w:kern w:val="0"/>
                      <w:sz w:val="21"/>
                      <w:szCs w:val="21"/>
                    </w:rPr>
                    <w:t>1台</w:t>
                  </w:r>
                </w:p>
              </w:tc>
              <w:tc>
                <w:tcPr>
                  <w:tcW w:w="497" w:type="pct"/>
                  <w:vMerge w:val="continue"/>
                  <w:vAlign w:val="center"/>
                </w:tcPr>
                <w:p w14:paraId="34526339">
                  <w:pPr>
                    <w:widowControl/>
                    <w:jc w:val="center"/>
                    <w:textAlignment w:val="center"/>
                    <w:rPr>
                      <w:kern w:val="0"/>
                      <w:sz w:val="21"/>
                      <w:szCs w:val="21"/>
                      <w:lang w:bidi="ar"/>
                    </w:rPr>
                  </w:pPr>
                </w:p>
              </w:tc>
            </w:tr>
            <w:tr w14:paraId="283A1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231125CD">
                  <w:pPr>
                    <w:widowControl/>
                    <w:contextualSpacing/>
                    <w:jc w:val="center"/>
                    <w:rPr>
                      <w:kern w:val="0"/>
                      <w:sz w:val="21"/>
                      <w:szCs w:val="21"/>
                    </w:rPr>
                  </w:pPr>
                  <w:r>
                    <w:rPr>
                      <w:rFonts w:hint="eastAsia"/>
                      <w:kern w:val="0"/>
                      <w:sz w:val="21"/>
                      <w:szCs w:val="21"/>
                    </w:rPr>
                    <w:t>44</w:t>
                  </w:r>
                </w:p>
              </w:tc>
              <w:tc>
                <w:tcPr>
                  <w:tcW w:w="362" w:type="pct"/>
                  <w:vMerge w:val="continue"/>
                  <w:vAlign w:val="center"/>
                </w:tcPr>
                <w:p w14:paraId="5115A932">
                  <w:pPr>
                    <w:widowControl/>
                    <w:jc w:val="center"/>
                    <w:textAlignment w:val="center"/>
                    <w:rPr>
                      <w:kern w:val="0"/>
                      <w:sz w:val="21"/>
                      <w:szCs w:val="21"/>
                      <w:lang w:bidi="ar"/>
                    </w:rPr>
                  </w:pPr>
                </w:p>
              </w:tc>
              <w:tc>
                <w:tcPr>
                  <w:tcW w:w="2068" w:type="pct"/>
                  <w:vAlign w:val="center"/>
                </w:tcPr>
                <w:p w14:paraId="3258B637">
                  <w:pPr>
                    <w:widowControl/>
                    <w:jc w:val="center"/>
                    <w:textAlignment w:val="center"/>
                    <w:rPr>
                      <w:rFonts w:ascii="宋体" w:hAnsi="宋体" w:cs="宋体"/>
                      <w:kern w:val="0"/>
                      <w:sz w:val="21"/>
                      <w:szCs w:val="21"/>
                      <w:lang w:bidi="ar"/>
                    </w:rPr>
                  </w:pPr>
                  <w:r>
                    <w:rPr>
                      <w:kern w:val="0"/>
                      <w:sz w:val="21"/>
                      <w:szCs w:val="21"/>
                      <w:lang w:bidi="ar"/>
                    </w:rPr>
                    <w:t>林格曼测烟望远镜</w:t>
                  </w:r>
                </w:p>
              </w:tc>
              <w:tc>
                <w:tcPr>
                  <w:tcW w:w="1209" w:type="pct"/>
                  <w:vAlign w:val="center"/>
                </w:tcPr>
                <w:p w14:paraId="01A8FD66">
                  <w:pPr>
                    <w:widowControl/>
                    <w:jc w:val="center"/>
                    <w:textAlignment w:val="center"/>
                    <w:rPr>
                      <w:kern w:val="0"/>
                      <w:sz w:val="21"/>
                      <w:szCs w:val="21"/>
                      <w:lang w:bidi="ar"/>
                    </w:rPr>
                  </w:pPr>
                  <w:r>
                    <w:rPr>
                      <w:kern w:val="0"/>
                      <w:sz w:val="21"/>
                      <w:szCs w:val="21"/>
                      <w:lang w:bidi="ar"/>
                    </w:rPr>
                    <w:t>HM-NC10</w:t>
                  </w:r>
                </w:p>
              </w:tc>
              <w:tc>
                <w:tcPr>
                  <w:tcW w:w="507" w:type="pct"/>
                  <w:vAlign w:val="center"/>
                </w:tcPr>
                <w:p w14:paraId="7E4A4771">
                  <w:pPr>
                    <w:widowControl/>
                    <w:jc w:val="center"/>
                    <w:textAlignment w:val="center"/>
                    <w:rPr>
                      <w:kern w:val="0"/>
                      <w:sz w:val="21"/>
                      <w:szCs w:val="21"/>
                    </w:rPr>
                  </w:pPr>
                  <w:r>
                    <w:rPr>
                      <w:rFonts w:hint="eastAsia"/>
                      <w:kern w:val="0"/>
                      <w:sz w:val="21"/>
                      <w:szCs w:val="21"/>
                      <w:lang w:bidi="ar"/>
                    </w:rPr>
                    <w:t>2台</w:t>
                  </w:r>
                </w:p>
              </w:tc>
              <w:tc>
                <w:tcPr>
                  <w:tcW w:w="497" w:type="pct"/>
                  <w:vMerge w:val="continue"/>
                  <w:vAlign w:val="center"/>
                </w:tcPr>
                <w:p w14:paraId="040696A9">
                  <w:pPr>
                    <w:widowControl/>
                    <w:jc w:val="center"/>
                    <w:textAlignment w:val="center"/>
                    <w:rPr>
                      <w:kern w:val="0"/>
                      <w:sz w:val="21"/>
                      <w:szCs w:val="21"/>
                      <w:lang w:bidi="ar"/>
                    </w:rPr>
                  </w:pPr>
                </w:p>
              </w:tc>
            </w:tr>
            <w:tr w14:paraId="3275F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D79B78E">
                  <w:pPr>
                    <w:widowControl/>
                    <w:contextualSpacing/>
                    <w:jc w:val="center"/>
                    <w:rPr>
                      <w:kern w:val="0"/>
                      <w:sz w:val="21"/>
                      <w:szCs w:val="21"/>
                    </w:rPr>
                  </w:pPr>
                  <w:r>
                    <w:rPr>
                      <w:rFonts w:hint="eastAsia"/>
                      <w:kern w:val="0"/>
                      <w:sz w:val="21"/>
                      <w:szCs w:val="21"/>
                    </w:rPr>
                    <w:t>45</w:t>
                  </w:r>
                </w:p>
              </w:tc>
              <w:tc>
                <w:tcPr>
                  <w:tcW w:w="362" w:type="pct"/>
                  <w:vMerge w:val="continue"/>
                  <w:vAlign w:val="center"/>
                </w:tcPr>
                <w:p w14:paraId="566A10D2">
                  <w:pPr>
                    <w:widowControl/>
                    <w:jc w:val="center"/>
                    <w:textAlignment w:val="center"/>
                    <w:rPr>
                      <w:rFonts w:ascii="宋体" w:hAnsi="宋体" w:cs="宋体"/>
                      <w:kern w:val="0"/>
                      <w:sz w:val="21"/>
                      <w:szCs w:val="21"/>
                      <w:lang w:bidi="ar"/>
                    </w:rPr>
                  </w:pPr>
                </w:p>
              </w:tc>
              <w:tc>
                <w:tcPr>
                  <w:tcW w:w="2068" w:type="pct"/>
                  <w:vAlign w:val="center"/>
                </w:tcPr>
                <w:p w14:paraId="7219B29C">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便携式多普勒超声波流量计</w:t>
                  </w:r>
                </w:p>
              </w:tc>
              <w:tc>
                <w:tcPr>
                  <w:tcW w:w="1209" w:type="pct"/>
                  <w:vAlign w:val="center"/>
                </w:tcPr>
                <w:p w14:paraId="20A0DA8F">
                  <w:pPr>
                    <w:widowControl/>
                    <w:jc w:val="center"/>
                    <w:textAlignment w:val="center"/>
                    <w:rPr>
                      <w:kern w:val="0"/>
                      <w:sz w:val="21"/>
                      <w:szCs w:val="21"/>
                      <w:lang w:bidi="ar"/>
                    </w:rPr>
                  </w:pPr>
                  <w:r>
                    <w:rPr>
                      <w:kern w:val="0"/>
                      <w:sz w:val="21"/>
                      <w:szCs w:val="21"/>
                      <w:lang w:bidi="ar"/>
                    </w:rPr>
                    <w:t>DX-LSX-2</w:t>
                  </w:r>
                </w:p>
              </w:tc>
              <w:tc>
                <w:tcPr>
                  <w:tcW w:w="507" w:type="pct"/>
                  <w:vAlign w:val="center"/>
                </w:tcPr>
                <w:p w14:paraId="7D90DF48">
                  <w:pPr>
                    <w:widowControl/>
                    <w:jc w:val="center"/>
                    <w:textAlignment w:val="center"/>
                    <w:rPr>
                      <w:kern w:val="0"/>
                      <w:sz w:val="21"/>
                      <w:szCs w:val="21"/>
                    </w:rPr>
                  </w:pPr>
                  <w:r>
                    <w:rPr>
                      <w:rFonts w:hint="eastAsia"/>
                      <w:kern w:val="0"/>
                      <w:sz w:val="21"/>
                      <w:szCs w:val="21"/>
                    </w:rPr>
                    <w:t>1台</w:t>
                  </w:r>
                </w:p>
              </w:tc>
              <w:tc>
                <w:tcPr>
                  <w:tcW w:w="497" w:type="pct"/>
                  <w:vMerge w:val="continue"/>
                  <w:vAlign w:val="center"/>
                </w:tcPr>
                <w:p w14:paraId="7C956DA0">
                  <w:pPr>
                    <w:widowControl/>
                    <w:jc w:val="center"/>
                    <w:textAlignment w:val="center"/>
                    <w:rPr>
                      <w:kern w:val="0"/>
                      <w:sz w:val="21"/>
                      <w:szCs w:val="21"/>
                      <w:lang w:bidi="ar"/>
                    </w:rPr>
                  </w:pPr>
                </w:p>
              </w:tc>
            </w:tr>
            <w:tr w14:paraId="4A1F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5E235A80">
                  <w:pPr>
                    <w:widowControl/>
                    <w:contextualSpacing/>
                    <w:jc w:val="center"/>
                    <w:rPr>
                      <w:kern w:val="0"/>
                      <w:sz w:val="21"/>
                      <w:szCs w:val="21"/>
                    </w:rPr>
                  </w:pPr>
                  <w:r>
                    <w:rPr>
                      <w:rFonts w:hint="eastAsia"/>
                      <w:kern w:val="0"/>
                      <w:sz w:val="21"/>
                      <w:szCs w:val="21"/>
                    </w:rPr>
                    <w:t>46</w:t>
                  </w:r>
                </w:p>
              </w:tc>
              <w:tc>
                <w:tcPr>
                  <w:tcW w:w="362" w:type="pct"/>
                  <w:vMerge w:val="continue"/>
                  <w:vAlign w:val="center"/>
                </w:tcPr>
                <w:p w14:paraId="543770BA">
                  <w:pPr>
                    <w:widowControl/>
                    <w:jc w:val="center"/>
                    <w:textAlignment w:val="center"/>
                    <w:rPr>
                      <w:rFonts w:ascii="宋体" w:hAnsi="宋体" w:cs="宋体"/>
                      <w:kern w:val="0"/>
                      <w:sz w:val="21"/>
                      <w:szCs w:val="21"/>
                      <w:lang w:bidi="ar"/>
                    </w:rPr>
                  </w:pPr>
                </w:p>
              </w:tc>
              <w:tc>
                <w:tcPr>
                  <w:tcW w:w="2068" w:type="pct"/>
                  <w:vAlign w:val="center"/>
                </w:tcPr>
                <w:p w14:paraId="39F44E8F">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便携式明渠流量计</w:t>
                  </w:r>
                </w:p>
              </w:tc>
              <w:tc>
                <w:tcPr>
                  <w:tcW w:w="1209" w:type="pct"/>
                  <w:vAlign w:val="center"/>
                </w:tcPr>
                <w:p w14:paraId="35C7A782">
                  <w:pPr>
                    <w:widowControl/>
                    <w:jc w:val="center"/>
                    <w:textAlignment w:val="center"/>
                    <w:rPr>
                      <w:kern w:val="0"/>
                      <w:sz w:val="21"/>
                      <w:szCs w:val="21"/>
                      <w:lang w:bidi="ar"/>
                    </w:rPr>
                  </w:pPr>
                  <w:r>
                    <w:rPr>
                      <w:kern w:val="0"/>
                      <w:sz w:val="21"/>
                      <w:szCs w:val="21"/>
                      <w:lang w:bidi="ar"/>
                    </w:rPr>
                    <w:t>HX-F3</w:t>
                  </w:r>
                </w:p>
              </w:tc>
              <w:tc>
                <w:tcPr>
                  <w:tcW w:w="507" w:type="pct"/>
                  <w:vAlign w:val="center"/>
                </w:tcPr>
                <w:p w14:paraId="10AD2332">
                  <w:pPr>
                    <w:widowControl/>
                    <w:jc w:val="center"/>
                    <w:textAlignment w:val="center"/>
                    <w:rPr>
                      <w:kern w:val="0"/>
                      <w:sz w:val="21"/>
                      <w:szCs w:val="21"/>
                    </w:rPr>
                  </w:pPr>
                  <w:r>
                    <w:rPr>
                      <w:rFonts w:hint="eastAsia"/>
                      <w:kern w:val="0"/>
                      <w:sz w:val="21"/>
                      <w:szCs w:val="21"/>
                    </w:rPr>
                    <w:t>1台</w:t>
                  </w:r>
                </w:p>
              </w:tc>
              <w:tc>
                <w:tcPr>
                  <w:tcW w:w="497" w:type="pct"/>
                  <w:vMerge w:val="continue"/>
                  <w:vAlign w:val="center"/>
                </w:tcPr>
                <w:p w14:paraId="6CF4907F">
                  <w:pPr>
                    <w:widowControl/>
                    <w:jc w:val="center"/>
                    <w:textAlignment w:val="center"/>
                    <w:rPr>
                      <w:kern w:val="0"/>
                      <w:sz w:val="21"/>
                      <w:szCs w:val="21"/>
                      <w:lang w:bidi="ar"/>
                    </w:rPr>
                  </w:pPr>
                </w:p>
              </w:tc>
            </w:tr>
            <w:tr w14:paraId="62C9F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6AC36690">
                  <w:pPr>
                    <w:widowControl/>
                    <w:contextualSpacing/>
                    <w:jc w:val="center"/>
                    <w:rPr>
                      <w:kern w:val="0"/>
                      <w:sz w:val="21"/>
                      <w:szCs w:val="21"/>
                    </w:rPr>
                  </w:pPr>
                  <w:r>
                    <w:rPr>
                      <w:rFonts w:hint="eastAsia"/>
                      <w:kern w:val="0"/>
                      <w:sz w:val="21"/>
                      <w:szCs w:val="21"/>
                    </w:rPr>
                    <w:t>47</w:t>
                  </w:r>
                </w:p>
              </w:tc>
              <w:tc>
                <w:tcPr>
                  <w:tcW w:w="362" w:type="pct"/>
                  <w:vMerge w:val="continue"/>
                  <w:vAlign w:val="center"/>
                </w:tcPr>
                <w:p w14:paraId="6C136908">
                  <w:pPr>
                    <w:widowControl/>
                    <w:jc w:val="center"/>
                    <w:textAlignment w:val="center"/>
                    <w:rPr>
                      <w:rFonts w:ascii="宋体" w:hAnsi="宋体" w:cs="宋体"/>
                      <w:kern w:val="0"/>
                      <w:sz w:val="21"/>
                      <w:szCs w:val="21"/>
                      <w:lang w:bidi="ar"/>
                    </w:rPr>
                  </w:pPr>
                </w:p>
              </w:tc>
              <w:tc>
                <w:tcPr>
                  <w:tcW w:w="2068" w:type="pct"/>
                  <w:vAlign w:val="center"/>
                </w:tcPr>
                <w:p w14:paraId="3717D2BC">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二氧化碳气体检测仪</w:t>
                  </w:r>
                </w:p>
              </w:tc>
              <w:tc>
                <w:tcPr>
                  <w:tcW w:w="1209" w:type="pct"/>
                  <w:vAlign w:val="center"/>
                </w:tcPr>
                <w:p w14:paraId="012D6A50">
                  <w:pPr>
                    <w:widowControl/>
                    <w:jc w:val="center"/>
                    <w:textAlignment w:val="center"/>
                    <w:rPr>
                      <w:kern w:val="0"/>
                      <w:sz w:val="21"/>
                      <w:szCs w:val="21"/>
                      <w:lang w:bidi="ar"/>
                    </w:rPr>
                  </w:pPr>
                  <w:r>
                    <w:rPr>
                      <w:kern w:val="0"/>
                      <w:sz w:val="21"/>
                      <w:szCs w:val="21"/>
                      <w:lang w:bidi="ar"/>
                    </w:rPr>
                    <w:t>Tel7001</w:t>
                  </w:r>
                </w:p>
              </w:tc>
              <w:tc>
                <w:tcPr>
                  <w:tcW w:w="507" w:type="pct"/>
                  <w:vAlign w:val="center"/>
                </w:tcPr>
                <w:p w14:paraId="2F2D61EA">
                  <w:pPr>
                    <w:widowControl/>
                    <w:jc w:val="center"/>
                    <w:textAlignment w:val="center"/>
                    <w:rPr>
                      <w:kern w:val="0"/>
                      <w:sz w:val="21"/>
                      <w:szCs w:val="21"/>
                    </w:rPr>
                  </w:pPr>
                  <w:r>
                    <w:rPr>
                      <w:rFonts w:hint="eastAsia"/>
                      <w:kern w:val="0"/>
                      <w:sz w:val="21"/>
                      <w:szCs w:val="21"/>
                    </w:rPr>
                    <w:t>1台</w:t>
                  </w:r>
                </w:p>
              </w:tc>
              <w:tc>
                <w:tcPr>
                  <w:tcW w:w="497" w:type="pct"/>
                  <w:vMerge w:val="continue"/>
                  <w:vAlign w:val="center"/>
                </w:tcPr>
                <w:p w14:paraId="56AA4361">
                  <w:pPr>
                    <w:widowControl/>
                    <w:jc w:val="center"/>
                    <w:textAlignment w:val="center"/>
                    <w:rPr>
                      <w:kern w:val="0"/>
                      <w:sz w:val="21"/>
                      <w:szCs w:val="21"/>
                      <w:lang w:bidi="ar"/>
                    </w:rPr>
                  </w:pPr>
                </w:p>
              </w:tc>
            </w:tr>
            <w:tr w14:paraId="22D02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0B48F7AD">
                  <w:pPr>
                    <w:widowControl/>
                    <w:contextualSpacing/>
                    <w:jc w:val="center"/>
                    <w:rPr>
                      <w:kern w:val="0"/>
                      <w:sz w:val="21"/>
                      <w:szCs w:val="21"/>
                    </w:rPr>
                  </w:pPr>
                  <w:r>
                    <w:rPr>
                      <w:rFonts w:hint="eastAsia"/>
                      <w:kern w:val="0"/>
                      <w:sz w:val="21"/>
                      <w:szCs w:val="21"/>
                    </w:rPr>
                    <w:t>48</w:t>
                  </w:r>
                </w:p>
              </w:tc>
              <w:tc>
                <w:tcPr>
                  <w:tcW w:w="362" w:type="pct"/>
                  <w:vMerge w:val="restart"/>
                  <w:vAlign w:val="center"/>
                </w:tcPr>
                <w:p w14:paraId="2B111503">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环保设备</w:t>
                  </w:r>
                </w:p>
              </w:tc>
              <w:tc>
                <w:tcPr>
                  <w:tcW w:w="2068" w:type="pct"/>
                  <w:vAlign w:val="center"/>
                </w:tcPr>
                <w:p w14:paraId="57977A89">
                  <w:pPr>
                    <w:widowControl/>
                    <w:jc w:val="center"/>
                    <w:textAlignment w:val="center"/>
                    <w:rPr>
                      <w:kern w:val="0"/>
                      <w:sz w:val="21"/>
                      <w:szCs w:val="21"/>
                      <w:lang w:bidi="ar"/>
                    </w:rPr>
                  </w:pPr>
                  <w:r>
                    <w:rPr>
                      <w:rFonts w:hint="eastAsia"/>
                      <w:kern w:val="0"/>
                      <w:sz w:val="21"/>
                      <w:szCs w:val="21"/>
                      <w:lang w:bidi="ar"/>
                    </w:rPr>
                    <w:t>通风橱</w:t>
                  </w:r>
                </w:p>
              </w:tc>
              <w:tc>
                <w:tcPr>
                  <w:tcW w:w="1209" w:type="pct"/>
                  <w:vAlign w:val="center"/>
                </w:tcPr>
                <w:p w14:paraId="5B7515BB">
                  <w:pPr>
                    <w:widowControl/>
                    <w:jc w:val="center"/>
                    <w:textAlignment w:val="center"/>
                    <w:rPr>
                      <w:color w:val="auto"/>
                      <w:kern w:val="0"/>
                      <w:sz w:val="21"/>
                      <w:szCs w:val="21"/>
                      <w:lang w:bidi="ar"/>
                    </w:rPr>
                  </w:pPr>
                  <w:r>
                    <w:rPr>
                      <w:rFonts w:hint="eastAsia"/>
                      <w:color w:val="auto"/>
                      <w:kern w:val="0"/>
                      <w:sz w:val="21"/>
                      <w:szCs w:val="21"/>
                      <w:lang w:bidi="ar"/>
                    </w:rPr>
                    <w:t>长</w:t>
                  </w:r>
                  <w:r>
                    <w:rPr>
                      <w:color w:val="auto"/>
                      <w:kern w:val="0"/>
                      <w:sz w:val="21"/>
                      <w:szCs w:val="21"/>
                      <w:lang w:bidi="ar"/>
                    </w:rPr>
                    <w:t>×</w:t>
                  </w:r>
                  <w:r>
                    <w:rPr>
                      <w:rFonts w:hint="eastAsia"/>
                      <w:color w:val="auto"/>
                      <w:kern w:val="0"/>
                      <w:sz w:val="21"/>
                      <w:szCs w:val="21"/>
                      <w:lang w:bidi="ar"/>
                    </w:rPr>
                    <w:t>宽</w:t>
                  </w:r>
                  <w:r>
                    <w:rPr>
                      <w:color w:val="auto"/>
                      <w:kern w:val="0"/>
                      <w:sz w:val="21"/>
                      <w:szCs w:val="21"/>
                      <w:lang w:bidi="ar"/>
                    </w:rPr>
                    <w:t>×</w:t>
                  </w:r>
                  <w:r>
                    <w:rPr>
                      <w:rFonts w:hint="eastAsia"/>
                      <w:color w:val="auto"/>
                      <w:kern w:val="0"/>
                      <w:sz w:val="21"/>
                      <w:szCs w:val="21"/>
                      <w:lang w:bidi="ar"/>
                    </w:rPr>
                    <w:t>高</w:t>
                  </w:r>
                  <w:r>
                    <w:rPr>
                      <w:color w:val="auto"/>
                      <w:kern w:val="0"/>
                      <w:sz w:val="21"/>
                      <w:szCs w:val="21"/>
                      <w:lang w:bidi="ar"/>
                    </w:rPr>
                    <w:t>1500mm×</w:t>
                  </w:r>
                  <w:r>
                    <w:rPr>
                      <w:rFonts w:hint="eastAsia"/>
                      <w:color w:val="auto"/>
                      <w:kern w:val="0"/>
                      <w:sz w:val="21"/>
                      <w:szCs w:val="21"/>
                      <w:lang w:bidi="ar"/>
                    </w:rPr>
                    <w:t>75</w:t>
                  </w:r>
                  <w:r>
                    <w:rPr>
                      <w:color w:val="auto"/>
                      <w:kern w:val="0"/>
                      <w:sz w:val="21"/>
                      <w:szCs w:val="21"/>
                      <w:lang w:bidi="ar"/>
                    </w:rPr>
                    <w:t>0mm×</w:t>
                  </w:r>
                  <w:r>
                    <w:rPr>
                      <w:rFonts w:hint="eastAsia"/>
                      <w:color w:val="auto"/>
                      <w:kern w:val="0"/>
                      <w:sz w:val="21"/>
                      <w:szCs w:val="21"/>
                      <w:lang w:bidi="ar"/>
                    </w:rPr>
                    <w:t>2300</w:t>
                  </w:r>
                  <w:r>
                    <w:rPr>
                      <w:color w:val="auto"/>
                      <w:kern w:val="0"/>
                      <w:sz w:val="21"/>
                      <w:szCs w:val="21"/>
                      <w:lang w:bidi="ar"/>
                    </w:rPr>
                    <w:t>mm</w:t>
                  </w:r>
                </w:p>
              </w:tc>
              <w:tc>
                <w:tcPr>
                  <w:tcW w:w="507" w:type="pct"/>
                  <w:vAlign w:val="center"/>
                </w:tcPr>
                <w:p w14:paraId="422E8AE1">
                  <w:pPr>
                    <w:widowControl/>
                    <w:jc w:val="center"/>
                    <w:textAlignment w:val="center"/>
                    <w:rPr>
                      <w:kern w:val="0"/>
                      <w:sz w:val="21"/>
                      <w:szCs w:val="21"/>
                      <w:lang w:bidi="ar"/>
                    </w:rPr>
                  </w:pPr>
                  <w:r>
                    <w:rPr>
                      <w:rFonts w:hint="eastAsia"/>
                      <w:kern w:val="0"/>
                      <w:sz w:val="21"/>
                      <w:szCs w:val="21"/>
                      <w:lang w:bidi="ar"/>
                    </w:rPr>
                    <w:t>36台</w:t>
                  </w:r>
                </w:p>
              </w:tc>
              <w:tc>
                <w:tcPr>
                  <w:tcW w:w="497" w:type="pct"/>
                  <w:vAlign w:val="center"/>
                </w:tcPr>
                <w:p w14:paraId="55108633">
                  <w:pPr>
                    <w:widowControl/>
                    <w:jc w:val="center"/>
                    <w:textAlignment w:val="center"/>
                    <w:rPr>
                      <w:kern w:val="0"/>
                      <w:sz w:val="21"/>
                      <w:szCs w:val="21"/>
                      <w:lang w:bidi="ar"/>
                    </w:rPr>
                  </w:pPr>
                  <w:r>
                    <w:rPr>
                      <w:rFonts w:hint="eastAsia"/>
                      <w:kern w:val="0"/>
                      <w:sz w:val="21"/>
                      <w:szCs w:val="21"/>
                      <w:lang w:bidi="ar"/>
                    </w:rPr>
                    <w:t>新增</w:t>
                  </w:r>
                </w:p>
              </w:tc>
            </w:tr>
            <w:tr w14:paraId="5E595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612A6BCB">
                  <w:pPr>
                    <w:widowControl/>
                    <w:contextualSpacing/>
                    <w:jc w:val="center"/>
                    <w:rPr>
                      <w:kern w:val="0"/>
                      <w:sz w:val="21"/>
                      <w:szCs w:val="21"/>
                    </w:rPr>
                  </w:pPr>
                  <w:r>
                    <w:rPr>
                      <w:rFonts w:hint="eastAsia"/>
                      <w:kern w:val="0"/>
                      <w:sz w:val="21"/>
                      <w:szCs w:val="21"/>
                    </w:rPr>
                    <w:t>49</w:t>
                  </w:r>
                </w:p>
              </w:tc>
              <w:tc>
                <w:tcPr>
                  <w:tcW w:w="362" w:type="pct"/>
                  <w:vMerge w:val="continue"/>
                  <w:vAlign w:val="center"/>
                </w:tcPr>
                <w:p w14:paraId="72753B7A">
                  <w:pPr>
                    <w:widowControl/>
                    <w:jc w:val="center"/>
                    <w:textAlignment w:val="center"/>
                    <w:rPr>
                      <w:rFonts w:ascii="宋体" w:hAnsi="宋体" w:cs="宋体"/>
                      <w:kern w:val="0"/>
                      <w:sz w:val="21"/>
                      <w:szCs w:val="21"/>
                      <w:lang w:bidi="ar"/>
                    </w:rPr>
                  </w:pPr>
                </w:p>
              </w:tc>
              <w:tc>
                <w:tcPr>
                  <w:tcW w:w="2068" w:type="pct"/>
                  <w:vAlign w:val="center"/>
                </w:tcPr>
                <w:p w14:paraId="14F47CE0">
                  <w:pPr>
                    <w:widowControl/>
                    <w:jc w:val="center"/>
                    <w:textAlignment w:val="center"/>
                    <w:rPr>
                      <w:rFonts w:hint="eastAsia" w:eastAsia="宋体"/>
                      <w:kern w:val="0"/>
                      <w:sz w:val="21"/>
                      <w:szCs w:val="21"/>
                      <w:lang w:eastAsia="zh-CN" w:bidi="ar"/>
                    </w:rPr>
                  </w:pPr>
                  <w:r>
                    <w:rPr>
                      <w:rFonts w:hint="eastAsia"/>
                      <w:kern w:val="0"/>
                      <w:sz w:val="21"/>
                      <w:szCs w:val="21"/>
                      <w:lang w:eastAsia="zh-CN" w:bidi="ar"/>
                    </w:rPr>
                    <w:t>万向罩</w:t>
                  </w:r>
                </w:p>
              </w:tc>
              <w:tc>
                <w:tcPr>
                  <w:tcW w:w="1209" w:type="pct"/>
                  <w:vAlign w:val="center"/>
                </w:tcPr>
                <w:p w14:paraId="2353F997">
                  <w:pPr>
                    <w:widowControl/>
                    <w:jc w:val="center"/>
                    <w:textAlignment w:val="center"/>
                    <w:rPr>
                      <w:color w:val="auto"/>
                      <w:kern w:val="0"/>
                      <w:sz w:val="21"/>
                      <w:szCs w:val="21"/>
                      <w:lang w:bidi="ar"/>
                    </w:rPr>
                  </w:pPr>
                  <w:r>
                    <w:rPr>
                      <w:color w:val="auto"/>
                      <w:kern w:val="0"/>
                      <w:sz w:val="21"/>
                      <w:szCs w:val="21"/>
                      <w:lang w:bidi="ar"/>
                    </w:rPr>
                    <w:t>Φ</w:t>
                  </w:r>
                  <w:r>
                    <w:rPr>
                      <w:rFonts w:hint="eastAsia"/>
                      <w:color w:val="auto"/>
                      <w:kern w:val="0"/>
                      <w:sz w:val="21"/>
                      <w:szCs w:val="21"/>
                      <w:lang w:bidi="ar"/>
                    </w:rPr>
                    <w:t>37.5</w:t>
                  </w:r>
                  <w:r>
                    <w:rPr>
                      <w:color w:val="auto"/>
                      <w:kern w:val="0"/>
                      <w:sz w:val="21"/>
                      <w:szCs w:val="21"/>
                      <w:lang w:bidi="ar"/>
                    </w:rPr>
                    <w:t>cm</w:t>
                  </w:r>
                </w:p>
              </w:tc>
              <w:tc>
                <w:tcPr>
                  <w:tcW w:w="507" w:type="pct"/>
                  <w:vAlign w:val="center"/>
                </w:tcPr>
                <w:p w14:paraId="56DB1BAA">
                  <w:pPr>
                    <w:widowControl/>
                    <w:jc w:val="center"/>
                    <w:textAlignment w:val="center"/>
                    <w:rPr>
                      <w:kern w:val="0"/>
                      <w:sz w:val="21"/>
                      <w:szCs w:val="21"/>
                      <w:lang w:bidi="ar"/>
                    </w:rPr>
                  </w:pPr>
                  <w:r>
                    <w:rPr>
                      <w:rFonts w:hint="eastAsia"/>
                      <w:kern w:val="0"/>
                      <w:sz w:val="21"/>
                      <w:szCs w:val="21"/>
                      <w:lang w:bidi="ar"/>
                    </w:rPr>
                    <w:t>20个</w:t>
                  </w:r>
                </w:p>
              </w:tc>
              <w:tc>
                <w:tcPr>
                  <w:tcW w:w="497" w:type="pct"/>
                  <w:vAlign w:val="center"/>
                </w:tcPr>
                <w:p w14:paraId="788F8495">
                  <w:pPr>
                    <w:widowControl/>
                    <w:jc w:val="center"/>
                    <w:textAlignment w:val="center"/>
                    <w:rPr>
                      <w:kern w:val="0"/>
                      <w:sz w:val="21"/>
                      <w:szCs w:val="21"/>
                      <w:lang w:bidi="ar"/>
                    </w:rPr>
                  </w:pPr>
                  <w:r>
                    <w:rPr>
                      <w:rFonts w:hint="eastAsia"/>
                      <w:kern w:val="0"/>
                      <w:sz w:val="21"/>
                      <w:szCs w:val="21"/>
                      <w:lang w:bidi="ar"/>
                    </w:rPr>
                    <w:t>新增</w:t>
                  </w:r>
                </w:p>
              </w:tc>
            </w:tr>
            <w:tr w14:paraId="5168E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7680108F">
                  <w:pPr>
                    <w:widowControl/>
                    <w:contextualSpacing/>
                    <w:jc w:val="center"/>
                    <w:rPr>
                      <w:kern w:val="0"/>
                      <w:sz w:val="21"/>
                      <w:szCs w:val="21"/>
                    </w:rPr>
                  </w:pPr>
                </w:p>
              </w:tc>
              <w:tc>
                <w:tcPr>
                  <w:tcW w:w="362" w:type="pct"/>
                  <w:vMerge w:val="continue"/>
                  <w:vAlign w:val="center"/>
                </w:tcPr>
                <w:p w14:paraId="2AF5619F">
                  <w:pPr>
                    <w:widowControl/>
                    <w:jc w:val="center"/>
                    <w:textAlignment w:val="center"/>
                    <w:rPr>
                      <w:rFonts w:ascii="宋体" w:hAnsi="宋体" w:cs="宋体"/>
                      <w:kern w:val="0"/>
                      <w:sz w:val="21"/>
                      <w:szCs w:val="21"/>
                      <w:lang w:bidi="ar"/>
                    </w:rPr>
                  </w:pPr>
                </w:p>
              </w:tc>
              <w:tc>
                <w:tcPr>
                  <w:tcW w:w="2068" w:type="pct"/>
                  <w:vAlign w:val="center"/>
                </w:tcPr>
                <w:p w14:paraId="0962E90C">
                  <w:pPr>
                    <w:widowControl/>
                    <w:jc w:val="center"/>
                    <w:textAlignment w:val="center"/>
                    <w:rPr>
                      <w:kern w:val="0"/>
                      <w:sz w:val="21"/>
                      <w:szCs w:val="21"/>
                      <w:lang w:bidi="ar"/>
                    </w:rPr>
                  </w:pPr>
                  <w:r>
                    <w:rPr>
                      <w:rFonts w:hint="eastAsia"/>
                      <w:kern w:val="0"/>
                      <w:sz w:val="21"/>
                      <w:szCs w:val="21"/>
                      <w:lang w:bidi="ar"/>
                    </w:rPr>
                    <w:t>吸风罩</w:t>
                  </w:r>
                </w:p>
              </w:tc>
              <w:tc>
                <w:tcPr>
                  <w:tcW w:w="1209" w:type="pct"/>
                  <w:vAlign w:val="center"/>
                </w:tcPr>
                <w:p w14:paraId="69812B4E">
                  <w:pPr>
                    <w:widowControl/>
                    <w:jc w:val="center"/>
                    <w:textAlignment w:val="center"/>
                    <w:rPr>
                      <w:kern w:val="0"/>
                      <w:sz w:val="21"/>
                      <w:szCs w:val="21"/>
                      <w:lang w:bidi="ar"/>
                    </w:rPr>
                  </w:pPr>
                  <w:r>
                    <w:rPr>
                      <w:kern w:val="0"/>
                      <w:sz w:val="21"/>
                      <w:szCs w:val="21"/>
                      <w:lang w:bidi="ar"/>
                    </w:rPr>
                    <w:t>30cm×40cm</w:t>
                  </w:r>
                </w:p>
              </w:tc>
              <w:tc>
                <w:tcPr>
                  <w:tcW w:w="507" w:type="pct"/>
                  <w:vAlign w:val="center"/>
                </w:tcPr>
                <w:p w14:paraId="2EFBBDB2">
                  <w:pPr>
                    <w:widowControl/>
                    <w:jc w:val="center"/>
                    <w:textAlignment w:val="center"/>
                    <w:rPr>
                      <w:kern w:val="0"/>
                      <w:sz w:val="21"/>
                      <w:szCs w:val="21"/>
                      <w:lang w:bidi="ar"/>
                    </w:rPr>
                  </w:pPr>
                  <w:r>
                    <w:rPr>
                      <w:rFonts w:hint="eastAsia"/>
                      <w:kern w:val="0"/>
                      <w:sz w:val="21"/>
                      <w:szCs w:val="21"/>
                      <w:lang w:bidi="ar"/>
                    </w:rPr>
                    <w:t>8个</w:t>
                  </w:r>
                </w:p>
              </w:tc>
              <w:tc>
                <w:tcPr>
                  <w:tcW w:w="497" w:type="pct"/>
                  <w:vAlign w:val="center"/>
                </w:tcPr>
                <w:p w14:paraId="0FAF06D7">
                  <w:pPr>
                    <w:widowControl/>
                    <w:jc w:val="center"/>
                    <w:textAlignment w:val="center"/>
                    <w:rPr>
                      <w:kern w:val="0"/>
                      <w:sz w:val="21"/>
                      <w:szCs w:val="21"/>
                      <w:lang w:bidi="ar"/>
                    </w:rPr>
                  </w:pPr>
                  <w:r>
                    <w:rPr>
                      <w:rFonts w:hint="eastAsia"/>
                      <w:kern w:val="0"/>
                      <w:sz w:val="21"/>
                      <w:szCs w:val="21"/>
                      <w:lang w:bidi="ar"/>
                    </w:rPr>
                    <w:t>新增</w:t>
                  </w:r>
                </w:p>
              </w:tc>
            </w:tr>
            <w:tr w14:paraId="1E516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44B9944D">
                  <w:pPr>
                    <w:widowControl/>
                    <w:contextualSpacing/>
                    <w:jc w:val="center"/>
                    <w:rPr>
                      <w:kern w:val="0"/>
                      <w:sz w:val="21"/>
                      <w:szCs w:val="21"/>
                    </w:rPr>
                  </w:pPr>
                  <w:r>
                    <w:rPr>
                      <w:rFonts w:hint="eastAsia"/>
                      <w:kern w:val="0"/>
                      <w:sz w:val="21"/>
                      <w:szCs w:val="21"/>
                    </w:rPr>
                    <w:t>50</w:t>
                  </w:r>
                </w:p>
              </w:tc>
              <w:tc>
                <w:tcPr>
                  <w:tcW w:w="362" w:type="pct"/>
                  <w:vMerge w:val="continue"/>
                  <w:vAlign w:val="center"/>
                </w:tcPr>
                <w:p w14:paraId="21CF8457">
                  <w:pPr>
                    <w:widowControl/>
                    <w:jc w:val="center"/>
                    <w:textAlignment w:val="center"/>
                    <w:rPr>
                      <w:rFonts w:ascii="宋体" w:hAnsi="宋体" w:cs="宋体"/>
                      <w:kern w:val="0"/>
                      <w:sz w:val="21"/>
                      <w:szCs w:val="21"/>
                      <w:lang w:bidi="ar"/>
                    </w:rPr>
                  </w:pPr>
                </w:p>
              </w:tc>
              <w:tc>
                <w:tcPr>
                  <w:tcW w:w="2068" w:type="pct"/>
                  <w:vAlign w:val="center"/>
                </w:tcPr>
                <w:p w14:paraId="70370D25">
                  <w:pPr>
                    <w:widowControl/>
                    <w:jc w:val="center"/>
                    <w:textAlignment w:val="center"/>
                    <w:rPr>
                      <w:color w:val="auto"/>
                      <w:kern w:val="0"/>
                      <w:sz w:val="21"/>
                      <w:szCs w:val="21"/>
                      <w:lang w:bidi="ar"/>
                    </w:rPr>
                  </w:pPr>
                  <w:r>
                    <w:rPr>
                      <w:rFonts w:hint="eastAsia"/>
                      <w:color w:val="auto"/>
                      <w:kern w:val="0"/>
                      <w:sz w:val="21"/>
                      <w:szCs w:val="21"/>
                      <w:lang w:bidi="ar"/>
                    </w:rPr>
                    <w:t>活性炭吸附装置+风机+排气筒</w:t>
                  </w:r>
                </w:p>
              </w:tc>
              <w:tc>
                <w:tcPr>
                  <w:tcW w:w="1209" w:type="pct"/>
                  <w:vAlign w:val="center"/>
                </w:tcPr>
                <w:p w14:paraId="0C7BE530">
                  <w:pPr>
                    <w:widowControl/>
                    <w:jc w:val="center"/>
                    <w:textAlignment w:val="center"/>
                    <w:rPr>
                      <w:kern w:val="0"/>
                      <w:sz w:val="21"/>
                      <w:szCs w:val="21"/>
                      <w:lang w:bidi="ar"/>
                    </w:rPr>
                  </w:pPr>
                  <w:r>
                    <w:rPr>
                      <w:rFonts w:hint="eastAsia"/>
                      <w:kern w:val="0"/>
                      <w:sz w:val="21"/>
                      <w:szCs w:val="21"/>
                      <w:lang w:bidi="ar"/>
                    </w:rPr>
                    <w:t>/</w:t>
                  </w:r>
                </w:p>
              </w:tc>
              <w:tc>
                <w:tcPr>
                  <w:tcW w:w="507" w:type="pct"/>
                  <w:vAlign w:val="center"/>
                </w:tcPr>
                <w:p w14:paraId="47C984C2">
                  <w:pPr>
                    <w:widowControl/>
                    <w:jc w:val="center"/>
                    <w:textAlignment w:val="center"/>
                    <w:rPr>
                      <w:kern w:val="0"/>
                      <w:sz w:val="21"/>
                      <w:szCs w:val="21"/>
                      <w:lang w:bidi="ar"/>
                    </w:rPr>
                  </w:pPr>
                  <w:r>
                    <w:rPr>
                      <w:rFonts w:hint="eastAsia"/>
                      <w:kern w:val="0"/>
                      <w:sz w:val="21"/>
                      <w:szCs w:val="21"/>
                      <w:lang w:bidi="ar"/>
                    </w:rPr>
                    <w:t>1套</w:t>
                  </w:r>
                </w:p>
              </w:tc>
              <w:tc>
                <w:tcPr>
                  <w:tcW w:w="497" w:type="pct"/>
                  <w:vAlign w:val="center"/>
                </w:tcPr>
                <w:p w14:paraId="00EB8EF2">
                  <w:pPr>
                    <w:widowControl/>
                    <w:jc w:val="center"/>
                    <w:textAlignment w:val="center"/>
                    <w:rPr>
                      <w:kern w:val="0"/>
                      <w:sz w:val="21"/>
                      <w:szCs w:val="21"/>
                      <w:lang w:bidi="ar"/>
                    </w:rPr>
                  </w:pPr>
                  <w:r>
                    <w:rPr>
                      <w:rFonts w:hint="eastAsia"/>
                      <w:kern w:val="0"/>
                      <w:sz w:val="21"/>
                      <w:szCs w:val="21"/>
                      <w:lang w:bidi="ar"/>
                    </w:rPr>
                    <w:t>新增</w:t>
                  </w:r>
                </w:p>
              </w:tc>
            </w:tr>
            <w:tr w14:paraId="53620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1023205A">
                  <w:pPr>
                    <w:widowControl/>
                    <w:contextualSpacing/>
                    <w:jc w:val="center"/>
                    <w:rPr>
                      <w:kern w:val="0"/>
                      <w:sz w:val="21"/>
                      <w:szCs w:val="21"/>
                    </w:rPr>
                  </w:pPr>
                  <w:r>
                    <w:rPr>
                      <w:rFonts w:hint="eastAsia"/>
                      <w:kern w:val="0"/>
                      <w:sz w:val="21"/>
                      <w:szCs w:val="21"/>
                    </w:rPr>
                    <w:t>51</w:t>
                  </w:r>
                </w:p>
              </w:tc>
              <w:tc>
                <w:tcPr>
                  <w:tcW w:w="362" w:type="pct"/>
                  <w:vMerge w:val="continue"/>
                  <w:vAlign w:val="center"/>
                </w:tcPr>
                <w:p w14:paraId="59B0D85E">
                  <w:pPr>
                    <w:widowControl/>
                    <w:jc w:val="center"/>
                    <w:textAlignment w:val="center"/>
                    <w:rPr>
                      <w:rFonts w:ascii="宋体" w:hAnsi="宋体" w:cs="宋体"/>
                      <w:kern w:val="0"/>
                      <w:sz w:val="21"/>
                      <w:szCs w:val="21"/>
                      <w:lang w:bidi="ar"/>
                    </w:rPr>
                  </w:pPr>
                </w:p>
              </w:tc>
              <w:tc>
                <w:tcPr>
                  <w:tcW w:w="2068" w:type="pct"/>
                  <w:vAlign w:val="center"/>
                </w:tcPr>
                <w:p w14:paraId="14F64124">
                  <w:pPr>
                    <w:widowControl/>
                    <w:jc w:val="center"/>
                    <w:textAlignment w:val="center"/>
                    <w:rPr>
                      <w:rFonts w:ascii="宋体" w:hAnsi="宋体" w:cs="宋体"/>
                      <w:color w:val="auto"/>
                      <w:kern w:val="0"/>
                      <w:sz w:val="21"/>
                      <w:szCs w:val="21"/>
                      <w:lang w:bidi="ar"/>
                    </w:rPr>
                  </w:pPr>
                  <w:r>
                    <w:rPr>
                      <w:rFonts w:hint="eastAsia" w:ascii="宋体" w:hAnsi="宋体" w:cs="宋体"/>
                      <w:color w:val="auto"/>
                      <w:kern w:val="0"/>
                      <w:sz w:val="21"/>
                      <w:szCs w:val="21"/>
                      <w:lang w:bidi="ar"/>
                    </w:rPr>
                    <w:t>喷淋塔装置+风机+排气筒</w:t>
                  </w:r>
                </w:p>
              </w:tc>
              <w:tc>
                <w:tcPr>
                  <w:tcW w:w="1209" w:type="pct"/>
                  <w:vAlign w:val="center"/>
                </w:tcPr>
                <w:p w14:paraId="09EA35FA">
                  <w:pPr>
                    <w:widowControl/>
                    <w:jc w:val="center"/>
                    <w:textAlignment w:val="center"/>
                    <w:rPr>
                      <w:kern w:val="0"/>
                      <w:sz w:val="21"/>
                      <w:szCs w:val="21"/>
                      <w:lang w:bidi="ar"/>
                    </w:rPr>
                  </w:pPr>
                  <w:r>
                    <w:rPr>
                      <w:rFonts w:hint="eastAsia"/>
                      <w:kern w:val="0"/>
                      <w:sz w:val="21"/>
                      <w:szCs w:val="21"/>
                      <w:lang w:bidi="ar"/>
                    </w:rPr>
                    <w:t>/</w:t>
                  </w:r>
                </w:p>
              </w:tc>
              <w:tc>
                <w:tcPr>
                  <w:tcW w:w="507" w:type="pct"/>
                  <w:vAlign w:val="center"/>
                </w:tcPr>
                <w:p w14:paraId="1C673C85">
                  <w:pPr>
                    <w:widowControl/>
                    <w:jc w:val="center"/>
                    <w:textAlignment w:val="center"/>
                    <w:rPr>
                      <w:kern w:val="0"/>
                      <w:sz w:val="21"/>
                      <w:szCs w:val="21"/>
                    </w:rPr>
                  </w:pPr>
                  <w:r>
                    <w:rPr>
                      <w:rFonts w:hint="eastAsia"/>
                      <w:kern w:val="0"/>
                      <w:sz w:val="21"/>
                      <w:szCs w:val="21"/>
                      <w:lang w:bidi="ar"/>
                    </w:rPr>
                    <w:t>1套</w:t>
                  </w:r>
                </w:p>
              </w:tc>
              <w:tc>
                <w:tcPr>
                  <w:tcW w:w="497" w:type="pct"/>
                  <w:vAlign w:val="center"/>
                </w:tcPr>
                <w:p w14:paraId="42B41989">
                  <w:pPr>
                    <w:widowControl/>
                    <w:jc w:val="center"/>
                    <w:textAlignment w:val="center"/>
                    <w:rPr>
                      <w:kern w:val="0"/>
                      <w:sz w:val="21"/>
                      <w:szCs w:val="21"/>
                      <w:lang w:bidi="ar"/>
                    </w:rPr>
                  </w:pPr>
                  <w:r>
                    <w:rPr>
                      <w:rFonts w:hint="eastAsia"/>
                      <w:kern w:val="0"/>
                      <w:sz w:val="21"/>
                      <w:szCs w:val="21"/>
                      <w:lang w:bidi="ar"/>
                    </w:rPr>
                    <w:t>新增</w:t>
                  </w:r>
                </w:p>
              </w:tc>
            </w:tr>
            <w:tr w14:paraId="7D87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17E4643B">
                  <w:pPr>
                    <w:widowControl/>
                    <w:contextualSpacing/>
                    <w:jc w:val="center"/>
                    <w:rPr>
                      <w:kern w:val="0"/>
                      <w:sz w:val="21"/>
                      <w:szCs w:val="21"/>
                    </w:rPr>
                  </w:pPr>
                  <w:r>
                    <w:rPr>
                      <w:rFonts w:hint="eastAsia"/>
                      <w:kern w:val="0"/>
                      <w:sz w:val="21"/>
                      <w:szCs w:val="21"/>
                    </w:rPr>
                    <w:t>52</w:t>
                  </w:r>
                </w:p>
              </w:tc>
              <w:tc>
                <w:tcPr>
                  <w:tcW w:w="362" w:type="pct"/>
                  <w:vMerge w:val="continue"/>
                  <w:vAlign w:val="center"/>
                </w:tcPr>
                <w:p w14:paraId="387AC444">
                  <w:pPr>
                    <w:widowControl/>
                    <w:jc w:val="center"/>
                    <w:textAlignment w:val="center"/>
                    <w:rPr>
                      <w:rFonts w:ascii="宋体" w:hAnsi="宋体" w:cs="宋体"/>
                      <w:kern w:val="0"/>
                      <w:sz w:val="21"/>
                      <w:szCs w:val="21"/>
                      <w:lang w:bidi="ar"/>
                    </w:rPr>
                  </w:pPr>
                </w:p>
              </w:tc>
              <w:tc>
                <w:tcPr>
                  <w:tcW w:w="2068" w:type="pct"/>
                  <w:vAlign w:val="center"/>
                </w:tcPr>
                <w:p w14:paraId="080B0648">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废水处理设备</w:t>
                  </w:r>
                </w:p>
              </w:tc>
              <w:tc>
                <w:tcPr>
                  <w:tcW w:w="1209" w:type="pct"/>
                  <w:vAlign w:val="center"/>
                </w:tcPr>
                <w:p w14:paraId="02C1BC3D">
                  <w:pPr>
                    <w:widowControl/>
                    <w:jc w:val="center"/>
                    <w:textAlignment w:val="center"/>
                    <w:rPr>
                      <w:kern w:val="0"/>
                      <w:sz w:val="21"/>
                      <w:szCs w:val="21"/>
                      <w:lang w:bidi="ar"/>
                    </w:rPr>
                  </w:pPr>
                  <w:r>
                    <w:rPr>
                      <w:rFonts w:hint="eastAsia"/>
                      <w:kern w:val="0"/>
                      <w:sz w:val="21"/>
                      <w:szCs w:val="21"/>
                      <w:lang w:bidi="ar"/>
                    </w:rPr>
                    <w:t>1t/d</w:t>
                  </w:r>
                </w:p>
              </w:tc>
              <w:tc>
                <w:tcPr>
                  <w:tcW w:w="507" w:type="pct"/>
                  <w:vAlign w:val="center"/>
                </w:tcPr>
                <w:p w14:paraId="497847C7">
                  <w:pPr>
                    <w:widowControl/>
                    <w:jc w:val="center"/>
                    <w:textAlignment w:val="center"/>
                    <w:rPr>
                      <w:kern w:val="0"/>
                      <w:sz w:val="21"/>
                      <w:szCs w:val="21"/>
                    </w:rPr>
                  </w:pPr>
                  <w:r>
                    <w:rPr>
                      <w:rFonts w:hint="eastAsia"/>
                      <w:kern w:val="0"/>
                      <w:sz w:val="21"/>
                      <w:szCs w:val="21"/>
                      <w:lang w:bidi="ar"/>
                    </w:rPr>
                    <w:t>1套</w:t>
                  </w:r>
                </w:p>
              </w:tc>
              <w:tc>
                <w:tcPr>
                  <w:tcW w:w="497" w:type="pct"/>
                  <w:vAlign w:val="center"/>
                </w:tcPr>
                <w:p w14:paraId="4AFBBE17">
                  <w:pPr>
                    <w:widowControl/>
                    <w:jc w:val="center"/>
                    <w:textAlignment w:val="center"/>
                    <w:rPr>
                      <w:kern w:val="0"/>
                      <w:sz w:val="21"/>
                      <w:szCs w:val="21"/>
                      <w:lang w:bidi="ar"/>
                    </w:rPr>
                  </w:pPr>
                  <w:r>
                    <w:rPr>
                      <w:rFonts w:hint="eastAsia"/>
                      <w:kern w:val="0"/>
                      <w:sz w:val="21"/>
                      <w:szCs w:val="21"/>
                      <w:lang w:bidi="ar"/>
                    </w:rPr>
                    <w:t>利旧搬迁</w:t>
                  </w:r>
                </w:p>
              </w:tc>
            </w:tr>
            <w:tr w14:paraId="1EDF2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4257CDA0">
                  <w:pPr>
                    <w:widowControl/>
                    <w:contextualSpacing/>
                    <w:jc w:val="center"/>
                    <w:rPr>
                      <w:kern w:val="0"/>
                      <w:sz w:val="21"/>
                      <w:szCs w:val="21"/>
                    </w:rPr>
                  </w:pPr>
                  <w:r>
                    <w:rPr>
                      <w:rFonts w:hint="eastAsia"/>
                      <w:kern w:val="0"/>
                      <w:sz w:val="21"/>
                      <w:szCs w:val="21"/>
                    </w:rPr>
                    <w:t>53</w:t>
                  </w:r>
                </w:p>
              </w:tc>
              <w:tc>
                <w:tcPr>
                  <w:tcW w:w="362" w:type="pct"/>
                  <w:vMerge w:val="continue"/>
                  <w:vAlign w:val="center"/>
                </w:tcPr>
                <w:p w14:paraId="1125CDEF">
                  <w:pPr>
                    <w:widowControl/>
                    <w:jc w:val="center"/>
                    <w:textAlignment w:val="center"/>
                    <w:rPr>
                      <w:rFonts w:ascii="宋体" w:hAnsi="宋体" w:cs="宋体"/>
                      <w:kern w:val="0"/>
                      <w:sz w:val="21"/>
                      <w:szCs w:val="21"/>
                      <w:lang w:bidi="ar"/>
                    </w:rPr>
                  </w:pPr>
                </w:p>
              </w:tc>
              <w:tc>
                <w:tcPr>
                  <w:tcW w:w="2068" w:type="pct"/>
                  <w:vAlign w:val="center"/>
                </w:tcPr>
                <w:p w14:paraId="6EE8905A">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废水收集桶</w:t>
                  </w:r>
                </w:p>
              </w:tc>
              <w:tc>
                <w:tcPr>
                  <w:tcW w:w="1209" w:type="pct"/>
                  <w:vAlign w:val="center"/>
                </w:tcPr>
                <w:p w14:paraId="3EA8A4AE">
                  <w:pPr>
                    <w:widowControl/>
                    <w:jc w:val="center"/>
                    <w:textAlignment w:val="center"/>
                    <w:rPr>
                      <w:kern w:val="0"/>
                      <w:sz w:val="21"/>
                      <w:szCs w:val="21"/>
                      <w:lang w:bidi="ar"/>
                    </w:rPr>
                  </w:pPr>
                  <w:r>
                    <w:rPr>
                      <w:rFonts w:hint="eastAsia"/>
                      <w:kern w:val="0"/>
                      <w:sz w:val="21"/>
                      <w:szCs w:val="21"/>
                      <w:lang w:bidi="ar"/>
                    </w:rPr>
                    <w:t>60L</w:t>
                  </w:r>
                </w:p>
              </w:tc>
              <w:tc>
                <w:tcPr>
                  <w:tcW w:w="507" w:type="pct"/>
                  <w:vAlign w:val="center"/>
                </w:tcPr>
                <w:p w14:paraId="755966E2">
                  <w:pPr>
                    <w:widowControl/>
                    <w:jc w:val="center"/>
                    <w:textAlignment w:val="center"/>
                    <w:rPr>
                      <w:kern w:val="0"/>
                      <w:sz w:val="21"/>
                      <w:szCs w:val="21"/>
                      <w:lang w:bidi="ar"/>
                    </w:rPr>
                  </w:pPr>
                  <w:r>
                    <w:rPr>
                      <w:rFonts w:hint="eastAsia"/>
                      <w:kern w:val="0"/>
                      <w:sz w:val="21"/>
                      <w:szCs w:val="21"/>
                      <w:lang w:bidi="ar"/>
                    </w:rPr>
                    <w:t>1个</w:t>
                  </w:r>
                </w:p>
              </w:tc>
              <w:tc>
                <w:tcPr>
                  <w:tcW w:w="497" w:type="pct"/>
                  <w:vAlign w:val="center"/>
                </w:tcPr>
                <w:p w14:paraId="66A28D54">
                  <w:pPr>
                    <w:widowControl/>
                    <w:jc w:val="center"/>
                    <w:textAlignment w:val="center"/>
                    <w:rPr>
                      <w:kern w:val="0"/>
                      <w:sz w:val="21"/>
                      <w:szCs w:val="21"/>
                      <w:lang w:bidi="ar"/>
                    </w:rPr>
                  </w:pPr>
                  <w:r>
                    <w:rPr>
                      <w:rFonts w:hint="eastAsia"/>
                      <w:kern w:val="0"/>
                      <w:sz w:val="21"/>
                      <w:szCs w:val="21"/>
                      <w:lang w:bidi="ar"/>
                    </w:rPr>
                    <w:t>利旧搬迁</w:t>
                  </w:r>
                </w:p>
              </w:tc>
            </w:tr>
            <w:tr w14:paraId="5F2B3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3F77EA9A">
                  <w:pPr>
                    <w:widowControl/>
                    <w:contextualSpacing/>
                    <w:jc w:val="center"/>
                    <w:rPr>
                      <w:kern w:val="0"/>
                      <w:sz w:val="21"/>
                      <w:szCs w:val="21"/>
                    </w:rPr>
                  </w:pPr>
                  <w:r>
                    <w:rPr>
                      <w:rFonts w:hint="eastAsia"/>
                      <w:kern w:val="0"/>
                      <w:sz w:val="21"/>
                      <w:szCs w:val="21"/>
                    </w:rPr>
                    <w:t>54</w:t>
                  </w:r>
                </w:p>
              </w:tc>
              <w:tc>
                <w:tcPr>
                  <w:tcW w:w="362" w:type="pct"/>
                  <w:vMerge w:val="continue"/>
                  <w:vAlign w:val="center"/>
                </w:tcPr>
                <w:p w14:paraId="46745573">
                  <w:pPr>
                    <w:widowControl/>
                    <w:jc w:val="center"/>
                    <w:textAlignment w:val="center"/>
                    <w:rPr>
                      <w:rFonts w:ascii="宋体" w:hAnsi="宋体" w:cs="宋体"/>
                      <w:kern w:val="0"/>
                      <w:sz w:val="21"/>
                      <w:szCs w:val="21"/>
                      <w:lang w:bidi="ar"/>
                    </w:rPr>
                  </w:pPr>
                </w:p>
              </w:tc>
              <w:tc>
                <w:tcPr>
                  <w:tcW w:w="2068" w:type="pct"/>
                  <w:vAlign w:val="center"/>
                </w:tcPr>
                <w:p w14:paraId="606AC688">
                  <w:pPr>
                    <w:widowControl/>
                    <w:jc w:val="center"/>
                    <w:textAlignment w:val="center"/>
                    <w:rPr>
                      <w:rFonts w:ascii="宋体" w:hAnsi="宋体" w:cs="宋体"/>
                      <w:kern w:val="0"/>
                      <w:sz w:val="21"/>
                      <w:szCs w:val="21"/>
                      <w:lang w:bidi="ar"/>
                    </w:rPr>
                  </w:pPr>
                  <w:r>
                    <w:rPr>
                      <w:rFonts w:hint="eastAsia" w:ascii="宋体" w:hAnsi="宋体" w:cs="宋体"/>
                      <w:kern w:val="0"/>
                      <w:sz w:val="21"/>
                      <w:szCs w:val="21"/>
                      <w:lang w:bidi="ar"/>
                    </w:rPr>
                    <w:t>除尘设备</w:t>
                  </w:r>
                </w:p>
              </w:tc>
              <w:tc>
                <w:tcPr>
                  <w:tcW w:w="1209" w:type="pct"/>
                  <w:vAlign w:val="center"/>
                </w:tcPr>
                <w:p w14:paraId="47FB85F1">
                  <w:pPr>
                    <w:widowControl/>
                    <w:jc w:val="center"/>
                    <w:textAlignment w:val="center"/>
                    <w:rPr>
                      <w:kern w:val="0"/>
                      <w:sz w:val="21"/>
                      <w:szCs w:val="21"/>
                      <w:lang w:bidi="ar"/>
                    </w:rPr>
                  </w:pPr>
                  <w:r>
                    <w:rPr>
                      <w:rFonts w:hint="eastAsia"/>
                      <w:kern w:val="0"/>
                      <w:sz w:val="21"/>
                      <w:szCs w:val="21"/>
                      <w:lang w:bidi="ar"/>
                    </w:rPr>
                    <w:t>/</w:t>
                  </w:r>
                </w:p>
              </w:tc>
              <w:tc>
                <w:tcPr>
                  <w:tcW w:w="507" w:type="pct"/>
                  <w:vAlign w:val="center"/>
                </w:tcPr>
                <w:p w14:paraId="604F5D71">
                  <w:pPr>
                    <w:widowControl/>
                    <w:jc w:val="center"/>
                    <w:textAlignment w:val="center"/>
                    <w:rPr>
                      <w:kern w:val="0"/>
                      <w:sz w:val="21"/>
                      <w:szCs w:val="21"/>
                      <w:lang w:bidi="ar"/>
                    </w:rPr>
                  </w:pPr>
                  <w:r>
                    <w:rPr>
                      <w:rFonts w:hint="eastAsia"/>
                      <w:kern w:val="0"/>
                      <w:sz w:val="21"/>
                      <w:szCs w:val="21"/>
                      <w:lang w:bidi="ar"/>
                    </w:rPr>
                    <w:t>2套</w:t>
                  </w:r>
                </w:p>
              </w:tc>
              <w:tc>
                <w:tcPr>
                  <w:tcW w:w="497" w:type="pct"/>
                  <w:vAlign w:val="center"/>
                </w:tcPr>
                <w:p w14:paraId="067C8E8A">
                  <w:pPr>
                    <w:widowControl/>
                    <w:jc w:val="center"/>
                    <w:textAlignment w:val="center"/>
                    <w:rPr>
                      <w:kern w:val="0"/>
                      <w:sz w:val="21"/>
                      <w:szCs w:val="21"/>
                      <w:lang w:bidi="ar"/>
                    </w:rPr>
                  </w:pPr>
                  <w:r>
                    <w:rPr>
                      <w:rFonts w:hint="eastAsia"/>
                      <w:kern w:val="0"/>
                      <w:sz w:val="21"/>
                      <w:szCs w:val="21"/>
                      <w:lang w:bidi="ar"/>
                    </w:rPr>
                    <w:t>新增</w:t>
                  </w:r>
                </w:p>
              </w:tc>
            </w:tr>
          </w:tbl>
          <w:p w14:paraId="58149D0B">
            <w:pPr>
              <w:widowControl/>
              <w:spacing w:before="156" w:beforeLines="50" w:line="360" w:lineRule="auto"/>
              <w:ind w:firstLine="482" w:firstLineChars="200"/>
              <w:contextualSpacing/>
              <w:rPr>
                <w:b/>
              </w:rPr>
            </w:pPr>
            <w:r>
              <w:rPr>
                <w:rFonts w:hint="eastAsia"/>
                <w:b/>
                <w:bCs/>
                <w:kern w:val="0"/>
              </w:rPr>
              <w:t>5</w:t>
            </w:r>
            <w:r>
              <w:rPr>
                <w:b/>
                <w:bCs/>
                <w:kern w:val="0"/>
              </w:rPr>
              <w:t>、</w:t>
            </w:r>
            <w:r>
              <w:rPr>
                <w:b/>
              </w:rPr>
              <w:t>主要原辅材料及能源消耗</w:t>
            </w:r>
          </w:p>
          <w:p w14:paraId="4300EDF9">
            <w:pPr>
              <w:spacing w:line="360" w:lineRule="auto"/>
              <w:ind w:firstLine="480" w:firstLineChars="200"/>
              <w:rPr>
                <w:kern w:val="0"/>
              </w:rPr>
            </w:pPr>
            <w:r>
              <w:rPr>
                <w:kern w:val="0"/>
              </w:rPr>
              <w:t>本项目</w:t>
            </w:r>
            <w:r>
              <w:rPr>
                <w:rFonts w:hint="eastAsia"/>
                <w:kern w:val="0"/>
              </w:rPr>
              <w:t>主要</w:t>
            </w:r>
            <w:r>
              <w:rPr>
                <w:kern w:val="0"/>
              </w:rPr>
              <w:t>原辅材料</w:t>
            </w:r>
            <w:r>
              <w:rPr>
                <w:rFonts w:hint="eastAsia"/>
                <w:kern w:val="0"/>
              </w:rPr>
              <w:t>消耗</w:t>
            </w:r>
            <w:r>
              <w:rPr>
                <w:kern w:val="0"/>
              </w:rPr>
              <w:t>见</w:t>
            </w:r>
            <w:r>
              <w:rPr>
                <w:rFonts w:hint="eastAsia"/>
                <w:kern w:val="0"/>
              </w:rPr>
              <w:t>表2-4，能源消耗见表2-5。</w:t>
            </w:r>
          </w:p>
          <w:p w14:paraId="10941877">
            <w:pPr>
              <w:widowControl/>
              <w:contextualSpacing/>
              <w:jc w:val="center"/>
              <w:rPr>
                <w:b/>
                <w:bCs/>
                <w:kern w:val="0"/>
                <w:sz w:val="21"/>
                <w:szCs w:val="21"/>
              </w:rPr>
            </w:pPr>
            <w:r>
              <w:rPr>
                <w:b/>
                <w:bCs/>
                <w:kern w:val="0"/>
                <w:sz w:val="21"/>
                <w:szCs w:val="21"/>
              </w:rPr>
              <w:t>表2-</w:t>
            </w:r>
            <w:r>
              <w:rPr>
                <w:rFonts w:hint="eastAsia"/>
                <w:b/>
                <w:bCs/>
                <w:kern w:val="0"/>
                <w:sz w:val="21"/>
                <w:szCs w:val="21"/>
              </w:rPr>
              <w:t>4</w:t>
            </w:r>
            <w:r>
              <w:rPr>
                <w:b/>
                <w:bCs/>
                <w:kern w:val="0"/>
                <w:sz w:val="21"/>
                <w:szCs w:val="21"/>
              </w:rPr>
              <w:t xml:space="preserve">  项目主要原辅材料</w:t>
            </w:r>
            <w:r>
              <w:rPr>
                <w:rFonts w:hint="eastAsia"/>
                <w:b/>
                <w:bCs/>
                <w:kern w:val="0"/>
                <w:sz w:val="21"/>
                <w:szCs w:val="21"/>
              </w:rPr>
              <w:t>消耗一览表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2520"/>
              <w:gridCol w:w="1227"/>
              <w:gridCol w:w="893"/>
              <w:gridCol w:w="1174"/>
              <w:gridCol w:w="880"/>
              <w:gridCol w:w="676"/>
            </w:tblGrid>
            <w:tr w14:paraId="3E743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354" w:type="pct"/>
                  <w:vAlign w:val="center"/>
                </w:tcPr>
                <w:p w14:paraId="0FB5AE79">
                  <w:pPr>
                    <w:widowControl/>
                    <w:jc w:val="center"/>
                    <w:textAlignment w:val="bottom"/>
                    <w:rPr>
                      <w:b/>
                      <w:bCs/>
                      <w:kern w:val="0"/>
                      <w:sz w:val="21"/>
                      <w:szCs w:val="21"/>
                      <w:lang w:bidi="ar"/>
                    </w:rPr>
                  </w:pPr>
                  <w:r>
                    <w:rPr>
                      <w:b/>
                      <w:bCs/>
                      <w:kern w:val="0"/>
                      <w:sz w:val="21"/>
                      <w:szCs w:val="21"/>
                      <w:lang w:bidi="ar"/>
                    </w:rPr>
                    <w:t>序号</w:t>
                  </w:r>
                </w:p>
              </w:tc>
              <w:tc>
                <w:tcPr>
                  <w:tcW w:w="1588" w:type="pct"/>
                  <w:vAlign w:val="center"/>
                </w:tcPr>
                <w:p w14:paraId="31E4C1CB">
                  <w:pPr>
                    <w:widowControl/>
                    <w:jc w:val="center"/>
                    <w:textAlignment w:val="bottom"/>
                    <w:rPr>
                      <w:b/>
                      <w:bCs/>
                      <w:kern w:val="0"/>
                      <w:sz w:val="21"/>
                      <w:szCs w:val="21"/>
                      <w:lang w:bidi="ar"/>
                    </w:rPr>
                  </w:pPr>
                  <w:r>
                    <w:rPr>
                      <w:b/>
                      <w:bCs/>
                      <w:kern w:val="0"/>
                      <w:sz w:val="21"/>
                      <w:szCs w:val="21"/>
                      <w:lang w:bidi="ar"/>
                    </w:rPr>
                    <w:t>名称</w:t>
                  </w:r>
                </w:p>
              </w:tc>
              <w:tc>
                <w:tcPr>
                  <w:tcW w:w="773" w:type="pct"/>
                  <w:vAlign w:val="center"/>
                </w:tcPr>
                <w:p w14:paraId="4483BE26">
                  <w:pPr>
                    <w:widowControl/>
                    <w:jc w:val="center"/>
                    <w:textAlignment w:val="bottom"/>
                    <w:rPr>
                      <w:b/>
                      <w:bCs/>
                      <w:kern w:val="0"/>
                      <w:sz w:val="21"/>
                      <w:szCs w:val="21"/>
                      <w:lang w:bidi="ar"/>
                    </w:rPr>
                  </w:pPr>
                  <w:r>
                    <w:rPr>
                      <w:b/>
                      <w:bCs/>
                      <w:kern w:val="0"/>
                      <w:sz w:val="21"/>
                      <w:szCs w:val="21"/>
                      <w:lang w:bidi="ar"/>
                    </w:rPr>
                    <w:t>规格</w:t>
                  </w:r>
                </w:p>
              </w:tc>
              <w:tc>
                <w:tcPr>
                  <w:tcW w:w="562" w:type="pct"/>
                  <w:vAlign w:val="center"/>
                </w:tcPr>
                <w:p w14:paraId="257B1F99">
                  <w:pPr>
                    <w:widowControl/>
                    <w:jc w:val="center"/>
                    <w:textAlignment w:val="bottom"/>
                    <w:rPr>
                      <w:b/>
                      <w:bCs/>
                      <w:kern w:val="0"/>
                      <w:sz w:val="21"/>
                      <w:szCs w:val="21"/>
                      <w:lang w:bidi="ar"/>
                    </w:rPr>
                  </w:pPr>
                  <w:r>
                    <w:rPr>
                      <w:b/>
                      <w:bCs/>
                      <w:kern w:val="0"/>
                      <w:sz w:val="21"/>
                      <w:szCs w:val="21"/>
                      <w:lang w:bidi="ar"/>
                    </w:rPr>
                    <w:t>年用量</w:t>
                  </w:r>
                </w:p>
              </w:tc>
              <w:tc>
                <w:tcPr>
                  <w:tcW w:w="740" w:type="pct"/>
                  <w:vAlign w:val="center"/>
                </w:tcPr>
                <w:p w14:paraId="0D95990A">
                  <w:pPr>
                    <w:widowControl/>
                    <w:jc w:val="center"/>
                    <w:textAlignment w:val="bottom"/>
                    <w:rPr>
                      <w:b/>
                      <w:bCs/>
                      <w:kern w:val="0"/>
                      <w:sz w:val="21"/>
                      <w:szCs w:val="21"/>
                      <w:lang w:bidi="ar"/>
                    </w:rPr>
                  </w:pPr>
                  <w:r>
                    <w:rPr>
                      <w:b/>
                      <w:bCs/>
                      <w:kern w:val="0"/>
                      <w:sz w:val="21"/>
                      <w:szCs w:val="21"/>
                      <w:lang w:bidi="ar"/>
                    </w:rPr>
                    <w:t>最大存储量</w:t>
                  </w:r>
                </w:p>
              </w:tc>
              <w:tc>
                <w:tcPr>
                  <w:tcW w:w="554" w:type="pct"/>
                  <w:vAlign w:val="center"/>
                </w:tcPr>
                <w:p w14:paraId="5C107BC0">
                  <w:pPr>
                    <w:widowControl/>
                    <w:jc w:val="center"/>
                    <w:textAlignment w:val="bottom"/>
                    <w:rPr>
                      <w:b/>
                      <w:bCs/>
                      <w:kern w:val="0"/>
                      <w:sz w:val="21"/>
                      <w:szCs w:val="21"/>
                      <w:lang w:bidi="ar"/>
                    </w:rPr>
                  </w:pPr>
                  <w:r>
                    <w:rPr>
                      <w:b/>
                      <w:bCs/>
                      <w:kern w:val="0"/>
                      <w:sz w:val="21"/>
                      <w:szCs w:val="21"/>
                      <w:lang w:bidi="ar"/>
                    </w:rPr>
                    <w:t>存储</w:t>
                  </w:r>
                </w:p>
                <w:p w14:paraId="187D05FE">
                  <w:pPr>
                    <w:widowControl/>
                    <w:jc w:val="center"/>
                    <w:textAlignment w:val="bottom"/>
                    <w:rPr>
                      <w:b/>
                      <w:bCs/>
                      <w:kern w:val="0"/>
                      <w:sz w:val="21"/>
                      <w:szCs w:val="21"/>
                      <w:lang w:bidi="ar"/>
                    </w:rPr>
                  </w:pPr>
                  <w:r>
                    <w:rPr>
                      <w:b/>
                      <w:bCs/>
                      <w:kern w:val="0"/>
                      <w:sz w:val="21"/>
                      <w:szCs w:val="21"/>
                      <w:lang w:bidi="ar"/>
                    </w:rPr>
                    <w:t>位置</w:t>
                  </w:r>
                </w:p>
              </w:tc>
              <w:tc>
                <w:tcPr>
                  <w:tcW w:w="426" w:type="pct"/>
                  <w:vAlign w:val="center"/>
                </w:tcPr>
                <w:p w14:paraId="5AB1D69D">
                  <w:pPr>
                    <w:widowControl/>
                    <w:jc w:val="center"/>
                    <w:textAlignment w:val="bottom"/>
                    <w:rPr>
                      <w:rFonts w:hint="eastAsia" w:eastAsia="宋体"/>
                      <w:b/>
                      <w:bCs/>
                      <w:color w:val="auto"/>
                      <w:kern w:val="0"/>
                      <w:sz w:val="21"/>
                      <w:szCs w:val="21"/>
                      <w:lang w:val="en-US" w:eastAsia="zh-CN" w:bidi="ar"/>
                    </w:rPr>
                  </w:pPr>
                  <w:r>
                    <w:rPr>
                      <w:rFonts w:hint="eastAsia"/>
                      <w:b/>
                      <w:bCs/>
                      <w:color w:val="auto"/>
                      <w:kern w:val="0"/>
                      <w:sz w:val="21"/>
                      <w:szCs w:val="21"/>
                      <w:lang w:val="en-US" w:eastAsia="zh-CN" w:bidi="ar"/>
                    </w:rPr>
                    <w:t>备注</w:t>
                  </w:r>
                </w:p>
              </w:tc>
            </w:tr>
            <w:tr w14:paraId="55EE4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ABA876F">
                  <w:pPr>
                    <w:widowControl/>
                    <w:jc w:val="center"/>
                    <w:textAlignment w:val="bottom"/>
                    <w:rPr>
                      <w:b/>
                      <w:bCs/>
                      <w:kern w:val="0"/>
                      <w:sz w:val="21"/>
                      <w:szCs w:val="21"/>
                      <w:lang w:bidi="ar"/>
                    </w:rPr>
                  </w:pPr>
                  <w:r>
                    <w:rPr>
                      <w:kern w:val="0"/>
                      <w:sz w:val="21"/>
                      <w:szCs w:val="21"/>
                      <w:lang w:bidi="ar"/>
                    </w:rPr>
                    <w:t>1</w:t>
                  </w:r>
                </w:p>
              </w:tc>
              <w:tc>
                <w:tcPr>
                  <w:tcW w:w="1588" w:type="pct"/>
                  <w:vAlign w:val="center"/>
                </w:tcPr>
                <w:p w14:paraId="63F63CFD">
                  <w:pPr>
                    <w:widowControl/>
                    <w:jc w:val="center"/>
                    <w:textAlignment w:val="center"/>
                    <w:rPr>
                      <w:kern w:val="0"/>
                      <w:sz w:val="21"/>
                      <w:szCs w:val="21"/>
                      <w:lang w:bidi="ar"/>
                    </w:rPr>
                  </w:pPr>
                  <w:r>
                    <w:rPr>
                      <w:kern w:val="0"/>
                      <w:sz w:val="21"/>
                      <w:szCs w:val="21"/>
                      <w:lang w:bidi="ar"/>
                    </w:rPr>
                    <w:t>正己烷</w:t>
                  </w:r>
                </w:p>
              </w:tc>
              <w:tc>
                <w:tcPr>
                  <w:tcW w:w="773" w:type="pct"/>
                  <w:vAlign w:val="center"/>
                </w:tcPr>
                <w:p w14:paraId="56156135">
                  <w:pPr>
                    <w:widowControl/>
                    <w:jc w:val="center"/>
                    <w:textAlignment w:val="center"/>
                    <w:rPr>
                      <w:kern w:val="0"/>
                      <w:sz w:val="21"/>
                      <w:szCs w:val="21"/>
                      <w:lang w:bidi="ar"/>
                    </w:rPr>
                  </w:pPr>
                  <w:r>
                    <w:rPr>
                      <w:kern w:val="0"/>
                      <w:sz w:val="21"/>
                      <w:szCs w:val="21"/>
                      <w:lang w:bidi="ar"/>
                    </w:rPr>
                    <w:t>500m</w:t>
                  </w:r>
                  <w:r>
                    <w:rPr>
                      <w:rFonts w:hint="eastAsia"/>
                      <w:kern w:val="0"/>
                      <w:sz w:val="21"/>
                      <w:szCs w:val="21"/>
                      <w:lang w:bidi="ar"/>
                    </w:rPr>
                    <w:t>L</w:t>
                  </w:r>
                  <w:r>
                    <w:rPr>
                      <w:kern w:val="0"/>
                      <w:sz w:val="21"/>
                      <w:szCs w:val="21"/>
                      <w:lang w:bidi="ar"/>
                    </w:rPr>
                    <w:t>/瓶</w:t>
                  </w:r>
                </w:p>
              </w:tc>
              <w:tc>
                <w:tcPr>
                  <w:tcW w:w="562" w:type="pct"/>
                  <w:vAlign w:val="center"/>
                </w:tcPr>
                <w:p w14:paraId="052F1A90">
                  <w:pPr>
                    <w:widowControl/>
                    <w:jc w:val="center"/>
                    <w:textAlignment w:val="center"/>
                    <w:rPr>
                      <w:kern w:val="0"/>
                      <w:sz w:val="21"/>
                      <w:szCs w:val="21"/>
                      <w:lang w:bidi="ar"/>
                    </w:rPr>
                  </w:pPr>
                  <w:r>
                    <w:rPr>
                      <w:kern w:val="0"/>
                      <w:sz w:val="21"/>
                      <w:szCs w:val="21"/>
                      <w:lang w:bidi="ar"/>
                    </w:rPr>
                    <w:t>53</w:t>
                  </w:r>
                  <w:r>
                    <w:rPr>
                      <w:rFonts w:hint="eastAsia"/>
                      <w:kern w:val="0"/>
                      <w:sz w:val="21"/>
                      <w:szCs w:val="21"/>
                      <w:lang w:bidi="ar"/>
                    </w:rPr>
                    <w:t>瓶</w:t>
                  </w:r>
                </w:p>
              </w:tc>
              <w:tc>
                <w:tcPr>
                  <w:tcW w:w="740" w:type="pct"/>
                  <w:vAlign w:val="center"/>
                </w:tcPr>
                <w:p w14:paraId="41860D05">
                  <w:pPr>
                    <w:widowControl/>
                    <w:jc w:val="center"/>
                    <w:textAlignment w:val="center"/>
                    <w:rPr>
                      <w:kern w:val="0"/>
                      <w:sz w:val="21"/>
                      <w:szCs w:val="21"/>
                      <w:lang w:bidi="ar"/>
                    </w:rPr>
                  </w:pPr>
                  <w:r>
                    <w:rPr>
                      <w:kern w:val="0"/>
                      <w:sz w:val="21"/>
                      <w:szCs w:val="21"/>
                      <w:lang w:bidi="ar"/>
                    </w:rPr>
                    <w:t>20</w:t>
                  </w:r>
                  <w:r>
                    <w:rPr>
                      <w:rFonts w:hint="eastAsia"/>
                      <w:kern w:val="0"/>
                      <w:sz w:val="21"/>
                      <w:szCs w:val="21"/>
                      <w:lang w:bidi="ar"/>
                    </w:rPr>
                    <w:t>瓶</w:t>
                  </w:r>
                </w:p>
              </w:tc>
              <w:tc>
                <w:tcPr>
                  <w:tcW w:w="554" w:type="pct"/>
                  <w:vMerge w:val="restart"/>
                  <w:vAlign w:val="center"/>
                </w:tcPr>
                <w:p w14:paraId="3B8CFEC8">
                  <w:pPr>
                    <w:widowControl/>
                    <w:jc w:val="center"/>
                    <w:textAlignment w:val="bottom"/>
                    <w:rPr>
                      <w:kern w:val="0"/>
                      <w:sz w:val="21"/>
                      <w:szCs w:val="21"/>
                      <w:lang w:bidi="ar"/>
                    </w:rPr>
                  </w:pPr>
                  <w:r>
                    <w:rPr>
                      <w:rFonts w:hint="eastAsia"/>
                      <w:kern w:val="0"/>
                      <w:sz w:val="21"/>
                      <w:szCs w:val="21"/>
                      <w:lang w:bidi="ar"/>
                    </w:rPr>
                    <w:t>试剂库</w:t>
                  </w:r>
                </w:p>
              </w:tc>
              <w:tc>
                <w:tcPr>
                  <w:tcW w:w="426" w:type="pct"/>
                  <w:vMerge w:val="restart"/>
                  <w:vAlign w:val="center"/>
                </w:tcPr>
                <w:p w14:paraId="70A3532C">
                  <w:pPr>
                    <w:pStyle w:val="5"/>
                    <w:jc w:val="center"/>
                    <w:rPr>
                      <w:rFonts w:hint="eastAsia"/>
                      <w:color w:val="auto"/>
                      <w:kern w:val="0"/>
                      <w:sz w:val="21"/>
                      <w:szCs w:val="21"/>
                      <w:lang w:bidi="ar"/>
                    </w:rPr>
                  </w:pPr>
                  <w:r>
                    <w:rPr>
                      <w:rFonts w:hint="eastAsia"/>
                      <w:color w:val="auto"/>
                      <w:sz w:val="21"/>
                      <w:szCs w:val="21"/>
                      <w:lang w:val="en-US" w:eastAsia="zh-CN"/>
                    </w:rPr>
                    <w:t>与</w:t>
                  </w:r>
                  <w:r>
                    <w:rPr>
                      <w:rFonts w:hint="eastAsia"/>
                      <w:color w:val="auto"/>
                      <w:sz w:val="21"/>
                      <w:szCs w:val="21"/>
                    </w:rPr>
                    <w:t>现有项目</w:t>
                  </w:r>
                  <w:r>
                    <w:rPr>
                      <w:rFonts w:hint="eastAsia"/>
                      <w:color w:val="auto"/>
                      <w:sz w:val="21"/>
                      <w:szCs w:val="21"/>
                      <w:lang w:val="en-US" w:eastAsia="zh-CN"/>
                    </w:rPr>
                    <w:t>原辅材料消耗量</w:t>
                  </w:r>
                  <w:r>
                    <w:rPr>
                      <w:rFonts w:hint="eastAsia"/>
                      <w:color w:val="auto"/>
                      <w:sz w:val="21"/>
                      <w:szCs w:val="21"/>
                    </w:rPr>
                    <w:t>相比无变化</w:t>
                  </w:r>
                </w:p>
              </w:tc>
            </w:tr>
            <w:tr w14:paraId="456BA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20431E5">
                  <w:pPr>
                    <w:widowControl/>
                    <w:jc w:val="center"/>
                    <w:textAlignment w:val="bottom"/>
                    <w:rPr>
                      <w:kern w:val="0"/>
                      <w:sz w:val="21"/>
                      <w:szCs w:val="21"/>
                      <w:lang w:bidi="ar"/>
                    </w:rPr>
                  </w:pPr>
                  <w:r>
                    <w:rPr>
                      <w:kern w:val="0"/>
                      <w:sz w:val="21"/>
                      <w:szCs w:val="21"/>
                      <w:lang w:bidi="ar"/>
                    </w:rPr>
                    <w:t>2</w:t>
                  </w:r>
                </w:p>
              </w:tc>
              <w:tc>
                <w:tcPr>
                  <w:tcW w:w="1588" w:type="pct"/>
                  <w:vAlign w:val="center"/>
                </w:tcPr>
                <w:p w14:paraId="30EDDDA7">
                  <w:pPr>
                    <w:widowControl/>
                    <w:jc w:val="center"/>
                    <w:textAlignment w:val="center"/>
                    <w:rPr>
                      <w:kern w:val="0"/>
                      <w:sz w:val="21"/>
                      <w:szCs w:val="21"/>
                      <w:lang w:bidi="ar"/>
                    </w:rPr>
                  </w:pPr>
                  <w:r>
                    <w:rPr>
                      <w:kern w:val="0"/>
                      <w:sz w:val="21"/>
                      <w:szCs w:val="21"/>
                      <w:lang w:bidi="ar"/>
                    </w:rPr>
                    <w:t>环己烷</w:t>
                  </w:r>
                </w:p>
              </w:tc>
              <w:tc>
                <w:tcPr>
                  <w:tcW w:w="773" w:type="pct"/>
                  <w:vAlign w:val="center"/>
                </w:tcPr>
                <w:p w14:paraId="2F393C29">
                  <w:pPr>
                    <w:widowControl/>
                    <w:jc w:val="center"/>
                    <w:textAlignment w:val="center"/>
                    <w:rPr>
                      <w:kern w:val="0"/>
                      <w:sz w:val="21"/>
                      <w:szCs w:val="21"/>
                      <w:lang w:bidi="ar"/>
                    </w:rPr>
                  </w:pPr>
                  <w:r>
                    <w:rPr>
                      <w:kern w:val="0"/>
                      <w:sz w:val="21"/>
                      <w:szCs w:val="21"/>
                      <w:lang w:bidi="ar"/>
                    </w:rPr>
                    <w:t>500mL/瓶</w:t>
                  </w:r>
                </w:p>
              </w:tc>
              <w:tc>
                <w:tcPr>
                  <w:tcW w:w="562" w:type="pct"/>
                  <w:vAlign w:val="center"/>
                </w:tcPr>
                <w:p w14:paraId="6B8256E3">
                  <w:pPr>
                    <w:widowControl/>
                    <w:jc w:val="center"/>
                    <w:textAlignment w:val="center"/>
                    <w:rPr>
                      <w:kern w:val="0"/>
                      <w:sz w:val="21"/>
                      <w:szCs w:val="21"/>
                      <w:lang w:bidi="ar"/>
                    </w:rPr>
                  </w:pPr>
                  <w:r>
                    <w:rPr>
                      <w:kern w:val="0"/>
                      <w:sz w:val="21"/>
                      <w:szCs w:val="21"/>
                      <w:lang w:bidi="ar"/>
                    </w:rPr>
                    <w:t>11</w:t>
                  </w:r>
                  <w:r>
                    <w:rPr>
                      <w:rFonts w:hint="eastAsia"/>
                      <w:kern w:val="0"/>
                      <w:sz w:val="21"/>
                      <w:szCs w:val="21"/>
                      <w:lang w:bidi="ar"/>
                    </w:rPr>
                    <w:t>瓶</w:t>
                  </w:r>
                </w:p>
              </w:tc>
              <w:tc>
                <w:tcPr>
                  <w:tcW w:w="740" w:type="pct"/>
                  <w:vAlign w:val="center"/>
                </w:tcPr>
                <w:p w14:paraId="6E0C1EFF">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431D9716">
                  <w:pPr>
                    <w:widowControl/>
                    <w:jc w:val="center"/>
                    <w:textAlignment w:val="bottom"/>
                    <w:rPr>
                      <w:b/>
                      <w:bCs/>
                      <w:kern w:val="0"/>
                      <w:sz w:val="21"/>
                      <w:szCs w:val="21"/>
                      <w:lang w:bidi="ar"/>
                    </w:rPr>
                  </w:pPr>
                </w:p>
              </w:tc>
              <w:tc>
                <w:tcPr>
                  <w:tcW w:w="426" w:type="pct"/>
                  <w:vMerge w:val="continue"/>
                  <w:vAlign w:val="center"/>
                </w:tcPr>
                <w:p w14:paraId="2DD98751">
                  <w:pPr>
                    <w:widowControl/>
                    <w:jc w:val="center"/>
                    <w:textAlignment w:val="bottom"/>
                    <w:rPr>
                      <w:b/>
                      <w:bCs/>
                      <w:kern w:val="0"/>
                      <w:sz w:val="21"/>
                      <w:szCs w:val="21"/>
                      <w:lang w:bidi="ar"/>
                    </w:rPr>
                  </w:pPr>
                </w:p>
              </w:tc>
            </w:tr>
            <w:tr w14:paraId="653CC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33DD405">
                  <w:pPr>
                    <w:widowControl/>
                    <w:jc w:val="center"/>
                    <w:textAlignment w:val="bottom"/>
                    <w:rPr>
                      <w:kern w:val="0"/>
                      <w:sz w:val="21"/>
                      <w:szCs w:val="21"/>
                      <w:lang w:bidi="ar"/>
                    </w:rPr>
                  </w:pPr>
                  <w:r>
                    <w:rPr>
                      <w:kern w:val="0"/>
                      <w:sz w:val="21"/>
                      <w:szCs w:val="21"/>
                      <w:lang w:bidi="ar"/>
                    </w:rPr>
                    <w:t>3</w:t>
                  </w:r>
                </w:p>
              </w:tc>
              <w:tc>
                <w:tcPr>
                  <w:tcW w:w="1588" w:type="pct"/>
                  <w:vAlign w:val="center"/>
                </w:tcPr>
                <w:p w14:paraId="0EAEFAC0">
                  <w:pPr>
                    <w:widowControl/>
                    <w:jc w:val="center"/>
                    <w:textAlignment w:val="center"/>
                    <w:rPr>
                      <w:kern w:val="0"/>
                      <w:sz w:val="21"/>
                      <w:szCs w:val="21"/>
                      <w:lang w:bidi="ar"/>
                    </w:rPr>
                  </w:pPr>
                  <w:r>
                    <w:rPr>
                      <w:kern w:val="0"/>
                      <w:sz w:val="21"/>
                      <w:szCs w:val="21"/>
                      <w:lang w:bidi="ar"/>
                    </w:rPr>
                    <w:t>乙酸乙酯</w:t>
                  </w:r>
                </w:p>
              </w:tc>
              <w:tc>
                <w:tcPr>
                  <w:tcW w:w="773" w:type="pct"/>
                  <w:vAlign w:val="center"/>
                </w:tcPr>
                <w:p w14:paraId="1EE34286">
                  <w:pPr>
                    <w:widowControl/>
                    <w:jc w:val="center"/>
                    <w:textAlignment w:val="center"/>
                    <w:rPr>
                      <w:kern w:val="0"/>
                      <w:sz w:val="21"/>
                      <w:szCs w:val="21"/>
                      <w:lang w:bidi="ar"/>
                    </w:rPr>
                  </w:pPr>
                  <w:r>
                    <w:rPr>
                      <w:kern w:val="0"/>
                      <w:sz w:val="21"/>
                      <w:szCs w:val="21"/>
                      <w:lang w:bidi="ar"/>
                    </w:rPr>
                    <w:t>500mL/瓶</w:t>
                  </w:r>
                </w:p>
              </w:tc>
              <w:tc>
                <w:tcPr>
                  <w:tcW w:w="562" w:type="pct"/>
                  <w:vAlign w:val="center"/>
                </w:tcPr>
                <w:p w14:paraId="7E2750BB">
                  <w:pPr>
                    <w:widowControl/>
                    <w:jc w:val="center"/>
                    <w:textAlignment w:val="center"/>
                    <w:rPr>
                      <w:kern w:val="0"/>
                      <w:sz w:val="21"/>
                      <w:szCs w:val="21"/>
                      <w:lang w:bidi="ar"/>
                    </w:rPr>
                  </w:pPr>
                  <w:r>
                    <w:rPr>
                      <w:kern w:val="0"/>
                      <w:sz w:val="21"/>
                      <w:szCs w:val="21"/>
                      <w:lang w:bidi="ar"/>
                    </w:rPr>
                    <w:t>8</w:t>
                  </w:r>
                  <w:r>
                    <w:rPr>
                      <w:rFonts w:hint="eastAsia"/>
                      <w:kern w:val="0"/>
                      <w:sz w:val="21"/>
                      <w:szCs w:val="21"/>
                      <w:lang w:bidi="ar"/>
                    </w:rPr>
                    <w:t>瓶</w:t>
                  </w:r>
                </w:p>
              </w:tc>
              <w:tc>
                <w:tcPr>
                  <w:tcW w:w="740" w:type="pct"/>
                  <w:vAlign w:val="center"/>
                </w:tcPr>
                <w:p w14:paraId="4BF4CE12">
                  <w:pPr>
                    <w:widowControl/>
                    <w:jc w:val="center"/>
                    <w:textAlignment w:val="center"/>
                    <w:rPr>
                      <w:kern w:val="0"/>
                      <w:sz w:val="21"/>
                      <w:szCs w:val="21"/>
                      <w:lang w:bidi="ar"/>
                    </w:rPr>
                  </w:pPr>
                  <w:r>
                    <w:rPr>
                      <w:rFonts w:hint="eastAsia"/>
                      <w:kern w:val="0"/>
                      <w:sz w:val="21"/>
                      <w:szCs w:val="21"/>
                      <w:lang w:bidi="ar"/>
                    </w:rPr>
                    <w:t>4瓶</w:t>
                  </w:r>
                </w:p>
              </w:tc>
              <w:tc>
                <w:tcPr>
                  <w:tcW w:w="554" w:type="pct"/>
                  <w:vMerge w:val="continue"/>
                  <w:vAlign w:val="center"/>
                </w:tcPr>
                <w:p w14:paraId="1EFBD912">
                  <w:pPr>
                    <w:widowControl/>
                    <w:jc w:val="center"/>
                    <w:textAlignment w:val="bottom"/>
                    <w:rPr>
                      <w:b/>
                      <w:bCs/>
                      <w:kern w:val="0"/>
                      <w:sz w:val="21"/>
                      <w:szCs w:val="21"/>
                      <w:lang w:bidi="ar"/>
                    </w:rPr>
                  </w:pPr>
                </w:p>
              </w:tc>
              <w:tc>
                <w:tcPr>
                  <w:tcW w:w="426" w:type="pct"/>
                  <w:vMerge w:val="continue"/>
                  <w:vAlign w:val="center"/>
                </w:tcPr>
                <w:p w14:paraId="44F3D69C">
                  <w:pPr>
                    <w:widowControl/>
                    <w:jc w:val="center"/>
                    <w:textAlignment w:val="bottom"/>
                    <w:rPr>
                      <w:b/>
                      <w:bCs/>
                      <w:kern w:val="0"/>
                      <w:sz w:val="21"/>
                      <w:szCs w:val="21"/>
                      <w:lang w:bidi="ar"/>
                    </w:rPr>
                  </w:pPr>
                </w:p>
              </w:tc>
            </w:tr>
            <w:tr w14:paraId="6090D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C583F5B">
                  <w:pPr>
                    <w:widowControl/>
                    <w:jc w:val="center"/>
                    <w:textAlignment w:val="bottom"/>
                    <w:rPr>
                      <w:kern w:val="0"/>
                      <w:sz w:val="21"/>
                      <w:szCs w:val="21"/>
                      <w:lang w:bidi="ar"/>
                    </w:rPr>
                  </w:pPr>
                  <w:r>
                    <w:rPr>
                      <w:rFonts w:hint="eastAsia"/>
                      <w:kern w:val="0"/>
                      <w:sz w:val="21"/>
                      <w:szCs w:val="21"/>
                      <w:lang w:bidi="ar"/>
                    </w:rPr>
                    <w:t>4</w:t>
                  </w:r>
                </w:p>
              </w:tc>
              <w:tc>
                <w:tcPr>
                  <w:tcW w:w="1588" w:type="pct"/>
                  <w:vAlign w:val="center"/>
                </w:tcPr>
                <w:p w14:paraId="2232EB0B">
                  <w:pPr>
                    <w:widowControl/>
                    <w:jc w:val="center"/>
                    <w:textAlignment w:val="center"/>
                    <w:rPr>
                      <w:kern w:val="0"/>
                      <w:sz w:val="21"/>
                      <w:szCs w:val="21"/>
                      <w:lang w:bidi="ar"/>
                    </w:rPr>
                  </w:pPr>
                  <w:r>
                    <w:rPr>
                      <w:kern w:val="0"/>
                      <w:sz w:val="21"/>
                      <w:szCs w:val="21"/>
                      <w:lang w:bidi="ar"/>
                    </w:rPr>
                    <w:t>乙腈</w:t>
                  </w:r>
                </w:p>
              </w:tc>
              <w:tc>
                <w:tcPr>
                  <w:tcW w:w="773" w:type="pct"/>
                  <w:vAlign w:val="center"/>
                </w:tcPr>
                <w:p w14:paraId="59058EBA">
                  <w:pPr>
                    <w:widowControl/>
                    <w:jc w:val="center"/>
                    <w:textAlignment w:val="center"/>
                    <w:rPr>
                      <w:kern w:val="0"/>
                      <w:sz w:val="21"/>
                      <w:szCs w:val="21"/>
                      <w:lang w:bidi="ar"/>
                    </w:rPr>
                  </w:pPr>
                  <w:r>
                    <w:rPr>
                      <w:kern w:val="0"/>
                      <w:sz w:val="21"/>
                      <w:szCs w:val="21"/>
                      <w:lang w:bidi="ar"/>
                    </w:rPr>
                    <w:t>4L/瓶</w:t>
                  </w:r>
                </w:p>
              </w:tc>
              <w:tc>
                <w:tcPr>
                  <w:tcW w:w="562" w:type="pct"/>
                  <w:vAlign w:val="center"/>
                </w:tcPr>
                <w:p w14:paraId="4E6A0DE4">
                  <w:pPr>
                    <w:widowControl/>
                    <w:jc w:val="center"/>
                    <w:textAlignment w:val="center"/>
                    <w:rPr>
                      <w:kern w:val="0"/>
                      <w:sz w:val="21"/>
                      <w:szCs w:val="21"/>
                      <w:lang w:bidi="ar"/>
                    </w:rPr>
                  </w:pPr>
                  <w:r>
                    <w:rPr>
                      <w:kern w:val="0"/>
                      <w:sz w:val="21"/>
                      <w:szCs w:val="21"/>
                      <w:lang w:bidi="ar"/>
                    </w:rPr>
                    <w:t>15</w:t>
                  </w:r>
                  <w:r>
                    <w:rPr>
                      <w:rFonts w:hint="eastAsia"/>
                      <w:kern w:val="0"/>
                      <w:sz w:val="21"/>
                      <w:szCs w:val="21"/>
                      <w:lang w:bidi="ar"/>
                    </w:rPr>
                    <w:t>瓶</w:t>
                  </w:r>
                </w:p>
              </w:tc>
              <w:tc>
                <w:tcPr>
                  <w:tcW w:w="740" w:type="pct"/>
                  <w:vAlign w:val="center"/>
                </w:tcPr>
                <w:p w14:paraId="51454070">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66FF99E6">
                  <w:pPr>
                    <w:widowControl/>
                    <w:jc w:val="center"/>
                    <w:textAlignment w:val="bottom"/>
                    <w:rPr>
                      <w:b/>
                      <w:bCs/>
                      <w:kern w:val="0"/>
                      <w:sz w:val="21"/>
                      <w:szCs w:val="21"/>
                      <w:lang w:bidi="ar"/>
                    </w:rPr>
                  </w:pPr>
                </w:p>
              </w:tc>
              <w:tc>
                <w:tcPr>
                  <w:tcW w:w="426" w:type="pct"/>
                  <w:vMerge w:val="continue"/>
                  <w:vAlign w:val="center"/>
                </w:tcPr>
                <w:p w14:paraId="2634608B">
                  <w:pPr>
                    <w:widowControl/>
                    <w:jc w:val="center"/>
                    <w:textAlignment w:val="bottom"/>
                    <w:rPr>
                      <w:b/>
                      <w:bCs/>
                      <w:kern w:val="0"/>
                      <w:sz w:val="21"/>
                      <w:szCs w:val="21"/>
                      <w:lang w:bidi="ar"/>
                    </w:rPr>
                  </w:pPr>
                </w:p>
              </w:tc>
            </w:tr>
            <w:tr w14:paraId="2174E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8DE12CE">
                  <w:pPr>
                    <w:widowControl/>
                    <w:jc w:val="center"/>
                    <w:textAlignment w:val="bottom"/>
                    <w:rPr>
                      <w:kern w:val="0"/>
                      <w:sz w:val="21"/>
                      <w:szCs w:val="21"/>
                      <w:lang w:bidi="ar"/>
                    </w:rPr>
                  </w:pPr>
                  <w:r>
                    <w:rPr>
                      <w:kern w:val="0"/>
                      <w:sz w:val="21"/>
                      <w:szCs w:val="21"/>
                      <w:lang w:bidi="ar"/>
                    </w:rPr>
                    <w:t>5</w:t>
                  </w:r>
                </w:p>
              </w:tc>
              <w:tc>
                <w:tcPr>
                  <w:tcW w:w="1588" w:type="pct"/>
                  <w:vAlign w:val="center"/>
                </w:tcPr>
                <w:p w14:paraId="6ACAA79E">
                  <w:pPr>
                    <w:widowControl/>
                    <w:jc w:val="center"/>
                    <w:textAlignment w:val="center"/>
                    <w:rPr>
                      <w:kern w:val="0"/>
                      <w:sz w:val="21"/>
                      <w:szCs w:val="21"/>
                      <w:lang w:bidi="ar"/>
                    </w:rPr>
                  </w:pPr>
                  <w:r>
                    <w:rPr>
                      <w:kern w:val="0"/>
                      <w:sz w:val="21"/>
                      <w:szCs w:val="21"/>
                      <w:lang w:bidi="ar"/>
                    </w:rPr>
                    <w:t>无水乙醇</w:t>
                  </w:r>
                </w:p>
              </w:tc>
              <w:tc>
                <w:tcPr>
                  <w:tcW w:w="773" w:type="pct"/>
                  <w:vAlign w:val="center"/>
                </w:tcPr>
                <w:p w14:paraId="38520070">
                  <w:pPr>
                    <w:widowControl/>
                    <w:jc w:val="center"/>
                    <w:textAlignment w:val="center"/>
                    <w:rPr>
                      <w:kern w:val="0"/>
                      <w:sz w:val="21"/>
                      <w:szCs w:val="21"/>
                      <w:lang w:bidi="ar"/>
                    </w:rPr>
                  </w:pPr>
                  <w:r>
                    <w:rPr>
                      <w:kern w:val="0"/>
                      <w:sz w:val="21"/>
                      <w:szCs w:val="21"/>
                      <w:lang w:bidi="ar"/>
                    </w:rPr>
                    <w:t>500ml/瓶</w:t>
                  </w:r>
                </w:p>
              </w:tc>
              <w:tc>
                <w:tcPr>
                  <w:tcW w:w="562" w:type="pct"/>
                  <w:vAlign w:val="center"/>
                </w:tcPr>
                <w:p w14:paraId="17B9B53B">
                  <w:pPr>
                    <w:widowControl/>
                    <w:jc w:val="center"/>
                    <w:textAlignment w:val="center"/>
                    <w:rPr>
                      <w:kern w:val="0"/>
                      <w:sz w:val="21"/>
                      <w:szCs w:val="21"/>
                      <w:lang w:bidi="ar"/>
                    </w:rPr>
                  </w:pPr>
                  <w:r>
                    <w:rPr>
                      <w:kern w:val="0"/>
                      <w:sz w:val="21"/>
                      <w:szCs w:val="21"/>
                      <w:lang w:bidi="ar"/>
                    </w:rPr>
                    <w:t>141</w:t>
                  </w:r>
                  <w:r>
                    <w:rPr>
                      <w:rFonts w:hint="eastAsia"/>
                      <w:kern w:val="0"/>
                      <w:sz w:val="21"/>
                      <w:szCs w:val="21"/>
                      <w:lang w:bidi="ar"/>
                    </w:rPr>
                    <w:t>瓶</w:t>
                  </w:r>
                </w:p>
              </w:tc>
              <w:tc>
                <w:tcPr>
                  <w:tcW w:w="740" w:type="pct"/>
                  <w:vAlign w:val="center"/>
                </w:tcPr>
                <w:p w14:paraId="0573B483">
                  <w:pPr>
                    <w:widowControl/>
                    <w:jc w:val="center"/>
                    <w:textAlignment w:val="center"/>
                    <w:rPr>
                      <w:kern w:val="0"/>
                      <w:sz w:val="21"/>
                      <w:szCs w:val="21"/>
                      <w:lang w:bidi="ar"/>
                    </w:rPr>
                  </w:pPr>
                  <w:r>
                    <w:rPr>
                      <w:kern w:val="0"/>
                      <w:sz w:val="21"/>
                      <w:szCs w:val="21"/>
                      <w:lang w:bidi="ar"/>
                    </w:rPr>
                    <w:t>40</w:t>
                  </w:r>
                  <w:r>
                    <w:rPr>
                      <w:rFonts w:hint="eastAsia"/>
                      <w:kern w:val="0"/>
                      <w:sz w:val="21"/>
                      <w:szCs w:val="21"/>
                      <w:lang w:bidi="ar"/>
                    </w:rPr>
                    <w:t>瓶</w:t>
                  </w:r>
                </w:p>
              </w:tc>
              <w:tc>
                <w:tcPr>
                  <w:tcW w:w="554" w:type="pct"/>
                  <w:vMerge w:val="continue"/>
                  <w:vAlign w:val="center"/>
                </w:tcPr>
                <w:p w14:paraId="3EB8B2A4">
                  <w:pPr>
                    <w:widowControl/>
                    <w:jc w:val="center"/>
                    <w:textAlignment w:val="bottom"/>
                    <w:rPr>
                      <w:kern w:val="0"/>
                      <w:sz w:val="21"/>
                      <w:szCs w:val="21"/>
                      <w:lang w:bidi="ar"/>
                    </w:rPr>
                  </w:pPr>
                </w:p>
              </w:tc>
              <w:tc>
                <w:tcPr>
                  <w:tcW w:w="426" w:type="pct"/>
                  <w:vMerge w:val="continue"/>
                  <w:vAlign w:val="center"/>
                </w:tcPr>
                <w:p w14:paraId="310819DF">
                  <w:pPr>
                    <w:widowControl/>
                    <w:jc w:val="center"/>
                    <w:textAlignment w:val="bottom"/>
                    <w:rPr>
                      <w:kern w:val="0"/>
                      <w:sz w:val="21"/>
                      <w:szCs w:val="21"/>
                      <w:lang w:bidi="ar"/>
                    </w:rPr>
                  </w:pPr>
                </w:p>
              </w:tc>
            </w:tr>
            <w:tr w14:paraId="64879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0187C04">
                  <w:pPr>
                    <w:widowControl/>
                    <w:jc w:val="center"/>
                    <w:textAlignment w:val="bottom"/>
                    <w:rPr>
                      <w:kern w:val="0"/>
                      <w:sz w:val="21"/>
                      <w:szCs w:val="21"/>
                      <w:lang w:bidi="ar"/>
                    </w:rPr>
                  </w:pPr>
                  <w:r>
                    <w:rPr>
                      <w:kern w:val="0"/>
                      <w:sz w:val="21"/>
                      <w:szCs w:val="21"/>
                      <w:lang w:bidi="ar"/>
                    </w:rPr>
                    <w:t>6</w:t>
                  </w:r>
                </w:p>
              </w:tc>
              <w:tc>
                <w:tcPr>
                  <w:tcW w:w="1588" w:type="pct"/>
                  <w:vAlign w:val="center"/>
                </w:tcPr>
                <w:p w14:paraId="0DE79FFB">
                  <w:pPr>
                    <w:widowControl/>
                    <w:jc w:val="center"/>
                    <w:textAlignment w:val="center"/>
                    <w:rPr>
                      <w:kern w:val="0"/>
                      <w:sz w:val="21"/>
                      <w:szCs w:val="21"/>
                      <w:lang w:bidi="ar"/>
                    </w:rPr>
                  </w:pPr>
                  <w:r>
                    <w:rPr>
                      <w:kern w:val="0"/>
                      <w:sz w:val="21"/>
                      <w:szCs w:val="21"/>
                      <w:lang w:bidi="ar"/>
                    </w:rPr>
                    <w:t>异戊醇</w:t>
                  </w:r>
                </w:p>
              </w:tc>
              <w:tc>
                <w:tcPr>
                  <w:tcW w:w="773" w:type="pct"/>
                  <w:vAlign w:val="center"/>
                </w:tcPr>
                <w:p w14:paraId="2E1D1B56">
                  <w:pPr>
                    <w:widowControl/>
                    <w:jc w:val="center"/>
                    <w:textAlignment w:val="center"/>
                    <w:rPr>
                      <w:kern w:val="0"/>
                      <w:sz w:val="21"/>
                      <w:szCs w:val="21"/>
                      <w:lang w:bidi="ar"/>
                    </w:rPr>
                  </w:pPr>
                  <w:r>
                    <w:rPr>
                      <w:kern w:val="0"/>
                      <w:sz w:val="21"/>
                      <w:szCs w:val="21"/>
                      <w:lang w:bidi="ar"/>
                    </w:rPr>
                    <w:t>500mL/瓶</w:t>
                  </w:r>
                </w:p>
              </w:tc>
              <w:tc>
                <w:tcPr>
                  <w:tcW w:w="562" w:type="pct"/>
                  <w:vAlign w:val="center"/>
                </w:tcPr>
                <w:p w14:paraId="0E72DDFD">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20F98B13">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047D9CD9">
                  <w:pPr>
                    <w:widowControl/>
                    <w:jc w:val="center"/>
                    <w:textAlignment w:val="bottom"/>
                    <w:rPr>
                      <w:kern w:val="0"/>
                      <w:sz w:val="21"/>
                      <w:szCs w:val="21"/>
                      <w:lang w:bidi="ar"/>
                    </w:rPr>
                  </w:pPr>
                </w:p>
              </w:tc>
              <w:tc>
                <w:tcPr>
                  <w:tcW w:w="426" w:type="pct"/>
                  <w:vMerge w:val="continue"/>
                  <w:vAlign w:val="center"/>
                </w:tcPr>
                <w:p w14:paraId="295E507C">
                  <w:pPr>
                    <w:widowControl/>
                    <w:jc w:val="center"/>
                    <w:textAlignment w:val="bottom"/>
                    <w:rPr>
                      <w:kern w:val="0"/>
                      <w:sz w:val="21"/>
                      <w:szCs w:val="21"/>
                      <w:lang w:bidi="ar"/>
                    </w:rPr>
                  </w:pPr>
                </w:p>
              </w:tc>
            </w:tr>
            <w:tr w14:paraId="0AED7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53805D3">
                  <w:pPr>
                    <w:widowControl/>
                    <w:jc w:val="center"/>
                    <w:textAlignment w:val="bottom"/>
                    <w:rPr>
                      <w:kern w:val="0"/>
                      <w:sz w:val="21"/>
                      <w:szCs w:val="21"/>
                      <w:lang w:bidi="ar"/>
                    </w:rPr>
                  </w:pPr>
                  <w:r>
                    <w:rPr>
                      <w:kern w:val="0"/>
                      <w:sz w:val="21"/>
                      <w:szCs w:val="21"/>
                      <w:lang w:bidi="ar"/>
                    </w:rPr>
                    <w:t>7</w:t>
                  </w:r>
                </w:p>
              </w:tc>
              <w:tc>
                <w:tcPr>
                  <w:tcW w:w="1588" w:type="pct"/>
                  <w:vAlign w:val="center"/>
                </w:tcPr>
                <w:p w14:paraId="506C087A">
                  <w:pPr>
                    <w:widowControl/>
                    <w:jc w:val="center"/>
                    <w:textAlignment w:val="center"/>
                    <w:rPr>
                      <w:kern w:val="0"/>
                      <w:sz w:val="21"/>
                      <w:szCs w:val="21"/>
                      <w:lang w:bidi="ar"/>
                    </w:rPr>
                  </w:pPr>
                  <w:r>
                    <w:rPr>
                      <w:kern w:val="0"/>
                      <w:sz w:val="21"/>
                      <w:szCs w:val="21"/>
                      <w:lang w:bidi="ar"/>
                    </w:rPr>
                    <w:t>甲醇</w:t>
                  </w:r>
                </w:p>
              </w:tc>
              <w:tc>
                <w:tcPr>
                  <w:tcW w:w="773" w:type="pct"/>
                  <w:vAlign w:val="center"/>
                </w:tcPr>
                <w:p w14:paraId="1FF29F9E">
                  <w:pPr>
                    <w:widowControl/>
                    <w:jc w:val="center"/>
                    <w:textAlignment w:val="center"/>
                    <w:rPr>
                      <w:kern w:val="0"/>
                      <w:sz w:val="21"/>
                      <w:szCs w:val="21"/>
                      <w:lang w:bidi="ar"/>
                    </w:rPr>
                  </w:pPr>
                  <w:r>
                    <w:rPr>
                      <w:kern w:val="0"/>
                      <w:sz w:val="21"/>
                      <w:szCs w:val="21"/>
                      <w:lang w:bidi="ar"/>
                    </w:rPr>
                    <w:t>500mL/瓶</w:t>
                  </w:r>
                </w:p>
              </w:tc>
              <w:tc>
                <w:tcPr>
                  <w:tcW w:w="562" w:type="pct"/>
                  <w:vAlign w:val="center"/>
                </w:tcPr>
                <w:p w14:paraId="77DEB93E">
                  <w:pPr>
                    <w:widowControl/>
                    <w:jc w:val="center"/>
                    <w:textAlignment w:val="center"/>
                    <w:rPr>
                      <w:kern w:val="0"/>
                      <w:sz w:val="21"/>
                      <w:szCs w:val="21"/>
                      <w:lang w:bidi="ar"/>
                    </w:rPr>
                  </w:pPr>
                  <w:r>
                    <w:rPr>
                      <w:kern w:val="0"/>
                      <w:sz w:val="21"/>
                      <w:szCs w:val="21"/>
                      <w:lang w:bidi="ar"/>
                    </w:rPr>
                    <w:t>6</w:t>
                  </w:r>
                  <w:r>
                    <w:rPr>
                      <w:rFonts w:hint="eastAsia"/>
                      <w:kern w:val="0"/>
                      <w:sz w:val="21"/>
                      <w:szCs w:val="21"/>
                      <w:lang w:bidi="ar"/>
                    </w:rPr>
                    <w:t>瓶</w:t>
                  </w:r>
                </w:p>
              </w:tc>
              <w:tc>
                <w:tcPr>
                  <w:tcW w:w="740" w:type="pct"/>
                  <w:vAlign w:val="center"/>
                </w:tcPr>
                <w:p w14:paraId="5CC130D2">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13780455">
                  <w:pPr>
                    <w:widowControl/>
                    <w:jc w:val="center"/>
                    <w:textAlignment w:val="bottom"/>
                    <w:rPr>
                      <w:b/>
                      <w:bCs/>
                      <w:kern w:val="0"/>
                      <w:sz w:val="21"/>
                      <w:szCs w:val="21"/>
                      <w:lang w:bidi="ar"/>
                    </w:rPr>
                  </w:pPr>
                </w:p>
              </w:tc>
              <w:tc>
                <w:tcPr>
                  <w:tcW w:w="426" w:type="pct"/>
                  <w:vMerge w:val="continue"/>
                  <w:vAlign w:val="center"/>
                </w:tcPr>
                <w:p w14:paraId="6DCC5439">
                  <w:pPr>
                    <w:widowControl/>
                    <w:jc w:val="center"/>
                    <w:textAlignment w:val="bottom"/>
                    <w:rPr>
                      <w:b/>
                      <w:bCs/>
                      <w:kern w:val="0"/>
                      <w:sz w:val="21"/>
                      <w:szCs w:val="21"/>
                      <w:lang w:bidi="ar"/>
                    </w:rPr>
                  </w:pPr>
                </w:p>
              </w:tc>
            </w:tr>
            <w:tr w14:paraId="5B1A8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7538E52B">
                  <w:pPr>
                    <w:widowControl/>
                    <w:jc w:val="center"/>
                    <w:textAlignment w:val="bottom"/>
                    <w:rPr>
                      <w:kern w:val="0"/>
                      <w:sz w:val="21"/>
                      <w:szCs w:val="21"/>
                      <w:lang w:bidi="ar"/>
                    </w:rPr>
                  </w:pPr>
                  <w:r>
                    <w:rPr>
                      <w:kern w:val="0"/>
                      <w:sz w:val="21"/>
                      <w:szCs w:val="21"/>
                      <w:lang w:bidi="ar"/>
                    </w:rPr>
                    <w:t>8</w:t>
                  </w:r>
                </w:p>
              </w:tc>
              <w:tc>
                <w:tcPr>
                  <w:tcW w:w="1588" w:type="pct"/>
                  <w:vAlign w:val="center"/>
                </w:tcPr>
                <w:p w14:paraId="344A7F93">
                  <w:pPr>
                    <w:widowControl/>
                    <w:jc w:val="center"/>
                    <w:textAlignment w:val="center"/>
                    <w:rPr>
                      <w:kern w:val="0"/>
                      <w:sz w:val="21"/>
                      <w:szCs w:val="21"/>
                      <w:lang w:bidi="ar"/>
                    </w:rPr>
                  </w:pPr>
                  <w:r>
                    <w:rPr>
                      <w:kern w:val="0"/>
                      <w:sz w:val="21"/>
                      <w:szCs w:val="21"/>
                      <w:lang w:bidi="ar"/>
                    </w:rPr>
                    <w:t>甲基叔丁基醚</w:t>
                  </w:r>
                </w:p>
              </w:tc>
              <w:tc>
                <w:tcPr>
                  <w:tcW w:w="773" w:type="pct"/>
                  <w:vAlign w:val="center"/>
                </w:tcPr>
                <w:p w14:paraId="768EE49A">
                  <w:pPr>
                    <w:widowControl/>
                    <w:jc w:val="center"/>
                    <w:textAlignment w:val="center"/>
                    <w:rPr>
                      <w:kern w:val="0"/>
                      <w:sz w:val="21"/>
                      <w:szCs w:val="21"/>
                      <w:lang w:bidi="ar"/>
                    </w:rPr>
                  </w:pPr>
                  <w:r>
                    <w:rPr>
                      <w:kern w:val="0"/>
                      <w:sz w:val="21"/>
                      <w:szCs w:val="21"/>
                      <w:lang w:bidi="ar"/>
                    </w:rPr>
                    <w:t>500m</w:t>
                  </w:r>
                  <w:r>
                    <w:rPr>
                      <w:rFonts w:hint="eastAsia"/>
                      <w:kern w:val="0"/>
                      <w:sz w:val="21"/>
                      <w:szCs w:val="21"/>
                      <w:lang w:bidi="ar"/>
                    </w:rPr>
                    <w:t>L</w:t>
                  </w:r>
                  <w:r>
                    <w:rPr>
                      <w:kern w:val="0"/>
                      <w:sz w:val="21"/>
                      <w:szCs w:val="21"/>
                      <w:lang w:bidi="ar"/>
                    </w:rPr>
                    <w:t>/瓶</w:t>
                  </w:r>
                </w:p>
              </w:tc>
              <w:tc>
                <w:tcPr>
                  <w:tcW w:w="562" w:type="pct"/>
                  <w:vAlign w:val="center"/>
                </w:tcPr>
                <w:p w14:paraId="7237ACC5">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60286EA1">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15675B92">
                  <w:pPr>
                    <w:widowControl/>
                    <w:jc w:val="center"/>
                    <w:textAlignment w:val="bottom"/>
                    <w:rPr>
                      <w:b/>
                      <w:bCs/>
                      <w:kern w:val="0"/>
                      <w:sz w:val="21"/>
                      <w:szCs w:val="21"/>
                      <w:lang w:bidi="ar"/>
                    </w:rPr>
                  </w:pPr>
                </w:p>
              </w:tc>
              <w:tc>
                <w:tcPr>
                  <w:tcW w:w="426" w:type="pct"/>
                  <w:vMerge w:val="continue"/>
                  <w:vAlign w:val="center"/>
                </w:tcPr>
                <w:p w14:paraId="0F5CB605">
                  <w:pPr>
                    <w:widowControl/>
                    <w:jc w:val="center"/>
                    <w:textAlignment w:val="bottom"/>
                    <w:rPr>
                      <w:b/>
                      <w:bCs/>
                      <w:kern w:val="0"/>
                      <w:sz w:val="21"/>
                      <w:szCs w:val="21"/>
                      <w:lang w:bidi="ar"/>
                    </w:rPr>
                  </w:pPr>
                </w:p>
              </w:tc>
            </w:tr>
            <w:tr w14:paraId="6FEA3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173943F">
                  <w:pPr>
                    <w:widowControl/>
                    <w:jc w:val="center"/>
                    <w:textAlignment w:val="bottom"/>
                    <w:rPr>
                      <w:kern w:val="0"/>
                      <w:sz w:val="21"/>
                      <w:szCs w:val="21"/>
                      <w:lang w:bidi="ar"/>
                    </w:rPr>
                  </w:pPr>
                  <w:r>
                    <w:rPr>
                      <w:rFonts w:hint="eastAsia"/>
                      <w:kern w:val="0"/>
                      <w:sz w:val="21"/>
                      <w:szCs w:val="21"/>
                      <w:lang w:bidi="ar"/>
                    </w:rPr>
                    <w:t>9</w:t>
                  </w:r>
                </w:p>
              </w:tc>
              <w:tc>
                <w:tcPr>
                  <w:tcW w:w="1588" w:type="pct"/>
                  <w:vAlign w:val="center"/>
                </w:tcPr>
                <w:p w14:paraId="3CC6A9CC">
                  <w:pPr>
                    <w:widowControl/>
                    <w:jc w:val="center"/>
                    <w:textAlignment w:val="center"/>
                    <w:rPr>
                      <w:kern w:val="0"/>
                      <w:sz w:val="21"/>
                      <w:szCs w:val="21"/>
                      <w:lang w:bidi="ar"/>
                    </w:rPr>
                  </w:pPr>
                  <w:r>
                    <w:rPr>
                      <w:kern w:val="0"/>
                      <w:sz w:val="21"/>
                      <w:szCs w:val="21"/>
                      <w:lang w:bidi="ar"/>
                    </w:rPr>
                    <w:t>三乙醇胺</w:t>
                  </w:r>
                </w:p>
              </w:tc>
              <w:tc>
                <w:tcPr>
                  <w:tcW w:w="773" w:type="pct"/>
                  <w:vAlign w:val="center"/>
                </w:tcPr>
                <w:p w14:paraId="297CC26B">
                  <w:pPr>
                    <w:widowControl/>
                    <w:jc w:val="center"/>
                    <w:textAlignment w:val="center"/>
                    <w:rPr>
                      <w:kern w:val="0"/>
                      <w:sz w:val="21"/>
                      <w:szCs w:val="21"/>
                      <w:lang w:bidi="ar"/>
                    </w:rPr>
                  </w:pPr>
                  <w:r>
                    <w:rPr>
                      <w:kern w:val="0"/>
                      <w:sz w:val="21"/>
                      <w:szCs w:val="21"/>
                      <w:lang w:bidi="ar"/>
                    </w:rPr>
                    <w:t>500mL/瓶</w:t>
                  </w:r>
                </w:p>
              </w:tc>
              <w:tc>
                <w:tcPr>
                  <w:tcW w:w="562" w:type="pct"/>
                  <w:vAlign w:val="center"/>
                </w:tcPr>
                <w:p w14:paraId="572E9584">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4DD0EEC4">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5541D9E4">
                  <w:pPr>
                    <w:widowControl/>
                    <w:jc w:val="center"/>
                    <w:textAlignment w:val="bottom"/>
                    <w:rPr>
                      <w:b/>
                      <w:bCs/>
                      <w:kern w:val="0"/>
                      <w:sz w:val="21"/>
                      <w:szCs w:val="21"/>
                      <w:lang w:bidi="ar"/>
                    </w:rPr>
                  </w:pPr>
                </w:p>
              </w:tc>
              <w:tc>
                <w:tcPr>
                  <w:tcW w:w="426" w:type="pct"/>
                  <w:vMerge w:val="continue"/>
                  <w:vAlign w:val="center"/>
                </w:tcPr>
                <w:p w14:paraId="120E4AE7">
                  <w:pPr>
                    <w:widowControl/>
                    <w:jc w:val="center"/>
                    <w:textAlignment w:val="bottom"/>
                    <w:rPr>
                      <w:b/>
                      <w:bCs/>
                      <w:kern w:val="0"/>
                      <w:sz w:val="21"/>
                      <w:szCs w:val="21"/>
                      <w:lang w:bidi="ar"/>
                    </w:rPr>
                  </w:pPr>
                </w:p>
              </w:tc>
            </w:tr>
            <w:tr w14:paraId="0B8BB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53A606F">
                  <w:pPr>
                    <w:widowControl/>
                    <w:jc w:val="center"/>
                    <w:textAlignment w:val="bottom"/>
                    <w:rPr>
                      <w:kern w:val="0"/>
                      <w:sz w:val="21"/>
                      <w:szCs w:val="21"/>
                      <w:lang w:bidi="ar"/>
                    </w:rPr>
                  </w:pPr>
                  <w:r>
                    <w:rPr>
                      <w:kern w:val="0"/>
                      <w:sz w:val="21"/>
                      <w:szCs w:val="21"/>
                      <w:lang w:bidi="ar"/>
                    </w:rPr>
                    <w:t>10</w:t>
                  </w:r>
                </w:p>
              </w:tc>
              <w:tc>
                <w:tcPr>
                  <w:tcW w:w="1588" w:type="pct"/>
                  <w:vAlign w:val="center"/>
                </w:tcPr>
                <w:p w14:paraId="3F030164">
                  <w:pPr>
                    <w:widowControl/>
                    <w:jc w:val="center"/>
                    <w:textAlignment w:val="center"/>
                    <w:rPr>
                      <w:kern w:val="0"/>
                      <w:sz w:val="21"/>
                      <w:szCs w:val="21"/>
                      <w:lang w:bidi="ar"/>
                    </w:rPr>
                  </w:pPr>
                  <w:r>
                    <w:rPr>
                      <w:kern w:val="0"/>
                      <w:sz w:val="21"/>
                      <w:szCs w:val="21"/>
                      <w:lang w:bidi="ar"/>
                    </w:rPr>
                    <w:t>石油醚</w:t>
                  </w:r>
                  <w:r>
                    <w:rPr>
                      <w:rFonts w:hint="eastAsia"/>
                      <w:kern w:val="0"/>
                      <w:sz w:val="21"/>
                      <w:szCs w:val="21"/>
                      <w:lang w:bidi="ar"/>
                    </w:rPr>
                    <w:t>（</w:t>
                  </w:r>
                  <w:r>
                    <w:rPr>
                      <w:kern w:val="0"/>
                      <w:sz w:val="21"/>
                      <w:szCs w:val="21"/>
                      <w:lang w:bidi="ar"/>
                    </w:rPr>
                    <w:t>30-60°C</w:t>
                  </w:r>
                  <w:r>
                    <w:rPr>
                      <w:rFonts w:hint="eastAsia"/>
                      <w:kern w:val="0"/>
                      <w:sz w:val="21"/>
                      <w:szCs w:val="21"/>
                      <w:lang w:bidi="ar"/>
                    </w:rPr>
                    <w:t>）</w:t>
                  </w:r>
                </w:p>
              </w:tc>
              <w:tc>
                <w:tcPr>
                  <w:tcW w:w="773" w:type="pct"/>
                  <w:vAlign w:val="center"/>
                </w:tcPr>
                <w:p w14:paraId="13F5A003">
                  <w:pPr>
                    <w:widowControl/>
                    <w:jc w:val="center"/>
                    <w:textAlignment w:val="center"/>
                    <w:rPr>
                      <w:kern w:val="0"/>
                      <w:sz w:val="21"/>
                      <w:szCs w:val="21"/>
                      <w:lang w:bidi="ar"/>
                    </w:rPr>
                  </w:pPr>
                  <w:r>
                    <w:rPr>
                      <w:kern w:val="0"/>
                      <w:sz w:val="21"/>
                      <w:szCs w:val="21"/>
                      <w:lang w:bidi="ar"/>
                    </w:rPr>
                    <w:t>500mL/瓶</w:t>
                  </w:r>
                </w:p>
              </w:tc>
              <w:tc>
                <w:tcPr>
                  <w:tcW w:w="562" w:type="pct"/>
                  <w:vAlign w:val="center"/>
                </w:tcPr>
                <w:p w14:paraId="498958E8">
                  <w:pPr>
                    <w:widowControl/>
                    <w:jc w:val="center"/>
                    <w:textAlignment w:val="center"/>
                    <w:rPr>
                      <w:kern w:val="0"/>
                      <w:sz w:val="21"/>
                      <w:szCs w:val="21"/>
                      <w:lang w:bidi="ar"/>
                    </w:rPr>
                  </w:pPr>
                  <w:r>
                    <w:rPr>
                      <w:kern w:val="0"/>
                      <w:sz w:val="21"/>
                      <w:szCs w:val="21"/>
                      <w:lang w:bidi="ar"/>
                    </w:rPr>
                    <w:t>12</w:t>
                  </w:r>
                  <w:r>
                    <w:rPr>
                      <w:rFonts w:hint="eastAsia"/>
                      <w:kern w:val="0"/>
                      <w:sz w:val="21"/>
                      <w:szCs w:val="21"/>
                      <w:lang w:bidi="ar"/>
                    </w:rPr>
                    <w:t>瓶</w:t>
                  </w:r>
                </w:p>
              </w:tc>
              <w:tc>
                <w:tcPr>
                  <w:tcW w:w="740" w:type="pct"/>
                  <w:vAlign w:val="center"/>
                </w:tcPr>
                <w:p w14:paraId="12B28CDF">
                  <w:pPr>
                    <w:widowControl/>
                    <w:jc w:val="center"/>
                    <w:textAlignment w:val="center"/>
                    <w:rPr>
                      <w:kern w:val="0"/>
                      <w:sz w:val="21"/>
                      <w:szCs w:val="21"/>
                      <w:lang w:bidi="ar"/>
                    </w:rPr>
                  </w:pPr>
                  <w:r>
                    <w:rPr>
                      <w:kern w:val="0"/>
                      <w:sz w:val="21"/>
                      <w:szCs w:val="21"/>
                      <w:lang w:bidi="ar"/>
                    </w:rPr>
                    <w:t>5</w:t>
                  </w:r>
                  <w:r>
                    <w:rPr>
                      <w:rFonts w:hint="eastAsia"/>
                      <w:kern w:val="0"/>
                      <w:sz w:val="21"/>
                      <w:szCs w:val="21"/>
                      <w:lang w:bidi="ar"/>
                    </w:rPr>
                    <w:t>瓶</w:t>
                  </w:r>
                </w:p>
              </w:tc>
              <w:tc>
                <w:tcPr>
                  <w:tcW w:w="554" w:type="pct"/>
                  <w:vMerge w:val="continue"/>
                  <w:vAlign w:val="center"/>
                </w:tcPr>
                <w:p w14:paraId="68025728">
                  <w:pPr>
                    <w:widowControl/>
                    <w:jc w:val="center"/>
                    <w:textAlignment w:val="bottom"/>
                    <w:rPr>
                      <w:b/>
                      <w:bCs/>
                      <w:kern w:val="0"/>
                      <w:sz w:val="21"/>
                      <w:szCs w:val="21"/>
                      <w:lang w:bidi="ar"/>
                    </w:rPr>
                  </w:pPr>
                </w:p>
              </w:tc>
              <w:tc>
                <w:tcPr>
                  <w:tcW w:w="426" w:type="pct"/>
                  <w:vMerge w:val="continue"/>
                  <w:vAlign w:val="center"/>
                </w:tcPr>
                <w:p w14:paraId="2D4414B8">
                  <w:pPr>
                    <w:widowControl/>
                    <w:jc w:val="center"/>
                    <w:textAlignment w:val="bottom"/>
                    <w:rPr>
                      <w:b/>
                      <w:bCs/>
                      <w:kern w:val="0"/>
                      <w:sz w:val="21"/>
                      <w:szCs w:val="21"/>
                      <w:lang w:bidi="ar"/>
                    </w:rPr>
                  </w:pPr>
                </w:p>
              </w:tc>
            </w:tr>
            <w:tr w14:paraId="50B08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367DCFA">
                  <w:pPr>
                    <w:widowControl/>
                    <w:jc w:val="center"/>
                    <w:textAlignment w:val="bottom"/>
                    <w:rPr>
                      <w:kern w:val="0"/>
                      <w:sz w:val="21"/>
                      <w:szCs w:val="21"/>
                      <w:lang w:bidi="ar"/>
                    </w:rPr>
                  </w:pPr>
                  <w:r>
                    <w:rPr>
                      <w:kern w:val="0"/>
                      <w:sz w:val="21"/>
                      <w:szCs w:val="21"/>
                      <w:lang w:bidi="ar"/>
                    </w:rPr>
                    <w:t>11</w:t>
                  </w:r>
                </w:p>
              </w:tc>
              <w:tc>
                <w:tcPr>
                  <w:tcW w:w="1588" w:type="pct"/>
                  <w:vAlign w:val="center"/>
                </w:tcPr>
                <w:p w14:paraId="57B7B145">
                  <w:pPr>
                    <w:widowControl/>
                    <w:jc w:val="center"/>
                    <w:textAlignment w:val="center"/>
                    <w:rPr>
                      <w:kern w:val="0"/>
                      <w:sz w:val="21"/>
                      <w:szCs w:val="21"/>
                      <w:lang w:bidi="ar"/>
                    </w:rPr>
                  </w:pPr>
                  <w:r>
                    <w:rPr>
                      <w:kern w:val="0"/>
                      <w:sz w:val="21"/>
                      <w:szCs w:val="21"/>
                      <w:lang w:bidi="ar"/>
                    </w:rPr>
                    <w:t>石油醚</w:t>
                  </w:r>
                  <w:r>
                    <w:rPr>
                      <w:rFonts w:hint="eastAsia"/>
                      <w:kern w:val="0"/>
                      <w:sz w:val="21"/>
                      <w:szCs w:val="21"/>
                      <w:lang w:bidi="ar"/>
                    </w:rPr>
                    <w:t>（</w:t>
                  </w:r>
                  <w:r>
                    <w:rPr>
                      <w:kern w:val="0"/>
                      <w:sz w:val="21"/>
                      <w:szCs w:val="21"/>
                      <w:lang w:bidi="ar"/>
                    </w:rPr>
                    <w:t>60-90°C</w:t>
                  </w:r>
                  <w:r>
                    <w:rPr>
                      <w:rFonts w:hint="eastAsia"/>
                      <w:kern w:val="0"/>
                      <w:sz w:val="21"/>
                      <w:szCs w:val="21"/>
                      <w:lang w:bidi="ar"/>
                    </w:rPr>
                    <w:t>）</w:t>
                  </w:r>
                </w:p>
              </w:tc>
              <w:tc>
                <w:tcPr>
                  <w:tcW w:w="773" w:type="pct"/>
                  <w:vAlign w:val="center"/>
                </w:tcPr>
                <w:p w14:paraId="2B8DFA98">
                  <w:pPr>
                    <w:widowControl/>
                    <w:jc w:val="center"/>
                    <w:textAlignment w:val="center"/>
                    <w:rPr>
                      <w:kern w:val="0"/>
                      <w:sz w:val="21"/>
                      <w:szCs w:val="21"/>
                      <w:lang w:bidi="ar"/>
                    </w:rPr>
                  </w:pPr>
                  <w:r>
                    <w:rPr>
                      <w:kern w:val="0"/>
                      <w:sz w:val="21"/>
                      <w:szCs w:val="21"/>
                      <w:lang w:bidi="ar"/>
                    </w:rPr>
                    <w:t>500mL/瓶</w:t>
                  </w:r>
                </w:p>
              </w:tc>
              <w:tc>
                <w:tcPr>
                  <w:tcW w:w="562" w:type="pct"/>
                  <w:vAlign w:val="center"/>
                </w:tcPr>
                <w:p w14:paraId="051C6754">
                  <w:pPr>
                    <w:widowControl/>
                    <w:jc w:val="center"/>
                    <w:textAlignment w:val="center"/>
                    <w:rPr>
                      <w:kern w:val="0"/>
                      <w:sz w:val="21"/>
                      <w:szCs w:val="21"/>
                      <w:lang w:bidi="ar"/>
                    </w:rPr>
                  </w:pPr>
                  <w:r>
                    <w:rPr>
                      <w:kern w:val="0"/>
                      <w:sz w:val="21"/>
                      <w:szCs w:val="21"/>
                      <w:lang w:bidi="ar"/>
                    </w:rPr>
                    <w:t>6</w:t>
                  </w:r>
                  <w:r>
                    <w:rPr>
                      <w:rFonts w:hint="eastAsia"/>
                      <w:kern w:val="0"/>
                      <w:sz w:val="21"/>
                      <w:szCs w:val="21"/>
                      <w:lang w:bidi="ar"/>
                    </w:rPr>
                    <w:t>瓶</w:t>
                  </w:r>
                </w:p>
              </w:tc>
              <w:tc>
                <w:tcPr>
                  <w:tcW w:w="740" w:type="pct"/>
                  <w:vAlign w:val="center"/>
                </w:tcPr>
                <w:p w14:paraId="660CA554">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402029A2">
                  <w:pPr>
                    <w:widowControl/>
                    <w:jc w:val="center"/>
                    <w:textAlignment w:val="bottom"/>
                    <w:rPr>
                      <w:b/>
                      <w:bCs/>
                      <w:kern w:val="0"/>
                      <w:sz w:val="21"/>
                      <w:szCs w:val="21"/>
                      <w:lang w:bidi="ar"/>
                    </w:rPr>
                  </w:pPr>
                </w:p>
              </w:tc>
              <w:tc>
                <w:tcPr>
                  <w:tcW w:w="426" w:type="pct"/>
                  <w:vMerge w:val="continue"/>
                  <w:vAlign w:val="center"/>
                </w:tcPr>
                <w:p w14:paraId="631CF1CF">
                  <w:pPr>
                    <w:widowControl/>
                    <w:jc w:val="center"/>
                    <w:textAlignment w:val="bottom"/>
                    <w:rPr>
                      <w:b/>
                      <w:bCs/>
                      <w:kern w:val="0"/>
                      <w:sz w:val="21"/>
                      <w:szCs w:val="21"/>
                      <w:lang w:bidi="ar"/>
                    </w:rPr>
                  </w:pPr>
                </w:p>
              </w:tc>
            </w:tr>
            <w:tr w14:paraId="03BC7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73860AAA">
                  <w:pPr>
                    <w:widowControl/>
                    <w:jc w:val="center"/>
                    <w:textAlignment w:val="bottom"/>
                    <w:rPr>
                      <w:kern w:val="0"/>
                      <w:sz w:val="21"/>
                      <w:szCs w:val="21"/>
                      <w:lang w:bidi="ar"/>
                    </w:rPr>
                  </w:pPr>
                  <w:r>
                    <w:rPr>
                      <w:kern w:val="0"/>
                      <w:sz w:val="21"/>
                      <w:szCs w:val="21"/>
                      <w:lang w:bidi="ar"/>
                    </w:rPr>
                    <w:t>12</w:t>
                  </w:r>
                </w:p>
              </w:tc>
              <w:tc>
                <w:tcPr>
                  <w:tcW w:w="1588" w:type="pct"/>
                  <w:vAlign w:val="center"/>
                </w:tcPr>
                <w:p w14:paraId="779B39A6">
                  <w:pPr>
                    <w:widowControl/>
                    <w:jc w:val="center"/>
                    <w:textAlignment w:val="center"/>
                    <w:rPr>
                      <w:kern w:val="0"/>
                      <w:sz w:val="21"/>
                      <w:szCs w:val="21"/>
                      <w:lang w:bidi="ar"/>
                    </w:rPr>
                  </w:pPr>
                  <w:r>
                    <w:rPr>
                      <w:kern w:val="0"/>
                      <w:sz w:val="21"/>
                      <w:szCs w:val="21"/>
                      <w:lang w:bidi="ar"/>
                    </w:rPr>
                    <w:t>N,N-二甲基甲酰胺</w:t>
                  </w:r>
                </w:p>
              </w:tc>
              <w:tc>
                <w:tcPr>
                  <w:tcW w:w="773" w:type="pct"/>
                  <w:vAlign w:val="center"/>
                </w:tcPr>
                <w:p w14:paraId="38454E83">
                  <w:pPr>
                    <w:widowControl/>
                    <w:jc w:val="center"/>
                    <w:textAlignment w:val="center"/>
                    <w:rPr>
                      <w:kern w:val="0"/>
                      <w:sz w:val="21"/>
                      <w:szCs w:val="21"/>
                      <w:lang w:bidi="ar"/>
                    </w:rPr>
                  </w:pPr>
                  <w:r>
                    <w:rPr>
                      <w:kern w:val="0"/>
                      <w:sz w:val="21"/>
                      <w:szCs w:val="21"/>
                      <w:lang w:bidi="ar"/>
                    </w:rPr>
                    <w:t>500mL/瓶</w:t>
                  </w:r>
                </w:p>
              </w:tc>
              <w:tc>
                <w:tcPr>
                  <w:tcW w:w="562" w:type="pct"/>
                  <w:vAlign w:val="center"/>
                </w:tcPr>
                <w:p w14:paraId="74904CDD">
                  <w:pPr>
                    <w:widowControl/>
                    <w:jc w:val="center"/>
                    <w:textAlignment w:val="center"/>
                    <w:rPr>
                      <w:kern w:val="0"/>
                      <w:sz w:val="21"/>
                      <w:szCs w:val="21"/>
                      <w:lang w:bidi="ar"/>
                    </w:rPr>
                  </w:pPr>
                  <w:r>
                    <w:rPr>
                      <w:kern w:val="0"/>
                      <w:sz w:val="21"/>
                      <w:szCs w:val="21"/>
                      <w:lang w:bidi="ar"/>
                    </w:rPr>
                    <w:t>3</w:t>
                  </w:r>
                  <w:r>
                    <w:rPr>
                      <w:rFonts w:hint="eastAsia"/>
                      <w:kern w:val="0"/>
                      <w:sz w:val="21"/>
                      <w:szCs w:val="21"/>
                      <w:lang w:bidi="ar"/>
                    </w:rPr>
                    <w:t>瓶</w:t>
                  </w:r>
                </w:p>
              </w:tc>
              <w:tc>
                <w:tcPr>
                  <w:tcW w:w="740" w:type="pct"/>
                  <w:vAlign w:val="center"/>
                </w:tcPr>
                <w:p w14:paraId="100BAA1F">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4E263FCA">
                  <w:pPr>
                    <w:widowControl/>
                    <w:jc w:val="center"/>
                    <w:textAlignment w:val="bottom"/>
                    <w:rPr>
                      <w:b/>
                      <w:bCs/>
                      <w:kern w:val="0"/>
                      <w:sz w:val="21"/>
                      <w:szCs w:val="21"/>
                      <w:lang w:bidi="ar"/>
                    </w:rPr>
                  </w:pPr>
                </w:p>
              </w:tc>
              <w:tc>
                <w:tcPr>
                  <w:tcW w:w="426" w:type="pct"/>
                  <w:vMerge w:val="continue"/>
                  <w:vAlign w:val="center"/>
                </w:tcPr>
                <w:p w14:paraId="12D6792D">
                  <w:pPr>
                    <w:widowControl/>
                    <w:jc w:val="center"/>
                    <w:textAlignment w:val="bottom"/>
                    <w:rPr>
                      <w:b/>
                      <w:bCs/>
                      <w:kern w:val="0"/>
                      <w:sz w:val="21"/>
                      <w:szCs w:val="21"/>
                      <w:lang w:bidi="ar"/>
                    </w:rPr>
                  </w:pPr>
                </w:p>
              </w:tc>
            </w:tr>
            <w:tr w14:paraId="54231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8361C9E">
                  <w:pPr>
                    <w:widowControl/>
                    <w:jc w:val="center"/>
                    <w:textAlignment w:val="bottom"/>
                    <w:rPr>
                      <w:kern w:val="0"/>
                      <w:sz w:val="21"/>
                      <w:szCs w:val="21"/>
                      <w:lang w:bidi="ar"/>
                    </w:rPr>
                  </w:pPr>
                  <w:r>
                    <w:rPr>
                      <w:kern w:val="0"/>
                      <w:sz w:val="21"/>
                      <w:szCs w:val="21"/>
                      <w:lang w:bidi="ar"/>
                    </w:rPr>
                    <w:t>13</w:t>
                  </w:r>
                </w:p>
              </w:tc>
              <w:tc>
                <w:tcPr>
                  <w:tcW w:w="1588" w:type="pct"/>
                  <w:vAlign w:val="center"/>
                </w:tcPr>
                <w:p w14:paraId="4548200C">
                  <w:pPr>
                    <w:widowControl/>
                    <w:jc w:val="center"/>
                    <w:textAlignment w:val="center"/>
                    <w:rPr>
                      <w:kern w:val="0"/>
                      <w:sz w:val="21"/>
                      <w:szCs w:val="21"/>
                      <w:lang w:bidi="ar"/>
                    </w:rPr>
                  </w:pPr>
                  <w:r>
                    <w:rPr>
                      <w:kern w:val="0"/>
                      <w:sz w:val="21"/>
                      <w:szCs w:val="21"/>
                      <w:lang w:bidi="ar"/>
                    </w:rPr>
                    <w:t>N,N-二甲基对苯二胺二盐酸盐</w:t>
                  </w:r>
                </w:p>
              </w:tc>
              <w:tc>
                <w:tcPr>
                  <w:tcW w:w="773" w:type="pct"/>
                  <w:vAlign w:val="center"/>
                </w:tcPr>
                <w:p w14:paraId="1D5DE0D7">
                  <w:pPr>
                    <w:widowControl/>
                    <w:jc w:val="center"/>
                    <w:textAlignment w:val="center"/>
                    <w:rPr>
                      <w:kern w:val="0"/>
                      <w:sz w:val="21"/>
                      <w:szCs w:val="21"/>
                      <w:lang w:bidi="ar"/>
                    </w:rPr>
                  </w:pPr>
                  <w:r>
                    <w:rPr>
                      <w:kern w:val="0"/>
                      <w:sz w:val="21"/>
                      <w:szCs w:val="21"/>
                      <w:lang w:bidi="ar"/>
                    </w:rPr>
                    <w:t>25g/瓶</w:t>
                  </w:r>
                </w:p>
              </w:tc>
              <w:tc>
                <w:tcPr>
                  <w:tcW w:w="562" w:type="pct"/>
                  <w:vAlign w:val="center"/>
                </w:tcPr>
                <w:p w14:paraId="539E3381">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457E55BD">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57016B68">
                  <w:pPr>
                    <w:widowControl/>
                    <w:jc w:val="center"/>
                    <w:textAlignment w:val="bottom"/>
                    <w:rPr>
                      <w:b/>
                      <w:bCs/>
                      <w:kern w:val="0"/>
                      <w:sz w:val="21"/>
                      <w:szCs w:val="21"/>
                      <w:lang w:bidi="ar"/>
                    </w:rPr>
                  </w:pPr>
                </w:p>
              </w:tc>
              <w:tc>
                <w:tcPr>
                  <w:tcW w:w="426" w:type="pct"/>
                  <w:vMerge w:val="continue"/>
                  <w:vAlign w:val="center"/>
                </w:tcPr>
                <w:p w14:paraId="73C033ED">
                  <w:pPr>
                    <w:widowControl/>
                    <w:jc w:val="center"/>
                    <w:textAlignment w:val="bottom"/>
                    <w:rPr>
                      <w:b/>
                      <w:bCs/>
                      <w:kern w:val="0"/>
                      <w:sz w:val="21"/>
                      <w:szCs w:val="21"/>
                      <w:lang w:bidi="ar"/>
                    </w:rPr>
                  </w:pPr>
                </w:p>
              </w:tc>
            </w:tr>
            <w:tr w14:paraId="0A87D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2006E7B">
                  <w:pPr>
                    <w:widowControl/>
                    <w:jc w:val="center"/>
                    <w:textAlignment w:val="bottom"/>
                    <w:rPr>
                      <w:kern w:val="0"/>
                      <w:sz w:val="21"/>
                      <w:szCs w:val="21"/>
                      <w:lang w:bidi="ar"/>
                    </w:rPr>
                  </w:pPr>
                  <w:r>
                    <w:rPr>
                      <w:kern w:val="0"/>
                      <w:sz w:val="21"/>
                      <w:szCs w:val="21"/>
                      <w:lang w:bidi="ar"/>
                    </w:rPr>
                    <w:t>14</w:t>
                  </w:r>
                </w:p>
              </w:tc>
              <w:tc>
                <w:tcPr>
                  <w:tcW w:w="1588" w:type="pct"/>
                  <w:vAlign w:val="center"/>
                </w:tcPr>
                <w:p w14:paraId="45BCFA2F">
                  <w:pPr>
                    <w:widowControl/>
                    <w:jc w:val="center"/>
                    <w:textAlignment w:val="center"/>
                    <w:rPr>
                      <w:kern w:val="0"/>
                      <w:sz w:val="21"/>
                      <w:szCs w:val="21"/>
                      <w:lang w:bidi="ar"/>
                    </w:rPr>
                  </w:pPr>
                  <w:r>
                    <w:rPr>
                      <w:kern w:val="0"/>
                      <w:sz w:val="21"/>
                      <w:szCs w:val="21"/>
                      <w:lang w:bidi="ar"/>
                    </w:rPr>
                    <w:t>二苯基碳酰二肼</w:t>
                  </w:r>
                </w:p>
              </w:tc>
              <w:tc>
                <w:tcPr>
                  <w:tcW w:w="773" w:type="pct"/>
                  <w:vAlign w:val="center"/>
                </w:tcPr>
                <w:p w14:paraId="6290CB4D">
                  <w:pPr>
                    <w:widowControl/>
                    <w:jc w:val="center"/>
                    <w:textAlignment w:val="center"/>
                    <w:rPr>
                      <w:kern w:val="0"/>
                      <w:sz w:val="21"/>
                      <w:szCs w:val="21"/>
                      <w:lang w:bidi="ar"/>
                    </w:rPr>
                  </w:pPr>
                  <w:r>
                    <w:rPr>
                      <w:kern w:val="0"/>
                      <w:sz w:val="21"/>
                      <w:szCs w:val="21"/>
                      <w:lang w:bidi="ar"/>
                    </w:rPr>
                    <w:t>25g/瓶</w:t>
                  </w:r>
                </w:p>
              </w:tc>
              <w:tc>
                <w:tcPr>
                  <w:tcW w:w="562" w:type="pct"/>
                  <w:vAlign w:val="center"/>
                </w:tcPr>
                <w:p w14:paraId="037850DE">
                  <w:pPr>
                    <w:widowControl/>
                    <w:jc w:val="center"/>
                    <w:textAlignment w:val="center"/>
                    <w:rPr>
                      <w:kern w:val="0"/>
                      <w:sz w:val="21"/>
                      <w:szCs w:val="21"/>
                      <w:lang w:bidi="ar"/>
                    </w:rPr>
                  </w:pPr>
                  <w:r>
                    <w:rPr>
                      <w:kern w:val="0"/>
                      <w:sz w:val="21"/>
                      <w:szCs w:val="21"/>
                      <w:lang w:bidi="ar"/>
                    </w:rPr>
                    <w:t>3</w:t>
                  </w:r>
                  <w:r>
                    <w:rPr>
                      <w:rFonts w:hint="eastAsia"/>
                      <w:kern w:val="0"/>
                      <w:sz w:val="21"/>
                      <w:szCs w:val="21"/>
                      <w:lang w:bidi="ar"/>
                    </w:rPr>
                    <w:t>瓶</w:t>
                  </w:r>
                </w:p>
              </w:tc>
              <w:tc>
                <w:tcPr>
                  <w:tcW w:w="740" w:type="pct"/>
                  <w:vAlign w:val="center"/>
                </w:tcPr>
                <w:p w14:paraId="3CCC544B">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70A3E126">
                  <w:pPr>
                    <w:widowControl/>
                    <w:jc w:val="center"/>
                    <w:textAlignment w:val="bottom"/>
                    <w:rPr>
                      <w:b/>
                      <w:bCs/>
                      <w:kern w:val="0"/>
                      <w:sz w:val="21"/>
                      <w:szCs w:val="21"/>
                      <w:lang w:bidi="ar"/>
                    </w:rPr>
                  </w:pPr>
                </w:p>
              </w:tc>
              <w:tc>
                <w:tcPr>
                  <w:tcW w:w="426" w:type="pct"/>
                  <w:vMerge w:val="continue"/>
                  <w:vAlign w:val="center"/>
                </w:tcPr>
                <w:p w14:paraId="3F4D896E">
                  <w:pPr>
                    <w:widowControl/>
                    <w:jc w:val="center"/>
                    <w:textAlignment w:val="bottom"/>
                    <w:rPr>
                      <w:b/>
                      <w:bCs/>
                      <w:kern w:val="0"/>
                      <w:sz w:val="21"/>
                      <w:szCs w:val="21"/>
                      <w:lang w:bidi="ar"/>
                    </w:rPr>
                  </w:pPr>
                </w:p>
              </w:tc>
            </w:tr>
            <w:tr w14:paraId="023A7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0AD7A6A">
                  <w:pPr>
                    <w:widowControl/>
                    <w:jc w:val="center"/>
                    <w:textAlignment w:val="bottom"/>
                    <w:rPr>
                      <w:kern w:val="0"/>
                      <w:sz w:val="21"/>
                      <w:szCs w:val="21"/>
                      <w:lang w:bidi="ar"/>
                    </w:rPr>
                  </w:pPr>
                  <w:r>
                    <w:rPr>
                      <w:kern w:val="0"/>
                      <w:sz w:val="21"/>
                      <w:szCs w:val="21"/>
                      <w:lang w:bidi="ar"/>
                    </w:rPr>
                    <w:t>15</w:t>
                  </w:r>
                </w:p>
              </w:tc>
              <w:tc>
                <w:tcPr>
                  <w:tcW w:w="1588" w:type="pct"/>
                  <w:vAlign w:val="center"/>
                </w:tcPr>
                <w:p w14:paraId="511215D4">
                  <w:pPr>
                    <w:widowControl/>
                    <w:jc w:val="center"/>
                    <w:textAlignment w:val="center"/>
                    <w:rPr>
                      <w:b/>
                      <w:bCs/>
                      <w:kern w:val="0"/>
                      <w:sz w:val="21"/>
                      <w:szCs w:val="21"/>
                      <w:lang w:bidi="ar"/>
                    </w:rPr>
                  </w:pPr>
                  <w:r>
                    <w:rPr>
                      <w:kern w:val="0"/>
                      <w:sz w:val="21"/>
                      <w:szCs w:val="21"/>
                      <w:lang w:bidi="ar"/>
                    </w:rPr>
                    <w:t>二乙三胺五乙酸</w:t>
                  </w:r>
                </w:p>
              </w:tc>
              <w:tc>
                <w:tcPr>
                  <w:tcW w:w="773" w:type="pct"/>
                  <w:vAlign w:val="center"/>
                </w:tcPr>
                <w:p w14:paraId="30E6F953">
                  <w:pPr>
                    <w:widowControl/>
                    <w:jc w:val="center"/>
                    <w:textAlignment w:val="center"/>
                    <w:rPr>
                      <w:kern w:val="0"/>
                      <w:sz w:val="21"/>
                      <w:szCs w:val="21"/>
                      <w:lang w:bidi="ar"/>
                    </w:rPr>
                  </w:pPr>
                  <w:r>
                    <w:rPr>
                      <w:kern w:val="0"/>
                      <w:sz w:val="21"/>
                      <w:szCs w:val="21"/>
                      <w:lang w:bidi="ar"/>
                    </w:rPr>
                    <w:t>100g/瓶</w:t>
                  </w:r>
                </w:p>
              </w:tc>
              <w:tc>
                <w:tcPr>
                  <w:tcW w:w="562" w:type="pct"/>
                  <w:vAlign w:val="center"/>
                </w:tcPr>
                <w:p w14:paraId="361F0147">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73AC5E03">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1C4C5F81">
                  <w:pPr>
                    <w:widowControl/>
                    <w:jc w:val="center"/>
                    <w:textAlignment w:val="bottom"/>
                    <w:rPr>
                      <w:b/>
                      <w:bCs/>
                      <w:kern w:val="0"/>
                      <w:sz w:val="21"/>
                      <w:szCs w:val="21"/>
                      <w:lang w:bidi="ar"/>
                    </w:rPr>
                  </w:pPr>
                </w:p>
              </w:tc>
              <w:tc>
                <w:tcPr>
                  <w:tcW w:w="426" w:type="pct"/>
                  <w:vMerge w:val="continue"/>
                  <w:vAlign w:val="center"/>
                </w:tcPr>
                <w:p w14:paraId="0D0A9F21">
                  <w:pPr>
                    <w:widowControl/>
                    <w:jc w:val="center"/>
                    <w:textAlignment w:val="bottom"/>
                    <w:rPr>
                      <w:b/>
                      <w:bCs/>
                      <w:kern w:val="0"/>
                      <w:sz w:val="21"/>
                      <w:szCs w:val="21"/>
                      <w:lang w:bidi="ar"/>
                    </w:rPr>
                  </w:pPr>
                </w:p>
              </w:tc>
            </w:tr>
            <w:tr w14:paraId="78642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7579C781">
                  <w:pPr>
                    <w:widowControl/>
                    <w:jc w:val="center"/>
                    <w:textAlignment w:val="bottom"/>
                    <w:rPr>
                      <w:kern w:val="0"/>
                      <w:sz w:val="21"/>
                      <w:szCs w:val="21"/>
                      <w:lang w:bidi="ar"/>
                    </w:rPr>
                  </w:pPr>
                  <w:r>
                    <w:rPr>
                      <w:kern w:val="0"/>
                      <w:sz w:val="21"/>
                      <w:szCs w:val="21"/>
                      <w:lang w:bidi="ar"/>
                    </w:rPr>
                    <w:t>16</w:t>
                  </w:r>
                </w:p>
              </w:tc>
              <w:tc>
                <w:tcPr>
                  <w:tcW w:w="1588" w:type="pct"/>
                  <w:vAlign w:val="center"/>
                </w:tcPr>
                <w:p w14:paraId="6544FFE0">
                  <w:pPr>
                    <w:widowControl/>
                    <w:jc w:val="center"/>
                    <w:textAlignment w:val="center"/>
                    <w:rPr>
                      <w:kern w:val="0"/>
                      <w:sz w:val="21"/>
                      <w:szCs w:val="21"/>
                      <w:highlight w:val="yellow"/>
                      <w:lang w:bidi="ar"/>
                    </w:rPr>
                  </w:pPr>
                  <w:r>
                    <w:rPr>
                      <w:kern w:val="0"/>
                      <w:sz w:val="21"/>
                      <w:szCs w:val="21"/>
                      <w:lang w:bidi="ar"/>
                    </w:rPr>
                    <w:t>0.2%盐酸副玫瑰苯胺</w:t>
                  </w:r>
                </w:p>
              </w:tc>
              <w:tc>
                <w:tcPr>
                  <w:tcW w:w="773" w:type="pct"/>
                  <w:vAlign w:val="center"/>
                </w:tcPr>
                <w:p w14:paraId="00C45DE2">
                  <w:pPr>
                    <w:widowControl/>
                    <w:jc w:val="center"/>
                    <w:textAlignment w:val="center"/>
                    <w:rPr>
                      <w:kern w:val="0"/>
                      <w:sz w:val="21"/>
                      <w:szCs w:val="21"/>
                      <w:lang w:bidi="ar"/>
                    </w:rPr>
                  </w:pPr>
                  <w:r>
                    <w:rPr>
                      <w:kern w:val="0"/>
                      <w:sz w:val="21"/>
                      <w:szCs w:val="21"/>
                      <w:lang w:bidi="ar"/>
                    </w:rPr>
                    <w:t>100mL/瓶</w:t>
                  </w:r>
                </w:p>
              </w:tc>
              <w:tc>
                <w:tcPr>
                  <w:tcW w:w="562" w:type="pct"/>
                  <w:vAlign w:val="center"/>
                </w:tcPr>
                <w:p w14:paraId="1D510849">
                  <w:pPr>
                    <w:widowControl/>
                    <w:jc w:val="center"/>
                    <w:textAlignment w:val="center"/>
                    <w:rPr>
                      <w:kern w:val="0"/>
                      <w:sz w:val="21"/>
                      <w:szCs w:val="21"/>
                      <w:lang w:bidi="ar"/>
                    </w:rPr>
                  </w:pPr>
                  <w:r>
                    <w:rPr>
                      <w:kern w:val="0"/>
                      <w:sz w:val="21"/>
                      <w:szCs w:val="21"/>
                      <w:lang w:bidi="ar"/>
                    </w:rPr>
                    <w:t>4</w:t>
                  </w:r>
                  <w:r>
                    <w:rPr>
                      <w:rFonts w:hint="eastAsia"/>
                      <w:kern w:val="0"/>
                      <w:sz w:val="21"/>
                      <w:szCs w:val="21"/>
                      <w:lang w:bidi="ar"/>
                    </w:rPr>
                    <w:t>瓶</w:t>
                  </w:r>
                </w:p>
              </w:tc>
              <w:tc>
                <w:tcPr>
                  <w:tcW w:w="740" w:type="pct"/>
                  <w:vAlign w:val="center"/>
                </w:tcPr>
                <w:p w14:paraId="6ADA0A94">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7E1A9894">
                  <w:pPr>
                    <w:widowControl/>
                    <w:jc w:val="center"/>
                    <w:textAlignment w:val="bottom"/>
                    <w:rPr>
                      <w:b/>
                      <w:bCs/>
                      <w:kern w:val="0"/>
                      <w:sz w:val="21"/>
                      <w:szCs w:val="21"/>
                      <w:lang w:bidi="ar"/>
                    </w:rPr>
                  </w:pPr>
                </w:p>
              </w:tc>
              <w:tc>
                <w:tcPr>
                  <w:tcW w:w="426" w:type="pct"/>
                  <w:vMerge w:val="continue"/>
                  <w:vAlign w:val="center"/>
                </w:tcPr>
                <w:p w14:paraId="64893355">
                  <w:pPr>
                    <w:widowControl/>
                    <w:jc w:val="center"/>
                    <w:textAlignment w:val="bottom"/>
                    <w:rPr>
                      <w:b/>
                      <w:bCs/>
                      <w:kern w:val="0"/>
                      <w:sz w:val="21"/>
                      <w:szCs w:val="21"/>
                      <w:lang w:bidi="ar"/>
                    </w:rPr>
                  </w:pPr>
                </w:p>
              </w:tc>
            </w:tr>
            <w:tr w14:paraId="27185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B2FD765">
                  <w:pPr>
                    <w:widowControl/>
                    <w:jc w:val="center"/>
                    <w:textAlignment w:val="bottom"/>
                    <w:rPr>
                      <w:kern w:val="0"/>
                      <w:sz w:val="21"/>
                      <w:szCs w:val="21"/>
                      <w:lang w:bidi="ar"/>
                    </w:rPr>
                  </w:pPr>
                  <w:r>
                    <w:rPr>
                      <w:kern w:val="0"/>
                      <w:sz w:val="21"/>
                      <w:szCs w:val="21"/>
                      <w:lang w:bidi="ar"/>
                    </w:rPr>
                    <w:t>17</w:t>
                  </w:r>
                </w:p>
              </w:tc>
              <w:tc>
                <w:tcPr>
                  <w:tcW w:w="1588" w:type="pct"/>
                  <w:vAlign w:val="center"/>
                </w:tcPr>
                <w:p w14:paraId="141385DA">
                  <w:pPr>
                    <w:widowControl/>
                    <w:jc w:val="center"/>
                    <w:textAlignment w:val="center"/>
                    <w:rPr>
                      <w:kern w:val="0"/>
                      <w:sz w:val="21"/>
                      <w:szCs w:val="21"/>
                      <w:highlight w:val="yellow"/>
                      <w:lang w:bidi="ar"/>
                    </w:rPr>
                  </w:pPr>
                  <w:r>
                    <w:rPr>
                      <w:kern w:val="0"/>
                      <w:sz w:val="21"/>
                      <w:szCs w:val="21"/>
                      <w:lang w:bidi="ar"/>
                    </w:rPr>
                    <w:t>2,3,4,5,6-五氟溴苄</w:t>
                  </w:r>
                </w:p>
              </w:tc>
              <w:tc>
                <w:tcPr>
                  <w:tcW w:w="773" w:type="pct"/>
                  <w:vAlign w:val="center"/>
                </w:tcPr>
                <w:p w14:paraId="70361A67">
                  <w:pPr>
                    <w:widowControl/>
                    <w:jc w:val="center"/>
                    <w:textAlignment w:val="center"/>
                    <w:rPr>
                      <w:kern w:val="0"/>
                      <w:sz w:val="21"/>
                      <w:szCs w:val="21"/>
                      <w:lang w:bidi="ar"/>
                    </w:rPr>
                  </w:pPr>
                  <w:r>
                    <w:rPr>
                      <w:kern w:val="0"/>
                      <w:sz w:val="21"/>
                      <w:szCs w:val="21"/>
                      <w:lang w:bidi="ar"/>
                    </w:rPr>
                    <w:t>5g/瓶</w:t>
                  </w:r>
                </w:p>
              </w:tc>
              <w:tc>
                <w:tcPr>
                  <w:tcW w:w="562" w:type="pct"/>
                  <w:vAlign w:val="center"/>
                </w:tcPr>
                <w:p w14:paraId="07B70084">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0B7B394C">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02B5A173">
                  <w:pPr>
                    <w:widowControl/>
                    <w:jc w:val="center"/>
                    <w:textAlignment w:val="bottom"/>
                    <w:rPr>
                      <w:kern w:val="0"/>
                      <w:sz w:val="21"/>
                      <w:szCs w:val="21"/>
                      <w:lang w:bidi="ar"/>
                    </w:rPr>
                  </w:pPr>
                </w:p>
              </w:tc>
              <w:tc>
                <w:tcPr>
                  <w:tcW w:w="426" w:type="pct"/>
                  <w:vMerge w:val="continue"/>
                  <w:vAlign w:val="center"/>
                </w:tcPr>
                <w:p w14:paraId="34FCD3AD">
                  <w:pPr>
                    <w:widowControl/>
                    <w:jc w:val="center"/>
                    <w:textAlignment w:val="bottom"/>
                    <w:rPr>
                      <w:kern w:val="0"/>
                      <w:sz w:val="21"/>
                      <w:szCs w:val="21"/>
                      <w:lang w:bidi="ar"/>
                    </w:rPr>
                  </w:pPr>
                </w:p>
              </w:tc>
            </w:tr>
            <w:tr w14:paraId="1059C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3435A5D">
                  <w:pPr>
                    <w:widowControl/>
                    <w:jc w:val="center"/>
                    <w:textAlignment w:val="bottom"/>
                    <w:rPr>
                      <w:kern w:val="0"/>
                      <w:sz w:val="21"/>
                      <w:szCs w:val="21"/>
                      <w:lang w:bidi="ar"/>
                    </w:rPr>
                  </w:pPr>
                  <w:r>
                    <w:rPr>
                      <w:kern w:val="0"/>
                      <w:sz w:val="21"/>
                      <w:szCs w:val="21"/>
                      <w:lang w:bidi="ar"/>
                    </w:rPr>
                    <w:t>18</w:t>
                  </w:r>
                </w:p>
              </w:tc>
              <w:tc>
                <w:tcPr>
                  <w:tcW w:w="1588" w:type="pct"/>
                  <w:vAlign w:val="center"/>
                </w:tcPr>
                <w:p w14:paraId="30C5DBDB">
                  <w:pPr>
                    <w:widowControl/>
                    <w:jc w:val="center"/>
                    <w:textAlignment w:val="center"/>
                    <w:rPr>
                      <w:kern w:val="0"/>
                      <w:sz w:val="21"/>
                      <w:szCs w:val="21"/>
                      <w:lang w:bidi="ar"/>
                    </w:rPr>
                  </w:pPr>
                  <w:r>
                    <w:rPr>
                      <w:kern w:val="0"/>
                      <w:sz w:val="21"/>
                      <w:szCs w:val="21"/>
                      <w:lang w:bidi="ar"/>
                    </w:rPr>
                    <w:t>4-氨基安替比林</w:t>
                  </w:r>
                </w:p>
              </w:tc>
              <w:tc>
                <w:tcPr>
                  <w:tcW w:w="773" w:type="pct"/>
                  <w:vAlign w:val="center"/>
                </w:tcPr>
                <w:p w14:paraId="411EFE8D">
                  <w:pPr>
                    <w:widowControl/>
                    <w:jc w:val="center"/>
                    <w:textAlignment w:val="center"/>
                    <w:rPr>
                      <w:kern w:val="0"/>
                      <w:sz w:val="21"/>
                      <w:szCs w:val="21"/>
                      <w:lang w:bidi="ar"/>
                    </w:rPr>
                  </w:pPr>
                  <w:r>
                    <w:rPr>
                      <w:kern w:val="0"/>
                      <w:sz w:val="21"/>
                      <w:szCs w:val="21"/>
                      <w:lang w:bidi="ar"/>
                    </w:rPr>
                    <w:t>25g/瓶</w:t>
                  </w:r>
                </w:p>
              </w:tc>
              <w:tc>
                <w:tcPr>
                  <w:tcW w:w="562" w:type="pct"/>
                  <w:vAlign w:val="center"/>
                </w:tcPr>
                <w:p w14:paraId="6E052143">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49C9A8F0">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1CA5804B">
                  <w:pPr>
                    <w:widowControl/>
                    <w:jc w:val="center"/>
                    <w:textAlignment w:val="bottom"/>
                    <w:rPr>
                      <w:kern w:val="0"/>
                      <w:sz w:val="21"/>
                      <w:szCs w:val="21"/>
                      <w:lang w:bidi="ar"/>
                    </w:rPr>
                  </w:pPr>
                </w:p>
              </w:tc>
              <w:tc>
                <w:tcPr>
                  <w:tcW w:w="426" w:type="pct"/>
                  <w:vMerge w:val="continue"/>
                  <w:vAlign w:val="center"/>
                </w:tcPr>
                <w:p w14:paraId="2DE2A922">
                  <w:pPr>
                    <w:widowControl/>
                    <w:jc w:val="center"/>
                    <w:textAlignment w:val="bottom"/>
                    <w:rPr>
                      <w:kern w:val="0"/>
                      <w:sz w:val="21"/>
                      <w:szCs w:val="21"/>
                      <w:lang w:bidi="ar"/>
                    </w:rPr>
                  </w:pPr>
                </w:p>
              </w:tc>
            </w:tr>
            <w:tr w14:paraId="7AF75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4807524">
                  <w:pPr>
                    <w:widowControl/>
                    <w:jc w:val="center"/>
                    <w:textAlignment w:val="bottom"/>
                    <w:rPr>
                      <w:kern w:val="0"/>
                      <w:sz w:val="21"/>
                      <w:szCs w:val="21"/>
                      <w:lang w:bidi="ar"/>
                    </w:rPr>
                  </w:pPr>
                  <w:r>
                    <w:rPr>
                      <w:kern w:val="0"/>
                      <w:sz w:val="21"/>
                      <w:szCs w:val="21"/>
                      <w:lang w:bidi="ar"/>
                    </w:rPr>
                    <w:t>19</w:t>
                  </w:r>
                </w:p>
              </w:tc>
              <w:tc>
                <w:tcPr>
                  <w:tcW w:w="1588" w:type="pct"/>
                  <w:vAlign w:val="center"/>
                </w:tcPr>
                <w:p w14:paraId="66BDB47F">
                  <w:pPr>
                    <w:widowControl/>
                    <w:jc w:val="center"/>
                    <w:textAlignment w:val="center"/>
                    <w:rPr>
                      <w:kern w:val="0"/>
                      <w:sz w:val="21"/>
                      <w:szCs w:val="21"/>
                      <w:lang w:bidi="ar"/>
                    </w:rPr>
                  </w:pPr>
                  <w:r>
                    <w:rPr>
                      <w:kern w:val="0"/>
                      <w:sz w:val="21"/>
                      <w:szCs w:val="21"/>
                      <w:lang w:bidi="ar"/>
                    </w:rPr>
                    <w:t>EC肉汤</w:t>
                  </w:r>
                </w:p>
              </w:tc>
              <w:tc>
                <w:tcPr>
                  <w:tcW w:w="773" w:type="pct"/>
                  <w:vAlign w:val="center"/>
                </w:tcPr>
                <w:p w14:paraId="08A5B045">
                  <w:pPr>
                    <w:widowControl/>
                    <w:jc w:val="center"/>
                    <w:textAlignment w:val="center"/>
                    <w:rPr>
                      <w:kern w:val="0"/>
                      <w:sz w:val="21"/>
                      <w:szCs w:val="21"/>
                      <w:lang w:bidi="ar"/>
                    </w:rPr>
                  </w:pPr>
                  <w:r>
                    <w:rPr>
                      <w:kern w:val="0"/>
                      <w:sz w:val="21"/>
                      <w:szCs w:val="21"/>
                      <w:lang w:bidi="ar"/>
                    </w:rPr>
                    <w:t>250g/瓶</w:t>
                  </w:r>
                </w:p>
              </w:tc>
              <w:tc>
                <w:tcPr>
                  <w:tcW w:w="562" w:type="pct"/>
                  <w:vAlign w:val="center"/>
                </w:tcPr>
                <w:p w14:paraId="47EF90A4">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4F6F9D79">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623F8297">
                  <w:pPr>
                    <w:widowControl/>
                    <w:jc w:val="center"/>
                    <w:textAlignment w:val="bottom"/>
                    <w:rPr>
                      <w:kern w:val="0"/>
                      <w:sz w:val="21"/>
                      <w:szCs w:val="21"/>
                      <w:lang w:bidi="ar"/>
                    </w:rPr>
                  </w:pPr>
                </w:p>
              </w:tc>
              <w:tc>
                <w:tcPr>
                  <w:tcW w:w="426" w:type="pct"/>
                  <w:vMerge w:val="continue"/>
                  <w:vAlign w:val="center"/>
                </w:tcPr>
                <w:p w14:paraId="30FD7092">
                  <w:pPr>
                    <w:widowControl/>
                    <w:jc w:val="center"/>
                    <w:textAlignment w:val="bottom"/>
                    <w:rPr>
                      <w:kern w:val="0"/>
                      <w:sz w:val="21"/>
                      <w:szCs w:val="21"/>
                      <w:lang w:bidi="ar"/>
                    </w:rPr>
                  </w:pPr>
                </w:p>
              </w:tc>
            </w:tr>
            <w:tr w14:paraId="3BADB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371B140">
                  <w:pPr>
                    <w:widowControl/>
                    <w:jc w:val="center"/>
                    <w:textAlignment w:val="bottom"/>
                    <w:rPr>
                      <w:kern w:val="0"/>
                      <w:sz w:val="21"/>
                      <w:szCs w:val="21"/>
                      <w:lang w:bidi="ar"/>
                    </w:rPr>
                  </w:pPr>
                  <w:r>
                    <w:rPr>
                      <w:kern w:val="0"/>
                      <w:sz w:val="21"/>
                      <w:szCs w:val="21"/>
                      <w:lang w:bidi="ar"/>
                    </w:rPr>
                    <w:t>20</w:t>
                  </w:r>
                </w:p>
              </w:tc>
              <w:tc>
                <w:tcPr>
                  <w:tcW w:w="1588" w:type="pct"/>
                  <w:vAlign w:val="center"/>
                </w:tcPr>
                <w:p w14:paraId="611C16C2">
                  <w:pPr>
                    <w:widowControl/>
                    <w:jc w:val="center"/>
                    <w:textAlignment w:val="center"/>
                    <w:rPr>
                      <w:kern w:val="0"/>
                      <w:sz w:val="21"/>
                      <w:szCs w:val="21"/>
                      <w:lang w:bidi="ar"/>
                    </w:rPr>
                  </w:pPr>
                  <w:r>
                    <w:rPr>
                      <w:kern w:val="0"/>
                      <w:sz w:val="21"/>
                      <w:szCs w:val="21"/>
                      <w:lang w:bidi="ar"/>
                    </w:rPr>
                    <w:t>L-半胱氨酸盐酸盐溶液</w:t>
                  </w:r>
                </w:p>
              </w:tc>
              <w:tc>
                <w:tcPr>
                  <w:tcW w:w="773" w:type="pct"/>
                  <w:vAlign w:val="center"/>
                </w:tcPr>
                <w:p w14:paraId="02F7670B">
                  <w:pPr>
                    <w:widowControl/>
                    <w:jc w:val="center"/>
                    <w:textAlignment w:val="center"/>
                    <w:rPr>
                      <w:kern w:val="0"/>
                      <w:sz w:val="21"/>
                      <w:szCs w:val="21"/>
                      <w:lang w:bidi="ar"/>
                    </w:rPr>
                  </w:pPr>
                  <w:r>
                    <w:rPr>
                      <w:kern w:val="0"/>
                      <w:sz w:val="21"/>
                      <w:szCs w:val="21"/>
                      <w:lang w:bidi="ar"/>
                    </w:rPr>
                    <w:t>100mL/瓶</w:t>
                  </w:r>
                </w:p>
              </w:tc>
              <w:tc>
                <w:tcPr>
                  <w:tcW w:w="562" w:type="pct"/>
                  <w:vAlign w:val="center"/>
                </w:tcPr>
                <w:p w14:paraId="6DBAAB69">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19FC91A7">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48030CC5">
                  <w:pPr>
                    <w:widowControl/>
                    <w:jc w:val="center"/>
                    <w:textAlignment w:val="bottom"/>
                    <w:rPr>
                      <w:kern w:val="0"/>
                      <w:sz w:val="21"/>
                      <w:szCs w:val="21"/>
                      <w:lang w:bidi="ar"/>
                    </w:rPr>
                  </w:pPr>
                </w:p>
              </w:tc>
              <w:tc>
                <w:tcPr>
                  <w:tcW w:w="426" w:type="pct"/>
                  <w:vMerge w:val="continue"/>
                  <w:vAlign w:val="center"/>
                </w:tcPr>
                <w:p w14:paraId="5E5237D3">
                  <w:pPr>
                    <w:widowControl/>
                    <w:jc w:val="center"/>
                    <w:textAlignment w:val="bottom"/>
                    <w:rPr>
                      <w:kern w:val="0"/>
                      <w:sz w:val="21"/>
                      <w:szCs w:val="21"/>
                      <w:lang w:bidi="ar"/>
                    </w:rPr>
                  </w:pPr>
                </w:p>
              </w:tc>
            </w:tr>
            <w:tr w14:paraId="46561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650C440">
                  <w:pPr>
                    <w:widowControl/>
                    <w:jc w:val="center"/>
                    <w:textAlignment w:val="bottom"/>
                    <w:rPr>
                      <w:kern w:val="0"/>
                      <w:sz w:val="21"/>
                      <w:szCs w:val="21"/>
                      <w:lang w:bidi="ar"/>
                    </w:rPr>
                  </w:pPr>
                  <w:r>
                    <w:rPr>
                      <w:kern w:val="0"/>
                      <w:sz w:val="21"/>
                      <w:szCs w:val="21"/>
                      <w:lang w:bidi="ar"/>
                    </w:rPr>
                    <w:t>21</w:t>
                  </w:r>
                </w:p>
              </w:tc>
              <w:tc>
                <w:tcPr>
                  <w:tcW w:w="1588" w:type="pct"/>
                  <w:vAlign w:val="center"/>
                </w:tcPr>
                <w:p w14:paraId="7CFC809E">
                  <w:pPr>
                    <w:widowControl/>
                    <w:jc w:val="center"/>
                    <w:textAlignment w:val="center"/>
                    <w:rPr>
                      <w:kern w:val="0"/>
                      <w:sz w:val="21"/>
                      <w:szCs w:val="21"/>
                      <w:lang w:bidi="ar"/>
                    </w:rPr>
                  </w:pPr>
                  <w:r>
                    <w:rPr>
                      <w:kern w:val="0"/>
                      <w:sz w:val="21"/>
                      <w:szCs w:val="21"/>
                      <w:lang w:bidi="ar"/>
                    </w:rPr>
                    <w:t>MFC琼脂培养基</w:t>
                  </w:r>
                </w:p>
              </w:tc>
              <w:tc>
                <w:tcPr>
                  <w:tcW w:w="773" w:type="pct"/>
                  <w:vAlign w:val="center"/>
                </w:tcPr>
                <w:p w14:paraId="1D61C7E1">
                  <w:pPr>
                    <w:widowControl/>
                    <w:jc w:val="center"/>
                    <w:textAlignment w:val="center"/>
                    <w:rPr>
                      <w:kern w:val="0"/>
                      <w:sz w:val="21"/>
                      <w:szCs w:val="21"/>
                      <w:lang w:bidi="ar"/>
                    </w:rPr>
                  </w:pPr>
                  <w:r>
                    <w:rPr>
                      <w:kern w:val="0"/>
                      <w:sz w:val="21"/>
                      <w:szCs w:val="21"/>
                      <w:lang w:bidi="ar"/>
                    </w:rPr>
                    <w:t>250g/瓶</w:t>
                  </w:r>
                </w:p>
              </w:tc>
              <w:tc>
                <w:tcPr>
                  <w:tcW w:w="562" w:type="pct"/>
                  <w:vAlign w:val="center"/>
                </w:tcPr>
                <w:p w14:paraId="4197C566">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1D29428D">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00D43800">
                  <w:pPr>
                    <w:widowControl/>
                    <w:jc w:val="center"/>
                    <w:textAlignment w:val="bottom"/>
                    <w:rPr>
                      <w:kern w:val="0"/>
                      <w:sz w:val="21"/>
                      <w:szCs w:val="21"/>
                      <w:lang w:bidi="ar"/>
                    </w:rPr>
                  </w:pPr>
                </w:p>
              </w:tc>
              <w:tc>
                <w:tcPr>
                  <w:tcW w:w="426" w:type="pct"/>
                  <w:vMerge w:val="continue"/>
                  <w:vAlign w:val="center"/>
                </w:tcPr>
                <w:p w14:paraId="3115918C">
                  <w:pPr>
                    <w:widowControl/>
                    <w:jc w:val="center"/>
                    <w:textAlignment w:val="bottom"/>
                    <w:rPr>
                      <w:kern w:val="0"/>
                      <w:sz w:val="21"/>
                      <w:szCs w:val="21"/>
                      <w:lang w:bidi="ar"/>
                    </w:rPr>
                  </w:pPr>
                </w:p>
              </w:tc>
            </w:tr>
            <w:tr w14:paraId="5C56A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093CA8E">
                  <w:pPr>
                    <w:widowControl/>
                    <w:jc w:val="center"/>
                    <w:textAlignment w:val="bottom"/>
                    <w:rPr>
                      <w:kern w:val="0"/>
                      <w:sz w:val="21"/>
                      <w:szCs w:val="21"/>
                      <w:lang w:bidi="ar"/>
                    </w:rPr>
                  </w:pPr>
                  <w:r>
                    <w:rPr>
                      <w:kern w:val="0"/>
                      <w:sz w:val="21"/>
                      <w:szCs w:val="21"/>
                      <w:lang w:bidi="ar"/>
                    </w:rPr>
                    <w:t>22</w:t>
                  </w:r>
                </w:p>
              </w:tc>
              <w:tc>
                <w:tcPr>
                  <w:tcW w:w="1588" w:type="pct"/>
                  <w:vAlign w:val="center"/>
                </w:tcPr>
                <w:p w14:paraId="22F04DDA">
                  <w:pPr>
                    <w:widowControl/>
                    <w:jc w:val="center"/>
                    <w:textAlignment w:val="center"/>
                    <w:rPr>
                      <w:kern w:val="0"/>
                      <w:sz w:val="21"/>
                      <w:szCs w:val="21"/>
                      <w:lang w:bidi="ar"/>
                    </w:rPr>
                  </w:pPr>
                  <w:r>
                    <w:rPr>
                      <w:kern w:val="0"/>
                      <w:sz w:val="21"/>
                      <w:szCs w:val="21"/>
                      <w:lang w:bidi="ar"/>
                    </w:rPr>
                    <w:t>MUG营养琼脂培养基</w:t>
                  </w:r>
                </w:p>
              </w:tc>
              <w:tc>
                <w:tcPr>
                  <w:tcW w:w="773" w:type="pct"/>
                  <w:vAlign w:val="center"/>
                </w:tcPr>
                <w:p w14:paraId="7BDB1FAD">
                  <w:pPr>
                    <w:widowControl/>
                    <w:jc w:val="center"/>
                    <w:textAlignment w:val="center"/>
                    <w:rPr>
                      <w:kern w:val="0"/>
                      <w:sz w:val="21"/>
                      <w:szCs w:val="21"/>
                      <w:lang w:bidi="ar"/>
                    </w:rPr>
                  </w:pPr>
                  <w:r>
                    <w:rPr>
                      <w:kern w:val="0"/>
                      <w:sz w:val="21"/>
                      <w:szCs w:val="21"/>
                      <w:lang w:bidi="ar"/>
                    </w:rPr>
                    <w:t>250g/瓶</w:t>
                  </w:r>
                </w:p>
              </w:tc>
              <w:tc>
                <w:tcPr>
                  <w:tcW w:w="562" w:type="pct"/>
                  <w:vAlign w:val="center"/>
                </w:tcPr>
                <w:p w14:paraId="1A203751">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18F5E553">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177119C1">
                  <w:pPr>
                    <w:widowControl/>
                    <w:jc w:val="center"/>
                    <w:textAlignment w:val="bottom"/>
                    <w:rPr>
                      <w:kern w:val="0"/>
                      <w:sz w:val="21"/>
                      <w:szCs w:val="21"/>
                      <w:lang w:bidi="ar"/>
                    </w:rPr>
                  </w:pPr>
                </w:p>
              </w:tc>
              <w:tc>
                <w:tcPr>
                  <w:tcW w:w="426" w:type="pct"/>
                  <w:vMerge w:val="continue"/>
                  <w:vAlign w:val="center"/>
                </w:tcPr>
                <w:p w14:paraId="41DC0A6E">
                  <w:pPr>
                    <w:widowControl/>
                    <w:jc w:val="center"/>
                    <w:textAlignment w:val="bottom"/>
                    <w:rPr>
                      <w:kern w:val="0"/>
                      <w:sz w:val="21"/>
                      <w:szCs w:val="21"/>
                      <w:lang w:bidi="ar"/>
                    </w:rPr>
                  </w:pPr>
                </w:p>
              </w:tc>
            </w:tr>
            <w:tr w14:paraId="289AC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97FCDA5">
                  <w:pPr>
                    <w:widowControl/>
                    <w:jc w:val="center"/>
                    <w:textAlignment w:val="bottom"/>
                    <w:rPr>
                      <w:kern w:val="0"/>
                      <w:sz w:val="21"/>
                      <w:szCs w:val="21"/>
                      <w:lang w:bidi="ar"/>
                    </w:rPr>
                  </w:pPr>
                  <w:r>
                    <w:rPr>
                      <w:kern w:val="0"/>
                      <w:sz w:val="21"/>
                      <w:szCs w:val="21"/>
                      <w:lang w:bidi="ar"/>
                    </w:rPr>
                    <w:t>23</w:t>
                  </w:r>
                </w:p>
              </w:tc>
              <w:tc>
                <w:tcPr>
                  <w:tcW w:w="1588" w:type="pct"/>
                  <w:vAlign w:val="center"/>
                </w:tcPr>
                <w:p w14:paraId="7387DEB3">
                  <w:pPr>
                    <w:widowControl/>
                    <w:jc w:val="center"/>
                    <w:textAlignment w:val="center"/>
                    <w:rPr>
                      <w:kern w:val="0"/>
                      <w:sz w:val="21"/>
                      <w:szCs w:val="21"/>
                      <w:lang w:bidi="ar"/>
                    </w:rPr>
                  </w:pPr>
                  <w:r>
                    <w:rPr>
                      <w:kern w:val="0"/>
                      <w:sz w:val="21"/>
                      <w:szCs w:val="21"/>
                      <w:lang w:bidi="ar"/>
                    </w:rPr>
                    <w:t>聚乙烯醇磷酸铵</w:t>
                  </w:r>
                </w:p>
              </w:tc>
              <w:tc>
                <w:tcPr>
                  <w:tcW w:w="773" w:type="pct"/>
                  <w:vAlign w:val="center"/>
                </w:tcPr>
                <w:p w14:paraId="22F3031F">
                  <w:pPr>
                    <w:widowControl/>
                    <w:jc w:val="center"/>
                    <w:textAlignment w:val="center"/>
                    <w:rPr>
                      <w:kern w:val="0"/>
                      <w:sz w:val="21"/>
                      <w:szCs w:val="21"/>
                      <w:lang w:bidi="ar"/>
                    </w:rPr>
                  </w:pPr>
                  <w:r>
                    <w:rPr>
                      <w:kern w:val="0"/>
                      <w:sz w:val="21"/>
                      <w:szCs w:val="21"/>
                      <w:lang w:bidi="ar"/>
                    </w:rPr>
                    <w:t>25g/瓶</w:t>
                  </w:r>
                </w:p>
              </w:tc>
              <w:tc>
                <w:tcPr>
                  <w:tcW w:w="562" w:type="pct"/>
                  <w:vAlign w:val="center"/>
                </w:tcPr>
                <w:p w14:paraId="2794EF98">
                  <w:pPr>
                    <w:widowControl/>
                    <w:jc w:val="center"/>
                    <w:textAlignment w:val="center"/>
                    <w:rPr>
                      <w:kern w:val="0"/>
                      <w:sz w:val="21"/>
                      <w:szCs w:val="21"/>
                      <w:lang w:bidi="ar"/>
                    </w:rPr>
                  </w:pPr>
                  <w:r>
                    <w:rPr>
                      <w:kern w:val="0"/>
                      <w:sz w:val="21"/>
                      <w:szCs w:val="21"/>
                      <w:lang w:bidi="ar"/>
                    </w:rPr>
                    <w:t>13</w:t>
                  </w:r>
                  <w:r>
                    <w:rPr>
                      <w:rFonts w:hint="eastAsia"/>
                      <w:kern w:val="0"/>
                      <w:sz w:val="21"/>
                      <w:szCs w:val="21"/>
                      <w:lang w:bidi="ar"/>
                    </w:rPr>
                    <w:t>瓶</w:t>
                  </w:r>
                </w:p>
              </w:tc>
              <w:tc>
                <w:tcPr>
                  <w:tcW w:w="740" w:type="pct"/>
                  <w:vAlign w:val="center"/>
                </w:tcPr>
                <w:p w14:paraId="4C9909C4">
                  <w:pPr>
                    <w:widowControl/>
                    <w:jc w:val="center"/>
                    <w:textAlignment w:val="center"/>
                    <w:rPr>
                      <w:kern w:val="0"/>
                      <w:sz w:val="21"/>
                      <w:szCs w:val="21"/>
                      <w:lang w:bidi="ar"/>
                    </w:rPr>
                  </w:pPr>
                  <w:r>
                    <w:rPr>
                      <w:kern w:val="0"/>
                      <w:sz w:val="21"/>
                      <w:szCs w:val="21"/>
                      <w:lang w:bidi="ar"/>
                    </w:rPr>
                    <w:t>5</w:t>
                  </w:r>
                  <w:r>
                    <w:rPr>
                      <w:rFonts w:hint="eastAsia"/>
                      <w:kern w:val="0"/>
                      <w:sz w:val="21"/>
                      <w:szCs w:val="21"/>
                      <w:lang w:bidi="ar"/>
                    </w:rPr>
                    <w:t>瓶</w:t>
                  </w:r>
                </w:p>
              </w:tc>
              <w:tc>
                <w:tcPr>
                  <w:tcW w:w="554" w:type="pct"/>
                  <w:vMerge w:val="continue"/>
                  <w:vAlign w:val="center"/>
                </w:tcPr>
                <w:p w14:paraId="7108DB86">
                  <w:pPr>
                    <w:widowControl/>
                    <w:jc w:val="center"/>
                    <w:textAlignment w:val="bottom"/>
                    <w:rPr>
                      <w:kern w:val="0"/>
                      <w:sz w:val="21"/>
                      <w:szCs w:val="21"/>
                      <w:lang w:bidi="ar"/>
                    </w:rPr>
                  </w:pPr>
                </w:p>
              </w:tc>
              <w:tc>
                <w:tcPr>
                  <w:tcW w:w="426" w:type="pct"/>
                  <w:vMerge w:val="continue"/>
                  <w:vAlign w:val="center"/>
                </w:tcPr>
                <w:p w14:paraId="0C78E052">
                  <w:pPr>
                    <w:widowControl/>
                    <w:jc w:val="center"/>
                    <w:textAlignment w:val="bottom"/>
                    <w:rPr>
                      <w:kern w:val="0"/>
                      <w:sz w:val="21"/>
                      <w:szCs w:val="21"/>
                      <w:lang w:bidi="ar"/>
                    </w:rPr>
                  </w:pPr>
                </w:p>
              </w:tc>
            </w:tr>
            <w:tr w14:paraId="2441D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54" w:type="pct"/>
                  <w:vAlign w:val="center"/>
                </w:tcPr>
                <w:p w14:paraId="593BCEB0">
                  <w:pPr>
                    <w:widowControl/>
                    <w:jc w:val="center"/>
                    <w:textAlignment w:val="bottom"/>
                    <w:rPr>
                      <w:kern w:val="0"/>
                      <w:sz w:val="21"/>
                      <w:szCs w:val="21"/>
                      <w:lang w:bidi="ar"/>
                    </w:rPr>
                  </w:pPr>
                  <w:r>
                    <w:rPr>
                      <w:kern w:val="0"/>
                      <w:sz w:val="21"/>
                      <w:szCs w:val="21"/>
                      <w:lang w:bidi="ar"/>
                    </w:rPr>
                    <w:t>24</w:t>
                  </w:r>
                </w:p>
              </w:tc>
              <w:tc>
                <w:tcPr>
                  <w:tcW w:w="1588" w:type="pct"/>
                  <w:vAlign w:val="center"/>
                </w:tcPr>
                <w:p w14:paraId="2258F991">
                  <w:pPr>
                    <w:widowControl/>
                    <w:jc w:val="center"/>
                    <w:textAlignment w:val="center"/>
                    <w:rPr>
                      <w:kern w:val="0"/>
                      <w:sz w:val="21"/>
                      <w:szCs w:val="21"/>
                      <w:lang w:bidi="ar"/>
                    </w:rPr>
                  </w:pPr>
                  <w:r>
                    <w:rPr>
                      <w:kern w:val="0"/>
                      <w:sz w:val="21"/>
                      <w:szCs w:val="21"/>
                      <w:lang w:bidi="ar"/>
                    </w:rPr>
                    <w:t>氨基磺酸</w:t>
                  </w:r>
                </w:p>
              </w:tc>
              <w:tc>
                <w:tcPr>
                  <w:tcW w:w="773" w:type="pct"/>
                  <w:vAlign w:val="center"/>
                </w:tcPr>
                <w:p w14:paraId="1695A65D">
                  <w:pPr>
                    <w:widowControl/>
                    <w:jc w:val="center"/>
                    <w:textAlignment w:val="center"/>
                    <w:rPr>
                      <w:kern w:val="0"/>
                      <w:sz w:val="21"/>
                      <w:szCs w:val="21"/>
                      <w:lang w:bidi="ar"/>
                    </w:rPr>
                  </w:pPr>
                  <w:r>
                    <w:rPr>
                      <w:kern w:val="0"/>
                      <w:sz w:val="21"/>
                      <w:szCs w:val="21"/>
                      <w:lang w:bidi="ar"/>
                    </w:rPr>
                    <w:t>25g/瓶</w:t>
                  </w:r>
                </w:p>
              </w:tc>
              <w:tc>
                <w:tcPr>
                  <w:tcW w:w="562" w:type="pct"/>
                  <w:vAlign w:val="center"/>
                </w:tcPr>
                <w:p w14:paraId="1459201E">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BA68730">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25089427">
                  <w:pPr>
                    <w:widowControl/>
                    <w:jc w:val="center"/>
                    <w:textAlignment w:val="bottom"/>
                    <w:rPr>
                      <w:kern w:val="0"/>
                      <w:sz w:val="21"/>
                      <w:szCs w:val="21"/>
                      <w:lang w:bidi="ar"/>
                    </w:rPr>
                  </w:pPr>
                </w:p>
              </w:tc>
              <w:tc>
                <w:tcPr>
                  <w:tcW w:w="426" w:type="pct"/>
                  <w:vMerge w:val="continue"/>
                  <w:vAlign w:val="center"/>
                </w:tcPr>
                <w:p w14:paraId="5728C0D9">
                  <w:pPr>
                    <w:widowControl/>
                    <w:jc w:val="center"/>
                    <w:textAlignment w:val="bottom"/>
                    <w:rPr>
                      <w:kern w:val="0"/>
                      <w:sz w:val="21"/>
                      <w:szCs w:val="21"/>
                      <w:lang w:bidi="ar"/>
                    </w:rPr>
                  </w:pPr>
                </w:p>
              </w:tc>
            </w:tr>
            <w:tr w14:paraId="5A53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9A79189">
                  <w:pPr>
                    <w:widowControl/>
                    <w:jc w:val="center"/>
                    <w:textAlignment w:val="bottom"/>
                    <w:rPr>
                      <w:kern w:val="0"/>
                      <w:sz w:val="21"/>
                      <w:szCs w:val="21"/>
                      <w:lang w:bidi="ar"/>
                    </w:rPr>
                  </w:pPr>
                  <w:r>
                    <w:rPr>
                      <w:kern w:val="0"/>
                      <w:sz w:val="21"/>
                      <w:szCs w:val="21"/>
                      <w:lang w:bidi="ar"/>
                    </w:rPr>
                    <w:t>25</w:t>
                  </w:r>
                </w:p>
              </w:tc>
              <w:tc>
                <w:tcPr>
                  <w:tcW w:w="1588" w:type="pct"/>
                  <w:vAlign w:val="center"/>
                </w:tcPr>
                <w:p w14:paraId="31B26D89">
                  <w:pPr>
                    <w:widowControl/>
                    <w:jc w:val="center"/>
                    <w:textAlignment w:val="center"/>
                    <w:rPr>
                      <w:sz w:val="21"/>
                      <w:szCs w:val="21"/>
                    </w:rPr>
                  </w:pPr>
                  <w:r>
                    <w:rPr>
                      <w:kern w:val="0"/>
                      <w:sz w:val="21"/>
                      <w:szCs w:val="21"/>
                      <w:lang w:bidi="ar"/>
                    </w:rPr>
                    <w:t>氨水</w:t>
                  </w:r>
                  <w:r>
                    <w:rPr>
                      <w:rFonts w:hint="eastAsia"/>
                      <w:kern w:val="0"/>
                      <w:sz w:val="21"/>
                      <w:szCs w:val="21"/>
                      <w:lang w:bidi="ar"/>
                    </w:rPr>
                    <w:t>（25%-28%）</w:t>
                  </w:r>
                </w:p>
              </w:tc>
              <w:tc>
                <w:tcPr>
                  <w:tcW w:w="773" w:type="pct"/>
                  <w:vAlign w:val="center"/>
                </w:tcPr>
                <w:p w14:paraId="65D79C29">
                  <w:pPr>
                    <w:widowControl/>
                    <w:jc w:val="center"/>
                    <w:textAlignment w:val="center"/>
                    <w:rPr>
                      <w:sz w:val="21"/>
                      <w:szCs w:val="21"/>
                    </w:rPr>
                  </w:pPr>
                  <w:r>
                    <w:rPr>
                      <w:kern w:val="0"/>
                      <w:sz w:val="21"/>
                      <w:szCs w:val="21"/>
                      <w:lang w:bidi="ar"/>
                    </w:rPr>
                    <w:t>500mL/瓶</w:t>
                  </w:r>
                </w:p>
              </w:tc>
              <w:tc>
                <w:tcPr>
                  <w:tcW w:w="562" w:type="pct"/>
                  <w:vAlign w:val="center"/>
                </w:tcPr>
                <w:p w14:paraId="18BA5B33">
                  <w:pPr>
                    <w:widowControl/>
                    <w:jc w:val="center"/>
                    <w:textAlignment w:val="center"/>
                    <w:rPr>
                      <w:kern w:val="0"/>
                      <w:sz w:val="21"/>
                      <w:szCs w:val="21"/>
                      <w:lang w:bidi="ar"/>
                    </w:rPr>
                  </w:pPr>
                  <w:r>
                    <w:rPr>
                      <w:kern w:val="0"/>
                      <w:sz w:val="21"/>
                      <w:szCs w:val="21"/>
                      <w:lang w:bidi="ar"/>
                    </w:rPr>
                    <w:t>4</w:t>
                  </w:r>
                  <w:r>
                    <w:rPr>
                      <w:rFonts w:hint="eastAsia"/>
                      <w:kern w:val="0"/>
                      <w:sz w:val="21"/>
                      <w:szCs w:val="21"/>
                      <w:lang w:bidi="ar"/>
                    </w:rPr>
                    <w:t>瓶</w:t>
                  </w:r>
                </w:p>
              </w:tc>
              <w:tc>
                <w:tcPr>
                  <w:tcW w:w="740" w:type="pct"/>
                  <w:vAlign w:val="center"/>
                </w:tcPr>
                <w:p w14:paraId="7C45E276">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6BA1AD82">
                  <w:pPr>
                    <w:widowControl/>
                    <w:jc w:val="center"/>
                    <w:textAlignment w:val="bottom"/>
                    <w:rPr>
                      <w:kern w:val="0"/>
                      <w:sz w:val="21"/>
                      <w:szCs w:val="21"/>
                      <w:lang w:bidi="ar"/>
                    </w:rPr>
                  </w:pPr>
                </w:p>
              </w:tc>
              <w:tc>
                <w:tcPr>
                  <w:tcW w:w="426" w:type="pct"/>
                  <w:vMerge w:val="continue"/>
                  <w:vAlign w:val="center"/>
                </w:tcPr>
                <w:p w14:paraId="48D0083A">
                  <w:pPr>
                    <w:widowControl/>
                    <w:jc w:val="center"/>
                    <w:textAlignment w:val="bottom"/>
                    <w:rPr>
                      <w:kern w:val="0"/>
                      <w:sz w:val="21"/>
                      <w:szCs w:val="21"/>
                      <w:lang w:bidi="ar"/>
                    </w:rPr>
                  </w:pPr>
                </w:p>
              </w:tc>
            </w:tr>
            <w:tr w14:paraId="3D35E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69695AF">
                  <w:pPr>
                    <w:widowControl/>
                    <w:jc w:val="center"/>
                    <w:textAlignment w:val="bottom"/>
                    <w:rPr>
                      <w:kern w:val="0"/>
                      <w:sz w:val="21"/>
                      <w:szCs w:val="21"/>
                      <w:lang w:bidi="ar"/>
                    </w:rPr>
                  </w:pPr>
                  <w:r>
                    <w:rPr>
                      <w:kern w:val="0"/>
                      <w:sz w:val="21"/>
                      <w:szCs w:val="21"/>
                      <w:lang w:bidi="ar"/>
                    </w:rPr>
                    <w:t>26</w:t>
                  </w:r>
                </w:p>
              </w:tc>
              <w:tc>
                <w:tcPr>
                  <w:tcW w:w="1588" w:type="pct"/>
                  <w:vAlign w:val="center"/>
                </w:tcPr>
                <w:p w14:paraId="3946C1FA">
                  <w:pPr>
                    <w:widowControl/>
                    <w:jc w:val="center"/>
                    <w:textAlignment w:val="center"/>
                    <w:rPr>
                      <w:sz w:val="21"/>
                      <w:szCs w:val="21"/>
                    </w:rPr>
                  </w:pPr>
                  <w:r>
                    <w:rPr>
                      <w:kern w:val="0"/>
                      <w:sz w:val="21"/>
                      <w:szCs w:val="21"/>
                      <w:lang w:bidi="ar"/>
                    </w:rPr>
                    <w:t>变色硅胶</w:t>
                  </w:r>
                </w:p>
              </w:tc>
              <w:tc>
                <w:tcPr>
                  <w:tcW w:w="773" w:type="pct"/>
                  <w:vAlign w:val="center"/>
                </w:tcPr>
                <w:p w14:paraId="13A7C61D">
                  <w:pPr>
                    <w:widowControl/>
                    <w:jc w:val="center"/>
                    <w:textAlignment w:val="center"/>
                    <w:rPr>
                      <w:sz w:val="21"/>
                      <w:szCs w:val="21"/>
                    </w:rPr>
                  </w:pPr>
                  <w:r>
                    <w:rPr>
                      <w:kern w:val="0"/>
                      <w:sz w:val="21"/>
                      <w:szCs w:val="21"/>
                      <w:lang w:bidi="ar"/>
                    </w:rPr>
                    <w:t>500g/瓶</w:t>
                  </w:r>
                </w:p>
              </w:tc>
              <w:tc>
                <w:tcPr>
                  <w:tcW w:w="562" w:type="pct"/>
                  <w:vAlign w:val="center"/>
                </w:tcPr>
                <w:p w14:paraId="5BA829BA">
                  <w:pPr>
                    <w:widowControl/>
                    <w:jc w:val="center"/>
                    <w:textAlignment w:val="center"/>
                    <w:rPr>
                      <w:sz w:val="21"/>
                      <w:szCs w:val="21"/>
                    </w:rPr>
                  </w:pPr>
                  <w:r>
                    <w:rPr>
                      <w:kern w:val="0"/>
                      <w:sz w:val="21"/>
                      <w:szCs w:val="21"/>
                      <w:lang w:bidi="ar"/>
                    </w:rPr>
                    <w:t>31</w:t>
                  </w:r>
                  <w:r>
                    <w:rPr>
                      <w:rFonts w:hint="eastAsia"/>
                      <w:kern w:val="0"/>
                      <w:sz w:val="21"/>
                      <w:szCs w:val="21"/>
                      <w:lang w:bidi="ar"/>
                    </w:rPr>
                    <w:t>瓶</w:t>
                  </w:r>
                </w:p>
              </w:tc>
              <w:tc>
                <w:tcPr>
                  <w:tcW w:w="740" w:type="pct"/>
                  <w:vAlign w:val="center"/>
                </w:tcPr>
                <w:p w14:paraId="06C9C3D2">
                  <w:pPr>
                    <w:widowControl/>
                    <w:jc w:val="center"/>
                    <w:textAlignment w:val="center"/>
                    <w:rPr>
                      <w:kern w:val="0"/>
                      <w:sz w:val="21"/>
                      <w:szCs w:val="21"/>
                      <w:lang w:bidi="ar"/>
                    </w:rPr>
                  </w:pPr>
                  <w:r>
                    <w:rPr>
                      <w:rFonts w:hint="eastAsia"/>
                      <w:kern w:val="0"/>
                      <w:sz w:val="21"/>
                      <w:szCs w:val="21"/>
                      <w:lang w:bidi="ar"/>
                    </w:rPr>
                    <w:t>10瓶</w:t>
                  </w:r>
                </w:p>
              </w:tc>
              <w:tc>
                <w:tcPr>
                  <w:tcW w:w="554" w:type="pct"/>
                  <w:vMerge w:val="continue"/>
                  <w:vAlign w:val="center"/>
                </w:tcPr>
                <w:p w14:paraId="5B186D04">
                  <w:pPr>
                    <w:widowControl/>
                    <w:jc w:val="center"/>
                    <w:textAlignment w:val="bottom"/>
                    <w:rPr>
                      <w:kern w:val="0"/>
                      <w:sz w:val="21"/>
                      <w:szCs w:val="21"/>
                      <w:lang w:bidi="ar"/>
                    </w:rPr>
                  </w:pPr>
                </w:p>
              </w:tc>
              <w:tc>
                <w:tcPr>
                  <w:tcW w:w="426" w:type="pct"/>
                  <w:vMerge w:val="continue"/>
                  <w:vAlign w:val="center"/>
                </w:tcPr>
                <w:p w14:paraId="3A82AEF9">
                  <w:pPr>
                    <w:widowControl/>
                    <w:jc w:val="center"/>
                    <w:textAlignment w:val="bottom"/>
                    <w:rPr>
                      <w:kern w:val="0"/>
                      <w:sz w:val="21"/>
                      <w:szCs w:val="21"/>
                      <w:lang w:bidi="ar"/>
                    </w:rPr>
                  </w:pPr>
                </w:p>
              </w:tc>
            </w:tr>
            <w:tr w14:paraId="5C84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F2E691C">
                  <w:pPr>
                    <w:widowControl/>
                    <w:jc w:val="center"/>
                    <w:textAlignment w:val="bottom"/>
                    <w:rPr>
                      <w:kern w:val="0"/>
                      <w:sz w:val="21"/>
                      <w:szCs w:val="21"/>
                      <w:lang w:bidi="ar"/>
                    </w:rPr>
                  </w:pPr>
                  <w:r>
                    <w:rPr>
                      <w:kern w:val="0"/>
                      <w:sz w:val="21"/>
                      <w:szCs w:val="21"/>
                      <w:lang w:bidi="ar"/>
                    </w:rPr>
                    <w:t>27</w:t>
                  </w:r>
                </w:p>
              </w:tc>
              <w:tc>
                <w:tcPr>
                  <w:tcW w:w="1588" w:type="pct"/>
                  <w:vAlign w:val="center"/>
                </w:tcPr>
                <w:p w14:paraId="13C99F27">
                  <w:pPr>
                    <w:widowControl/>
                    <w:jc w:val="center"/>
                    <w:textAlignment w:val="center"/>
                    <w:rPr>
                      <w:sz w:val="21"/>
                      <w:szCs w:val="21"/>
                    </w:rPr>
                  </w:pPr>
                  <w:r>
                    <w:rPr>
                      <w:kern w:val="0"/>
                      <w:sz w:val="21"/>
                      <w:szCs w:val="21"/>
                      <w:lang w:bidi="ar"/>
                    </w:rPr>
                    <w:t>冰乙酸</w:t>
                  </w:r>
                </w:p>
              </w:tc>
              <w:tc>
                <w:tcPr>
                  <w:tcW w:w="773" w:type="pct"/>
                  <w:vAlign w:val="center"/>
                </w:tcPr>
                <w:p w14:paraId="71040A2A">
                  <w:pPr>
                    <w:widowControl/>
                    <w:jc w:val="center"/>
                    <w:textAlignment w:val="center"/>
                    <w:rPr>
                      <w:sz w:val="21"/>
                      <w:szCs w:val="21"/>
                    </w:rPr>
                  </w:pPr>
                  <w:r>
                    <w:rPr>
                      <w:kern w:val="0"/>
                      <w:sz w:val="21"/>
                      <w:szCs w:val="21"/>
                      <w:lang w:bidi="ar"/>
                    </w:rPr>
                    <w:t>500mL/瓶</w:t>
                  </w:r>
                </w:p>
              </w:tc>
              <w:tc>
                <w:tcPr>
                  <w:tcW w:w="562" w:type="pct"/>
                  <w:vAlign w:val="center"/>
                </w:tcPr>
                <w:p w14:paraId="0D68C2FD">
                  <w:pPr>
                    <w:widowControl/>
                    <w:jc w:val="center"/>
                    <w:textAlignment w:val="center"/>
                    <w:rPr>
                      <w:sz w:val="21"/>
                      <w:szCs w:val="21"/>
                    </w:rPr>
                  </w:pPr>
                  <w:r>
                    <w:rPr>
                      <w:kern w:val="0"/>
                      <w:sz w:val="21"/>
                      <w:szCs w:val="21"/>
                      <w:lang w:bidi="ar"/>
                    </w:rPr>
                    <w:t>1</w:t>
                  </w:r>
                  <w:r>
                    <w:rPr>
                      <w:rFonts w:hint="eastAsia"/>
                      <w:kern w:val="0"/>
                      <w:sz w:val="21"/>
                      <w:szCs w:val="21"/>
                      <w:lang w:bidi="ar"/>
                    </w:rPr>
                    <w:t>6瓶</w:t>
                  </w:r>
                </w:p>
              </w:tc>
              <w:tc>
                <w:tcPr>
                  <w:tcW w:w="740" w:type="pct"/>
                  <w:vAlign w:val="center"/>
                </w:tcPr>
                <w:p w14:paraId="2CCA4E33">
                  <w:pPr>
                    <w:widowControl/>
                    <w:jc w:val="center"/>
                    <w:textAlignment w:val="center"/>
                    <w:rPr>
                      <w:kern w:val="0"/>
                      <w:sz w:val="21"/>
                      <w:szCs w:val="21"/>
                      <w:lang w:bidi="ar"/>
                    </w:rPr>
                  </w:pPr>
                  <w:r>
                    <w:rPr>
                      <w:rFonts w:hint="eastAsia"/>
                      <w:kern w:val="0"/>
                      <w:sz w:val="21"/>
                      <w:szCs w:val="21"/>
                      <w:lang w:bidi="ar"/>
                    </w:rPr>
                    <w:t>5瓶</w:t>
                  </w:r>
                </w:p>
              </w:tc>
              <w:tc>
                <w:tcPr>
                  <w:tcW w:w="554" w:type="pct"/>
                  <w:vMerge w:val="continue"/>
                  <w:vAlign w:val="center"/>
                </w:tcPr>
                <w:p w14:paraId="65412E70">
                  <w:pPr>
                    <w:widowControl/>
                    <w:jc w:val="center"/>
                    <w:textAlignment w:val="bottom"/>
                    <w:rPr>
                      <w:kern w:val="0"/>
                      <w:sz w:val="21"/>
                      <w:szCs w:val="21"/>
                      <w:lang w:bidi="ar"/>
                    </w:rPr>
                  </w:pPr>
                </w:p>
              </w:tc>
              <w:tc>
                <w:tcPr>
                  <w:tcW w:w="426" w:type="pct"/>
                  <w:vMerge w:val="continue"/>
                  <w:vAlign w:val="center"/>
                </w:tcPr>
                <w:p w14:paraId="0BC52341">
                  <w:pPr>
                    <w:widowControl/>
                    <w:jc w:val="center"/>
                    <w:textAlignment w:val="bottom"/>
                    <w:rPr>
                      <w:kern w:val="0"/>
                      <w:sz w:val="21"/>
                      <w:szCs w:val="21"/>
                      <w:lang w:bidi="ar"/>
                    </w:rPr>
                  </w:pPr>
                </w:p>
              </w:tc>
            </w:tr>
            <w:tr w14:paraId="45082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B6E1DCB">
                  <w:pPr>
                    <w:widowControl/>
                    <w:jc w:val="center"/>
                    <w:textAlignment w:val="bottom"/>
                    <w:rPr>
                      <w:kern w:val="0"/>
                      <w:sz w:val="21"/>
                      <w:szCs w:val="21"/>
                      <w:lang w:bidi="ar"/>
                    </w:rPr>
                  </w:pPr>
                  <w:r>
                    <w:rPr>
                      <w:rFonts w:hint="eastAsia"/>
                      <w:kern w:val="0"/>
                      <w:sz w:val="21"/>
                      <w:szCs w:val="21"/>
                      <w:lang w:bidi="ar"/>
                    </w:rPr>
                    <w:t>28</w:t>
                  </w:r>
                </w:p>
              </w:tc>
              <w:tc>
                <w:tcPr>
                  <w:tcW w:w="1588" w:type="pct"/>
                  <w:vAlign w:val="center"/>
                </w:tcPr>
                <w:p w14:paraId="6A2E0DF8">
                  <w:pPr>
                    <w:widowControl/>
                    <w:jc w:val="center"/>
                    <w:textAlignment w:val="center"/>
                    <w:rPr>
                      <w:sz w:val="21"/>
                      <w:szCs w:val="21"/>
                    </w:rPr>
                  </w:pPr>
                  <w:r>
                    <w:rPr>
                      <w:kern w:val="0"/>
                      <w:sz w:val="21"/>
                      <w:szCs w:val="21"/>
                      <w:lang w:bidi="ar"/>
                    </w:rPr>
                    <w:t>草酸</w:t>
                  </w:r>
                </w:p>
              </w:tc>
              <w:tc>
                <w:tcPr>
                  <w:tcW w:w="773" w:type="pct"/>
                  <w:vAlign w:val="center"/>
                </w:tcPr>
                <w:p w14:paraId="3A9671FC">
                  <w:pPr>
                    <w:widowControl/>
                    <w:jc w:val="center"/>
                    <w:textAlignment w:val="center"/>
                    <w:rPr>
                      <w:sz w:val="21"/>
                      <w:szCs w:val="21"/>
                    </w:rPr>
                  </w:pPr>
                  <w:r>
                    <w:rPr>
                      <w:kern w:val="0"/>
                      <w:sz w:val="21"/>
                      <w:szCs w:val="21"/>
                      <w:lang w:bidi="ar"/>
                    </w:rPr>
                    <w:t>500g/瓶</w:t>
                  </w:r>
                </w:p>
              </w:tc>
              <w:tc>
                <w:tcPr>
                  <w:tcW w:w="562" w:type="pct"/>
                  <w:vAlign w:val="center"/>
                </w:tcPr>
                <w:p w14:paraId="5ACB281C">
                  <w:pPr>
                    <w:widowControl/>
                    <w:jc w:val="center"/>
                    <w:textAlignment w:val="center"/>
                    <w:rPr>
                      <w:sz w:val="21"/>
                      <w:szCs w:val="21"/>
                    </w:rPr>
                  </w:pPr>
                  <w:r>
                    <w:rPr>
                      <w:kern w:val="0"/>
                      <w:sz w:val="21"/>
                      <w:szCs w:val="21"/>
                      <w:lang w:bidi="ar"/>
                    </w:rPr>
                    <w:t>1</w:t>
                  </w:r>
                  <w:r>
                    <w:rPr>
                      <w:rFonts w:hint="eastAsia"/>
                      <w:kern w:val="0"/>
                      <w:sz w:val="21"/>
                      <w:szCs w:val="21"/>
                      <w:lang w:bidi="ar"/>
                    </w:rPr>
                    <w:t>瓶</w:t>
                  </w:r>
                </w:p>
              </w:tc>
              <w:tc>
                <w:tcPr>
                  <w:tcW w:w="740" w:type="pct"/>
                  <w:vAlign w:val="center"/>
                </w:tcPr>
                <w:p w14:paraId="0B413239">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131952CA">
                  <w:pPr>
                    <w:widowControl/>
                    <w:jc w:val="center"/>
                    <w:textAlignment w:val="bottom"/>
                    <w:rPr>
                      <w:kern w:val="0"/>
                      <w:sz w:val="21"/>
                      <w:szCs w:val="21"/>
                      <w:lang w:bidi="ar"/>
                    </w:rPr>
                  </w:pPr>
                </w:p>
              </w:tc>
              <w:tc>
                <w:tcPr>
                  <w:tcW w:w="426" w:type="pct"/>
                  <w:vMerge w:val="continue"/>
                  <w:vAlign w:val="center"/>
                </w:tcPr>
                <w:p w14:paraId="3D528EC8">
                  <w:pPr>
                    <w:widowControl/>
                    <w:jc w:val="center"/>
                    <w:textAlignment w:val="bottom"/>
                    <w:rPr>
                      <w:kern w:val="0"/>
                      <w:sz w:val="21"/>
                      <w:szCs w:val="21"/>
                      <w:lang w:bidi="ar"/>
                    </w:rPr>
                  </w:pPr>
                </w:p>
              </w:tc>
            </w:tr>
            <w:tr w14:paraId="17A36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85A9158">
                  <w:pPr>
                    <w:widowControl/>
                    <w:jc w:val="center"/>
                    <w:textAlignment w:val="bottom"/>
                    <w:rPr>
                      <w:kern w:val="0"/>
                      <w:sz w:val="21"/>
                      <w:szCs w:val="21"/>
                      <w:lang w:bidi="ar"/>
                    </w:rPr>
                  </w:pPr>
                  <w:r>
                    <w:rPr>
                      <w:kern w:val="0"/>
                      <w:sz w:val="21"/>
                      <w:szCs w:val="21"/>
                      <w:lang w:bidi="ar"/>
                    </w:rPr>
                    <w:t>29</w:t>
                  </w:r>
                </w:p>
              </w:tc>
              <w:tc>
                <w:tcPr>
                  <w:tcW w:w="1588" w:type="pct"/>
                  <w:vAlign w:val="center"/>
                </w:tcPr>
                <w:p w14:paraId="57B41821">
                  <w:pPr>
                    <w:widowControl/>
                    <w:jc w:val="center"/>
                    <w:textAlignment w:val="center"/>
                    <w:rPr>
                      <w:sz w:val="21"/>
                      <w:szCs w:val="21"/>
                    </w:rPr>
                  </w:pPr>
                  <w:r>
                    <w:rPr>
                      <w:kern w:val="0"/>
                      <w:sz w:val="21"/>
                      <w:szCs w:val="21"/>
                      <w:lang w:bidi="ar"/>
                    </w:rPr>
                    <w:t>草酸铵</w:t>
                  </w:r>
                </w:p>
              </w:tc>
              <w:tc>
                <w:tcPr>
                  <w:tcW w:w="773" w:type="pct"/>
                  <w:vAlign w:val="center"/>
                </w:tcPr>
                <w:p w14:paraId="32805680">
                  <w:pPr>
                    <w:widowControl/>
                    <w:jc w:val="center"/>
                    <w:textAlignment w:val="center"/>
                    <w:rPr>
                      <w:sz w:val="21"/>
                      <w:szCs w:val="21"/>
                    </w:rPr>
                  </w:pPr>
                  <w:r>
                    <w:rPr>
                      <w:kern w:val="0"/>
                      <w:sz w:val="21"/>
                      <w:szCs w:val="21"/>
                      <w:lang w:bidi="ar"/>
                    </w:rPr>
                    <w:t>500g/瓶</w:t>
                  </w:r>
                </w:p>
              </w:tc>
              <w:tc>
                <w:tcPr>
                  <w:tcW w:w="562" w:type="pct"/>
                  <w:vAlign w:val="center"/>
                </w:tcPr>
                <w:p w14:paraId="24F1EA8D">
                  <w:pPr>
                    <w:widowControl/>
                    <w:jc w:val="center"/>
                    <w:textAlignment w:val="center"/>
                    <w:rPr>
                      <w:sz w:val="21"/>
                      <w:szCs w:val="21"/>
                    </w:rPr>
                  </w:pPr>
                  <w:r>
                    <w:rPr>
                      <w:kern w:val="0"/>
                      <w:sz w:val="21"/>
                      <w:szCs w:val="21"/>
                      <w:lang w:bidi="ar"/>
                    </w:rPr>
                    <w:t>1</w:t>
                  </w:r>
                  <w:r>
                    <w:rPr>
                      <w:rFonts w:hint="eastAsia"/>
                      <w:kern w:val="0"/>
                      <w:sz w:val="21"/>
                      <w:szCs w:val="21"/>
                      <w:lang w:bidi="ar"/>
                    </w:rPr>
                    <w:t>瓶</w:t>
                  </w:r>
                </w:p>
              </w:tc>
              <w:tc>
                <w:tcPr>
                  <w:tcW w:w="740" w:type="pct"/>
                  <w:vAlign w:val="center"/>
                </w:tcPr>
                <w:p w14:paraId="2CED0FE7">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59394DEB">
                  <w:pPr>
                    <w:widowControl/>
                    <w:jc w:val="center"/>
                    <w:textAlignment w:val="bottom"/>
                    <w:rPr>
                      <w:kern w:val="0"/>
                      <w:sz w:val="21"/>
                      <w:szCs w:val="21"/>
                      <w:lang w:bidi="ar"/>
                    </w:rPr>
                  </w:pPr>
                </w:p>
              </w:tc>
              <w:tc>
                <w:tcPr>
                  <w:tcW w:w="426" w:type="pct"/>
                  <w:vMerge w:val="continue"/>
                  <w:vAlign w:val="center"/>
                </w:tcPr>
                <w:p w14:paraId="5BEB0BA6">
                  <w:pPr>
                    <w:widowControl/>
                    <w:jc w:val="center"/>
                    <w:textAlignment w:val="bottom"/>
                    <w:rPr>
                      <w:kern w:val="0"/>
                      <w:sz w:val="21"/>
                      <w:szCs w:val="21"/>
                      <w:lang w:bidi="ar"/>
                    </w:rPr>
                  </w:pPr>
                </w:p>
              </w:tc>
            </w:tr>
            <w:tr w14:paraId="235CE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EB23792">
                  <w:pPr>
                    <w:widowControl/>
                    <w:jc w:val="center"/>
                    <w:textAlignment w:val="bottom"/>
                    <w:rPr>
                      <w:kern w:val="0"/>
                      <w:sz w:val="21"/>
                      <w:szCs w:val="21"/>
                      <w:lang w:bidi="ar"/>
                    </w:rPr>
                  </w:pPr>
                  <w:r>
                    <w:rPr>
                      <w:kern w:val="0"/>
                      <w:sz w:val="21"/>
                      <w:szCs w:val="21"/>
                      <w:lang w:bidi="ar"/>
                    </w:rPr>
                    <w:t>30</w:t>
                  </w:r>
                </w:p>
              </w:tc>
              <w:tc>
                <w:tcPr>
                  <w:tcW w:w="1588" w:type="pct"/>
                  <w:vAlign w:val="center"/>
                </w:tcPr>
                <w:p w14:paraId="09062F72">
                  <w:pPr>
                    <w:widowControl/>
                    <w:jc w:val="center"/>
                    <w:textAlignment w:val="center"/>
                    <w:rPr>
                      <w:sz w:val="21"/>
                      <w:szCs w:val="21"/>
                    </w:rPr>
                  </w:pPr>
                  <w:r>
                    <w:rPr>
                      <w:kern w:val="0"/>
                      <w:sz w:val="21"/>
                      <w:szCs w:val="21"/>
                      <w:lang w:bidi="ar"/>
                    </w:rPr>
                    <w:t>次氯酸钠</w:t>
                  </w:r>
                </w:p>
              </w:tc>
              <w:tc>
                <w:tcPr>
                  <w:tcW w:w="773" w:type="pct"/>
                  <w:vAlign w:val="center"/>
                </w:tcPr>
                <w:p w14:paraId="6E98E769">
                  <w:pPr>
                    <w:widowControl/>
                    <w:jc w:val="center"/>
                    <w:textAlignment w:val="center"/>
                    <w:rPr>
                      <w:sz w:val="21"/>
                      <w:szCs w:val="21"/>
                    </w:rPr>
                  </w:pPr>
                  <w:r>
                    <w:rPr>
                      <w:kern w:val="0"/>
                      <w:sz w:val="21"/>
                      <w:szCs w:val="21"/>
                      <w:lang w:bidi="ar"/>
                    </w:rPr>
                    <w:t>500mL/瓶</w:t>
                  </w:r>
                </w:p>
              </w:tc>
              <w:tc>
                <w:tcPr>
                  <w:tcW w:w="562" w:type="pct"/>
                  <w:vAlign w:val="center"/>
                </w:tcPr>
                <w:p w14:paraId="11DEB2EA">
                  <w:pPr>
                    <w:widowControl/>
                    <w:jc w:val="center"/>
                    <w:textAlignment w:val="center"/>
                    <w:rPr>
                      <w:sz w:val="21"/>
                      <w:szCs w:val="21"/>
                    </w:rPr>
                  </w:pPr>
                  <w:r>
                    <w:rPr>
                      <w:kern w:val="0"/>
                      <w:sz w:val="21"/>
                      <w:szCs w:val="21"/>
                      <w:lang w:bidi="ar"/>
                    </w:rPr>
                    <w:t>1</w:t>
                  </w:r>
                  <w:r>
                    <w:rPr>
                      <w:rFonts w:hint="eastAsia"/>
                      <w:kern w:val="0"/>
                      <w:sz w:val="21"/>
                      <w:szCs w:val="21"/>
                      <w:lang w:bidi="ar"/>
                    </w:rPr>
                    <w:t>瓶</w:t>
                  </w:r>
                </w:p>
              </w:tc>
              <w:tc>
                <w:tcPr>
                  <w:tcW w:w="740" w:type="pct"/>
                  <w:vAlign w:val="center"/>
                </w:tcPr>
                <w:p w14:paraId="5EB14072">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1FE9B307">
                  <w:pPr>
                    <w:widowControl/>
                    <w:jc w:val="center"/>
                    <w:textAlignment w:val="bottom"/>
                    <w:rPr>
                      <w:kern w:val="0"/>
                      <w:sz w:val="21"/>
                      <w:szCs w:val="21"/>
                      <w:lang w:bidi="ar"/>
                    </w:rPr>
                  </w:pPr>
                </w:p>
              </w:tc>
              <w:tc>
                <w:tcPr>
                  <w:tcW w:w="426" w:type="pct"/>
                  <w:vMerge w:val="continue"/>
                  <w:vAlign w:val="center"/>
                </w:tcPr>
                <w:p w14:paraId="1EEF337E">
                  <w:pPr>
                    <w:widowControl/>
                    <w:jc w:val="center"/>
                    <w:textAlignment w:val="bottom"/>
                    <w:rPr>
                      <w:kern w:val="0"/>
                      <w:sz w:val="21"/>
                      <w:szCs w:val="21"/>
                      <w:lang w:bidi="ar"/>
                    </w:rPr>
                  </w:pPr>
                </w:p>
              </w:tc>
            </w:tr>
            <w:tr w14:paraId="2C4A6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79AC85B">
                  <w:pPr>
                    <w:widowControl/>
                    <w:jc w:val="center"/>
                    <w:textAlignment w:val="bottom"/>
                    <w:rPr>
                      <w:kern w:val="0"/>
                      <w:sz w:val="21"/>
                      <w:szCs w:val="21"/>
                      <w:lang w:bidi="ar"/>
                    </w:rPr>
                  </w:pPr>
                  <w:r>
                    <w:rPr>
                      <w:kern w:val="0"/>
                      <w:sz w:val="21"/>
                      <w:szCs w:val="21"/>
                      <w:lang w:bidi="ar"/>
                    </w:rPr>
                    <w:t>31</w:t>
                  </w:r>
                </w:p>
              </w:tc>
              <w:tc>
                <w:tcPr>
                  <w:tcW w:w="1588" w:type="pct"/>
                  <w:vAlign w:val="center"/>
                </w:tcPr>
                <w:p w14:paraId="26715A1E">
                  <w:pPr>
                    <w:widowControl/>
                    <w:jc w:val="center"/>
                    <w:textAlignment w:val="center"/>
                    <w:rPr>
                      <w:b/>
                      <w:bCs/>
                      <w:kern w:val="0"/>
                      <w:sz w:val="21"/>
                      <w:szCs w:val="21"/>
                      <w:lang w:bidi="ar"/>
                    </w:rPr>
                  </w:pPr>
                  <w:r>
                    <w:rPr>
                      <w:kern w:val="0"/>
                      <w:sz w:val="21"/>
                      <w:szCs w:val="21"/>
                      <w:lang w:bidi="ar"/>
                    </w:rPr>
                    <w:t>碘化钾</w:t>
                  </w:r>
                </w:p>
              </w:tc>
              <w:tc>
                <w:tcPr>
                  <w:tcW w:w="773" w:type="pct"/>
                  <w:vAlign w:val="center"/>
                </w:tcPr>
                <w:p w14:paraId="4C0CBDE1">
                  <w:pPr>
                    <w:widowControl/>
                    <w:jc w:val="center"/>
                    <w:textAlignment w:val="center"/>
                    <w:rPr>
                      <w:kern w:val="0"/>
                      <w:sz w:val="21"/>
                      <w:szCs w:val="21"/>
                      <w:lang w:bidi="ar"/>
                    </w:rPr>
                  </w:pPr>
                  <w:r>
                    <w:rPr>
                      <w:kern w:val="0"/>
                      <w:sz w:val="21"/>
                      <w:szCs w:val="21"/>
                      <w:lang w:bidi="ar"/>
                    </w:rPr>
                    <w:t>500g/瓶</w:t>
                  </w:r>
                </w:p>
              </w:tc>
              <w:tc>
                <w:tcPr>
                  <w:tcW w:w="562" w:type="pct"/>
                  <w:vAlign w:val="center"/>
                </w:tcPr>
                <w:p w14:paraId="2DB1E7DA">
                  <w:pPr>
                    <w:widowControl/>
                    <w:jc w:val="center"/>
                    <w:textAlignment w:val="center"/>
                    <w:rPr>
                      <w:kern w:val="0"/>
                      <w:sz w:val="21"/>
                      <w:szCs w:val="21"/>
                      <w:lang w:bidi="ar"/>
                    </w:rPr>
                  </w:pPr>
                  <w:r>
                    <w:rPr>
                      <w:kern w:val="0"/>
                      <w:sz w:val="21"/>
                      <w:szCs w:val="21"/>
                      <w:lang w:bidi="ar"/>
                    </w:rPr>
                    <w:t>6</w:t>
                  </w:r>
                  <w:r>
                    <w:rPr>
                      <w:rFonts w:hint="eastAsia"/>
                      <w:kern w:val="0"/>
                      <w:sz w:val="21"/>
                      <w:szCs w:val="21"/>
                      <w:lang w:bidi="ar"/>
                    </w:rPr>
                    <w:t>瓶</w:t>
                  </w:r>
                </w:p>
              </w:tc>
              <w:tc>
                <w:tcPr>
                  <w:tcW w:w="740" w:type="pct"/>
                  <w:vAlign w:val="center"/>
                </w:tcPr>
                <w:p w14:paraId="253F05E8">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02A2CA46">
                  <w:pPr>
                    <w:widowControl/>
                    <w:jc w:val="center"/>
                    <w:textAlignment w:val="bottom"/>
                    <w:rPr>
                      <w:kern w:val="0"/>
                      <w:sz w:val="21"/>
                      <w:szCs w:val="21"/>
                      <w:lang w:bidi="ar"/>
                    </w:rPr>
                  </w:pPr>
                </w:p>
              </w:tc>
              <w:tc>
                <w:tcPr>
                  <w:tcW w:w="426" w:type="pct"/>
                  <w:vMerge w:val="continue"/>
                  <w:vAlign w:val="center"/>
                </w:tcPr>
                <w:p w14:paraId="2C3B0BBB">
                  <w:pPr>
                    <w:widowControl/>
                    <w:jc w:val="center"/>
                    <w:textAlignment w:val="bottom"/>
                    <w:rPr>
                      <w:kern w:val="0"/>
                      <w:sz w:val="21"/>
                      <w:szCs w:val="21"/>
                      <w:lang w:bidi="ar"/>
                    </w:rPr>
                  </w:pPr>
                </w:p>
              </w:tc>
            </w:tr>
            <w:tr w14:paraId="3CF3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8DDFA54">
                  <w:pPr>
                    <w:widowControl/>
                    <w:jc w:val="center"/>
                    <w:textAlignment w:val="bottom"/>
                    <w:rPr>
                      <w:kern w:val="0"/>
                      <w:sz w:val="21"/>
                      <w:szCs w:val="21"/>
                      <w:lang w:bidi="ar"/>
                    </w:rPr>
                  </w:pPr>
                  <w:r>
                    <w:rPr>
                      <w:kern w:val="0"/>
                      <w:sz w:val="21"/>
                      <w:szCs w:val="21"/>
                      <w:lang w:bidi="ar"/>
                    </w:rPr>
                    <w:t>32</w:t>
                  </w:r>
                </w:p>
              </w:tc>
              <w:tc>
                <w:tcPr>
                  <w:tcW w:w="1588" w:type="pct"/>
                  <w:vAlign w:val="center"/>
                </w:tcPr>
                <w:p w14:paraId="31337C4B">
                  <w:pPr>
                    <w:widowControl/>
                    <w:jc w:val="center"/>
                    <w:textAlignment w:val="center"/>
                    <w:rPr>
                      <w:kern w:val="0"/>
                      <w:sz w:val="21"/>
                      <w:szCs w:val="21"/>
                      <w:lang w:bidi="ar"/>
                    </w:rPr>
                  </w:pPr>
                  <w:r>
                    <w:rPr>
                      <w:kern w:val="0"/>
                      <w:sz w:val="21"/>
                      <w:szCs w:val="21"/>
                      <w:lang w:bidi="ar"/>
                    </w:rPr>
                    <w:t>氟化铵</w:t>
                  </w:r>
                </w:p>
              </w:tc>
              <w:tc>
                <w:tcPr>
                  <w:tcW w:w="773" w:type="pct"/>
                  <w:vAlign w:val="center"/>
                </w:tcPr>
                <w:p w14:paraId="3A7D3097">
                  <w:pPr>
                    <w:widowControl/>
                    <w:jc w:val="center"/>
                    <w:textAlignment w:val="center"/>
                    <w:rPr>
                      <w:kern w:val="0"/>
                      <w:sz w:val="21"/>
                      <w:szCs w:val="21"/>
                      <w:lang w:bidi="ar"/>
                    </w:rPr>
                  </w:pPr>
                  <w:r>
                    <w:rPr>
                      <w:kern w:val="0"/>
                      <w:sz w:val="21"/>
                      <w:szCs w:val="21"/>
                      <w:lang w:bidi="ar"/>
                    </w:rPr>
                    <w:t>500g/瓶</w:t>
                  </w:r>
                </w:p>
              </w:tc>
              <w:tc>
                <w:tcPr>
                  <w:tcW w:w="562" w:type="pct"/>
                  <w:vAlign w:val="center"/>
                </w:tcPr>
                <w:p w14:paraId="57B76FA1">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C91A582">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1FF424D9">
                  <w:pPr>
                    <w:widowControl/>
                    <w:jc w:val="center"/>
                    <w:textAlignment w:val="bottom"/>
                    <w:rPr>
                      <w:kern w:val="0"/>
                      <w:sz w:val="21"/>
                      <w:szCs w:val="21"/>
                      <w:lang w:bidi="ar"/>
                    </w:rPr>
                  </w:pPr>
                </w:p>
              </w:tc>
              <w:tc>
                <w:tcPr>
                  <w:tcW w:w="426" w:type="pct"/>
                  <w:vMerge w:val="continue"/>
                  <w:vAlign w:val="center"/>
                </w:tcPr>
                <w:p w14:paraId="337C2927">
                  <w:pPr>
                    <w:widowControl/>
                    <w:jc w:val="center"/>
                    <w:textAlignment w:val="bottom"/>
                    <w:rPr>
                      <w:kern w:val="0"/>
                      <w:sz w:val="21"/>
                      <w:szCs w:val="21"/>
                      <w:lang w:bidi="ar"/>
                    </w:rPr>
                  </w:pPr>
                </w:p>
              </w:tc>
            </w:tr>
            <w:tr w14:paraId="2605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1FA7272">
                  <w:pPr>
                    <w:widowControl/>
                    <w:jc w:val="center"/>
                    <w:textAlignment w:val="bottom"/>
                    <w:rPr>
                      <w:kern w:val="0"/>
                      <w:sz w:val="21"/>
                      <w:szCs w:val="21"/>
                      <w:lang w:bidi="ar"/>
                    </w:rPr>
                  </w:pPr>
                  <w:r>
                    <w:rPr>
                      <w:rFonts w:hint="eastAsia"/>
                      <w:kern w:val="0"/>
                      <w:sz w:val="21"/>
                      <w:szCs w:val="21"/>
                      <w:lang w:bidi="ar"/>
                    </w:rPr>
                    <w:t>33</w:t>
                  </w:r>
                </w:p>
              </w:tc>
              <w:tc>
                <w:tcPr>
                  <w:tcW w:w="1588" w:type="pct"/>
                  <w:vAlign w:val="center"/>
                </w:tcPr>
                <w:p w14:paraId="52AB743B">
                  <w:pPr>
                    <w:widowControl/>
                    <w:jc w:val="center"/>
                    <w:textAlignment w:val="center"/>
                    <w:rPr>
                      <w:kern w:val="0"/>
                      <w:sz w:val="21"/>
                      <w:szCs w:val="21"/>
                      <w:lang w:bidi="ar"/>
                    </w:rPr>
                  </w:pPr>
                  <w:r>
                    <w:rPr>
                      <w:kern w:val="0"/>
                      <w:sz w:val="21"/>
                      <w:szCs w:val="21"/>
                      <w:lang w:bidi="ar"/>
                    </w:rPr>
                    <w:t>高氯酸</w:t>
                  </w:r>
                </w:p>
              </w:tc>
              <w:tc>
                <w:tcPr>
                  <w:tcW w:w="773" w:type="pct"/>
                  <w:vAlign w:val="center"/>
                </w:tcPr>
                <w:p w14:paraId="009A0B71">
                  <w:pPr>
                    <w:widowControl/>
                    <w:jc w:val="center"/>
                    <w:textAlignment w:val="center"/>
                    <w:rPr>
                      <w:kern w:val="0"/>
                      <w:sz w:val="21"/>
                      <w:szCs w:val="21"/>
                      <w:lang w:bidi="ar"/>
                    </w:rPr>
                  </w:pPr>
                  <w:r>
                    <w:rPr>
                      <w:kern w:val="0"/>
                      <w:sz w:val="21"/>
                      <w:szCs w:val="21"/>
                      <w:lang w:bidi="ar"/>
                    </w:rPr>
                    <w:t>500mL/瓶</w:t>
                  </w:r>
                </w:p>
              </w:tc>
              <w:tc>
                <w:tcPr>
                  <w:tcW w:w="562" w:type="pct"/>
                  <w:vAlign w:val="center"/>
                </w:tcPr>
                <w:p w14:paraId="002E0BAB">
                  <w:pPr>
                    <w:widowControl/>
                    <w:jc w:val="center"/>
                    <w:textAlignment w:val="center"/>
                    <w:rPr>
                      <w:kern w:val="0"/>
                      <w:sz w:val="21"/>
                      <w:szCs w:val="21"/>
                      <w:lang w:bidi="ar"/>
                    </w:rPr>
                  </w:pPr>
                  <w:r>
                    <w:rPr>
                      <w:kern w:val="0"/>
                      <w:sz w:val="21"/>
                      <w:szCs w:val="21"/>
                      <w:lang w:bidi="ar"/>
                    </w:rPr>
                    <w:t>6</w:t>
                  </w:r>
                  <w:r>
                    <w:rPr>
                      <w:rFonts w:hint="eastAsia"/>
                      <w:kern w:val="0"/>
                      <w:sz w:val="21"/>
                      <w:szCs w:val="21"/>
                      <w:lang w:bidi="ar"/>
                    </w:rPr>
                    <w:t>瓶</w:t>
                  </w:r>
                </w:p>
              </w:tc>
              <w:tc>
                <w:tcPr>
                  <w:tcW w:w="740" w:type="pct"/>
                  <w:vAlign w:val="center"/>
                </w:tcPr>
                <w:p w14:paraId="5CFFB20B">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52751456">
                  <w:pPr>
                    <w:widowControl/>
                    <w:jc w:val="center"/>
                    <w:textAlignment w:val="bottom"/>
                    <w:rPr>
                      <w:kern w:val="0"/>
                      <w:sz w:val="21"/>
                      <w:szCs w:val="21"/>
                      <w:lang w:bidi="ar"/>
                    </w:rPr>
                  </w:pPr>
                </w:p>
              </w:tc>
              <w:tc>
                <w:tcPr>
                  <w:tcW w:w="426" w:type="pct"/>
                  <w:vMerge w:val="continue"/>
                  <w:vAlign w:val="center"/>
                </w:tcPr>
                <w:p w14:paraId="44ABDA73">
                  <w:pPr>
                    <w:widowControl/>
                    <w:jc w:val="center"/>
                    <w:textAlignment w:val="bottom"/>
                    <w:rPr>
                      <w:kern w:val="0"/>
                      <w:sz w:val="21"/>
                      <w:szCs w:val="21"/>
                      <w:lang w:bidi="ar"/>
                    </w:rPr>
                  </w:pPr>
                </w:p>
              </w:tc>
            </w:tr>
            <w:tr w14:paraId="47932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6D69BFA">
                  <w:pPr>
                    <w:widowControl/>
                    <w:jc w:val="center"/>
                    <w:textAlignment w:val="bottom"/>
                    <w:rPr>
                      <w:kern w:val="0"/>
                      <w:sz w:val="21"/>
                      <w:szCs w:val="21"/>
                      <w:lang w:bidi="ar"/>
                    </w:rPr>
                  </w:pPr>
                  <w:r>
                    <w:rPr>
                      <w:kern w:val="0"/>
                      <w:sz w:val="21"/>
                      <w:szCs w:val="21"/>
                      <w:lang w:bidi="ar"/>
                    </w:rPr>
                    <w:t>34</w:t>
                  </w:r>
                </w:p>
              </w:tc>
              <w:tc>
                <w:tcPr>
                  <w:tcW w:w="1588" w:type="pct"/>
                  <w:vAlign w:val="center"/>
                </w:tcPr>
                <w:p w14:paraId="495216CB">
                  <w:pPr>
                    <w:widowControl/>
                    <w:jc w:val="center"/>
                    <w:textAlignment w:val="center"/>
                    <w:rPr>
                      <w:kern w:val="0"/>
                      <w:sz w:val="21"/>
                      <w:szCs w:val="21"/>
                      <w:lang w:bidi="ar"/>
                    </w:rPr>
                  </w:pPr>
                  <w:r>
                    <w:rPr>
                      <w:kern w:val="0"/>
                      <w:sz w:val="21"/>
                      <w:szCs w:val="21"/>
                      <w:lang w:bidi="ar"/>
                    </w:rPr>
                    <w:t>硅酸镁吸附剂</w:t>
                  </w:r>
                </w:p>
              </w:tc>
              <w:tc>
                <w:tcPr>
                  <w:tcW w:w="773" w:type="pct"/>
                  <w:vAlign w:val="center"/>
                </w:tcPr>
                <w:p w14:paraId="1EC6FB31">
                  <w:pPr>
                    <w:widowControl/>
                    <w:jc w:val="center"/>
                    <w:textAlignment w:val="center"/>
                    <w:rPr>
                      <w:kern w:val="0"/>
                      <w:sz w:val="21"/>
                      <w:szCs w:val="21"/>
                      <w:lang w:bidi="ar"/>
                    </w:rPr>
                  </w:pPr>
                  <w:r>
                    <w:rPr>
                      <w:kern w:val="0"/>
                      <w:sz w:val="21"/>
                      <w:szCs w:val="21"/>
                      <w:lang w:bidi="ar"/>
                    </w:rPr>
                    <w:t>250g/瓶</w:t>
                  </w:r>
                </w:p>
              </w:tc>
              <w:tc>
                <w:tcPr>
                  <w:tcW w:w="562" w:type="pct"/>
                  <w:vAlign w:val="center"/>
                </w:tcPr>
                <w:p w14:paraId="631A3A3E">
                  <w:pPr>
                    <w:widowControl/>
                    <w:jc w:val="center"/>
                    <w:textAlignment w:val="center"/>
                    <w:rPr>
                      <w:kern w:val="0"/>
                      <w:sz w:val="21"/>
                      <w:szCs w:val="21"/>
                      <w:lang w:bidi="ar"/>
                    </w:rPr>
                  </w:pPr>
                  <w:r>
                    <w:rPr>
                      <w:kern w:val="0"/>
                      <w:sz w:val="21"/>
                      <w:szCs w:val="21"/>
                      <w:lang w:bidi="ar"/>
                    </w:rPr>
                    <w:t>15</w:t>
                  </w:r>
                  <w:r>
                    <w:rPr>
                      <w:rFonts w:hint="eastAsia"/>
                      <w:kern w:val="0"/>
                      <w:sz w:val="21"/>
                      <w:szCs w:val="21"/>
                      <w:lang w:bidi="ar"/>
                    </w:rPr>
                    <w:t>瓶</w:t>
                  </w:r>
                </w:p>
              </w:tc>
              <w:tc>
                <w:tcPr>
                  <w:tcW w:w="740" w:type="pct"/>
                  <w:vAlign w:val="center"/>
                </w:tcPr>
                <w:p w14:paraId="75D34ED1">
                  <w:pPr>
                    <w:widowControl/>
                    <w:jc w:val="center"/>
                    <w:textAlignment w:val="center"/>
                    <w:rPr>
                      <w:kern w:val="0"/>
                      <w:sz w:val="21"/>
                      <w:szCs w:val="21"/>
                      <w:lang w:bidi="ar"/>
                    </w:rPr>
                  </w:pPr>
                  <w:r>
                    <w:rPr>
                      <w:rFonts w:hint="eastAsia"/>
                      <w:kern w:val="0"/>
                      <w:sz w:val="21"/>
                      <w:szCs w:val="21"/>
                      <w:lang w:bidi="ar"/>
                    </w:rPr>
                    <w:t>5瓶</w:t>
                  </w:r>
                </w:p>
              </w:tc>
              <w:tc>
                <w:tcPr>
                  <w:tcW w:w="554" w:type="pct"/>
                  <w:vMerge w:val="continue"/>
                  <w:vAlign w:val="center"/>
                </w:tcPr>
                <w:p w14:paraId="503461A4">
                  <w:pPr>
                    <w:widowControl/>
                    <w:jc w:val="center"/>
                    <w:textAlignment w:val="bottom"/>
                    <w:rPr>
                      <w:kern w:val="0"/>
                      <w:sz w:val="21"/>
                      <w:szCs w:val="21"/>
                      <w:lang w:bidi="ar"/>
                    </w:rPr>
                  </w:pPr>
                </w:p>
              </w:tc>
              <w:tc>
                <w:tcPr>
                  <w:tcW w:w="426" w:type="pct"/>
                  <w:vMerge w:val="continue"/>
                  <w:vAlign w:val="center"/>
                </w:tcPr>
                <w:p w14:paraId="6C54E53C">
                  <w:pPr>
                    <w:widowControl/>
                    <w:jc w:val="center"/>
                    <w:textAlignment w:val="bottom"/>
                    <w:rPr>
                      <w:kern w:val="0"/>
                      <w:sz w:val="21"/>
                      <w:szCs w:val="21"/>
                      <w:lang w:bidi="ar"/>
                    </w:rPr>
                  </w:pPr>
                </w:p>
              </w:tc>
            </w:tr>
            <w:tr w14:paraId="68A16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B129C4F">
                  <w:pPr>
                    <w:widowControl/>
                    <w:jc w:val="center"/>
                    <w:textAlignment w:val="bottom"/>
                    <w:rPr>
                      <w:kern w:val="0"/>
                      <w:sz w:val="21"/>
                      <w:szCs w:val="21"/>
                      <w:lang w:bidi="ar"/>
                    </w:rPr>
                  </w:pPr>
                  <w:r>
                    <w:rPr>
                      <w:rFonts w:hint="eastAsia"/>
                      <w:kern w:val="0"/>
                      <w:sz w:val="21"/>
                      <w:szCs w:val="21"/>
                      <w:lang w:bidi="ar"/>
                    </w:rPr>
                    <w:t>35</w:t>
                  </w:r>
                </w:p>
              </w:tc>
              <w:tc>
                <w:tcPr>
                  <w:tcW w:w="1588" w:type="pct"/>
                  <w:vAlign w:val="center"/>
                </w:tcPr>
                <w:p w14:paraId="7973E232">
                  <w:pPr>
                    <w:widowControl/>
                    <w:jc w:val="center"/>
                    <w:textAlignment w:val="center"/>
                    <w:rPr>
                      <w:kern w:val="0"/>
                      <w:sz w:val="21"/>
                      <w:szCs w:val="21"/>
                      <w:lang w:bidi="ar"/>
                    </w:rPr>
                  </w:pPr>
                  <w:r>
                    <w:rPr>
                      <w:kern w:val="0"/>
                      <w:sz w:val="21"/>
                      <w:szCs w:val="21"/>
                      <w:lang w:bidi="ar"/>
                    </w:rPr>
                    <w:t>过硫酸钾</w:t>
                  </w:r>
                </w:p>
              </w:tc>
              <w:tc>
                <w:tcPr>
                  <w:tcW w:w="773" w:type="pct"/>
                  <w:vAlign w:val="center"/>
                </w:tcPr>
                <w:p w14:paraId="16DBCD14">
                  <w:pPr>
                    <w:widowControl/>
                    <w:jc w:val="center"/>
                    <w:textAlignment w:val="center"/>
                    <w:rPr>
                      <w:kern w:val="0"/>
                      <w:sz w:val="21"/>
                      <w:szCs w:val="21"/>
                      <w:lang w:bidi="ar"/>
                    </w:rPr>
                  </w:pPr>
                  <w:r>
                    <w:rPr>
                      <w:kern w:val="0"/>
                      <w:sz w:val="21"/>
                      <w:szCs w:val="21"/>
                      <w:lang w:bidi="ar"/>
                    </w:rPr>
                    <w:t>500g/瓶</w:t>
                  </w:r>
                </w:p>
              </w:tc>
              <w:tc>
                <w:tcPr>
                  <w:tcW w:w="562" w:type="pct"/>
                  <w:vAlign w:val="center"/>
                </w:tcPr>
                <w:p w14:paraId="1A8B249A">
                  <w:pPr>
                    <w:widowControl/>
                    <w:jc w:val="center"/>
                    <w:textAlignment w:val="center"/>
                    <w:rPr>
                      <w:kern w:val="0"/>
                      <w:sz w:val="21"/>
                      <w:szCs w:val="21"/>
                      <w:lang w:bidi="ar"/>
                    </w:rPr>
                  </w:pPr>
                  <w:r>
                    <w:rPr>
                      <w:kern w:val="0"/>
                      <w:sz w:val="21"/>
                      <w:szCs w:val="21"/>
                      <w:lang w:bidi="ar"/>
                    </w:rPr>
                    <w:t>3</w:t>
                  </w:r>
                  <w:r>
                    <w:rPr>
                      <w:rFonts w:hint="eastAsia"/>
                      <w:kern w:val="0"/>
                      <w:sz w:val="21"/>
                      <w:szCs w:val="21"/>
                      <w:lang w:bidi="ar"/>
                    </w:rPr>
                    <w:t>瓶</w:t>
                  </w:r>
                </w:p>
              </w:tc>
              <w:tc>
                <w:tcPr>
                  <w:tcW w:w="740" w:type="pct"/>
                  <w:vAlign w:val="center"/>
                </w:tcPr>
                <w:p w14:paraId="620011C3">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7EC847B4">
                  <w:pPr>
                    <w:widowControl/>
                    <w:jc w:val="center"/>
                    <w:textAlignment w:val="bottom"/>
                    <w:rPr>
                      <w:kern w:val="0"/>
                      <w:sz w:val="21"/>
                      <w:szCs w:val="21"/>
                      <w:lang w:bidi="ar"/>
                    </w:rPr>
                  </w:pPr>
                </w:p>
              </w:tc>
              <w:tc>
                <w:tcPr>
                  <w:tcW w:w="426" w:type="pct"/>
                  <w:vMerge w:val="continue"/>
                  <w:vAlign w:val="center"/>
                </w:tcPr>
                <w:p w14:paraId="58F60B09">
                  <w:pPr>
                    <w:widowControl/>
                    <w:jc w:val="center"/>
                    <w:textAlignment w:val="bottom"/>
                    <w:rPr>
                      <w:kern w:val="0"/>
                      <w:sz w:val="21"/>
                      <w:szCs w:val="21"/>
                      <w:lang w:bidi="ar"/>
                    </w:rPr>
                  </w:pPr>
                </w:p>
              </w:tc>
            </w:tr>
            <w:tr w14:paraId="448C6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7EB8AEA">
                  <w:pPr>
                    <w:widowControl/>
                    <w:jc w:val="center"/>
                    <w:textAlignment w:val="bottom"/>
                    <w:rPr>
                      <w:kern w:val="0"/>
                      <w:sz w:val="21"/>
                      <w:szCs w:val="21"/>
                      <w:lang w:bidi="ar"/>
                    </w:rPr>
                  </w:pPr>
                  <w:r>
                    <w:rPr>
                      <w:rFonts w:hint="eastAsia"/>
                      <w:kern w:val="0"/>
                      <w:sz w:val="21"/>
                      <w:szCs w:val="21"/>
                      <w:lang w:bidi="ar"/>
                    </w:rPr>
                    <w:t>36</w:t>
                  </w:r>
                </w:p>
              </w:tc>
              <w:tc>
                <w:tcPr>
                  <w:tcW w:w="1588" w:type="pct"/>
                  <w:vAlign w:val="center"/>
                </w:tcPr>
                <w:p w14:paraId="5948CB19">
                  <w:pPr>
                    <w:widowControl/>
                    <w:jc w:val="center"/>
                    <w:textAlignment w:val="center"/>
                    <w:rPr>
                      <w:kern w:val="0"/>
                      <w:sz w:val="21"/>
                      <w:szCs w:val="21"/>
                      <w:lang w:bidi="ar"/>
                    </w:rPr>
                  </w:pPr>
                  <w:r>
                    <w:rPr>
                      <w:kern w:val="0"/>
                      <w:sz w:val="21"/>
                      <w:szCs w:val="21"/>
                      <w:lang w:bidi="ar"/>
                    </w:rPr>
                    <w:t>酒石酸钾钠</w:t>
                  </w:r>
                </w:p>
              </w:tc>
              <w:tc>
                <w:tcPr>
                  <w:tcW w:w="773" w:type="pct"/>
                  <w:vAlign w:val="center"/>
                </w:tcPr>
                <w:p w14:paraId="274F4590">
                  <w:pPr>
                    <w:widowControl/>
                    <w:jc w:val="center"/>
                    <w:textAlignment w:val="center"/>
                    <w:rPr>
                      <w:kern w:val="0"/>
                      <w:sz w:val="21"/>
                      <w:szCs w:val="21"/>
                      <w:lang w:bidi="ar"/>
                    </w:rPr>
                  </w:pPr>
                  <w:r>
                    <w:rPr>
                      <w:kern w:val="0"/>
                      <w:sz w:val="21"/>
                      <w:szCs w:val="21"/>
                      <w:lang w:bidi="ar"/>
                    </w:rPr>
                    <w:t>500g/瓶</w:t>
                  </w:r>
                </w:p>
              </w:tc>
              <w:tc>
                <w:tcPr>
                  <w:tcW w:w="562" w:type="pct"/>
                  <w:vAlign w:val="center"/>
                </w:tcPr>
                <w:p w14:paraId="00933FB6">
                  <w:pPr>
                    <w:widowControl/>
                    <w:jc w:val="center"/>
                    <w:textAlignment w:val="center"/>
                    <w:rPr>
                      <w:kern w:val="0"/>
                      <w:sz w:val="21"/>
                      <w:szCs w:val="21"/>
                      <w:lang w:bidi="ar"/>
                    </w:rPr>
                  </w:pPr>
                  <w:r>
                    <w:rPr>
                      <w:kern w:val="0"/>
                      <w:sz w:val="21"/>
                      <w:szCs w:val="21"/>
                      <w:lang w:bidi="ar"/>
                    </w:rPr>
                    <w:t>7</w:t>
                  </w:r>
                  <w:r>
                    <w:rPr>
                      <w:rFonts w:hint="eastAsia"/>
                      <w:kern w:val="0"/>
                      <w:sz w:val="21"/>
                      <w:szCs w:val="21"/>
                      <w:lang w:bidi="ar"/>
                    </w:rPr>
                    <w:t>瓶</w:t>
                  </w:r>
                </w:p>
              </w:tc>
              <w:tc>
                <w:tcPr>
                  <w:tcW w:w="740" w:type="pct"/>
                  <w:vAlign w:val="center"/>
                </w:tcPr>
                <w:p w14:paraId="528A7123">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742CFAC7">
                  <w:pPr>
                    <w:widowControl/>
                    <w:jc w:val="center"/>
                    <w:textAlignment w:val="bottom"/>
                    <w:rPr>
                      <w:kern w:val="0"/>
                      <w:sz w:val="21"/>
                      <w:szCs w:val="21"/>
                      <w:lang w:bidi="ar"/>
                    </w:rPr>
                  </w:pPr>
                </w:p>
              </w:tc>
              <w:tc>
                <w:tcPr>
                  <w:tcW w:w="426" w:type="pct"/>
                  <w:vMerge w:val="continue"/>
                  <w:vAlign w:val="center"/>
                </w:tcPr>
                <w:p w14:paraId="63E6FF75">
                  <w:pPr>
                    <w:widowControl/>
                    <w:jc w:val="center"/>
                    <w:textAlignment w:val="bottom"/>
                    <w:rPr>
                      <w:kern w:val="0"/>
                      <w:sz w:val="21"/>
                      <w:szCs w:val="21"/>
                      <w:lang w:bidi="ar"/>
                    </w:rPr>
                  </w:pPr>
                </w:p>
              </w:tc>
            </w:tr>
            <w:tr w14:paraId="77F15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8309580">
                  <w:pPr>
                    <w:widowControl/>
                    <w:jc w:val="center"/>
                    <w:textAlignment w:val="bottom"/>
                    <w:rPr>
                      <w:kern w:val="0"/>
                      <w:sz w:val="21"/>
                      <w:szCs w:val="21"/>
                      <w:lang w:bidi="ar"/>
                    </w:rPr>
                  </w:pPr>
                  <w:r>
                    <w:rPr>
                      <w:rFonts w:hint="eastAsia"/>
                      <w:kern w:val="0"/>
                      <w:sz w:val="21"/>
                      <w:szCs w:val="21"/>
                      <w:lang w:bidi="ar"/>
                    </w:rPr>
                    <w:t>37</w:t>
                  </w:r>
                </w:p>
              </w:tc>
              <w:tc>
                <w:tcPr>
                  <w:tcW w:w="1588" w:type="pct"/>
                  <w:vAlign w:val="center"/>
                </w:tcPr>
                <w:p w14:paraId="49FE2402">
                  <w:pPr>
                    <w:widowControl/>
                    <w:jc w:val="center"/>
                    <w:textAlignment w:val="center"/>
                    <w:rPr>
                      <w:kern w:val="0"/>
                      <w:sz w:val="21"/>
                      <w:szCs w:val="21"/>
                      <w:lang w:bidi="ar"/>
                    </w:rPr>
                  </w:pPr>
                  <w:r>
                    <w:rPr>
                      <w:kern w:val="0"/>
                      <w:sz w:val="21"/>
                      <w:szCs w:val="21"/>
                      <w:lang w:bidi="ar"/>
                    </w:rPr>
                    <w:t>抗坏血酸</w:t>
                  </w:r>
                </w:p>
              </w:tc>
              <w:tc>
                <w:tcPr>
                  <w:tcW w:w="773" w:type="pct"/>
                  <w:vAlign w:val="center"/>
                </w:tcPr>
                <w:p w14:paraId="77A514F2">
                  <w:pPr>
                    <w:widowControl/>
                    <w:jc w:val="center"/>
                    <w:textAlignment w:val="center"/>
                    <w:rPr>
                      <w:kern w:val="0"/>
                      <w:sz w:val="21"/>
                      <w:szCs w:val="21"/>
                      <w:lang w:bidi="ar"/>
                    </w:rPr>
                  </w:pPr>
                  <w:r>
                    <w:rPr>
                      <w:kern w:val="0"/>
                      <w:sz w:val="21"/>
                      <w:szCs w:val="21"/>
                      <w:lang w:bidi="ar"/>
                    </w:rPr>
                    <w:t>100g/瓶</w:t>
                  </w:r>
                </w:p>
              </w:tc>
              <w:tc>
                <w:tcPr>
                  <w:tcW w:w="562" w:type="pct"/>
                  <w:vAlign w:val="center"/>
                </w:tcPr>
                <w:p w14:paraId="01C0B368">
                  <w:pPr>
                    <w:widowControl/>
                    <w:jc w:val="center"/>
                    <w:textAlignment w:val="center"/>
                    <w:rPr>
                      <w:kern w:val="0"/>
                      <w:sz w:val="21"/>
                      <w:szCs w:val="21"/>
                      <w:lang w:bidi="ar"/>
                    </w:rPr>
                  </w:pPr>
                  <w:r>
                    <w:rPr>
                      <w:kern w:val="0"/>
                      <w:sz w:val="21"/>
                      <w:szCs w:val="21"/>
                      <w:lang w:bidi="ar"/>
                    </w:rPr>
                    <w:t>14</w:t>
                  </w:r>
                  <w:r>
                    <w:rPr>
                      <w:rFonts w:hint="eastAsia"/>
                      <w:kern w:val="0"/>
                      <w:sz w:val="21"/>
                      <w:szCs w:val="21"/>
                      <w:lang w:bidi="ar"/>
                    </w:rPr>
                    <w:t>瓶</w:t>
                  </w:r>
                </w:p>
              </w:tc>
              <w:tc>
                <w:tcPr>
                  <w:tcW w:w="740" w:type="pct"/>
                  <w:vAlign w:val="center"/>
                </w:tcPr>
                <w:p w14:paraId="7644DF92">
                  <w:pPr>
                    <w:widowControl/>
                    <w:jc w:val="center"/>
                    <w:textAlignment w:val="center"/>
                    <w:rPr>
                      <w:kern w:val="0"/>
                      <w:sz w:val="21"/>
                      <w:szCs w:val="21"/>
                      <w:lang w:bidi="ar"/>
                    </w:rPr>
                  </w:pPr>
                  <w:r>
                    <w:rPr>
                      <w:kern w:val="0"/>
                      <w:sz w:val="21"/>
                      <w:szCs w:val="21"/>
                      <w:lang w:bidi="ar"/>
                    </w:rPr>
                    <w:t>5</w:t>
                  </w:r>
                  <w:r>
                    <w:rPr>
                      <w:rFonts w:hint="eastAsia"/>
                      <w:kern w:val="0"/>
                      <w:sz w:val="21"/>
                      <w:szCs w:val="21"/>
                      <w:lang w:bidi="ar"/>
                    </w:rPr>
                    <w:t>瓶</w:t>
                  </w:r>
                </w:p>
              </w:tc>
              <w:tc>
                <w:tcPr>
                  <w:tcW w:w="554" w:type="pct"/>
                  <w:vMerge w:val="continue"/>
                  <w:vAlign w:val="center"/>
                </w:tcPr>
                <w:p w14:paraId="7933E497">
                  <w:pPr>
                    <w:widowControl/>
                    <w:jc w:val="center"/>
                    <w:textAlignment w:val="bottom"/>
                    <w:rPr>
                      <w:kern w:val="0"/>
                      <w:sz w:val="21"/>
                      <w:szCs w:val="21"/>
                      <w:lang w:bidi="ar"/>
                    </w:rPr>
                  </w:pPr>
                </w:p>
              </w:tc>
              <w:tc>
                <w:tcPr>
                  <w:tcW w:w="426" w:type="pct"/>
                  <w:vMerge w:val="continue"/>
                  <w:vAlign w:val="center"/>
                </w:tcPr>
                <w:p w14:paraId="73FC49FD">
                  <w:pPr>
                    <w:widowControl/>
                    <w:jc w:val="center"/>
                    <w:textAlignment w:val="bottom"/>
                    <w:rPr>
                      <w:kern w:val="0"/>
                      <w:sz w:val="21"/>
                      <w:szCs w:val="21"/>
                      <w:lang w:bidi="ar"/>
                    </w:rPr>
                  </w:pPr>
                </w:p>
              </w:tc>
            </w:tr>
            <w:tr w14:paraId="3167C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5B088D7">
                  <w:pPr>
                    <w:widowControl/>
                    <w:jc w:val="center"/>
                    <w:textAlignment w:val="bottom"/>
                    <w:rPr>
                      <w:kern w:val="0"/>
                      <w:sz w:val="21"/>
                      <w:szCs w:val="21"/>
                      <w:lang w:bidi="ar"/>
                    </w:rPr>
                  </w:pPr>
                  <w:r>
                    <w:rPr>
                      <w:rFonts w:hint="eastAsia"/>
                      <w:kern w:val="0"/>
                      <w:sz w:val="21"/>
                      <w:szCs w:val="21"/>
                      <w:lang w:bidi="ar"/>
                    </w:rPr>
                    <w:t>38</w:t>
                  </w:r>
                </w:p>
              </w:tc>
              <w:tc>
                <w:tcPr>
                  <w:tcW w:w="1588" w:type="pct"/>
                  <w:vAlign w:val="center"/>
                </w:tcPr>
                <w:p w14:paraId="45F8D7D6">
                  <w:pPr>
                    <w:widowControl/>
                    <w:jc w:val="center"/>
                    <w:textAlignment w:val="center"/>
                    <w:rPr>
                      <w:kern w:val="0"/>
                      <w:sz w:val="21"/>
                      <w:szCs w:val="21"/>
                      <w:lang w:bidi="ar"/>
                    </w:rPr>
                  </w:pPr>
                  <w:r>
                    <w:rPr>
                      <w:kern w:val="0"/>
                      <w:sz w:val="21"/>
                      <w:szCs w:val="21"/>
                      <w:lang w:bidi="ar"/>
                    </w:rPr>
                    <w:t>邻菲罗啉</w:t>
                  </w:r>
                </w:p>
              </w:tc>
              <w:tc>
                <w:tcPr>
                  <w:tcW w:w="773" w:type="pct"/>
                  <w:vAlign w:val="center"/>
                </w:tcPr>
                <w:p w14:paraId="5A905AAE">
                  <w:pPr>
                    <w:widowControl/>
                    <w:jc w:val="center"/>
                    <w:textAlignment w:val="center"/>
                    <w:rPr>
                      <w:kern w:val="0"/>
                      <w:sz w:val="21"/>
                      <w:szCs w:val="21"/>
                      <w:lang w:bidi="ar"/>
                    </w:rPr>
                  </w:pPr>
                  <w:r>
                    <w:rPr>
                      <w:kern w:val="0"/>
                      <w:sz w:val="21"/>
                      <w:szCs w:val="21"/>
                      <w:lang w:bidi="ar"/>
                    </w:rPr>
                    <w:t>5g/瓶</w:t>
                  </w:r>
                </w:p>
              </w:tc>
              <w:tc>
                <w:tcPr>
                  <w:tcW w:w="562" w:type="pct"/>
                  <w:vAlign w:val="center"/>
                </w:tcPr>
                <w:p w14:paraId="2E4BB4AB">
                  <w:pPr>
                    <w:widowControl/>
                    <w:jc w:val="center"/>
                    <w:textAlignment w:val="center"/>
                    <w:rPr>
                      <w:kern w:val="0"/>
                      <w:sz w:val="21"/>
                      <w:szCs w:val="21"/>
                      <w:lang w:bidi="ar"/>
                    </w:rPr>
                  </w:pPr>
                  <w:r>
                    <w:rPr>
                      <w:kern w:val="0"/>
                      <w:sz w:val="21"/>
                      <w:szCs w:val="21"/>
                      <w:lang w:bidi="ar"/>
                    </w:rPr>
                    <w:t>5</w:t>
                  </w:r>
                  <w:r>
                    <w:rPr>
                      <w:rFonts w:hint="eastAsia"/>
                      <w:kern w:val="0"/>
                      <w:sz w:val="21"/>
                      <w:szCs w:val="21"/>
                      <w:lang w:bidi="ar"/>
                    </w:rPr>
                    <w:t>瓶</w:t>
                  </w:r>
                </w:p>
              </w:tc>
              <w:tc>
                <w:tcPr>
                  <w:tcW w:w="740" w:type="pct"/>
                  <w:vAlign w:val="center"/>
                </w:tcPr>
                <w:p w14:paraId="3DA86D99">
                  <w:pPr>
                    <w:widowControl/>
                    <w:jc w:val="center"/>
                    <w:textAlignment w:val="center"/>
                    <w:rPr>
                      <w:kern w:val="0"/>
                      <w:sz w:val="21"/>
                      <w:szCs w:val="21"/>
                      <w:lang w:bidi="ar"/>
                    </w:rPr>
                  </w:pPr>
                  <w:r>
                    <w:rPr>
                      <w:kern w:val="0"/>
                      <w:sz w:val="21"/>
                      <w:szCs w:val="21"/>
                      <w:lang w:bidi="ar"/>
                    </w:rPr>
                    <w:t>3</w:t>
                  </w:r>
                  <w:r>
                    <w:rPr>
                      <w:rFonts w:hint="eastAsia"/>
                      <w:kern w:val="0"/>
                      <w:sz w:val="21"/>
                      <w:szCs w:val="21"/>
                      <w:lang w:bidi="ar"/>
                    </w:rPr>
                    <w:t>瓶</w:t>
                  </w:r>
                </w:p>
              </w:tc>
              <w:tc>
                <w:tcPr>
                  <w:tcW w:w="554" w:type="pct"/>
                  <w:vMerge w:val="continue"/>
                  <w:vAlign w:val="center"/>
                </w:tcPr>
                <w:p w14:paraId="1980B8CB">
                  <w:pPr>
                    <w:widowControl/>
                    <w:jc w:val="center"/>
                    <w:textAlignment w:val="bottom"/>
                    <w:rPr>
                      <w:kern w:val="0"/>
                      <w:sz w:val="21"/>
                      <w:szCs w:val="21"/>
                      <w:lang w:bidi="ar"/>
                    </w:rPr>
                  </w:pPr>
                </w:p>
              </w:tc>
              <w:tc>
                <w:tcPr>
                  <w:tcW w:w="426" w:type="pct"/>
                  <w:vMerge w:val="continue"/>
                  <w:vAlign w:val="center"/>
                </w:tcPr>
                <w:p w14:paraId="5192A788">
                  <w:pPr>
                    <w:widowControl/>
                    <w:jc w:val="center"/>
                    <w:textAlignment w:val="bottom"/>
                    <w:rPr>
                      <w:kern w:val="0"/>
                      <w:sz w:val="21"/>
                      <w:szCs w:val="21"/>
                      <w:lang w:bidi="ar"/>
                    </w:rPr>
                  </w:pPr>
                </w:p>
              </w:tc>
            </w:tr>
            <w:tr w14:paraId="43B34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C2527E4">
                  <w:pPr>
                    <w:widowControl/>
                    <w:jc w:val="center"/>
                    <w:textAlignment w:val="bottom"/>
                    <w:rPr>
                      <w:kern w:val="0"/>
                      <w:sz w:val="21"/>
                      <w:szCs w:val="21"/>
                      <w:lang w:bidi="ar"/>
                    </w:rPr>
                  </w:pPr>
                  <w:r>
                    <w:rPr>
                      <w:rFonts w:hint="eastAsia"/>
                      <w:kern w:val="0"/>
                      <w:sz w:val="21"/>
                      <w:szCs w:val="21"/>
                      <w:lang w:bidi="ar"/>
                    </w:rPr>
                    <w:t>39</w:t>
                  </w:r>
                </w:p>
              </w:tc>
              <w:tc>
                <w:tcPr>
                  <w:tcW w:w="1588" w:type="pct"/>
                  <w:vAlign w:val="center"/>
                </w:tcPr>
                <w:p w14:paraId="1D5BD111">
                  <w:pPr>
                    <w:widowControl/>
                    <w:jc w:val="center"/>
                    <w:textAlignment w:val="center"/>
                    <w:rPr>
                      <w:kern w:val="0"/>
                      <w:sz w:val="21"/>
                      <w:szCs w:val="21"/>
                      <w:lang w:bidi="ar"/>
                    </w:rPr>
                  </w:pPr>
                  <w:r>
                    <w:rPr>
                      <w:kern w:val="0"/>
                      <w:sz w:val="21"/>
                      <w:szCs w:val="21"/>
                      <w:lang w:bidi="ar"/>
                    </w:rPr>
                    <w:t>磷</w:t>
                  </w:r>
                  <w:r>
                    <w:rPr>
                      <w:color w:val="auto"/>
                      <w:kern w:val="0"/>
                      <w:sz w:val="21"/>
                      <w:szCs w:val="21"/>
                      <w:lang w:bidi="ar"/>
                    </w:rPr>
                    <w:t>酸</w:t>
                  </w:r>
                  <w:r>
                    <w:rPr>
                      <w:rFonts w:hint="eastAsia"/>
                      <w:color w:val="auto"/>
                    </w:rPr>
                    <w:t>（</w:t>
                  </w:r>
                  <w:r>
                    <w:rPr>
                      <w:rFonts w:hint="eastAsia"/>
                      <w:color w:val="auto"/>
                      <w:sz w:val="21"/>
                      <w:szCs w:val="21"/>
                    </w:rPr>
                    <w:t>分析纯≥99.7%</w:t>
                  </w:r>
                  <w:r>
                    <w:rPr>
                      <w:rFonts w:hint="eastAsia"/>
                      <w:color w:val="auto"/>
                    </w:rPr>
                    <w:t>）</w:t>
                  </w:r>
                </w:p>
              </w:tc>
              <w:tc>
                <w:tcPr>
                  <w:tcW w:w="773" w:type="pct"/>
                  <w:vAlign w:val="center"/>
                </w:tcPr>
                <w:p w14:paraId="7A7EB38D">
                  <w:pPr>
                    <w:widowControl/>
                    <w:jc w:val="center"/>
                    <w:textAlignment w:val="center"/>
                    <w:rPr>
                      <w:kern w:val="0"/>
                      <w:sz w:val="21"/>
                      <w:szCs w:val="21"/>
                      <w:lang w:bidi="ar"/>
                    </w:rPr>
                  </w:pPr>
                  <w:r>
                    <w:rPr>
                      <w:kern w:val="0"/>
                      <w:sz w:val="21"/>
                      <w:szCs w:val="21"/>
                      <w:lang w:bidi="ar"/>
                    </w:rPr>
                    <w:t>500mL/瓶</w:t>
                  </w:r>
                </w:p>
              </w:tc>
              <w:tc>
                <w:tcPr>
                  <w:tcW w:w="562" w:type="pct"/>
                  <w:vAlign w:val="center"/>
                </w:tcPr>
                <w:p w14:paraId="24549430">
                  <w:pPr>
                    <w:widowControl/>
                    <w:jc w:val="center"/>
                    <w:textAlignment w:val="center"/>
                    <w:rPr>
                      <w:kern w:val="0"/>
                      <w:sz w:val="21"/>
                      <w:szCs w:val="21"/>
                      <w:lang w:bidi="ar"/>
                    </w:rPr>
                  </w:pPr>
                  <w:r>
                    <w:rPr>
                      <w:kern w:val="0"/>
                      <w:sz w:val="21"/>
                      <w:szCs w:val="21"/>
                      <w:lang w:bidi="ar"/>
                    </w:rPr>
                    <w:t>5</w:t>
                  </w:r>
                  <w:r>
                    <w:rPr>
                      <w:rFonts w:hint="eastAsia"/>
                      <w:kern w:val="0"/>
                      <w:sz w:val="21"/>
                      <w:szCs w:val="21"/>
                      <w:lang w:bidi="ar"/>
                    </w:rPr>
                    <w:t>瓶</w:t>
                  </w:r>
                </w:p>
              </w:tc>
              <w:tc>
                <w:tcPr>
                  <w:tcW w:w="740" w:type="pct"/>
                  <w:vAlign w:val="center"/>
                </w:tcPr>
                <w:p w14:paraId="7E0D3E06">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17652117">
                  <w:pPr>
                    <w:widowControl/>
                    <w:jc w:val="center"/>
                    <w:textAlignment w:val="bottom"/>
                    <w:rPr>
                      <w:kern w:val="0"/>
                      <w:sz w:val="21"/>
                      <w:szCs w:val="21"/>
                      <w:lang w:bidi="ar"/>
                    </w:rPr>
                  </w:pPr>
                </w:p>
              </w:tc>
              <w:tc>
                <w:tcPr>
                  <w:tcW w:w="426" w:type="pct"/>
                  <w:vMerge w:val="continue"/>
                  <w:vAlign w:val="center"/>
                </w:tcPr>
                <w:p w14:paraId="3DDE9AEE">
                  <w:pPr>
                    <w:widowControl/>
                    <w:jc w:val="center"/>
                    <w:textAlignment w:val="bottom"/>
                    <w:rPr>
                      <w:kern w:val="0"/>
                      <w:sz w:val="21"/>
                      <w:szCs w:val="21"/>
                      <w:lang w:bidi="ar"/>
                    </w:rPr>
                  </w:pPr>
                </w:p>
              </w:tc>
            </w:tr>
            <w:tr w14:paraId="01BF0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FEBB73D">
                  <w:pPr>
                    <w:widowControl/>
                    <w:jc w:val="center"/>
                    <w:textAlignment w:val="bottom"/>
                    <w:rPr>
                      <w:kern w:val="0"/>
                      <w:sz w:val="21"/>
                      <w:szCs w:val="21"/>
                      <w:lang w:bidi="ar"/>
                    </w:rPr>
                  </w:pPr>
                  <w:r>
                    <w:rPr>
                      <w:rFonts w:hint="eastAsia"/>
                      <w:kern w:val="0"/>
                      <w:sz w:val="21"/>
                      <w:szCs w:val="21"/>
                      <w:lang w:bidi="ar"/>
                    </w:rPr>
                    <w:t>40</w:t>
                  </w:r>
                </w:p>
              </w:tc>
              <w:tc>
                <w:tcPr>
                  <w:tcW w:w="1588" w:type="pct"/>
                  <w:vAlign w:val="center"/>
                </w:tcPr>
                <w:p w14:paraId="781C34C8">
                  <w:pPr>
                    <w:widowControl/>
                    <w:jc w:val="center"/>
                    <w:textAlignment w:val="center"/>
                    <w:rPr>
                      <w:kern w:val="0"/>
                      <w:sz w:val="21"/>
                      <w:szCs w:val="21"/>
                      <w:lang w:bidi="ar"/>
                    </w:rPr>
                  </w:pPr>
                  <w:r>
                    <w:rPr>
                      <w:kern w:val="0"/>
                      <w:sz w:val="21"/>
                      <w:szCs w:val="21"/>
                      <w:lang w:bidi="ar"/>
                    </w:rPr>
                    <w:t>磷酸二氢钾</w:t>
                  </w:r>
                </w:p>
              </w:tc>
              <w:tc>
                <w:tcPr>
                  <w:tcW w:w="773" w:type="pct"/>
                  <w:vAlign w:val="center"/>
                </w:tcPr>
                <w:p w14:paraId="6F0161A5">
                  <w:pPr>
                    <w:widowControl/>
                    <w:jc w:val="center"/>
                    <w:textAlignment w:val="center"/>
                    <w:rPr>
                      <w:kern w:val="0"/>
                      <w:sz w:val="21"/>
                      <w:szCs w:val="21"/>
                      <w:lang w:bidi="ar"/>
                    </w:rPr>
                  </w:pPr>
                  <w:r>
                    <w:rPr>
                      <w:kern w:val="0"/>
                      <w:sz w:val="21"/>
                      <w:szCs w:val="21"/>
                      <w:lang w:bidi="ar"/>
                    </w:rPr>
                    <w:t>500g/瓶</w:t>
                  </w:r>
                </w:p>
              </w:tc>
              <w:tc>
                <w:tcPr>
                  <w:tcW w:w="562" w:type="pct"/>
                  <w:vAlign w:val="center"/>
                </w:tcPr>
                <w:p w14:paraId="0D7B5A8F">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407AEA5D">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32309636">
                  <w:pPr>
                    <w:widowControl/>
                    <w:jc w:val="center"/>
                    <w:textAlignment w:val="bottom"/>
                    <w:rPr>
                      <w:kern w:val="0"/>
                      <w:sz w:val="21"/>
                      <w:szCs w:val="21"/>
                      <w:lang w:bidi="ar"/>
                    </w:rPr>
                  </w:pPr>
                </w:p>
              </w:tc>
              <w:tc>
                <w:tcPr>
                  <w:tcW w:w="426" w:type="pct"/>
                  <w:vMerge w:val="continue"/>
                  <w:vAlign w:val="center"/>
                </w:tcPr>
                <w:p w14:paraId="281ABD17">
                  <w:pPr>
                    <w:widowControl/>
                    <w:jc w:val="center"/>
                    <w:textAlignment w:val="bottom"/>
                    <w:rPr>
                      <w:kern w:val="0"/>
                      <w:sz w:val="21"/>
                      <w:szCs w:val="21"/>
                      <w:lang w:bidi="ar"/>
                    </w:rPr>
                  </w:pPr>
                </w:p>
              </w:tc>
            </w:tr>
            <w:tr w14:paraId="5F115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0ED29BF">
                  <w:pPr>
                    <w:widowControl/>
                    <w:jc w:val="center"/>
                    <w:textAlignment w:val="bottom"/>
                    <w:rPr>
                      <w:kern w:val="0"/>
                      <w:sz w:val="21"/>
                      <w:szCs w:val="21"/>
                      <w:lang w:bidi="ar"/>
                    </w:rPr>
                  </w:pPr>
                  <w:r>
                    <w:rPr>
                      <w:rFonts w:hint="eastAsia"/>
                      <w:kern w:val="0"/>
                      <w:sz w:val="21"/>
                      <w:szCs w:val="21"/>
                      <w:lang w:bidi="ar"/>
                    </w:rPr>
                    <w:t>41</w:t>
                  </w:r>
                </w:p>
              </w:tc>
              <w:tc>
                <w:tcPr>
                  <w:tcW w:w="1588" w:type="pct"/>
                  <w:vAlign w:val="center"/>
                </w:tcPr>
                <w:p w14:paraId="51D207A2">
                  <w:pPr>
                    <w:widowControl/>
                    <w:jc w:val="center"/>
                    <w:textAlignment w:val="center"/>
                    <w:rPr>
                      <w:kern w:val="0"/>
                      <w:sz w:val="21"/>
                      <w:szCs w:val="21"/>
                      <w:lang w:bidi="ar"/>
                    </w:rPr>
                  </w:pPr>
                  <w:r>
                    <w:rPr>
                      <w:kern w:val="0"/>
                      <w:sz w:val="21"/>
                      <w:szCs w:val="21"/>
                      <w:lang w:bidi="ar"/>
                    </w:rPr>
                    <w:t>磷酸二氢钠</w:t>
                  </w:r>
                </w:p>
              </w:tc>
              <w:tc>
                <w:tcPr>
                  <w:tcW w:w="773" w:type="pct"/>
                  <w:vAlign w:val="center"/>
                </w:tcPr>
                <w:p w14:paraId="58474A2B">
                  <w:pPr>
                    <w:widowControl/>
                    <w:jc w:val="center"/>
                    <w:textAlignment w:val="center"/>
                    <w:rPr>
                      <w:kern w:val="0"/>
                      <w:sz w:val="21"/>
                      <w:szCs w:val="21"/>
                      <w:lang w:bidi="ar"/>
                    </w:rPr>
                  </w:pPr>
                  <w:r>
                    <w:rPr>
                      <w:kern w:val="0"/>
                      <w:sz w:val="21"/>
                      <w:szCs w:val="21"/>
                      <w:lang w:bidi="ar"/>
                    </w:rPr>
                    <w:t>500g/瓶</w:t>
                  </w:r>
                </w:p>
              </w:tc>
              <w:tc>
                <w:tcPr>
                  <w:tcW w:w="562" w:type="pct"/>
                  <w:vAlign w:val="center"/>
                </w:tcPr>
                <w:p w14:paraId="2D2E5408">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21600D58">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000D9492">
                  <w:pPr>
                    <w:widowControl/>
                    <w:jc w:val="center"/>
                    <w:textAlignment w:val="bottom"/>
                    <w:rPr>
                      <w:kern w:val="0"/>
                      <w:sz w:val="21"/>
                      <w:szCs w:val="21"/>
                      <w:lang w:bidi="ar"/>
                    </w:rPr>
                  </w:pPr>
                </w:p>
              </w:tc>
              <w:tc>
                <w:tcPr>
                  <w:tcW w:w="426" w:type="pct"/>
                  <w:vMerge w:val="continue"/>
                  <w:vAlign w:val="center"/>
                </w:tcPr>
                <w:p w14:paraId="0148A505">
                  <w:pPr>
                    <w:widowControl/>
                    <w:jc w:val="center"/>
                    <w:textAlignment w:val="bottom"/>
                    <w:rPr>
                      <w:kern w:val="0"/>
                      <w:sz w:val="21"/>
                      <w:szCs w:val="21"/>
                      <w:lang w:bidi="ar"/>
                    </w:rPr>
                  </w:pPr>
                </w:p>
              </w:tc>
            </w:tr>
            <w:tr w14:paraId="7F36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54A2407">
                  <w:pPr>
                    <w:widowControl/>
                    <w:jc w:val="center"/>
                    <w:textAlignment w:val="bottom"/>
                    <w:rPr>
                      <w:kern w:val="0"/>
                      <w:sz w:val="21"/>
                      <w:szCs w:val="21"/>
                      <w:lang w:bidi="ar"/>
                    </w:rPr>
                  </w:pPr>
                  <w:r>
                    <w:rPr>
                      <w:rFonts w:hint="eastAsia"/>
                      <w:kern w:val="0"/>
                      <w:sz w:val="21"/>
                      <w:szCs w:val="21"/>
                      <w:lang w:bidi="ar"/>
                    </w:rPr>
                    <w:t>42</w:t>
                  </w:r>
                </w:p>
              </w:tc>
              <w:tc>
                <w:tcPr>
                  <w:tcW w:w="1588" w:type="pct"/>
                  <w:vAlign w:val="center"/>
                </w:tcPr>
                <w:p w14:paraId="02F8A784">
                  <w:pPr>
                    <w:widowControl/>
                    <w:jc w:val="center"/>
                    <w:textAlignment w:val="center"/>
                    <w:rPr>
                      <w:kern w:val="0"/>
                      <w:sz w:val="21"/>
                      <w:szCs w:val="21"/>
                      <w:lang w:bidi="ar"/>
                    </w:rPr>
                  </w:pPr>
                  <w:r>
                    <w:rPr>
                      <w:kern w:val="0"/>
                      <w:sz w:val="21"/>
                      <w:szCs w:val="21"/>
                      <w:lang w:bidi="ar"/>
                    </w:rPr>
                    <w:t>磷酸氢二铵</w:t>
                  </w:r>
                </w:p>
              </w:tc>
              <w:tc>
                <w:tcPr>
                  <w:tcW w:w="773" w:type="pct"/>
                  <w:vAlign w:val="center"/>
                </w:tcPr>
                <w:p w14:paraId="3E92A0BA">
                  <w:pPr>
                    <w:widowControl/>
                    <w:jc w:val="center"/>
                    <w:textAlignment w:val="center"/>
                    <w:rPr>
                      <w:kern w:val="0"/>
                      <w:sz w:val="21"/>
                      <w:szCs w:val="21"/>
                      <w:lang w:bidi="ar"/>
                    </w:rPr>
                  </w:pPr>
                  <w:r>
                    <w:rPr>
                      <w:kern w:val="0"/>
                      <w:sz w:val="21"/>
                      <w:szCs w:val="21"/>
                      <w:lang w:bidi="ar"/>
                    </w:rPr>
                    <w:t>500g/瓶</w:t>
                  </w:r>
                </w:p>
              </w:tc>
              <w:tc>
                <w:tcPr>
                  <w:tcW w:w="562" w:type="pct"/>
                  <w:vAlign w:val="center"/>
                </w:tcPr>
                <w:p w14:paraId="157DB876">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6618E191">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4D9E6C45">
                  <w:pPr>
                    <w:widowControl/>
                    <w:jc w:val="center"/>
                    <w:textAlignment w:val="bottom"/>
                    <w:rPr>
                      <w:kern w:val="0"/>
                      <w:sz w:val="21"/>
                      <w:szCs w:val="21"/>
                      <w:lang w:bidi="ar"/>
                    </w:rPr>
                  </w:pPr>
                </w:p>
              </w:tc>
              <w:tc>
                <w:tcPr>
                  <w:tcW w:w="426" w:type="pct"/>
                  <w:vMerge w:val="continue"/>
                  <w:vAlign w:val="center"/>
                </w:tcPr>
                <w:p w14:paraId="2AF515EF">
                  <w:pPr>
                    <w:widowControl/>
                    <w:jc w:val="center"/>
                    <w:textAlignment w:val="bottom"/>
                    <w:rPr>
                      <w:kern w:val="0"/>
                      <w:sz w:val="21"/>
                      <w:szCs w:val="21"/>
                      <w:lang w:bidi="ar"/>
                    </w:rPr>
                  </w:pPr>
                </w:p>
              </w:tc>
            </w:tr>
            <w:tr w14:paraId="4A03B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6583955">
                  <w:pPr>
                    <w:widowControl/>
                    <w:jc w:val="center"/>
                    <w:textAlignment w:val="bottom"/>
                    <w:rPr>
                      <w:kern w:val="0"/>
                      <w:sz w:val="21"/>
                      <w:szCs w:val="21"/>
                      <w:lang w:bidi="ar"/>
                    </w:rPr>
                  </w:pPr>
                  <w:r>
                    <w:rPr>
                      <w:rFonts w:hint="eastAsia"/>
                      <w:kern w:val="0"/>
                      <w:sz w:val="21"/>
                      <w:szCs w:val="21"/>
                      <w:lang w:bidi="ar"/>
                    </w:rPr>
                    <w:t>43</w:t>
                  </w:r>
                </w:p>
              </w:tc>
              <w:tc>
                <w:tcPr>
                  <w:tcW w:w="1588" w:type="pct"/>
                  <w:vAlign w:val="center"/>
                </w:tcPr>
                <w:p w14:paraId="5B885587">
                  <w:pPr>
                    <w:widowControl/>
                    <w:jc w:val="center"/>
                    <w:textAlignment w:val="center"/>
                    <w:rPr>
                      <w:kern w:val="0"/>
                      <w:sz w:val="21"/>
                      <w:szCs w:val="21"/>
                      <w:lang w:bidi="ar"/>
                    </w:rPr>
                  </w:pPr>
                  <w:r>
                    <w:rPr>
                      <w:kern w:val="0"/>
                      <w:sz w:val="21"/>
                      <w:szCs w:val="21"/>
                      <w:lang w:bidi="ar"/>
                    </w:rPr>
                    <w:t>硫代硫酸钠</w:t>
                  </w:r>
                </w:p>
              </w:tc>
              <w:tc>
                <w:tcPr>
                  <w:tcW w:w="773" w:type="pct"/>
                  <w:vAlign w:val="center"/>
                </w:tcPr>
                <w:p w14:paraId="2150793E">
                  <w:pPr>
                    <w:widowControl/>
                    <w:jc w:val="center"/>
                    <w:textAlignment w:val="center"/>
                    <w:rPr>
                      <w:kern w:val="0"/>
                      <w:sz w:val="21"/>
                      <w:szCs w:val="21"/>
                      <w:lang w:bidi="ar"/>
                    </w:rPr>
                  </w:pPr>
                  <w:r>
                    <w:rPr>
                      <w:kern w:val="0"/>
                      <w:sz w:val="21"/>
                      <w:szCs w:val="21"/>
                      <w:lang w:bidi="ar"/>
                    </w:rPr>
                    <w:t>500mL/瓶</w:t>
                  </w:r>
                </w:p>
              </w:tc>
              <w:tc>
                <w:tcPr>
                  <w:tcW w:w="562" w:type="pct"/>
                  <w:vAlign w:val="center"/>
                </w:tcPr>
                <w:p w14:paraId="30EB62A3">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1A3E53D1">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50416B84">
                  <w:pPr>
                    <w:widowControl/>
                    <w:jc w:val="center"/>
                    <w:textAlignment w:val="bottom"/>
                    <w:rPr>
                      <w:kern w:val="0"/>
                      <w:sz w:val="21"/>
                      <w:szCs w:val="21"/>
                      <w:lang w:bidi="ar"/>
                    </w:rPr>
                  </w:pPr>
                </w:p>
              </w:tc>
              <w:tc>
                <w:tcPr>
                  <w:tcW w:w="426" w:type="pct"/>
                  <w:vMerge w:val="continue"/>
                  <w:vAlign w:val="center"/>
                </w:tcPr>
                <w:p w14:paraId="7FB19805">
                  <w:pPr>
                    <w:widowControl/>
                    <w:jc w:val="center"/>
                    <w:textAlignment w:val="bottom"/>
                    <w:rPr>
                      <w:kern w:val="0"/>
                      <w:sz w:val="21"/>
                      <w:szCs w:val="21"/>
                      <w:lang w:bidi="ar"/>
                    </w:rPr>
                  </w:pPr>
                </w:p>
              </w:tc>
            </w:tr>
            <w:tr w14:paraId="5B471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156A52D">
                  <w:pPr>
                    <w:widowControl/>
                    <w:jc w:val="center"/>
                    <w:textAlignment w:val="bottom"/>
                    <w:rPr>
                      <w:kern w:val="0"/>
                      <w:sz w:val="21"/>
                      <w:szCs w:val="21"/>
                      <w:lang w:bidi="ar"/>
                    </w:rPr>
                  </w:pPr>
                  <w:r>
                    <w:rPr>
                      <w:rFonts w:hint="eastAsia"/>
                      <w:kern w:val="0"/>
                      <w:sz w:val="21"/>
                      <w:szCs w:val="21"/>
                      <w:lang w:bidi="ar"/>
                    </w:rPr>
                    <w:t>44</w:t>
                  </w:r>
                </w:p>
              </w:tc>
              <w:tc>
                <w:tcPr>
                  <w:tcW w:w="1588" w:type="pct"/>
                  <w:vAlign w:val="center"/>
                </w:tcPr>
                <w:p w14:paraId="4754AF25">
                  <w:pPr>
                    <w:widowControl/>
                    <w:jc w:val="center"/>
                    <w:textAlignment w:val="center"/>
                    <w:rPr>
                      <w:kern w:val="0"/>
                      <w:sz w:val="21"/>
                      <w:szCs w:val="21"/>
                      <w:lang w:bidi="ar"/>
                    </w:rPr>
                  </w:pPr>
                  <w:r>
                    <w:rPr>
                      <w:kern w:val="0"/>
                      <w:sz w:val="21"/>
                      <w:szCs w:val="21"/>
                      <w:lang w:bidi="ar"/>
                    </w:rPr>
                    <w:t>硫脲</w:t>
                  </w:r>
                </w:p>
              </w:tc>
              <w:tc>
                <w:tcPr>
                  <w:tcW w:w="773" w:type="pct"/>
                  <w:vAlign w:val="center"/>
                </w:tcPr>
                <w:p w14:paraId="678A44D1">
                  <w:pPr>
                    <w:widowControl/>
                    <w:jc w:val="center"/>
                    <w:textAlignment w:val="center"/>
                    <w:rPr>
                      <w:kern w:val="0"/>
                      <w:sz w:val="21"/>
                      <w:szCs w:val="21"/>
                      <w:lang w:bidi="ar"/>
                    </w:rPr>
                  </w:pPr>
                  <w:r>
                    <w:rPr>
                      <w:kern w:val="0"/>
                      <w:sz w:val="21"/>
                      <w:szCs w:val="21"/>
                      <w:lang w:bidi="ar"/>
                    </w:rPr>
                    <w:t>500g/瓶</w:t>
                  </w:r>
                </w:p>
              </w:tc>
              <w:tc>
                <w:tcPr>
                  <w:tcW w:w="562" w:type="pct"/>
                  <w:vAlign w:val="center"/>
                </w:tcPr>
                <w:p w14:paraId="0A139C20">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522FF3E4">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723ACCCF">
                  <w:pPr>
                    <w:widowControl/>
                    <w:jc w:val="center"/>
                    <w:textAlignment w:val="bottom"/>
                    <w:rPr>
                      <w:kern w:val="0"/>
                      <w:sz w:val="21"/>
                      <w:szCs w:val="21"/>
                      <w:lang w:bidi="ar"/>
                    </w:rPr>
                  </w:pPr>
                </w:p>
              </w:tc>
              <w:tc>
                <w:tcPr>
                  <w:tcW w:w="426" w:type="pct"/>
                  <w:vMerge w:val="continue"/>
                  <w:vAlign w:val="center"/>
                </w:tcPr>
                <w:p w14:paraId="162C8D29">
                  <w:pPr>
                    <w:widowControl/>
                    <w:jc w:val="center"/>
                    <w:textAlignment w:val="bottom"/>
                    <w:rPr>
                      <w:kern w:val="0"/>
                      <w:sz w:val="21"/>
                      <w:szCs w:val="21"/>
                      <w:lang w:bidi="ar"/>
                    </w:rPr>
                  </w:pPr>
                </w:p>
              </w:tc>
            </w:tr>
            <w:tr w14:paraId="0346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20E560C">
                  <w:pPr>
                    <w:widowControl/>
                    <w:jc w:val="center"/>
                    <w:textAlignment w:val="bottom"/>
                    <w:rPr>
                      <w:kern w:val="0"/>
                      <w:sz w:val="21"/>
                      <w:szCs w:val="21"/>
                      <w:lang w:bidi="ar"/>
                    </w:rPr>
                  </w:pPr>
                  <w:r>
                    <w:rPr>
                      <w:rFonts w:hint="eastAsia"/>
                      <w:kern w:val="0"/>
                      <w:sz w:val="21"/>
                      <w:szCs w:val="21"/>
                      <w:lang w:bidi="ar"/>
                    </w:rPr>
                    <w:t>45</w:t>
                  </w:r>
                </w:p>
              </w:tc>
              <w:tc>
                <w:tcPr>
                  <w:tcW w:w="1588" w:type="pct"/>
                  <w:vAlign w:val="center"/>
                </w:tcPr>
                <w:p w14:paraId="258F1964">
                  <w:pPr>
                    <w:widowControl/>
                    <w:jc w:val="center"/>
                    <w:textAlignment w:val="center"/>
                    <w:rPr>
                      <w:kern w:val="0"/>
                      <w:sz w:val="21"/>
                      <w:szCs w:val="21"/>
                      <w:lang w:bidi="ar"/>
                    </w:rPr>
                  </w:pPr>
                  <w:r>
                    <w:rPr>
                      <w:kern w:val="0"/>
                      <w:sz w:val="21"/>
                      <w:szCs w:val="21"/>
                      <w:lang w:bidi="ar"/>
                    </w:rPr>
                    <w:t>硫酸（95%-98%）</w:t>
                  </w:r>
                </w:p>
              </w:tc>
              <w:tc>
                <w:tcPr>
                  <w:tcW w:w="773" w:type="pct"/>
                  <w:vAlign w:val="center"/>
                </w:tcPr>
                <w:p w14:paraId="01B2874B">
                  <w:pPr>
                    <w:widowControl/>
                    <w:jc w:val="center"/>
                    <w:textAlignment w:val="center"/>
                    <w:rPr>
                      <w:kern w:val="0"/>
                      <w:sz w:val="21"/>
                      <w:szCs w:val="21"/>
                      <w:lang w:bidi="ar"/>
                    </w:rPr>
                  </w:pPr>
                  <w:r>
                    <w:rPr>
                      <w:kern w:val="0"/>
                      <w:sz w:val="21"/>
                      <w:szCs w:val="21"/>
                      <w:lang w:bidi="ar"/>
                    </w:rPr>
                    <w:t>500ml/瓶</w:t>
                  </w:r>
                </w:p>
              </w:tc>
              <w:tc>
                <w:tcPr>
                  <w:tcW w:w="562" w:type="pct"/>
                  <w:vAlign w:val="center"/>
                </w:tcPr>
                <w:p w14:paraId="60F7A75E">
                  <w:pPr>
                    <w:widowControl/>
                    <w:jc w:val="center"/>
                    <w:textAlignment w:val="center"/>
                    <w:rPr>
                      <w:kern w:val="0"/>
                      <w:sz w:val="21"/>
                      <w:szCs w:val="21"/>
                      <w:lang w:bidi="ar"/>
                    </w:rPr>
                  </w:pPr>
                  <w:r>
                    <w:rPr>
                      <w:kern w:val="0"/>
                      <w:sz w:val="21"/>
                      <w:szCs w:val="21"/>
                      <w:lang w:bidi="ar"/>
                    </w:rPr>
                    <w:t>206</w:t>
                  </w:r>
                  <w:r>
                    <w:rPr>
                      <w:rFonts w:hint="eastAsia"/>
                      <w:kern w:val="0"/>
                      <w:sz w:val="21"/>
                      <w:szCs w:val="21"/>
                      <w:lang w:bidi="ar"/>
                    </w:rPr>
                    <w:t>瓶</w:t>
                  </w:r>
                </w:p>
              </w:tc>
              <w:tc>
                <w:tcPr>
                  <w:tcW w:w="740" w:type="pct"/>
                  <w:vAlign w:val="center"/>
                </w:tcPr>
                <w:p w14:paraId="717AE869">
                  <w:pPr>
                    <w:widowControl/>
                    <w:jc w:val="center"/>
                    <w:textAlignment w:val="center"/>
                    <w:rPr>
                      <w:kern w:val="0"/>
                      <w:sz w:val="21"/>
                      <w:szCs w:val="21"/>
                      <w:lang w:bidi="ar"/>
                    </w:rPr>
                  </w:pPr>
                  <w:r>
                    <w:rPr>
                      <w:kern w:val="0"/>
                      <w:sz w:val="21"/>
                      <w:szCs w:val="21"/>
                      <w:lang w:bidi="ar"/>
                    </w:rPr>
                    <w:t>40</w:t>
                  </w:r>
                  <w:r>
                    <w:rPr>
                      <w:rFonts w:hint="eastAsia"/>
                      <w:kern w:val="0"/>
                      <w:sz w:val="21"/>
                      <w:szCs w:val="21"/>
                      <w:lang w:bidi="ar"/>
                    </w:rPr>
                    <w:t>瓶</w:t>
                  </w:r>
                </w:p>
              </w:tc>
              <w:tc>
                <w:tcPr>
                  <w:tcW w:w="554" w:type="pct"/>
                  <w:vMerge w:val="continue"/>
                  <w:vAlign w:val="center"/>
                </w:tcPr>
                <w:p w14:paraId="2B3EF6A2">
                  <w:pPr>
                    <w:widowControl/>
                    <w:jc w:val="center"/>
                    <w:textAlignment w:val="bottom"/>
                    <w:rPr>
                      <w:kern w:val="0"/>
                      <w:sz w:val="21"/>
                      <w:szCs w:val="21"/>
                      <w:lang w:bidi="ar"/>
                    </w:rPr>
                  </w:pPr>
                </w:p>
              </w:tc>
              <w:tc>
                <w:tcPr>
                  <w:tcW w:w="426" w:type="pct"/>
                  <w:vMerge w:val="continue"/>
                  <w:vAlign w:val="center"/>
                </w:tcPr>
                <w:p w14:paraId="793C6484">
                  <w:pPr>
                    <w:widowControl/>
                    <w:jc w:val="center"/>
                    <w:textAlignment w:val="bottom"/>
                    <w:rPr>
                      <w:kern w:val="0"/>
                      <w:sz w:val="21"/>
                      <w:szCs w:val="21"/>
                      <w:lang w:bidi="ar"/>
                    </w:rPr>
                  </w:pPr>
                </w:p>
              </w:tc>
            </w:tr>
            <w:tr w14:paraId="62DD4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3D4565A">
                  <w:pPr>
                    <w:widowControl/>
                    <w:jc w:val="center"/>
                    <w:textAlignment w:val="bottom"/>
                    <w:rPr>
                      <w:kern w:val="0"/>
                      <w:sz w:val="21"/>
                      <w:szCs w:val="21"/>
                      <w:lang w:bidi="ar"/>
                    </w:rPr>
                  </w:pPr>
                  <w:r>
                    <w:rPr>
                      <w:rFonts w:hint="eastAsia"/>
                      <w:kern w:val="0"/>
                      <w:sz w:val="21"/>
                      <w:szCs w:val="21"/>
                      <w:lang w:bidi="ar"/>
                    </w:rPr>
                    <w:t>46</w:t>
                  </w:r>
                </w:p>
              </w:tc>
              <w:tc>
                <w:tcPr>
                  <w:tcW w:w="1588" w:type="pct"/>
                  <w:vAlign w:val="center"/>
                </w:tcPr>
                <w:p w14:paraId="4479CE0B">
                  <w:pPr>
                    <w:widowControl/>
                    <w:jc w:val="center"/>
                    <w:textAlignment w:val="center"/>
                    <w:rPr>
                      <w:kern w:val="0"/>
                      <w:sz w:val="21"/>
                      <w:szCs w:val="21"/>
                      <w:lang w:bidi="ar"/>
                    </w:rPr>
                  </w:pPr>
                  <w:r>
                    <w:rPr>
                      <w:kern w:val="0"/>
                      <w:sz w:val="21"/>
                      <w:szCs w:val="21"/>
                      <w:lang w:bidi="ar"/>
                    </w:rPr>
                    <w:t>硫酸镉</w:t>
                  </w:r>
                </w:p>
              </w:tc>
              <w:tc>
                <w:tcPr>
                  <w:tcW w:w="773" w:type="pct"/>
                  <w:vAlign w:val="center"/>
                </w:tcPr>
                <w:p w14:paraId="312A3ED8">
                  <w:pPr>
                    <w:widowControl/>
                    <w:jc w:val="center"/>
                    <w:textAlignment w:val="center"/>
                    <w:rPr>
                      <w:kern w:val="0"/>
                      <w:sz w:val="21"/>
                      <w:szCs w:val="21"/>
                      <w:lang w:bidi="ar"/>
                    </w:rPr>
                  </w:pPr>
                  <w:r>
                    <w:rPr>
                      <w:kern w:val="0"/>
                      <w:sz w:val="21"/>
                      <w:szCs w:val="21"/>
                      <w:lang w:bidi="ar"/>
                    </w:rPr>
                    <w:t>100g/瓶</w:t>
                  </w:r>
                </w:p>
              </w:tc>
              <w:tc>
                <w:tcPr>
                  <w:tcW w:w="562" w:type="pct"/>
                  <w:vAlign w:val="center"/>
                </w:tcPr>
                <w:p w14:paraId="311B29CC">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1B464541">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63F46E55">
                  <w:pPr>
                    <w:widowControl/>
                    <w:jc w:val="center"/>
                    <w:textAlignment w:val="bottom"/>
                    <w:rPr>
                      <w:kern w:val="0"/>
                      <w:sz w:val="21"/>
                      <w:szCs w:val="21"/>
                      <w:lang w:bidi="ar"/>
                    </w:rPr>
                  </w:pPr>
                </w:p>
              </w:tc>
              <w:tc>
                <w:tcPr>
                  <w:tcW w:w="426" w:type="pct"/>
                  <w:vMerge w:val="continue"/>
                  <w:vAlign w:val="center"/>
                </w:tcPr>
                <w:p w14:paraId="69F18AC5">
                  <w:pPr>
                    <w:widowControl/>
                    <w:jc w:val="center"/>
                    <w:textAlignment w:val="bottom"/>
                    <w:rPr>
                      <w:kern w:val="0"/>
                      <w:sz w:val="21"/>
                      <w:szCs w:val="21"/>
                      <w:lang w:bidi="ar"/>
                    </w:rPr>
                  </w:pPr>
                </w:p>
              </w:tc>
            </w:tr>
            <w:tr w14:paraId="6FBA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042D420">
                  <w:pPr>
                    <w:widowControl/>
                    <w:jc w:val="center"/>
                    <w:textAlignment w:val="bottom"/>
                    <w:rPr>
                      <w:kern w:val="0"/>
                      <w:sz w:val="21"/>
                      <w:szCs w:val="21"/>
                      <w:lang w:bidi="ar"/>
                    </w:rPr>
                  </w:pPr>
                  <w:r>
                    <w:rPr>
                      <w:rFonts w:hint="eastAsia"/>
                      <w:kern w:val="0"/>
                      <w:sz w:val="21"/>
                      <w:szCs w:val="21"/>
                      <w:lang w:bidi="ar"/>
                    </w:rPr>
                    <w:t>47</w:t>
                  </w:r>
                </w:p>
              </w:tc>
              <w:tc>
                <w:tcPr>
                  <w:tcW w:w="1588" w:type="pct"/>
                  <w:vAlign w:val="center"/>
                </w:tcPr>
                <w:p w14:paraId="53C0A5FF">
                  <w:pPr>
                    <w:widowControl/>
                    <w:jc w:val="center"/>
                    <w:textAlignment w:val="center"/>
                    <w:rPr>
                      <w:kern w:val="0"/>
                      <w:sz w:val="21"/>
                      <w:szCs w:val="21"/>
                      <w:lang w:bidi="ar"/>
                    </w:rPr>
                  </w:pPr>
                  <w:r>
                    <w:rPr>
                      <w:kern w:val="0"/>
                      <w:sz w:val="21"/>
                      <w:szCs w:val="21"/>
                      <w:lang w:bidi="ar"/>
                    </w:rPr>
                    <w:t>硫酸钾</w:t>
                  </w:r>
                </w:p>
              </w:tc>
              <w:tc>
                <w:tcPr>
                  <w:tcW w:w="773" w:type="pct"/>
                  <w:vAlign w:val="center"/>
                </w:tcPr>
                <w:p w14:paraId="69B8F5CB">
                  <w:pPr>
                    <w:widowControl/>
                    <w:jc w:val="center"/>
                    <w:textAlignment w:val="center"/>
                    <w:rPr>
                      <w:kern w:val="0"/>
                      <w:sz w:val="21"/>
                      <w:szCs w:val="21"/>
                      <w:lang w:bidi="ar"/>
                    </w:rPr>
                  </w:pPr>
                  <w:r>
                    <w:rPr>
                      <w:kern w:val="0"/>
                      <w:sz w:val="21"/>
                      <w:szCs w:val="21"/>
                      <w:lang w:bidi="ar"/>
                    </w:rPr>
                    <w:t>500g/瓶</w:t>
                  </w:r>
                </w:p>
              </w:tc>
              <w:tc>
                <w:tcPr>
                  <w:tcW w:w="562" w:type="pct"/>
                  <w:vAlign w:val="center"/>
                </w:tcPr>
                <w:p w14:paraId="69A882D5">
                  <w:pPr>
                    <w:widowControl/>
                    <w:jc w:val="center"/>
                    <w:textAlignment w:val="center"/>
                    <w:rPr>
                      <w:kern w:val="0"/>
                      <w:sz w:val="21"/>
                      <w:szCs w:val="21"/>
                      <w:lang w:bidi="ar"/>
                    </w:rPr>
                  </w:pPr>
                  <w:r>
                    <w:rPr>
                      <w:kern w:val="0"/>
                      <w:sz w:val="21"/>
                      <w:szCs w:val="21"/>
                      <w:lang w:bidi="ar"/>
                    </w:rPr>
                    <w:t>3</w:t>
                  </w:r>
                  <w:r>
                    <w:rPr>
                      <w:rFonts w:hint="eastAsia"/>
                      <w:kern w:val="0"/>
                      <w:sz w:val="21"/>
                      <w:szCs w:val="21"/>
                      <w:lang w:bidi="ar"/>
                    </w:rPr>
                    <w:t>瓶</w:t>
                  </w:r>
                </w:p>
              </w:tc>
              <w:tc>
                <w:tcPr>
                  <w:tcW w:w="740" w:type="pct"/>
                  <w:vAlign w:val="center"/>
                </w:tcPr>
                <w:p w14:paraId="14854C0B">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0C531B69">
                  <w:pPr>
                    <w:widowControl/>
                    <w:jc w:val="center"/>
                    <w:textAlignment w:val="bottom"/>
                    <w:rPr>
                      <w:kern w:val="0"/>
                      <w:sz w:val="21"/>
                      <w:szCs w:val="21"/>
                      <w:lang w:bidi="ar"/>
                    </w:rPr>
                  </w:pPr>
                </w:p>
              </w:tc>
              <w:tc>
                <w:tcPr>
                  <w:tcW w:w="426" w:type="pct"/>
                  <w:vMerge w:val="continue"/>
                  <w:vAlign w:val="center"/>
                </w:tcPr>
                <w:p w14:paraId="38F2F130">
                  <w:pPr>
                    <w:widowControl/>
                    <w:jc w:val="center"/>
                    <w:textAlignment w:val="bottom"/>
                    <w:rPr>
                      <w:kern w:val="0"/>
                      <w:sz w:val="21"/>
                      <w:szCs w:val="21"/>
                      <w:lang w:bidi="ar"/>
                    </w:rPr>
                  </w:pPr>
                </w:p>
              </w:tc>
            </w:tr>
            <w:tr w14:paraId="01838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6FF4DDB">
                  <w:pPr>
                    <w:widowControl/>
                    <w:jc w:val="center"/>
                    <w:textAlignment w:val="bottom"/>
                    <w:rPr>
                      <w:kern w:val="0"/>
                      <w:sz w:val="21"/>
                      <w:szCs w:val="21"/>
                      <w:lang w:bidi="ar"/>
                    </w:rPr>
                  </w:pPr>
                  <w:r>
                    <w:rPr>
                      <w:rFonts w:hint="eastAsia"/>
                      <w:kern w:val="0"/>
                      <w:sz w:val="21"/>
                      <w:szCs w:val="21"/>
                      <w:lang w:bidi="ar"/>
                    </w:rPr>
                    <w:t>48</w:t>
                  </w:r>
                </w:p>
              </w:tc>
              <w:tc>
                <w:tcPr>
                  <w:tcW w:w="1588" w:type="pct"/>
                  <w:vAlign w:val="center"/>
                </w:tcPr>
                <w:p w14:paraId="229441A0">
                  <w:pPr>
                    <w:widowControl/>
                    <w:jc w:val="center"/>
                    <w:textAlignment w:val="center"/>
                    <w:rPr>
                      <w:kern w:val="0"/>
                      <w:sz w:val="21"/>
                      <w:szCs w:val="21"/>
                      <w:lang w:bidi="ar"/>
                    </w:rPr>
                  </w:pPr>
                  <w:r>
                    <w:rPr>
                      <w:kern w:val="0"/>
                      <w:sz w:val="21"/>
                      <w:szCs w:val="21"/>
                      <w:lang w:bidi="ar"/>
                    </w:rPr>
                    <w:t>硫酸镁</w:t>
                  </w:r>
                </w:p>
              </w:tc>
              <w:tc>
                <w:tcPr>
                  <w:tcW w:w="773" w:type="pct"/>
                  <w:vAlign w:val="center"/>
                </w:tcPr>
                <w:p w14:paraId="21660675">
                  <w:pPr>
                    <w:widowControl/>
                    <w:jc w:val="center"/>
                    <w:textAlignment w:val="center"/>
                    <w:rPr>
                      <w:kern w:val="0"/>
                      <w:sz w:val="21"/>
                      <w:szCs w:val="21"/>
                      <w:lang w:bidi="ar"/>
                    </w:rPr>
                  </w:pPr>
                  <w:r>
                    <w:rPr>
                      <w:kern w:val="0"/>
                      <w:sz w:val="21"/>
                      <w:szCs w:val="21"/>
                      <w:lang w:bidi="ar"/>
                    </w:rPr>
                    <w:t>500g/瓶</w:t>
                  </w:r>
                </w:p>
              </w:tc>
              <w:tc>
                <w:tcPr>
                  <w:tcW w:w="562" w:type="pct"/>
                  <w:vAlign w:val="center"/>
                </w:tcPr>
                <w:p w14:paraId="5D33611C">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79596898">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000F2FBA">
                  <w:pPr>
                    <w:widowControl/>
                    <w:jc w:val="center"/>
                    <w:textAlignment w:val="bottom"/>
                    <w:rPr>
                      <w:kern w:val="0"/>
                      <w:sz w:val="21"/>
                      <w:szCs w:val="21"/>
                      <w:lang w:bidi="ar"/>
                    </w:rPr>
                  </w:pPr>
                </w:p>
              </w:tc>
              <w:tc>
                <w:tcPr>
                  <w:tcW w:w="426" w:type="pct"/>
                  <w:vMerge w:val="continue"/>
                  <w:vAlign w:val="center"/>
                </w:tcPr>
                <w:p w14:paraId="21A7A1E4">
                  <w:pPr>
                    <w:widowControl/>
                    <w:jc w:val="center"/>
                    <w:textAlignment w:val="bottom"/>
                    <w:rPr>
                      <w:kern w:val="0"/>
                      <w:sz w:val="21"/>
                      <w:szCs w:val="21"/>
                      <w:lang w:bidi="ar"/>
                    </w:rPr>
                  </w:pPr>
                </w:p>
              </w:tc>
            </w:tr>
            <w:tr w14:paraId="541F0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2D296E9">
                  <w:pPr>
                    <w:widowControl/>
                    <w:jc w:val="center"/>
                    <w:textAlignment w:val="bottom"/>
                    <w:rPr>
                      <w:kern w:val="0"/>
                      <w:sz w:val="21"/>
                      <w:szCs w:val="21"/>
                      <w:lang w:bidi="ar"/>
                    </w:rPr>
                  </w:pPr>
                  <w:r>
                    <w:rPr>
                      <w:rFonts w:hint="eastAsia"/>
                      <w:kern w:val="0"/>
                      <w:sz w:val="21"/>
                      <w:szCs w:val="21"/>
                      <w:lang w:bidi="ar"/>
                    </w:rPr>
                    <w:t>49</w:t>
                  </w:r>
                </w:p>
              </w:tc>
              <w:tc>
                <w:tcPr>
                  <w:tcW w:w="1588" w:type="pct"/>
                  <w:vAlign w:val="center"/>
                </w:tcPr>
                <w:p w14:paraId="6AC2E60E">
                  <w:pPr>
                    <w:widowControl/>
                    <w:jc w:val="center"/>
                    <w:textAlignment w:val="center"/>
                    <w:rPr>
                      <w:kern w:val="0"/>
                      <w:sz w:val="21"/>
                      <w:szCs w:val="21"/>
                      <w:lang w:bidi="ar"/>
                    </w:rPr>
                  </w:pPr>
                  <w:r>
                    <w:rPr>
                      <w:kern w:val="0"/>
                      <w:sz w:val="21"/>
                      <w:szCs w:val="21"/>
                      <w:lang w:bidi="ar"/>
                    </w:rPr>
                    <w:t>硫酸锰</w:t>
                  </w:r>
                </w:p>
              </w:tc>
              <w:tc>
                <w:tcPr>
                  <w:tcW w:w="773" w:type="pct"/>
                  <w:vAlign w:val="center"/>
                </w:tcPr>
                <w:p w14:paraId="3E424019">
                  <w:pPr>
                    <w:widowControl/>
                    <w:jc w:val="center"/>
                    <w:textAlignment w:val="center"/>
                    <w:rPr>
                      <w:kern w:val="0"/>
                      <w:sz w:val="21"/>
                      <w:szCs w:val="21"/>
                      <w:lang w:bidi="ar"/>
                    </w:rPr>
                  </w:pPr>
                  <w:r>
                    <w:rPr>
                      <w:kern w:val="0"/>
                      <w:sz w:val="21"/>
                      <w:szCs w:val="21"/>
                      <w:lang w:bidi="ar"/>
                    </w:rPr>
                    <w:t>500g/瓶</w:t>
                  </w:r>
                </w:p>
              </w:tc>
              <w:tc>
                <w:tcPr>
                  <w:tcW w:w="562" w:type="pct"/>
                  <w:vAlign w:val="center"/>
                </w:tcPr>
                <w:p w14:paraId="53704760">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453153FB">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643D97B1">
                  <w:pPr>
                    <w:widowControl/>
                    <w:jc w:val="center"/>
                    <w:textAlignment w:val="bottom"/>
                    <w:rPr>
                      <w:kern w:val="0"/>
                      <w:sz w:val="21"/>
                      <w:szCs w:val="21"/>
                      <w:lang w:bidi="ar"/>
                    </w:rPr>
                  </w:pPr>
                </w:p>
              </w:tc>
              <w:tc>
                <w:tcPr>
                  <w:tcW w:w="426" w:type="pct"/>
                  <w:vMerge w:val="continue"/>
                  <w:vAlign w:val="center"/>
                </w:tcPr>
                <w:p w14:paraId="54BF0B7D">
                  <w:pPr>
                    <w:widowControl/>
                    <w:jc w:val="center"/>
                    <w:textAlignment w:val="bottom"/>
                    <w:rPr>
                      <w:kern w:val="0"/>
                      <w:sz w:val="21"/>
                      <w:szCs w:val="21"/>
                      <w:lang w:bidi="ar"/>
                    </w:rPr>
                  </w:pPr>
                </w:p>
              </w:tc>
            </w:tr>
            <w:tr w14:paraId="17684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B035093">
                  <w:pPr>
                    <w:widowControl/>
                    <w:jc w:val="center"/>
                    <w:textAlignment w:val="bottom"/>
                    <w:rPr>
                      <w:kern w:val="0"/>
                      <w:sz w:val="21"/>
                      <w:szCs w:val="21"/>
                      <w:lang w:bidi="ar"/>
                    </w:rPr>
                  </w:pPr>
                  <w:r>
                    <w:rPr>
                      <w:rFonts w:hint="eastAsia"/>
                      <w:kern w:val="0"/>
                      <w:sz w:val="21"/>
                      <w:szCs w:val="21"/>
                      <w:lang w:bidi="ar"/>
                    </w:rPr>
                    <w:t>50</w:t>
                  </w:r>
                </w:p>
              </w:tc>
              <w:tc>
                <w:tcPr>
                  <w:tcW w:w="1588" w:type="pct"/>
                  <w:vAlign w:val="center"/>
                </w:tcPr>
                <w:p w14:paraId="29F6A8EF">
                  <w:pPr>
                    <w:widowControl/>
                    <w:jc w:val="center"/>
                    <w:textAlignment w:val="center"/>
                    <w:rPr>
                      <w:kern w:val="0"/>
                      <w:sz w:val="21"/>
                      <w:szCs w:val="21"/>
                      <w:lang w:bidi="ar"/>
                    </w:rPr>
                  </w:pPr>
                  <w:r>
                    <w:rPr>
                      <w:kern w:val="0"/>
                      <w:sz w:val="21"/>
                      <w:szCs w:val="21"/>
                      <w:lang w:bidi="ar"/>
                    </w:rPr>
                    <w:t>硫酸铜</w:t>
                  </w:r>
                </w:p>
              </w:tc>
              <w:tc>
                <w:tcPr>
                  <w:tcW w:w="773" w:type="pct"/>
                  <w:vAlign w:val="center"/>
                </w:tcPr>
                <w:p w14:paraId="1045FC3C">
                  <w:pPr>
                    <w:widowControl/>
                    <w:jc w:val="center"/>
                    <w:textAlignment w:val="center"/>
                    <w:rPr>
                      <w:kern w:val="0"/>
                      <w:sz w:val="21"/>
                      <w:szCs w:val="21"/>
                      <w:lang w:bidi="ar"/>
                    </w:rPr>
                  </w:pPr>
                  <w:r>
                    <w:rPr>
                      <w:kern w:val="0"/>
                      <w:sz w:val="21"/>
                      <w:szCs w:val="21"/>
                      <w:lang w:bidi="ar"/>
                    </w:rPr>
                    <w:t>500g/瓶</w:t>
                  </w:r>
                </w:p>
              </w:tc>
              <w:tc>
                <w:tcPr>
                  <w:tcW w:w="562" w:type="pct"/>
                  <w:vAlign w:val="center"/>
                </w:tcPr>
                <w:p w14:paraId="1474F6DF">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70648DAA">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1798C276">
                  <w:pPr>
                    <w:widowControl/>
                    <w:jc w:val="center"/>
                    <w:textAlignment w:val="bottom"/>
                    <w:rPr>
                      <w:kern w:val="0"/>
                      <w:sz w:val="21"/>
                      <w:szCs w:val="21"/>
                      <w:lang w:bidi="ar"/>
                    </w:rPr>
                  </w:pPr>
                </w:p>
              </w:tc>
              <w:tc>
                <w:tcPr>
                  <w:tcW w:w="426" w:type="pct"/>
                  <w:vMerge w:val="continue"/>
                  <w:vAlign w:val="center"/>
                </w:tcPr>
                <w:p w14:paraId="50E480E9">
                  <w:pPr>
                    <w:widowControl/>
                    <w:jc w:val="center"/>
                    <w:textAlignment w:val="bottom"/>
                    <w:rPr>
                      <w:kern w:val="0"/>
                      <w:sz w:val="21"/>
                      <w:szCs w:val="21"/>
                      <w:lang w:bidi="ar"/>
                    </w:rPr>
                  </w:pPr>
                </w:p>
              </w:tc>
            </w:tr>
            <w:tr w14:paraId="27034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79D70AA7">
                  <w:pPr>
                    <w:widowControl/>
                    <w:jc w:val="center"/>
                    <w:textAlignment w:val="bottom"/>
                    <w:rPr>
                      <w:kern w:val="0"/>
                      <w:sz w:val="21"/>
                      <w:szCs w:val="21"/>
                      <w:lang w:bidi="ar"/>
                    </w:rPr>
                  </w:pPr>
                  <w:r>
                    <w:rPr>
                      <w:rFonts w:hint="eastAsia"/>
                      <w:kern w:val="0"/>
                      <w:sz w:val="21"/>
                      <w:szCs w:val="21"/>
                      <w:lang w:bidi="ar"/>
                    </w:rPr>
                    <w:t>51</w:t>
                  </w:r>
                </w:p>
              </w:tc>
              <w:tc>
                <w:tcPr>
                  <w:tcW w:w="1588" w:type="pct"/>
                  <w:vAlign w:val="center"/>
                </w:tcPr>
                <w:p w14:paraId="2EB81A62">
                  <w:pPr>
                    <w:widowControl/>
                    <w:jc w:val="center"/>
                    <w:textAlignment w:val="center"/>
                    <w:rPr>
                      <w:kern w:val="0"/>
                      <w:sz w:val="21"/>
                      <w:szCs w:val="21"/>
                      <w:lang w:bidi="ar"/>
                    </w:rPr>
                  </w:pPr>
                  <w:r>
                    <w:rPr>
                      <w:kern w:val="0"/>
                      <w:sz w:val="21"/>
                      <w:szCs w:val="21"/>
                      <w:lang w:bidi="ar"/>
                    </w:rPr>
                    <w:t>硫酸亚铁</w:t>
                  </w:r>
                </w:p>
              </w:tc>
              <w:tc>
                <w:tcPr>
                  <w:tcW w:w="773" w:type="pct"/>
                  <w:vAlign w:val="center"/>
                </w:tcPr>
                <w:p w14:paraId="230EB6F9">
                  <w:pPr>
                    <w:widowControl/>
                    <w:jc w:val="center"/>
                    <w:textAlignment w:val="center"/>
                    <w:rPr>
                      <w:kern w:val="0"/>
                      <w:sz w:val="21"/>
                      <w:szCs w:val="21"/>
                      <w:lang w:bidi="ar"/>
                    </w:rPr>
                  </w:pPr>
                  <w:r>
                    <w:rPr>
                      <w:kern w:val="0"/>
                      <w:sz w:val="21"/>
                      <w:szCs w:val="21"/>
                      <w:lang w:bidi="ar"/>
                    </w:rPr>
                    <w:t>500g/瓶</w:t>
                  </w:r>
                </w:p>
              </w:tc>
              <w:tc>
                <w:tcPr>
                  <w:tcW w:w="562" w:type="pct"/>
                  <w:vAlign w:val="center"/>
                </w:tcPr>
                <w:p w14:paraId="40AA2669">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3720A4F">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4E138F46">
                  <w:pPr>
                    <w:widowControl/>
                    <w:jc w:val="center"/>
                    <w:textAlignment w:val="bottom"/>
                    <w:rPr>
                      <w:kern w:val="0"/>
                      <w:sz w:val="21"/>
                      <w:szCs w:val="21"/>
                      <w:lang w:bidi="ar"/>
                    </w:rPr>
                  </w:pPr>
                </w:p>
              </w:tc>
              <w:tc>
                <w:tcPr>
                  <w:tcW w:w="426" w:type="pct"/>
                  <w:vMerge w:val="continue"/>
                  <w:vAlign w:val="center"/>
                </w:tcPr>
                <w:p w14:paraId="508DCE01">
                  <w:pPr>
                    <w:widowControl/>
                    <w:jc w:val="center"/>
                    <w:textAlignment w:val="bottom"/>
                    <w:rPr>
                      <w:kern w:val="0"/>
                      <w:sz w:val="21"/>
                      <w:szCs w:val="21"/>
                      <w:lang w:bidi="ar"/>
                    </w:rPr>
                  </w:pPr>
                </w:p>
              </w:tc>
            </w:tr>
            <w:tr w14:paraId="14725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C1BBF0E">
                  <w:pPr>
                    <w:widowControl/>
                    <w:jc w:val="center"/>
                    <w:textAlignment w:val="bottom"/>
                    <w:rPr>
                      <w:kern w:val="0"/>
                      <w:sz w:val="21"/>
                      <w:szCs w:val="21"/>
                      <w:lang w:bidi="ar"/>
                    </w:rPr>
                  </w:pPr>
                  <w:r>
                    <w:rPr>
                      <w:rFonts w:hint="eastAsia"/>
                      <w:kern w:val="0"/>
                      <w:sz w:val="21"/>
                      <w:szCs w:val="21"/>
                      <w:lang w:bidi="ar"/>
                    </w:rPr>
                    <w:t>52</w:t>
                  </w:r>
                </w:p>
              </w:tc>
              <w:tc>
                <w:tcPr>
                  <w:tcW w:w="1588" w:type="pct"/>
                  <w:vAlign w:val="center"/>
                </w:tcPr>
                <w:p w14:paraId="392E932B">
                  <w:pPr>
                    <w:widowControl/>
                    <w:jc w:val="center"/>
                    <w:textAlignment w:val="center"/>
                    <w:rPr>
                      <w:kern w:val="0"/>
                      <w:sz w:val="21"/>
                      <w:szCs w:val="21"/>
                      <w:lang w:bidi="ar"/>
                    </w:rPr>
                  </w:pPr>
                  <w:r>
                    <w:rPr>
                      <w:kern w:val="0"/>
                      <w:sz w:val="21"/>
                      <w:szCs w:val="21"/>
                      <w:lang w:bidi="ar"/>
                    </w:rPr>
                    <w:t>硫酸亚铁铵</w:t>
                  </w:r>
                </w:p>
              </w:tc>
              <w:tc>
                <w:tcPr>
                  <w:tcW w:w="773" w:type="pct"/>
                  <w:vAlign w:val="center"/>
                </w:tcPr>
                <w:p w14:paraId="5D60E7FD">
                  <w:pPr>
                    <w:widowControl/>
                    <w:jc w:val="center"/>
                    <w:textAlignment w:val="center"/>
                    <w:rPr>
                      <w:kern w:val="0"/>
                      <w:sz w:val="21"/>
                      <w:szCs w:val="21"/>
                      <w:lang w:bidi="ar"/>
                    </w:rPr>
                  </w:pPr>
                  <w:r>
                    <w:rPr>
                      <w:kern w:val="0"/>
                      <w:sz w:val="21"/>
                      <w:szCs w:val="21"/>
                      <w:lang w:bidi="ar"/>
                    </w:rPr>
                    <w:t>500g/瓶</w:t>
                  </w:r>
                </w:p>
              </w:tc>
              <w:tc>
                <w:tcPr>
                  <w:tcW w:w="562" w:type="pct"/>
                  <w:vAlign w:val="center"/>
                </w:tcPr>
                <w:p w14:paraId="4F9B5708">
                  <w:pPr>
                    <w:widowControl/>
                    <w:jc w:val="center"/>
                    <w:textAlignment w:val="center"/>
                    <w:rPr>
                      <w:kern w:val="0"/>
                      <w:sz w:val="21"/>
                      <w:szCs w:val="21"/>
                      <w:lang w:bidi="ar"/>
                    </w:rPr>
                  </w:pPr>
                  <w:r>
                    <w:rPr>
                      <w:kern w:val="0"/>
                      <w:sz w:val="21"/>
                      <w:szCs w:val="21"/>
                      <w:lang w:bidi="ar"/>
                    </w:rPr>
                    <w:t>4</w:t>
                  </w:r>
                  <w:r>
                    <w:rPr>
                      <w:rFonts w:hint="eastAsia"/>
                      <w:kern w:val="0"/>
                      <w:sz w:val="21"/>
                      <w:szCs w:val="21"/>
                      <w:lang w:bidi="ar"/>
                    </w:rPr>
                    <w:t>瓶</w:t>
                  </w:r>
                </w:p>
              </w:tc>
              <w:tc>
                <w:tcPr>
                  <w:tcW w:w="740" w:type="pct"/>
                  <w:vAlign w:val="center"/>
                </w:tcPr>
                <w:p w14:paraId="5356EF90">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4BD1B3DF">
                  <w:pPr>
                    <w:widowControl/>
                    <w:jc w:val="center"/>
                    <w:textAlignment w:val="bottom"/>
                    <w:rPr>
                      <w:kern w:val="0"/>
                      <w:sz w:val="21"/>
                      <w:szCs w:val="21"/>
                      <w:lang w:bidi="ar"/>
                    </w:rPr>
                  </w:pPr>
                </w:p>
              </w:tc>
              <w:tc>
                <w:tcPr>
                  <w:tcW w:w="426" w:type="pct"/>
                  <w:vMerge w:val="continue"/>
                  <w:vAlign w:val="center"/>
                </w:tcPr>
                <w:p w14:paraId="68F61977">
                  <w:pPr>
                    <w:widowControl/>
                    <w:jc w:val="center"/>
                    <w:textAlignment w:val="bottom"/>
                    <w:rPr>
                      <w:kern w:val="0"/>
                      <w:sz w:val="21"/>
                      <w:szCs w:val="21"/>
                      <w:lang w:bidi="ar"/>
                    </w:rPr>
                  </w:pPr>
                </w:p>
              </w:tc>
            </w:tr>
            <w:tr w14:paraId="18606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29ECCE4">
                  <w:pPr>
                    <w:widowControl/>
                    <w:jc w:val="center"/>
                    <w:textAlignment w:val="bottom"/>
                    <w:rPr>
                      <w:kern w:val="0"/>
                      <w:sz w:val="21"/>
                      <w:szCs w:val="21"/>
                      <w:lang w:bidi="ar"/>
                    </w:rPr>
                  </w:pPr>
                  <w:r>
                    <w:rPr>
                      <w:rFonts w:hint="eastAsia"/>
                      <w:kern w:val="0"/>
                      <w:sz w:val="21"/>
                      <w:szCs w:val="21"/>
                      <w:lang w:bidi="ar"/>
                    </w:rPr>
                    <w:t>53</w:t>
                  </w:r>
                </w:p>
              </w:tc>
              <w:tc>
                <w:tcPr>
                  <w:tcW w:w="1588" w:type="pct"/>
                  <w:vAlign w:val="center"/>
                </w:tcPr>
                <w:p w14:paraId="11C23A04">
                  <w:pPr>
                    <w:widowControl/>
                    <w:jc w:val="center"/>
                    <w:textAlignment w:val="center"/>
                    <w:rPr>
                      <w:kern w:val="0"/>
                      <w:sz w:val="21"/>
                      <w:szCs w:val="21"/>
                      <w:lang w:bidi="ar"/>
                    </w:rPr>
                  </w:pPr>
                  <w:r>
                    <w:rPr>
                      <w:kern w:val="0"/>
                      <w:sz w:val="21"/>
                      <w:szCs w:val="21"/>
                      <w:lang w:bidi="ar"/>
                    </w:rPr>
                    <w:t>硫酸银</w:t>
                  </w:r>
                </w:p>
              </w:tc>
              <w:tc>
                <w:tcPr>
                  <w:tcW w:w="773" w:type="pct"/>
                  <w:vAlign w:val="center"/>
                </w:tcPr>
                <w:p w14:paraId="78870F7C">
                  <w:pPr>
                    <w:widowControl/>
                    <w:jc w:val="center"/>
                    <w:textAlignment w:val="center"/>
                    <w:rPr>
                      <w:kern w:val="0"/>
                      <w:sz w:val="21"/>
                      <w:szCs w:val="21"/>
                      <w:lang w:bidi="ar"/>
                    </w:rPr>
                  </w:pPr>
                  <w:r>
                    <w:rPr>
                      <w:kern w:val="0"/>
                      <w:sz w:val="21"/>
                      <w:szCs w:val="21"/>
                      <w:lang w:bidi="ar"/>
                    </w:rPr>
                    <w:t>100g/瓶</w:t>
                  </w:r>
                </w:p>
              </w:tc>
              <w:tc>
                <w:tcPr>
                  <w:tcW w:w="562" w:type="pct"/>
                  <w:vAlign w:val="center"/>
                </w:tcPr>
                <w:p w14:paraId="27B43C98">
                  <w:pPr>
                    <w:widowControl/>
                    <w:jc w:val="center"/>
                    <w:textAlignment w:val="center"/>
                    <w:rPr>
                      <w:kern w:val="0"/>
                      <w:sz w:val="21"/>
                      <w:szCs w:val="21"/>
                      <w:lang w:bidi="ar"/>
                    </w:rPr>
                  </w:pPr>
                  <w:r>
                    <w:rPr>
                      <w:kern w:val="0"/>
                      <w:sz w:val="21"/>
                      <w:szCs w:val="21"/>
                      <w:lang w:bidi="ar"/>
                    </w:rPr>
                    <w:t>10</w:t>
                  </w:r>
                  <w:r>
                    <w:rPr>
                      <w:rFonts w:hint="eastAsia"/>
                      <w:kern w:val="0"/>
                      <w:sz w:val="21"/>
                      <w:szCs w:val="21"/>
                      <w:lang w:bidi="ar"/>
                    </w:rPr>
                    <w:t>瓶</w:t>
                  </w:r>
                </w:p>
              </w:tc>
              <w:tc>
                <w:tcPr>
                  <w:tcW w:w="740" w:type="pct"/>
                  <w:vAlign w:val="center"/>
                </w:tcPr>
                <w:p w14:paraId="115D046C">
                  <w:pPr>
                    <w:widowControl/>
                    <w:jc w:val="center"/>
                    <w:textAlignment w:val="center"/>
                    <w:rPr>
                      <w:kern w:val="0"/>
                      <w:sz w:val="21"/>
                      <w:szCs w:val="21"/>
                      <w:lang w:bidi="ar"/>
                    </w:rPr>
                  </w:pPr>
                  <w:r>
                    <w:rPr>
                      <w:kern w:val="0"/>
                      <w:sz w:val="21"/>
                      <w:szCs w:val="21"/>
                      <w:lang w:bidi="ar"/>
                    </w:rPr>
                    <w:t>5</w:t>
                  </w:r>
                  <w:r>
                    <w:rPr>
                      <w:rFonts w:hint="eastAsia"/>
                      <w:kern w:val="0"/>
                      <w:sz w:val="21"/>
                      <w:szCs w:val="21"/>
                      <w:lang w:bidi="ar"/>
                    </w:rPr>
                    <w:t>瓶</w:t>
                  </w:r>
                </w:p>
              </w:tc>
              <w:tc>
                <w:tcPr>
                  <w:tcW w:w="554" w:type="pct"/>
                  <w:vMerge w:val="continue"/>
                  <w:vAlign w:val="center"/>
                </w:tcPr>
                <w:p w14:paraId="6BAC3D7D">
                  <w:pPr>
                    <w:widowControl/>
                    <w:jc w:val="center"/>
                    <w:textAlignment w:val="bottom"/>
                    <w:rPr>
                      <w:kern w:val="0"/>
                      <w:sz w:val="21"/>
                      <w:szCs w:val="21"/>
                      <w:lang w:bidi="ar"/>
                    </w:rPr>
                  </w:pPr>
                </w:p>
              </w:tc>
              <w:tc>
                <w:tcPr>
                  <w:tcW w:w="426" w:type="pct"/>
                  <w:vMerge w:val="continue"/>
                  <w:vAlign w:val="center"/>
                </w:tcPr>
                <w:p w14:paraId="01922B7B">
                  <w:pPr>
                    <w:widowControl/>
                    <w:jc w:val="center"/>
                    <w:textAlignment w:val="bottom"/>
                    <w:rPr>
                      <w:kern w:val="0"/>
                      <w:sz w:val="21"/>
                      <w:szCs w:val="21"/>
                      <w:lang w:bidi="ar"/>
                    </w:rPr>
                  </w:pPr>
                </w:p>
              </w:tc>
            </w:tr>
            <w:tr w14:paraId="4B1CD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938E304">
                  <w:pPr>
                    <w:widowControl/>
                    <w:jc w:val="center"/>
                    <w:textAlignment w:val="bottom"/>
                    <w:rPr>
                      <w:kern w:val="0"/>
                      <w:sz w:val="21"/>
                      <w:szCs w:val="21"/>
                      <w:lang w:bidi="ar"/>
                    </w:rPr>
                  </w:pPr>
                  <w:r>
                    <w:rPr>
                      <w:rFonts w:hint="eastAsia"/>
                      <w:kern w:val="0"/>
                      <w:sz w:val="21"/>
                      <w:szCs w:val="21"/>
                      <w:lang w:bidi="ar"/>
                    </w:rPr>
                    <w:t>54</w:t>
                  </w:r>
                </w:p>
              </w:tc>
              <w:tc>
                <w:tcPr>
                  <w:tcW w:w="1588" w:type="pct"/>
                  <w:vAlign w:val="center"/>
                </w:tcPr>
                <w:p w14:paraId="6FBAA70E">
                  <w:pPr>
                    <w:widowControl/>
                    <w:jc w:val="center"/>
                    <w:textAlignment w:val="center"/>
                    <w:rPr>
                      <w:kern w:val="0"/>
                      <w:sz w:val="21"/>
                      <w:szCs w:val="21"/>
                      <w:lang w:bidi="ar"/>
                    </w:rPr>
                  </w:pPr>
                  <w:r>
                    <w:rPr>
                      <w:kern w:val="0"/>
                      <w:sz w:val="21"/>
                      <w:szCs w:val="21"/>
                      <w:lang w:bidi="ar"/>
                    </w:rPr>
                    <w:t>六氨合氯化钴</w:t>
                  </w:r>
                </w:p>
              </w:tc>
              <w:tc>
                <w:tcPr>
                  <w:tcW w:w="773" w:type="pct"/>
                  <w:vAlign w:val="center"/>
                </w:tcPr>
                <w:p w14:paraId="1845F179">
                  <w:pPr>
                    <w:widowControl/>
                    <w:jc w:val="center"/>
                    <w:textAlignment w:val="center"/>
                    <w:rPr>
                      <w:kern w:val="0"/>
                      <w:sz w:val="21"/>
                      <w:szCs w:val="21"/>
                      <w:lang w:bidi="ar"/>
                    </w:rPr>
                  </w:pPr>
                  <w:r>
                    <w:rPr>
                      <w:kern w:val="0"/>
                      <w:sz w:val="21"/>
                      <w:szCs w:val="21"/>
                      <w:lang w:bidi="ar"/>
                    </w:rPr>
                    <w:t>5g/瓶</w:t>
                  </w:r>
                </w:p>
              </w:tc>
              <w:tc>
                <w:tcPr>
                  <w:tcW w:w="562" w:type="pct"/>
                  <w:vAlign w:val="center"/>
                </w:tcPr>
                <w:p w14:paraId="3BC29ECA">
                  <w:pPr>
                    <w:widowControl/>
                    <w:jc w:val="center"/>
                    <w:textAlignment w:val="center"/>
                    <w:rPr>
                      <w:kern w:val="0"/>
                      <w:sz w:val="21"/>
                      <w:szCs w:val="21"/>
                      <w:lang w:bidi="ar"/>
                    </w:rPr>
                  </w:pPr>
                  <w:r>
                    <w:rPr>
                      <w:kern w:val="0"/>
                      <w:sz w:val="21"/>
                      <w:szCs w:val="21"/>
                      <w:lang w:bidi="ar"/>
                    </w:rPr>
                    <w:t>12</w:t>
                  </w:r>
                  <w:r>
                    <w:rPr>
                      <w:rFonts w:hint="eastAsia"/>
                      <w:kern w:val="0"/>
                      <w:sz w:val="21"/>
                      <w:szCs w:val="21"/>
                      <w:lang w:bidi="ar"/>
                    </w:rPr>
                    <w:t>瓶</w:t>
                  </w:r>
                </w:p>
              </w:tc>
              <w:tc>
                <w:tcPr>
                  <w:tcW w:w="740" w:type="pct"/>
                  <w:vAlign w:val="center"/>
                </w:tcPr>
                <w:p w14:paraId="50879E8D">
                  <w:pPr>
                    <w:widowControl/>
                    <w:jc w:val="center"/>
                    <w:textAlignment w:val="center"/>
                    <w:rPr>
                      <w:kern w:val="0"/>
                      <w:sz w:val="21"/>
                      <w:szCs w:val="21"/>
                      <w:lang w:bidi="ar"/>
                    </w:rPr>
                  </w:pPr>
                  <w:r>
                    <w:rPr>
                      <w:kern w:val="0"/>
                      <w:sz w:val="21"/>
                      <w:szCs w:val="21"/>
                      <w:lang w:bidi="ar"/>
                    </w:rPr>
                    <w:t>3</w:t>
                  </w:r>
                  <w:r>
                    <w:rPr>
                      <w:rFonts w:hint="eastAsia"/>
                      <w:kern w:val="0"/>
                      <w:sz w:val="21"/>
                      <w:szCs w:val="21"/>
                      <w:lang w:bidi="ar"/>
                    </w:rPr>
                    <w:t>瓶</w:t>
                  </w:r>
                </w:p>
              </w:tc>
              <w:tc>
                <w:tcPr>
                  <w:tcW w:w="554" w:type="pct"/>
                  <w:vMerge w:val="continue"/>
                  <w:vAlign w:val="center"/>
                </w:tcPr>
                <w:p w14:paraId="5465DFE1">
                  <w:pPr>
                    <w:widowControl/>
                    <w:jc w:val="center"/>
                    <w:textAlignment w:val="bottom"/>
                    <w:rPr>
                      <w:kern w:val="0"/>
                      <w:sz w:val="21"/>
                      <w:szCs w:val="21"/>
                      <w:lang w:bidi="ar"/>
                    </w:rPr>
                  </w:pPr>
                </w:p>
              </w:tc>
              <w:tc>
                <w:tcPr>
                  <w:tcW w:w="426" w:type="pct"/>
                  <w:vMerge w:val="continue"/>
                  <w:vAlign w:val="center"/>
                </w:tcPr>
                <w:p w14:paraId="72B404E3">
                  <w:pPr>
                    <w:widowControl/>
                    <w:jc w:val="center"/>
                    <w:textAlignment w:val="bottom"/>
                    <w:rPr>
                      <w:kern w:val="0"/>
                      <w:sz w:val="21"/>
                      <w:szCs w:val="21"/>
                      <w:lang w:bidi="ar"/>
                    </w:rPr>
                  </w:pPr>
                </w:p>
              </w:tc>
            </w:tr>
            <w:tr w14:paraId="3357C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B081DE1">
                  <w:pPr>
                    <w:widowControl/>
                    <w:jc w:val="center"/>
                    <w:textAlignment w:val="bottom"/>
                    <w:rPr>
                      <w:kern w:val="0"/>
                      <w:sz w:val="21"/>
                      <w:szCs w:val="21"/>
                      <w:lang w:bidi="ar"/>
                    </w:rPr>
                  </w:pPr>
                  <w:r>
                    <w:rPr>
                      <w:rFonts w:hint="eastAsia"/>
                      <w:kern w:val="0"/>
                      <w:sz w:val="21"/>
                      <w:szCs w:val="21"/>
                      <w:lang w:bidi="ar"/>
                    </w:rPr>
                    <w:t>55</w:t>
                  </w:r>
                </w:p>
              </w:tc>
              <w:tc>
                <w:tcPr>
                  <w:tcW w:w="1588" w:type="pct"/>
                  <w:vAlign w:val="center"/>
                </w:tcPr>
                <w:p w14:paraId="35C6D4FB">
                  <w:pPr>
                    <w:widowControl/>
                    <w:jc w:val="center"/>
                    <w:textAlignment w:val="center"/>
                    <w:rPr>
                      <w:kern w:val="0"/>
                      <w:sz w:val="21"/>
                      <w:szCs w:val="21"/>
                      <w:lang w:bidi="ar"/>
                    </w:rPr>
                  </w:pPr>
                  <w:r>
                    <w:rPr>
                      <w:kern w:val="0"/>
                      <w:sz w:val="21"/>
                      <w:szCs w:val="21"/>
                      <w:lang w:bidi="ar"/>
                    </w:rPr>
                    <w:t>六氨合氯化钴</w:t>
                  </w:r>
                </w:p>
              </w:tc>
              <w:tc>
                <w:tcPr>
                  <w:tcW w:w="773" w:type="pct"/>
                  <w:vAlign w:val="center"/>
                </w:tcPr>
                <w:p w14:paraId="028BBB73">
                  <w:pPr>
                    <w:widowControl/>
                    <w:jc w:val="center"/>
                    <w:textAlignment w:val="center"/>
                    <w:rPr>
                      <w:kern w:val="0"/>
                      <w:sz w:val="21"/>
                      <w:szCs w:val="21"/>
                      <w:lang w:bidi="ar"/>
                    </w:rPr>
                  </w:pPr>
                  <w:r>
                    <w:rPr>
                      <w:kern w:val="0"/>
                      <w:sz w:val="21"/>
                      <w:szCs w:val="21"/>
                      <w:lang w:bidi="ar"/>
                    </w:rPr>
                    <w:t>100g/瓶</w:t>
                  </w:r>
                </w:p>
              </w:tc>
              <w:tc>
                <w:tcPr>
                  <w:tcW w:w="562" w:type="pct"/>
                  <w:vAlign w:val="center"/>
                </w:tcPr>
                <w:p w14:paraId="5B2F01A8">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535D563D">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0A00C998">
                  <w:pPr>
                    <w:widowControl/>
                    <w:jc w:val="center"/>
                    <w:textAlignment w:val="bottom"/>
                    <w:rPr>
                      <w:kern w:val="0"/>
                      <w:sz w:val="21"/>
                      <w:szCs w:val="21"/>
                      <w:lang w:bidi="ar"/>
                    </w:rPr>
                  </w:pPr>
                </w:p>
              </w:tc>
              <w:tc>
                <w:tcPr>
                  <w:tcW w:w="426" w:type="pct"/>
                  <w:vMerge w:val="continue"/>
                  <w:vAlign w:val="center"/>
                </w:tcPr>
                <w:p w14:paraId="4E16C155">
                  <w:pPr>
                    <w:widowControl/>
                    <w:jc w:val="center"/>
                    <w:textAlignment w:val="bottom"/>
                    <w:rPr>
                      <w:kern w:val="0"/>
                      <w:sz w:val="21"/>
                      <w:szCs w:val="21"/>
                      <w:lang w:bidi="ar"/>
                    </w:rPr>
                  </w:pPr>
                </w:p>
              </w:tc>
            </w:tr>
            <w:tr w14:paraId="738E6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8D77B06">
                  <w:pPr>
                    <w:widowControl/>
                    <w:jc w:val="center"/>
                    <w:textAlignment w:val="bottom"/>
                    <w:rPr>
                      <w:kern w:val="0"/>
                      <w:sz w:val="21"/>
                      <w:szCs w:val="21"/>
                      <w:lang w:bidi="ar"/>
                    </w:rPr>
                  </w:pPr>
                  <w:r>
                    <w:rPr>
                      <w:rFonts w:hint="eastAsia"/>
                      <w:kern w:val="0"/>
                      <w:sz w:val="21"/>
                      <w:szCs w:val="21"/>
                      <w:lang w:bidi="ar"/>
                    </w:rPr>
                    <w:t>56</w:t>
                  </w:r>
                </w:p>
              </w:tc>
              <w:tc>
                <w:tcPr>
                  <w:tcW w:w="1588" w:type="pct"/>
                  <w:vAlign w:val="center"/>
                </w:tcPr>
                <w:p w14:paraId="5034D331">
                  <w:pPr>
                    <w:widowControl/>
                    <w:jc w:val="center"/>
                    <w:textAlignment w:val="center"/>
                    <w:rPr>
                      <w:kern w:val="0"/>
                      <w:sz w:val="21"/>
                      <w:szCs w:val="21"/>
                      <w:lang w:bidi="ar"/>
                    </w:rPr>
                  </w:pPr>
                  <w:r>
                    <w:rPr>
                      <w:kern w:val="0"/>
                      <w:sz w:val="21"/>
                      <w:szCs w:val="21"/>
                      <w:lang w:bidi="ar"/>
                    </w:rPr>
                    <w:t>氯化钠</w:t>
                  </w:r>
                </w:p>
              </w:tc>
              <w:tc>
                <w:tcPr>
                  <w:tcW w:w="773" w:type="pct"/>
                  <w:vAlign w:val="center"/>
                </w:tcPr>
                <w:p w14:paraId="11EFA06C">
                  <w:pPr>
                    <w:widowControl/>
                    <w:jc w:val="center"/>
                    <w:textAlignment w:val="center"/>
                    <w:rPr>
                      <w:kern w:val="0"/>
                      <w:sz w:val="21"/>
                      <w:szCs w:val="21"/>
                      <w:lang w:bidi="ar"/>
                    </w:rPr>
                  </w:pPr>
                  <w:r>
                    <w:rPr>
                      <w:kern w:val="0"/>
                      <w:sz w:val="21"/>
                      <w:szCs w:val="21"/>
                      <w:lang w:bidi="ar"/>
                    </w:rPr>
                    <w:t>500g/瓶</w:t>
                  </w:r>
                </w:p>
              </w:tc>
              <w:tc>
                <w:tcPr>
                  <w:tcW w:w="562" w:type="pct"/>
                  <w:vAlign w:val="center"/>
                </w:tcPr>
                <w:p w14:paraId="07838711">
                  <w:pPr>
                    <w:widowControl/>
                    <w:jc w:val="center"/>
                    <w:textAlignment w:val="center"/>
                    <w:rPr>
                      <w:kern w:val="0"/>
                      <w:sz w:val="21"/>
                      <w:szCs w:val="21"/>
                      <w:lang w:bidi="ar"/>
                    </w:rPr>
                  </w:pPr>
                  <w:r>
                    <w:rPr>
                      <w:kern w:val="0"/>
                      <w:sz w:val="21"/>
                      <w:szCs w:val="21"/>
                      <w:lang w:bidi="ar"/>
                    </w:rPr>
                    <w:t>7</w:t>
                  </w:r>
                  <w:r>
                    <w:rPr>
                      <w:rFonts w:hint="eastAsia"/>
                      <w:kern w:val="0"/>
                      <w:sz w:val="21"/>
                      <w:szCs w:val="21"/>
                      <w:lang w:bidi="ar"/>
                    </w:rPr>
                    <w:t>瓶</w:t>
                  </w:r>
                </w:p>
              </w:tc>
              <w:tc>
                <w:tcPr>
                  <w:tcW w:w="740" w:type="pct"/>
                  <w:vAlign w:val="center"/>
                </w:tcPr>
                <w:p w14:paraId="66AB66CE">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1F232705">
                  <w:pPr>
                    <w:widowControl/>
                    <w:jc w:val="center"/>
                    <w:textAlignment w:val="bottom"/>
                    <w:rPr>
                      <w:kern w:val="0"/>
                      <w:sz w:val="21"/>
                      <w:szCs w:val="21"/>
                      <w:lang w:bidi="ar"/>
                    </w:rPr>
                  </w:pPr>
                </w:p>
              </w:tc>
              <w:tc>
                <w:tcPr>
                  <w:tcW w:w="426" w:type="pct"/>
                  <w:vMerge w:val="continue"/>
                  <w:vAlign w:val="center"/>
                </w:tcPr>
                <w:p w14:paraId="622933AB">
                  <w:pPr>
                    <w:widowControl/>
                    <w:jc w:val="center"/>
                    <w:textAlignment w:val="bottom"/>
                    <w:rPr>
                      <w:kern w:val="0"/>
                      <w:sz w:val="21"/>
                      <w:szCs w:val="21"/>
                      <w:lang w:bidi="ar"/>
                    </w:rPr>
                  </w:pPr>
                </w:p>
              </w:tc>
            </w:tr>
            <w:tr w14:paraId="14293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B2C3A3C">
                  <w:pPr>
                    <w:widowControl/>
                    <w:jc w:val="center"/>
                    <w:textAlignment w:val="bottom"/>
                    <w:rPr>
                      <w:kern w:val="0"/>
                      <w:sz w:val="21"/>
                      <w:szCs w:val="21"/>
                      <w:lang w:bidi="ar"/>
                    </w:rPr>
                  </w:pPr>
                  <w:r>
                    <w:rPr>
                      <w:rFonts w:hint="eastAsia"/>
                      <w:kern w:val="0"/>
                      <w:sz w:val="21"/>
                      <w:szCs w:val="21"/>
                      <w:lang w:bidi="ar"/>
                    </w:rPr>
                    <w:t>57</w:t>
                  </w:r>
                </w:p>
              </w:tc>
              <w:tc>
                <w:tcPr>
                  <w:tcW w:w="1588" w:type="pct"/>
                  <w:vAlign w:val="center"/>
                </w:tcPr>
                <w:p w14:paraId="080FC945">
                  <w:pPr>
                    <w:widowControl/>
                    <w:jc w:val="center"/>
                    <w:textAlignment w:val="center"/>
                    <w:rPr>
                      <w:kern w:val="0"/>
                      <w:sz w:val="21"/>
                      <w:szCs w:val="21"/>
                      <w:lang w:bidi="ar"/>
                    </w:rPr>
                  </w:pPr>
                  <w:r>
                    <w:rPr>
                      <w:kern w:val="0"/>
                      <w:sz w:val="21"/>
                      <w:szCs w:val="21"/>
                      <w:lang w:bidi="ar"/>
                    </w:rPr>
                    <w:t>柠檬酸三钠</w:t>
                  </w:r>
                </w:p>
              </w:tc>
              <w:tc>
                <w:tcPr>
                  <w:tcW w:w="773" w:type="pct"/>
                  <w:vAlign w:val="center"/>
                </w:tcPr>
                <w:p w14:paraId="344842F5">
                  <w:pPr>
                    <w:widowControl/>
                    <w:jc w:val="center"/>
                    <w:textAlignment w:val="center"/>
                    <w:rPr>
                      <w:kern w:val="0"/>
                      <w:sz w:val="21"/>
                      <w:szCs w:val="21"/>
                      <w:lang w:bidi="ar"/>
                    </w:rPr>
                  </w:pPr>
                  <w:r>
                    <w:rPr>
                      <w:kern w:val="0"/>
                      <w:sz w:val="21"/>
                      <w:szCs w:val="21"/>
                      <w:lang w:bidi="ar"/>
                    </w:rPr>
                    <w:t>500g/瓶</w:t>
                  </w:r>
                </w:p>
              </w:tc>
              <w:tc>
                <w:tcPr>
                  <w:tcW w:w="562" w:type="pct"/>
                  <w:vAlign w:val="center"/>
                </w:tcPr>
                <w:p w14:paraId="1BF1F6E2">
                  <w:pPr>
                    <w:widowControl/>
                    <w:jc w:val="center"/>
                    <w:textAlignment w:val="center"/>
                    <w:rPr>
                      <w:kern w:val="0"/>
                      <w:sz w:val="21"/>
                      <w:szCs w:val="21"/>
                      <w:lang w:bidi="ar"/>
                    </w:rPr>
                  </w:pPr>
                  <w:r>
                    <w:rPr>
                      <w:kern w:val="0"/>
                      <w:sz w:val="21"/>
                      <w:szCs w:val="21"/>
                      <w:lang w:bidi="ar"/>
                    </w:rPr>
                    <w:t>4</w:t>
                  </w:r>
                  <w:r>
                    <w:rPr>
                      <w:rFonts w:hint="eastAsia"/>
                      <w:kern w:val="0"/>
                      <w:sz w:val="21"/>
                      <w:szCs w:val="21"/>
                      <w:lang w:bidi="ar"/>
                    </w:rPr>
                    <w:t>瓶</w:t>
                  </w:r>
                </w:p>
              </w:tc>
              <w:tc>
                <w:tcPr>
                  <w:tcW w:w="740" w:type="pct"/>
                  <w:vAlign w:val="center"/>
                </w:tcPr>
                <w:p w14:paraId="7FE76FE6">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4EFCC2A2">
                  <w:pPr>
                    <w:widowControl/>
                    <w:jc w:val="center"/>
                    <w:textAlignment w:val="bottom"/>
                    <w:rPr>
                      <w:kern w:val="0"/>
                      <w:sz w:val="21"/>
                      <w:szCs w:val="21"/>
                      <w:lang w:bidi="ar"/>
                    </w:rPr>
                  </w:pPr>
                </w:p>
              </w:tc>
              <w:tc>
                <w:tcPr>
                  <w:tcW w:w="426" w:type="pct"/>
                  <w:vMerge w:val="continue"/>
                  <w:vAlign w:val="center"/>
                </w:tcPr>
                <w:p w14:paraId="1A330F30">
                  <w:pPr>
                    <w:widowControl/>
                    <w:jc w:val="center"/>
                    <w:textAlignment w:val="bottom"/>
                    <w:rPr>
                      <w:kern w:val="0"/>
                      <w:sz w:val="21"/>
                      <w:szCs w:val="21"/>
                      <w:lang w:bidi="ar"/>
                    </w:rPr>
                  </w:pPr>
                </w:p>
              </w:tc>
            </w:tr>
            <w:tr w14:paraId="1CE46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3C9AEB3">
                  <w:pPr>
                    <w:widowControl/>
                    <w:jc w:val="center"/>
                    <w:textAlignment w:val="bottom"/>
                    <w:rPr>
                      <w:kern w:val="0"/>
                      <w:sz w:val="21"/>
                      <w:szCs w:val="21"/>
                      <w:lang w:bidi="ar"/>
                    </w:rPr>
                  </w:pPr>
                  <w:r>
                    <w:rPr>
                      <w:rFonts w:hint="eastAsia"/>
                      <w:kern w:val="0"/>
                      <w:sz w:val="21"/>
                      <w:szCs w:val="21"/>
                      <w:lang w:bidi="ar"/>
                    </w:rPr>
                    <w:t>58</w:t>
                  </w:r>
                </w:p>
              </w:tc>
              <w:tc>
                <w:tcPr>
                  <w:tcW w:w="1588" w:type="pct"/>
                  <w:vAlign w:val="center"/>
                </w:tcPr>
                <w:p w14:paraId="25A53D85">
                  <w:pPr>
                    <w:widowControl/>
                    <w:jc w:val="center"/>
                    <w:textAlignment w:val="center"/>
                    <w:rPr>
                      <w:kern w:val="0"/>
                      <w:sz w:val="21"/>
                      <w:szCs w:val="21"/>
                      <w:lang w:bidi="ar"/>
                    </w:rPr>
                  </w:pPr>
                  <w:r>
                    <w:rPr>
                      <w:kern w:val="0"/>
                      <w:sz w:val="21"/>
                      <w:szCs w:val="21"/>
                      <w:lang w:bidi="ar"/>
                    </w:rPr>
                    <w:t>硼氢化钾</w:t>
                  </w:r>
                </w:p>
              </w:tc>
              <w:tc>
                <w:tcPr>
                  <w:tcW w:w="773" w:type="pct"/>
                  <w:vAlign w:val="center"/>
                </w:tcPr>
                <w:p w14:paraId="4BF00B33">
                  <w:pPr>
                    <w:widowControl/>
                    <w:jc w:val="center"/>
                    <w:textAlignment w:val="center"/>
                    <w:rPr>
                      <w:kern w:val="0"/>
                      <w:sz w:val="21"/>
                      <w:szCs w:val="21"/>
                      <w:lang w:bidi="ar"/>
                    </w:rPr>
                  </w:pPr>
                  <w:r>
                    <w:rPr>
                      <w:kern w:val="0"/>
                      <w:sz w:val="21"/>
                      <w:szCs w:val="21"/>
                      <w:lang w:bidi="ar"/>
                    </w:rPr>
                    <w:t>100g/瓶</w:t>
                  </w:r>
                </w:p>
              </w:tc>
              <w:tc>
                <w:tcPr>
                  <w:tcW w:w="562" w:type="pct"/>
                  <w:vAlign w:val="center"/>
                </w:tcPr>
                <w:p w14:paraId="20964CD7">
                  <w:pPr>
                    <w:widowControl/>
                    <w:jc w:val="center"/>
                    <w:textAlignment w:val="center"/>
                    <w:rPr>
                      <w:kern w:val="0"/>
                      <w:sz w:val="21"/>
                      <w:szCs w:val="21"/>
                      <w:lang w:bidi="ar"/>
                    </w:rPr>
                  </w:pPr>
                  <w:r>
                    <w:rPr>
                      <w:kern w:val="0"/>
                      <w:sz w:val="21"/>
                      <w:szCs w:val="21"/>
                      <w:lang w:bidi="ar"/>
                    </w:rPr>
                    <w:t>7</w:t>
                  </w:r>
                  <w:r>
                    <w:rPr>
                      <w:rFonts w:hint="eastAsia"/>
                      <w:kern w:val="0"/>
                      <w:sz w:val="21"/>
                      <w:szCs w:val="21"/>
                      <w:lang w:bidi="ar"/>
                    </w:rPr>
                    <w:t>瓶</w:t>
                  </w:r>
                </w:p>
              </w:tc>
              <w:tc>
                <w:tcPr>
                  <w:tcW w:w="740" w:type="pct"/>
                  <w:vAlign w:val="center"/>
                </w:tcPr>
                <w:p w14:paraId="65C5E0EF">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2C4F0842">
                  <w:pPr>
                    <w:widowControl/>
                    <w:jc w:val="center"/>
                    <w:textAlignment w:val="bottom"/>
                    <w:rPr>
                      <w:kern w:val="0"/>
                      <w:sz w:val="21"/>
                      <w:szCs w:val="21"/>
                      <w:lang w:bidi="ar"/>
                    </w:rPr>
                  </w:pPr>
                </w:p>
              </w:tc>
              <w:tc>
                <w:tcPr>
                  <w:tcW w:w="426" w:type="pct"/>
                  <w:vMerge w:val="continue"/>
                  <w:vAlign w:val="center"/>
                </w:tcPr>
                <w:p w14:paraId="7AFC5E2D">
                  <w:pPr>
                    <w:widowControl/>
                    <w:jc w:val="center"/>
                    <w:textAlignment w:val="bottom"/>
                    <w:rPr>
                      <w:kern w:val="0"/>
                      <w:sz w:val="21"/>
                      <w:szCs w:val="21"/>
                      <w:lang w:bidi="ar"/>
                    </w:rPr>
                  </w:pPr>
                </w:p>
              </w:tc>
            </w:tr>
            <w:tr w14:paraId="6766F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878040D">
                  <w:pPr>
                    <w:widowControl/>
                    <w:jc w:val="center"/>
                    <w:textAlignment w:val="bottom"/>
                    <w:rPr>
                      <w:kern w:val="0"/>
                      <w:sz w:val="21"/>
                      <w:szCs w:val="21"/>
                      <w:lang w:bidi="ar"/>
                    </w:rPr>
                  </w:pPr>
                  <w:r>
                    <w:rPr>
                      <w:rFonts w:hint="eastAsia"/>
                      <w:kern w:val="0"/>
                      <w:sz w:val="21"/>
                      <w:szCs w:val="21"/>
                      <w:lang w:bidi="ar"/>
                    </w:rPr>
                    <w:t>59</w:t>
                  </w:r>
                </w:p>
              </w:tc>
              <w:tc>
                <w:tcPr>
                  <w:tcW w:w="1588" w:type="pct"/>
                  <w:vAlign w:val="center"/>
                </w:tcPr>
                <w:p w14:paraId="594CCE53">
                  <w:pPr>
                    <w:widowControl/>
                    <w:jc w:val="center"/>
                    <w:textAlignment w:val="center"/>
                    <w:rPr>
                      <w:kern w:val="0"/>
                      <w:sz w:val="21"/>
                      <w:szCs w:val="21"/>
                      <w:lang w:bidi="ar"/>
                    </w:rPr>
                  </w:pPr>
                  <w:r>
                    <w:rPr>
                      <w:kern w:val="0"/>
                      <w:sz w:val="21"/>
                      <w:szCs w:val="21"/>
                      <w:lang w:bidi="ar"/>
                    </w:rPr>
                    <w:t>硼酸</w:t>
                  </w:r>
                </w:p>
              </w:tc>
              <w:tc>
                <w:tcPr>
                  <w:tcW w:w="773" w:type="pct"/>
                  <w:vAlign w:val="center"/>
                </w:tcPr>
                <w:p w14:paraId="7D152821">
                  <w:pPr>
                    <w:widowControl/>
                    <w:jc w:val="center"/>
                    <w:textAlignment w:val="center"/>
                    <w:rPr>
                      <w:kern w:val="0"/>
                      <w:sz w:val="21"/>
                      <w:szCs w:val="21"/>
                      <w:lang w:bidi="ar"/>
                    </w:rPr>
                  </w:pPr>
                  <w:r>
                    <w:rPr>
                      <w:kern w:val="0"/>
                      <w:sz w:val="21"/>
                      <w:szCs w:val="21"/>
                      <w:lang w:bidi="ar"/>
                    </w:rPr>
                    <w:t>500g/瓶</w:t>
                  </w:r>
                </w:p>
              </w:tc>
              <w:tc>
                <w:tcPr>
                  <w:tcW w:w="562" w:type="pct"/>
                  <w:vAlign w:val="center"/>
                </w:tcPr>
                <w:p w14:paraId="49F09400">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1008B8CC">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20F5E2BE">
                  <w:pPr>
                    <w:widowControl/>
                    <w:jc w:val="center"/>
                    <w:textAlignment w:val="bottom"/>
                    <w:rPr>
                      <w:kern w:val="0"/>
                      <w:sz w:val="21"/>
                      <w:szCs w:val="21"/>
                      <w:lang w:bidi="ar"/>
                    </w:rPr>
                  </w:pPr>
                </w:p>
              </w:tc>
              <w:tc>
                <w:tcPr>
                  <w:tcW w:w="426" w:type="pct"/>
                  <w:vMerge w:val="continue"/>
                  <w:vAlign w:val="center"/>
                </w:tcPr>
                <w:p w14:paraId="423A117A">
                  <w:pPr>
                    <w:widowControl/>
                    <w:jc w:val="center"/>
                    <w:textAlignment w:val="bottom"/>
                    <w:rPr>
                      <w:kern w:val="0"/>
                      <w:sz w:val="21"/>
                      <w:szCs w:val="21"/>
                      <w:lang w:bidi="ar"/>
                    </w:rPr>
                  </w:pPr>
                </w:p>
              </w:tc>
            </w:tr>
            <w:tr w14:paraId="4CAD6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E4E0203">
                  <w:pPr>
                    <w:widowControl/>
                    <w:jc w:val="center"/>
                    <w:textAlignment w:val="bottom"/>
                    <w:rPr>
                      <w:kern w:val="0"/>
                      <w:sz w:val="21"/>
                      <w:szCs w:val="21"/>
                      <w:lang w:bidi="ar"/>
                    </w:rPr>
                  </w:pPr>
                  <w:r>
                    <w:rPr>
                      <w:rFonts w:hint="eastAsia"/>
                      <w:kern w:val="0"/>
                      <w:sz w:val="21"/>
                      <w:szCs w:val="21"/>
                      <w:lang w:bidi="ar"/>
                    </w:rPr>
                    <w:t>60</w:t>
                  </w:r>
                </w:p>
              </w:tc>
              <w:tc>
                <w:tcPr>
                  <w:tcW w:w="1588" w:type="pct"/>
                  <w:vAlign w:val="center"/>
                </w:tcPr>
                <w:p w14:paraId="5550914D">
                  <w:pPr>
                    <w:widowControl/>
                    <w:jc w:val="center"/>
                    <w:textAlignment w:val="center"/>
                    <w:rPr>
                      <w:kern w:val="0"/>
                      <w:sz w:val="21"/>
                      <w:szCs w:val="21"/>
                      <w:lang w:bidi="ar"/>
                    </w:rPr>
                  </w:pPr>
                  <w:r>
                    <w:rPr>
                      <w:kern w:val="0"/>
                      <w:sz w:val="21"/>
                      <w:szCs w:val="21"/>
                      <w:lang w:bidi="ar"/>
                    </w:rPr>
                    <w:t>品红亚硫酸钠琼脂</w:t>
                  </w:r>
                </w:p>
              </w:tc>
              <w:tc>
                <w:tcPr>
                  <w:tcW w:w="773" w:type="pct"/>
                  <w:vAlign w:val="center"/>
                </w:tcPr>
                <w:p w14:paraId="306BEB77">
                  <w:pPr>
                    <w:widowControl/>
                    <w:jc w:val="center"/>
                    <w:textAlignment w:val="center"/>
                    <w:rPr>
                      <w:kern w:val="0"/>
                      <w:sz w:val="21"/>
                      <w:szCs w:val="21"/>
                      <w:lang w:bidi="ar"/>
                    </w:rPr>
                  </w:pPr>
                  <w:r>
                    <w:rPr>
                      <w:kern w:val="0"/>
                      <w:sz w:val="21"/>
                      <w:szCs w:val="21"/>
                      <w:lang w:bidi="ar"/>
                    </w:rPr>
                    <w:t>250g/瓶</w:t>
                  </w:r>
                </w:p>
              </w:tc>
              <w:tc>
                <w:tcPr>
                  <w:tcW w:w="562" w:type="pct"/>
                  <w:vAlign w:val="center"/>
                </w:tcPr>
                <w:p w14:paraId="2FDB30D6">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71951C5D">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137D4706">
                  <w:pPr>
                    <w:widowControl/>
                    <w:jc w:val="center"/>
                    <w:textAlignment w:val="bottom"/>
                    <w:rPr>
                      <w:kern w:val="0"/>
                      <w:sz w:val="21"/>
                      <w:szCs w:val="21"/>
                      <w:lang w:bidi="ar"/>
                    </w:rPr>
                  </w:pPr>
                </w:p>
              </w:tc>
              <w:tc>
                <w:tcPr>
                  <w:tcW w:w="426" w:type="pct"/>
                  <w:vMerge w:val="continue"/>
                  <w:vAlign w:val="center"/>
                </w:tcPr>
                <w:p w14:paraId="39CE3FCB">
                  <w:pPr>
                    <w:widowControl/>
                    <w:jc w:val="center"/>
                    <w:textAlignment w:val="bottom"/>
                    <w:rPr>
                      <w:kern w:val="0"/>
                      <w:sz w:val="21"/>
                      <w:szCs w:val="21"/>
                      <w:lang w:bidi="ar"/>
                    </w:rPr>
                  </w:pPr>
                </w:p>
              </w:tc>
            </w:tr>
            <w:tr w14:paraId="63728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C5BE509">
                  <w:pPr>
                    <w:widowControl/>
                    <w:jc w:val="center"/>
                    <w:textAlignment w:val="bottom"/>
                    <w:rPr>
                      <w:kern w:val="0"/>
                      <w:sz w:val="21"/>
                      <w:szCs w:val="21"/>
                      <w:lang w:bidi="ar"/>
                    </w:rPr>
                  </w:pPr>
                  <w:r>
                    <w:rPr>
                      <w:rFonts w:hint="eastAsia"/>
                      <w:kern w:val="0"/>
                      <w:sz w:val="21"/>
                      <w:szCs w:val="21"/>
                      <w:lang w:bidi="ar"/>
                    </w:rPr>
                    <w:t>61</w:t>
                  </w:r>
                </w:p>
              </w:tc>
              <w:tc>
                <w:tcPr>
                  <w:tcW w:w="1588" w:type="pct"/>
                  <w:vAlign w:val="center"/>
                </w:tcPr>
                <w:p w14:paraId="5FCB5C02">
                  <w:pPr>
                    <w:widowControl/>
                    <w:jc w:val="center"/>
                    <w:textAlignment w:val="center"/>
                    <w:rPr>
                      <w:kern w:val="0"/>
                      <w:sz w:val="21"/>
                      <w:szCs w:val="21"/>
                      <w:lang w:bidi="ar"/>
                    </w:rPr>
                  </w:pPr>
                  <w:r>
                    <w:rPr>
                      <w:kern w:val="0"/>
                      <w:sz w:val="21"/>
                      <w:szCs w:val="21"/>
                      <w:lang w:bidi="ar"/>
                    </w:rPr>
                    <w:t>硫酸锌</w:t>
                  </w:r>
                </w:p>
              </w:tc>
              <w:tc>
                <w:tcPr>
                  <w:tcW w:w="773" w:type="pct"/>
                  <w:vAlign w:val="center"/>
                </w:tcPr>
                <w:p w14:paraId="7A666F61">
                  <w:pPr>
                    <w:widowControl/>
                    <w:jc w:val="center"/>
                    <w:textAlignment w:val="center"/>
                    <w:rPr>
                      <w:kern w:val="0"/>
                      <w:sz w:val="21"/>
                      <w:szCs w:val="21"/>
                      <w:lang w:bidi="ar"/>
                    </w:rPr>
                  </w:pPr>
                  <w:r>
                    <w:rPr>
                      <w:kern w:val="0"/>
                      <w:sz w:val="21"/>
                      <w:szCs w:val="21"/>
                      <w:lang w:bidi="ar"/>
                    </w:rPr>
                    <w:t>500g/瓶</w:t>
                  </w:r>
                </w:p>
              </w:tc>
              <w:tc>
                <w:tcPr>
                  <w:tcW w:w="562" w:type="pct"/>
                  <w:vAlign w:val="center"/>
                </w:tcPr>
                <w:p w14:paraId="2BA12E30">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2E37C20">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55E58DEF">
                  <w:pPr>
                    <w:widowControl/>
                    <w:jc w:val="center"/>
                    <w:textAlignment w:val="bottom"/>
                    <w:rPr>
                      <w:kern w:val="0"/>
                      <w:sz w:val="21"/>
                      <w:szCs w:val="21"/>
                      <w:lang w:bidi="ar"/>
                    </w:rPr>
                  </w:pPr>
                </w:p>
              </w:tc>
              <w:tc>
                <w:tcPr>
                  <w:tcW w:w="426" w:type="pct"/>
                  <w:vMerge w:val="continue"/>
                  <w:vAlign w:val="center"/>
                </w:tcPr>
                <w:p w14:paraId="1437712B">
                  <w:pPr>
                    <w:widowControl/>
                    <w:jc w:val="center"/>
                    <w:textAlignment w:val="bottom"/>
                    <w:rPr>
                      <w:kern w:val="0"/>
                      <w:sz w:val="21"/>
                      <w:szCs w:val="21"/>
                      <w:lang w:bidi="ar"/>
                    </w:rPr>
                  </w:pPr>
                </w:p>
              </w:tc>
            </w:tr>
            <w:tr w14:paraId="71789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7DB4D7F2">
                  <w:pPr>
                    <w:widowControl/>
                    <w:jc w:val="center"/>
                    <w:textAlignment w:val="bottom"/>
                    <w:rPr>
                      <w:kern w:val="0"/>
                      <w:sz w:val="21"/>
                      <w:szCs w:val="21"/>
                      <w:lang w:bidi="ar"/>
                    </w:rPr>
                  </w:pPr>
                  <w:r>
                    <w:rPr>
                      <w:rFonts w:hint="eastAsia"/>
                      <w:kern w:val="0"/>
                      <w:sz w:val="21"/>
                      <w:szCs w:val="21"/>
                      <w:lang w:bidi="ar"/>
                    </w:rPr>
                    <w:t>62</w:t>
                  </w:r>
                </w:p>
              </w:tc>
              <w:tc>
                <w:tcPr>
                  <w:tcW w:w="1588" w:type="pct"/>
                  <w:vAlign w:val="center"/>
                </w:tcPr>
                <w:p w14:paraId="7FA87B6C">
                  <w:pPr>
                    <w:widowControl/>
                    <w:jc w:val="center"/>
                    <w:textAlignment w:val="center"/>
                    <w:rPr>
                      <w:kern w:val="0"/>
                      <w:sz w:val="21"/>
                      <w:szCs w:val="21"/>
                      <w:lang w:bidi="ar"/>
                    </w:rPr>
                  </w:pPr>
                  <w:r>
                    <w:rPr>
                      <w:kern w:val="0"/>
                      <w:sz w:val="21"/>
                      <w:szCs w:val="21"/>
                      <w:lang w:bidi="ar"/>
                    </w:rPr>
                    <w:t>氢氧化钾</w:t>
                  </w:r>
                </w:p>
              </w:tc>
              <w:tc>
                <w:tcPr>
                  <w:tcW w:w="773" w:type="pct"/>
                  <w:vAlign w:val="center"/>
                </w:tcPr>
                <w:p w14:paraId="07D4D148">
                  <w:pPr>
                    <w:widowControl/>
                    <w:jc w:val="center"/>
                    <w:textAlignment w:val="center"/>
                    <w:rPr>
                      <w:kern w:val="0"/>
                      <w:sz w:val="21"/>
                      <w:szCs w:val="21"/>
                      <w:lang w:bidi="ar"/>
                    </w:rPr>
                  </w:pPr>
                  <w:r>
                    <w:rPr>
                      <w:kern w:val="0"/>
                      <w:sz w:val="21"/>
                      <w:szCs w:val="21"/>
                      <w:lang w:bidi="ar"/>
                    </w:rPr>
                    <w:t>500g/瓶</w:t>
                  </w:r>
                </w:p>
              </w:tc>
              <w:tc>
                <w:tcPr>
                  <w:tcW w:w="562" w:type="pct"/>
                  <w:vAlign w:val="center"/>
                </w:tcPr>
                <w:p w14:paraId="222440D6">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7747F58B">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5EB199B0">
                  <w:pPr>
                    <w:widowControl/>
                    <w:jc w:val="center"/>
                    <w:textAlignment w:val="bottom"/>
                    <w:rPr>
                      <w:kern w:val="0"/>
                      <w:sz w:val="21"/>
                      <w:szCs w:val="21"/>
                      <w:lang w:bidi="ar"/>
                    </w:rPr>
                  </w:pPr>
                </w:p>
              </w:tc>
              <w:tc>
                <w:tcPr>
                  <w:tcW w:w="426" w:type="pct"/>
                  <w:vMerge w:val="continue"/>
                  <w:vAlign w:val="center"/>
                </w:tcPr>
                <w:p w14:paraId="1A39FDCE">
                  <w:pPr>
                    <w:widowControl/>
                    <w:jc w:val="center"/>
                    <w:textAlignment w:val="bottom"/>
                    <w:rPr>
                      <w:kern w:val="0"/>
                      <w:sz w:val="21"/>
                      <w:szCs w:val="21"/>
                      <w:lang w:bidi="ar"/>
                    </w:rPr>
                  </w:pPr>
                </w:p>
              </w:tc>
            </w:tr>
            <w:tr w14:paraId="14BC9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78B143B">
                  <w:pPr>
                    <w:widowControl/>
                    <w:jc w:val="center"/>
                    <w:textAlignment w:val="bottom"/>
                    <w:rPr>
                      <w:kern w:val="0"/>
                      <w:sz w:val="21"/>
                      <w:szCs w:val="21"/>
                      <w:lang w:bidi="ar"/>
                    </w:rPr>
                  </w:pPr>
                  <w:r>
                    <w:rPr>
                      <w:rFonts w:hint="eastAsia"/>
                      <w:kern w:val="0"/>
                      <w:sz w:val="21"/>
                      <w:szCs w:val="21"/>
                      <w:lang w:bidi="ar"/>
                    </w:rPr>
                    <w:t>63</w:t>
                  </w:r>
                </w:p>
              </w:tc>
              <w:tc>
                <w:tcPr>
                  <w:tcW w:w="1588" w:type="pct"/>
                  <w:vAlign w:val="center"/>
                </w:tcPr>
                <w:p w14:paraId="04C21178">
                  <w:pPr>
                    <w:widowControl/>
                    <w:jc w:val="center"/>
                    <w:textAlignment w:val="center"/>
                    <w:rPr>
                      <w:color w:val="auto"/>
                      <w:kern w:val="0"/>
                      <w:sz w:val="21"/>
                      <w:szCs w:val="21"/>
                      <w:lang w:bidi="ar"/>
                    </w:rPr>
                  </w:pPr>
                  <w:r>
                    <w:rPr>
                      <w:color w:val="auto"/>
                      <w:kern w:val="0"/>
                      <w:sz w:val="21"/>
                      <w:szCs w:val="21"/>
                      <w:lang w:bidi="ar"/>
                    </w:rPr>
                    <w:t>氢氧化钠</w:t>
                  </w:r>
                  <w:r>
                    <w:rPr>
                      <w:rFonts w:hint="eastAsia"/>
                      <w:color w:val="auto"/>
                      <w:kern w:val="0"/>
                      <w:sz w:val="21"/>
                      <w:szCs w:val="21"/>
                      <w:lang w:bidi="ar"/>
                    </w:rPr>
                    <w:t>（分析纯，≥99.7%/优级纯，≥99.9%）</w:t>
                  </w:r>
                </w:p>
              </w:tc>
              <w:tc>
                <w:tcPr>
                  <w:tcW w:w="773" w:type="pct"/>
                  <w:vAlign w:val="center"/>
                </w:tcPr>
                <w:p w14:paraId="7251433B">
                  <w:pPr>
                    <w:widowControl/>
                    <w:jc w:val="center"/>
                    <w:textAlignment w:val="center"/>
                    <w:rPr>
                      <w:color w:val="auto"/>
                      <w:kern w:val="0"/>
                      <w:sz w:val="21"/>
                      <w:szCs w:val="21"/>
                      <w:lang w:bidi="ar"/>
                    </w:rPr>
                  </w:pPr>
                  <w:r>
                    <w:rPr>
                      <w:color w:val="auto"/>
                      <w:kern w:val="0"/>
                      <w:sz w:val="21"/>
                      <w:szCs w:val="21"/>
                      <w:lang w:bidi="ar"/>
                    </w:rPr>
                    <w:t>500ml/瓶</w:t>
                  </w:r>
                </w:p>
              </w:tc>
              <w:tc>
                <w:tcPr>
                  <w:tcW w:w="562" w:type="pct"/>
                  <w:vAlign w:val="center"/>
                </w:tcPr>
                <w:p w14:paraId="57A95566">
                  <w:pPr>
                    <w:widowControl/>
                    <w:jc w:val="center"/>
                    <w:textAlignment w:val="center"/>
                    <w:rPr>
                      <w:kern w:val="0"/>
                      <w:sz w:val="21"/>
                      <w:szCs w:val="21"/>
                      <w:lang w:bidi="ar"/>
                    </w:rPr>
                  </w:pPr>
                  <w:r>
                    <w:rPr>
                      <w:kern w:val="0"/>
                      <w:sz w:val="21"/>
                      <w:szCs w:val="21"/>
                      <w:lang w:bidi="ar"/>
                    </w:rPr>
                    <w:t>27</w:t>
                  </w:r>
                  <w:r>
                    <w:rPr>
                      <w:rFonts w:hint="eastAsia"/>
                      <w:kern w:val="0"/>
                      <w:sz w:val="21"/>
                      <w:szCs w:val="21"/>
                      <w:lang w:bidi="ar"/>
                    </w:rPr>
                    <w:t>瓶</w:t>
                  </w:r>
                </w:p>
              </w:tc>
              <w:tc>
                <w:tcPr>
                  <w:tcW w:w="740" w:type="pct"/>
                  <w:vAlign w:val="center"/>
                </w:tcPr>
                <w:p w14:paraId="07BCFF58">
                  <w:pPr>
                    <w:widowControl/>
                    <w:jc w:val="center"/>
                    <w:textAlignment w:val="center"/>
                    <w:rPr>
                      <w:kern w:val="0"/>
                      <w:sz w:val="21"/>
                      <w:szCs w:val="21"/>
                      <w:lang w:bidi="ar"/>
                    </w:rPr>
                  </w:pPr>
                  <w:r>
                    <w:rPr>
                      <w:rFonts w:hint="eastAsia"/>
                      <w:kern w:val="0"/>
                      <w:sz w:val="21"/>
                      <w:szCs w:val="21"/>
                      <w:lang w:bidi="ar"/>
                    </w:rPr>
                    <w:t>5瓶</w:t>
                  </w:r>
                </w:p>
              </w:tc>
              <w:tc>
                <w:tcPr>
                  <w:tcW w:w="554" w:type="pct"/>
                  <w:vMerge w:val="continue"/>
                  <w:vAlign w:val="center"/>
                </w:tcPr>
                <w:p w14:paraId="197F2665">
                  <w:pPr>
                    <w:widowControl/>
                    <w:jc w:val="center"/>
                    <w:textAlignment w:val="bottom"/>
                    <w:rPr>
                      <w:kern w:val="0"/>
                      <w:sz w:val="21"/>
                      <w:szCs w:val="21"/>
                      <w:lang w:bidi="ar"/>
                    </w:rPr>
                  </w:pPr>
                </w:p>
              </w:tc>
              <w:tc>
                <w:tcPr>
                  <w:tcW w:w="426" w:type="pct"/>
                  <w:vMerge w:val="continue"/>
                  <w:vAlign w:val="center"/>
                </w:tcPr>
                <w:p w14:paraId="6A060219">
                  <w:pPr>
                    <w:widowControl/>
                    <w:jc w:val="center"/>
                    <w:textAlignment w:val="bottom"/>
                    <w:rPr>
                      <w:kern w:val="0"/>
                      <w:sz w:val="21"/>
                      <w:szCs w:val="21"/>
                      <w:lang w:bidi="ar"/>
                    </w:rPr>
                  </w:pPr>
                </w:p>
              </w:tc>
            </w:tr>
            <w:tr w14:paraId="4D969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11EC794">
                  <w:pPr>
                    <w:widowControl/>
                    <w:jc w:val="center"/>
                    <w:textAlignment w:val="bottom"/>
                    <w:rPr>
                      <w:kern w:val="0"/>
                      <w:sz w:val="21"/>
                      <w:szCs w:val="21"/>
                      <w:lang w:bidi="ar"/>
                    </w:rPr>
                  </w:pPr>
                  <w:r>
                    <w:rPr>
                      <w:rFonts w:hint="eastAsia"/>
                      <w:kern w:val="0"/>
                      <w:sz w:val="21"/>
                      <w:szCs w:val="21"/>
                      <w:lang w:bidi="ar"/>
                    </w:rPr>
                    <w:t>64</w:t>
                  </w:r>
                </w:p>
              </w:tc>
              <w:tc>
                <w:tcPr>
                  <w:tcW w:w="1588" w:type="pct"/>
                  <w:vAlign w:val="center"/>
                </w:tcPr>
                <w:p w14:paraId="65FD4555">
                  <w:pPr>
                    <w:widowControl/>
                    <w:jc w:val="center"/>
                    <w:textAlignment w:val="center"/>
                    <w:rPr>
                      <w:kern w:val="0"/>
                      <w:sz w:val="21"/>
                      <w:szCs w:val="21"/>
                      <w:lang w:bidi="ar"/>
                    </w:rPr>
                  </w:pPr>
                  <w:r>
                    <w:rPr>
                      <w:kern w:val="0"/>
                      <w:sz w:val="21"/>
                      <w:szCs w:val="21"/>
                      <w:lang w:bidi="ar"/>
                    </w:rPr>
                    <w:t>乳糖胆盐培养基</w:t>
                  </w:r>
                </w:p>
              </w:tc>
              <w:tc>
                <w:tcPr>
                  <w:tcW w:w="773" w:type="pct"/>
                  <w:vAlign w:val="center"/>
                </w:tcPr>
                <w:p w14:paraId="11C4F969">
                  <w:pPr>
                    <w:widowControl/>
                    <w:jc w:val="center"/>
                    <w:textAlignment w:val="center"/>
                    <w:rPr>
                      <w:kern w:val="0"/>
                      <w:sz w:val="21"/>
                      <w:szCs w:val="21"/>
                      <w:lang w:bidi="ar"/>
                    </w:rPr>
                  </w:pPr>
                  <w:r>
                    <w:rPr>
                      <w:kern w:val="0"/>
                      <w:sz w:val="21"/>
                      <w:szCs w:val="21"/>
                      <w:lang w:bidi="ar"/>
                    </w:rPr>
                    <w:t>250g/瓶</w:t>
                  </w:r>
                </w:p>
              </w:tc>
              <w:tc>
                <w:tcPr>
                  <w:tcW w:w="562" w:type="pct"/>
                  <w:vAlign w:val="center"/>
                </w:tcPr>
                <w:p w14:paraId="2C38AD29">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593D5CA5">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12ACEC48">
                  <w:pPr>
                    <w:widowControl/>
                    <w:jc w:val="center"/>
                    <w:textAlignment w:val="bottom"/>
                    <w:rPr>
                      <w:kern w:val="0"/>
                      <w:sz w:val="21"/>
                      <w:szCs w:val="21"/>
                      <w:lang w:bidi="ar"/>
                    </w:rPr>
                  </w:pPr>
                </w:p>
              </w:tc>
              <w:tc>
                <w:tcPr>
                  <w:tcW w:w="426" w:type="pct"/>
                  <w:vMerge w:val="continue"/>
                  <w:vAlign w:val="center"/>
                </w:tcPr>
                <w:p w14:paraId="62D87DFA">
                  <w:pPr>
                    <w:widowControl/>
                    <w:jc w:val="center"/>
                    <w:textAlignment w:val="bottom"/>
                    <w:rPr>
                      <w:kern w:val="0"/>
                      <w:sz w:val="21"/>
                      <w:szCs w:val="21"/>
                      <w:lang w:bidi="ar"/>
                    </w:rPr>
                  </w:pPr>
                </w:p>
              </w:tc>
            </w:tr>
            <w:tr w14:paraId="52D82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5F76AFF">
                  <w:pPr>
                    <w:widowControl/>
                    <w:jc w:val="center"/>
                    <w:textAlignment w:val="bottom"/>
                    <w:rPr>
                      <w:kern w:val="0"/>
                      <w:sz w:val="21"/>
                      <w:szCs w:val="21"/>
                      <w:lang w:bidi="ar"/>
                    </w:rPr>
                  </w:pPr>
                  <w:r>
                    <w:rPr>
                      <w:rFonts w:hint="eastAsia"/>
                      <w:kern w:val="0"/>
                      <w:sz w:val="21"/>
                      <w:szCs w:val="21"/>
                      <w:lang w:bidi="ar"/>
                    </w:rPr>
                    <w:t>65</w:t>
                  </w:r>
                </w:p>
              </w:tc>
              <w:tc>
                <w:tcPr>
                  <w:tcW w:w="1588" w:type="pct"/>
                  <w:vAlign w:val="center"/>
                </w:tcPr>
                <w:p w14:paraId="4C8152FD">
                  <w:pPr>
                    <w:widowControl/>
                    <w:jc w:val="center"/>
                    <w:textAlignment w:val="center"/>
                    <w:rPr>
                      <w:kern w:val="0"/>
                      <w:sz w:val="21"/>
                      <w:szCs w:val="21"/>
                      <w:lang w:bidi="ar"/>
                    </w:rPr>
                  </w:pPr>
                  <w:r>
                    <w:rPr>
                      <w:kern w:val="0"/>
                      <w:sz w:val="21"/>
                      <w:szCs w:val="21"/>
                      <w:lang w:bidi="ar"/>
                    </w:rPr>
                    <w:t>乳糖蛋白胨培养基</w:t>
                  </w:r>
                </w:p>
              </w:tc>
              <w:tc>
                <w:tcPr>
                  <w:tcW w:w="773" w:type="pct"/>
                  <w:vAlign w:val="center"/>
                </w:tcPr>
                <w:p w14:paraId="08683BCF">
                  <w:pPr>
                    <w:widowControl/>
                    <w:jc w:val="center"/>
                    <w:textAlignment w:val="center"/>
                    <w:rPr>
                      <w:kern w:val="0"/>
                      <w:sz w:val="21"/>
                      <w:szCs w:val="21"/>
                      <w:lang w:bidi="ar"/>
                    </w:rPr>
                  </w:pPr>
                  <w:r>
                    <w:rPr>
                      <w:kern w:val="0"/>
                      <w:sz w:val="21"/>
                      <w:szCs w:val="21"/>
                      <w:lang w:bidi="ar"/>
                    </w:rPr>
                    <w:t>250g/瓶</w:t>
                  </w:r>
                </w:p>
              </w:tc>
              <w:tc>
                <w:tcPr>
                  <w:tcW w:w="562" w:type="pct"/>
                  <w:vAlign w:val="center"/>
                </w:tcPr>
                <w:p w14:paraId="30948604">
                  <w:pPr>
                    <w:widowControl/>
                    <w:jc w:val="center"/>
                    <w:textAlignment w:val="center"/>
                    <w:rPr>
                      <w:kern w:val="0"/>
                      <w:sz w:val="21"/>
                      <w:szCs w:val="21"/>
                      <w:lang w:bidi="ar"/>
                    </w:rPr>
                  </w:pPr>
                  <w:r>
                    <w:rPr>
                      <w:kern w:val="0"/>
                      <w:sz w:val="21"/>
                      <w:szCs w:val="21"/>
                      <w:lang w:bidi="ar"/>
                    </w:rPr>
                    <w:t>6</w:t>
                  </w:r>
                  <w:r>
                    <w:rPr>
                      <w:rFonts w:hint="eastAsia"/>
                      <w:kern w:val="0"/>
                      <w:sz w:val="21"/>
                      <w:szCs w:val="21"/>
                      <w:lang w:bidi="ar"/>
                    </w:rPr>
                    <w:t>瓶</w:t>
                  </w:r>
                </w:p>
              </w:tc>
              <w:tc>
                <w:tcPr>
                  <w:tcW w:w="740" w:type="pct"/>
                  <w:vAlign w:val="center"/>
                </w:tcPr>
                <w:p w14:paraId="66602E9B">
                  <w:pPr>
                    <w:widowControl/>
                    <w:jc w:val="center"/>
                    <w:textAlignment w:val="center"/>
                    <w:rPr>
                      <w:kern w:val="0"/>
                      <w:sz w:val="21"/>
                      <w:szCs w:val="21"/>
                      <w:lang w:bidi="ar"/>
                    </w:rPr>
                  </w:pPr>
                  <w:r>
                    <w:rPr>
                      <w:kern w:val="0"/>
                      <w:sz w:val="21"/>
                      <w:szCs w:val="21"/>
                      <w:lang w:bidi="ar"/>
                    </w:rPr>
                    <w:t>3</w:t>
                  </w:r>
                  <w:r>
                    <w:rPr>
                      <w:rFonts w:hint="eastAsia"/>
                      <w:kern w:val="0"/>
                      <w:sz w:val="21"/>
                      <w:szCs w:val="21"/>
                      <w:lang w:bidi="ar"/>
                    </w:rPr>
                    <w:t>瓶</w:t>
                  </w:r>
                </w:p>
              </w:tc>
              <w:tc>
                <w:tcPr>
                  <w:tcW w:w="554" w:type="pct"/>
                  <w:vMerge w:val="continue"/>
                  <w:vAlign w:val="center"/>
                </w:tcPr>
                <w:p w14:paraId="20986E78">
                  <w:pPr>
                    <w:widowControl/>
                    <w:jc w:val="center"/>
                    <w:textAlignment w:val="bottom"/>
                    <w:rPr>
                      <w:kern w:val="0"/>
                      <w:sz w:val="21"/>
                      <w:szCs w:val="21"/>
                      <w:lang w:bidi="ar"/>
                    </w:rPr>
                  </w:pPr>
                </w:p>
              </w:tc>
              <w:tc>
                <w:tcPr>
                  <w:tcW w:w="426" w:type="pct"/>
                  <w:vMerge w:val="continue"/>
                  <w:vAlign w:val="center"/>
                </w:tcPr>
                <w:p w14:paraId="12F7522E">
                  <w:pPr>
                    <w:widowControl/>
                    <w:jc w:val="center"/>
                    <w:textAlignment w:val="bottom"/>
                    <w:rPr>
                      <w:kern w:val="0"/>
                      <w:sz w:val="21"/>
                      <w:szCs w:val="21"/>
                      <w:lang w:bidi="ar"/>
                    </w:rPr>
                  </w:pPr>
                </w:p>
              </w:tc>
            </w:tr>
            <w:tr w14:paraId="326BA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B4EDA5F">
                  <w:pPr>
                    <w:widowControl/>
                    <w:jc w:val="center"/>
                    <w:textAlignment w:val="bottom"/>
                    <w:rPr>
                      <w:kern w:val="0"/>
                      <w:sz w:val="21"/>
                      <w:szCs w:val="21"/>
                      <w:lang w:bidi="ar"/>
                    </w:rPr>
                  </w:pPr>
                  <w:r>
                    <w:rPr>
                      <w:rFonts w:hint="eastAsia"/>
                      <w:kern w:val="0"/>
                      <w:sz w:val="21"/>
                      <w:szCs w:val="21"/>
                      <w:lang w:bidi="ar"/>
                    </w:rPr>
                    <w:t>66</w:t>
                  </w:r>
                </w:p>
              </w:tc>
              <w:tc>
                <w:tcPr>
                  <w:tcW w:w="1588" w:type="pct"/>
                  <w:vAlign w:val="center"/>
                </w:tcPr>
                <w:p w14:paraId="6512311D">
                  <w:pPr>
                    <w:widowControl/>
                    <w:jc w:val="center"/>
                    <w:textAlignment w:val="center"/>
                    <w:rPr>
                      <w:kern w:val="0"/>
                      <w:sz w:val="21"/>
                      <w:szCs w:val="21"/>
                      <w:lang w:bidi="ar"/>
                    </w:rPr>
                  </w:pPr>
                  <w:r>
                    <w:rPr>
                      <w:kern w:val="0"/>
                      <w:sz w:val="21"/>
                      <w:szCs w:val="21"/>
                      <w:lang w:bidi="ar"/>
                    </w:rPr>
                    <w:t>三氟乙酸</w:t>
                  </w:r>
                </w:p>
              </w:tc>
              <w:tc>
                <w:tcPr>
                  <w:tcW w:w="773" w:type="pct"/>
                  <w:vAlign w:val="center"/>
                </w:tcPr>
                <w:p w14:paraId="6696C534">
                  <w:pPr>
                    <w:widowControl/>
                    <w:jc w:val="center"/>
                    <w:textAlignment w:val="center"/>
                    <w:rPr>
                      <w:kern w:val="0"/>
                      <w:sz w:val="21"/>
                      <w:szCs w:val="21"/>
                      <w:lang w:bidi="ar"/>
                    </w:rPr>
                  </w:pPr>
                  <w:r>
                    <w:rPr>
                      <w:kern w:val="0"/>
                      <w:sz w:val="21"/>
                      <w:szCs w:val="21"/>
                      <w:lang w:bidi="ar"/>
                    </w:rPr>
                    <w:t>100mL/瓶</w:t>
                  </w:r>
                </w:p>
              </w:tc>
              <w:tc>
                <w:tcPr>
                  <w:tcW w:w="562" w:type="pct"/>
                  <w:vAlign w:val="center"/>
                </w:tcPr>
                <w:p w14:paraId="7BB4EF6B">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D95A93C">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26BD030A">
                  <w:pPr>
                    <w:widowControl/>
                    <w:jc w:val="center"/>
                    <w:textAlignment w:val="bottom"/>
                    <w:rPr>
                      <w:kern w:val="0"/>
                      <w:sz w:val="21"/>
                      <w:szCs w:val="21"/>
                      <w:lang w:bidi="ar"/>
                    </w:rPr>
                  </w:pPr>
                </w:p>
              </w:tc>
              <w:tc>
                <w:tcPr>
                  <w:tcW w:w="426" w:type="pct"/>
                  <w:vMerge w:val="continue"/>
                  <w:vAlign w:val="center"/>
                </w:tcPr>
                <w:p w14:paraId="5A411C3C">
                  <w:pPr>
                    <w:widowControl/>
                    <w:jc w:val="center"/>
                    <w:textAlignment w:val="bottom"/>
                    <w:rPr>
                      <w:kern w:val="0"/>
                      <w:sz w:val="21"/>
                      <w:szCs w:val="21"/>
                      <w:lang w:bidi="ar"/>
                    </w:rPr>
                  </w:pPr>
                </w:p>
              </w:tc>
            </w:tr>
            <w:tr w14:paraId="70C6C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CE04773">
                  <w:pPr>
                    <w:widowControl/>
                    <w:jc w:val="center"/>
                    <w:textAlignment w:val="bottom"/>
                    <w:rPr>
                      <w:kern w:val="0"/>
                      <w:sz w:val="21"/>
                      <w:szCs w:val="21"/>
                      <w:lang w:bidi="ar"/>
                    </w:rPr>
                  </w:pPr>
                  <w:r>
                    <w:rPr>
                      <w:rFonts w:hint="eastAsia"/>
                      <w:kern w:val="0"/>
                      <w:sz w:val="21"/>
                      <w:szCs w:val="21"/>
                      <w:lang w:bidi="ar"/>
                    </w:rPr>
                    <w:t>67</w:t>
                  </w:r>
                </w:p>
              </w:tc>
              <w:tc>
                <w:tcPr>
                  <w:tcW w:w="1588" w:type="pct"/>
                  <w:vAlign w:val="center"/>
                </w:tcPr>
                <w:p w14:paraId="7A8B414C">
                  <w:pPr>
                    <w:widowControl/>
                    <w:jc w:val="center"/>
                    <w:textAlignment w:val="center"/>
                    <w:rPr>
                      <w:kern w:val="0"/>
                      <w:sz w:val="21"/>
                      <w:szCs w:val="21"/>
                      <w:lang w:bidi="ar"/>
                    </w:rPr>
                  </w:pPr>
                  <w:r>
                    <w:rPr>
                      <w:kern w:val="0"/>
                      <w:sz w:val="21"/>
                      <w:szCs w:val="21"/>
                      <w:lang w:bidi="ar"/>
                    </w:rPr>
                    <w:t>三氯化钛</w:t>
                  </w:r>
                </w:p>
              </w:tc>
              <w:tc>
                <w:tcPr>
                  <w:tcW w:w="773" w:type="pct"/>
                  <w:vAlign w:val="center"/>
                </w:tcPr>
                <w:p w14:paraId="0B3439AF">
                  <w:pPr>
                    <w:widowControl/>
                    <w:jc w:val="center"/>
                    <w:textAlignment w:val="center"/>
                    <w:rPr>
                      <w:kern w:val="0"/>
                      <w:sz w:val="21"/>
                      <w:szCs w:val="21"/>
                      <w:lang w:bidi="ar"/>
                    </w:rPr>
                  </w:pPr>
                  <w:r>
                    <w:rPr>
                      <w:kern w:val="0"/>
                      <w:sz w:val="21"/>
                      <w:szCs w:val="21"/>
                      <w:lang w:bidi="ar"/>
                    </w:rPr>
                    <w:t>500mL/瓶</w:t>
                  </w:r>
                </w:p>
              </w:tc>
              <w:tc>
                <w:tcPr>
                  <w:tcW w:w="562" w:type="pct"/>
                  <w:vAlign w:val="center"/>
                </w:tcPr>
                <w:p w14:paraId="3902237A">
                  <w:pPr>
                    <w:widowControl/>
                    <w:jc w:val="center"/>
                    <w:textAlignment w:val="center"/>
                    <w:rPr>
                      <w:kern w:val="0"/>
                      <w:sz w:val="21"/>
                      <w:szCs w:val="21"/>
                      <w:lang w:bidi="ar"/>
                    </w:rPr>
                  </w:pPr>
                  <w:r>
                    <w:rPr>
                      <w:kern w:val="0"/>
                      <w:sz w:val="21"/>
                      <w:szCs w:val="21"/>
                      <w:lang w:bidi="ar"/>
                    </w:rPr>
                    <w:t>4</w:t>
                  </w:r>
                  <w:r>
                    <w:rPr>
                      <w:rFonts w:hint="eastAsia"/>
                      <w:kern w:val="0"/>
                      <w:sz w:val="21"/>
                      <w:szCs w:val="21"/>
                      <w:lang w:bidi="ar"/>
                    </w:rPr>
                    <w:t>瓶</w:t>
                  </w:r>
                </w:p>
              </w:tc>
              <w:tc>
                <w:tcPr>
                  <w:tcW w:w="740" w:type="pct"/>
                  <w:vAlign w:val="center"/>
                </w:tcPr>
                <w:p w14:paraId="1C537E82">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0D4D6B0E">
                  <w:pPr>
                    <w:widowControl/>
                    <w:jc w:val="center"/>
                    <w:textAlignment w:val="bottom"/>
                    <w:rPr>
                      <w:kern w:val="0"/>
                      <w:sz w:val="21"/>
                      <w:szCs w:val="21"/>
                      <w:lang w:bidi="ar"/>
                    </w:rPr>
                  </w:pPr>
                </w:p>
              </w:tc>
              <w:tc>
                <w:tcPr>
                  <w:tcW w:w="426" w:type="pct"/>
                  <w:vMerge w:val="continue"/>
                  <w:vAlign w:val="center"/>
                </w:tcPr>
                <w:p w14:paraId="72B32A00">
                  <w:pPr>
                    <w:widowControl/>
                    <w:jc w:val="center"/>
                    <w:textAlignment w:val="bottom"/>
                    <w:rPr>
                      <w:kern w:val="0"/>
                      <w:sz w:val="21"/>
                      <w:szCs w:val="21"/>
                      <w:lang w:bidi="ar"/>
                    </w:rPr>
                  </w:pPr>
                </w:p>
              </w:tc>
            </w:tr>
            <w:tr w14:paraId="6B4AE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2AAFF55">
                  <w:pPr>
                    <w:widowControl/>
                    <w:jc w:val="center"/>
                    <w:textAlignment w:val="bottom"/>
                    <w:rPr>
                      <w:kern w:val="0"/>
                      <w:sz w:val="21"/>
                      <w:szCs w:val="21"/>
                      <w:lang w:bidi="ar"/>
                    </w:rPr>
                  </w:pPr>
                  <w:r>
                    <w:rPr>
                      <w:rFonts w:hint="eastAsia"/>
                      <w:kern w:val="0"/>
                      <w:sz w:val="21"/>
                      <w:szCs w:val="21"/>
                      <w:lang w:bidi="ar"/>
                    </w:rPr>
                    <w:t>68</w:t>
                  </w:r>
                </w:p>
              </w:tc>
              <w:tc>
                <w:tcPr>
                  <w:tcW w:w="1588" w:type="pct"/>
                  <w:vAlign w:val="center"/>
                </w:tcPr>
                <w:p w14:paraId="416EC4B7">
                  <w:pPr>
                    <w:widowControl/>
                    <w:jc w:val="center"/>
                    <w:textAlignment w:val="center"/>
                    <w:rPr>
                      <w:kern w:val="0"/>
                      <w:sz w:val="21"/>
                      <w:szCs w:val="21"/>
                      <w:lang w:bidi="ar"/>
                    </w:rPr>
                  </w:pPr>
                  <w:r>
                    <w:rPr>
                      <w:kern w:val="0"/>
                      <w:sz w:val="21"/>
                      <w:szCs w:val="21"/>
                      <w:lang w:bidi="ar"/>
                    </w:rPr>
                    <w:t>石英砂</w:t>
                  </w:r>
                </w:p>
              </w:tc>
              <w:tc>
                <w:tcPr>
                  <w:tcW w:w="773" w:type="pct"/>
                  <w:vAlign w:val="center"/>
                </w:tcPr>
                <w:p w14:paraId="52088353">
                  <w:pPr>
                    <w:widowControl/>
                    <w:jc w:val="center"/>
                    <w:textAlignment w:val="center"/>
                    <w:rPr>
                      <w:kern w:val="0"/>
                      <w:sz w:val="21"/>
                      <w:szCs w:val="21"/>
                      <w:lang w:bidi="ar"/>
                    </w:rPr>
                  </w:pPr>
                  <w:r>
                    <w:rPr>
                      <w:kern w:val="0"/>
                      <w:sz w:val="21"/>
                      <w:szCs w:val="21"/>
                      <w:lang w:bidi="ar"/>
                    </w:rPr>
                    <w:t>500g/瓶</w:t>
                  </w:r>
                </w:p>
              </w:tc>
              <w:tc>
                <w:tcPr>
                  <w:tcW w:w="562" w:type="pct"/>
                  <w:vAlign w:val="center"/>
                </w:tcPr>
                <w:p w14:paraId="71680D27">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19F03A08">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5DED009B">
                  <w:pPr>
                    <w:widowControl/>
                    <w:jc w:val="center"/>
                    <w:textAlignment w:val="bottom"/>
                    <w:rPr>
                      <w:kern w:val="0"/>
                      <w:sz w:val="21"/>
                      <w:szCs w:val="21"/>
                      <w:lang w:bidi="ar"/>
                    </w:rPr>
                  </w:pPr>
                </w:p>
              </w:tc>
              <w:tc>
                <w:tcPr>
                  <w:tcW w:w="426" w:type="pct"/>
                  <w:vMerge w:val="continue"/>
                  <w:vAlign w:val="center"/>
                </w:tcPr>
                <w:p w14:paraId="2BF7F4F5">
                  <w:pPr>
                    <w:widowControl/>
                    <w:jc w:val="center"/>
                    <w:textAlignment w:val="bottom"/>
                    <w:rPr>
                      <w:kern w:val="0"/>
                      <w:sz w:val="21"/>
                      <w:szCs w:val="21"/>
                      <w:lang w:bidi="ar"/>
                    </w:rPr>
                  </w:pPr>
                </w:p>
              </w:tc>
            </w:tr>
            <w:tr w14:paraId="3D73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2A37536">
                  <w:pPr>
                    <w:widowControl/>
                    <w:jc w:val="center"/>
                    <w:textAlignment w:val="bottom"/>
                    <w:rPr>
                      <w:kern w:val="0"/>
                      <w:sz w:val="21"/>
                      <w:szCs w:val="21"/>
                      <w:lang w:bidi="ar"/>
                    </w:rPr>
                  </w:pPr>
                  <w:r>
                    <w:rPr>
                      <w:rFonts w:hint="eastAsia"/>
                      <w:kern w:val="0"/>
                      <w:sz w:val="21"/>
                      <w:szCs w:val="21"/>
                      <w:lang w:bidi="ar"/>
                    </w:rPr>
                    <w:t>69</w:t>
                  </w:r>
                </w:p>
              </w:tc>
              <w:tc>
                <w:tcPr>
                  <w:tcW w:w="1588" w:type="pct"/>
                  <w:vAlign w:val="center"/>
                </w:tcPr>
                <w:p w14:paraId="31AE6FF4">
                  <w:pPr>
                    <w:widowControl/>
                    <w:jc w:val="center"/>
                    <w:textAlignment w:val="center"/>
                    <w:rPr>
                      <w:kern w:val="0"/>
                      <w:sz w:val="21"/>
                      <w:szCs w:val="21"/>
                      <w:lang w:bidi="ar"/>
                    </w:rPr>
                  </w:pPr>
                  <w:r>
                    <w:rPr>
                      <w:kern w:val="0"/>
                      <w:sz w:val="21"/>
                      <w:szCs w:val="21"/>
                      <w:lang w:bidi="ar"/>
                    </w:rPr>
                    <w:t>四甲基氢氧化铵溶液</w:t>
                  </w:r>
                </w:p>
              </w:tc>
              <w:tc>
                <w:tcPr>
                  <w:tcW w:w="773" w:type="pct"/>
                  <w:vAlign w:val="center"/>
                </w:tcPr>
                <w:p w14:paraId="5BCCB41C">
                  <w:pPr>
                    <w:widowControl/>
                    <w:jc w:val="center"/>
                    <w:textAlignment w:val="center"/>
                    <w:rPr>
                      <w:kern w:val="0"/>
                      <w:sz w:val="21"/>
                      <w:szCs w:val="21"/>
                      <w:lang w:bidi="ar"/>
                    </w:rPr>
                  </w:pPr>
                  <w:r>
                    <w:rPr>
                      <w:kern w:val="0"/>
                      <w:sz w:val="21"/>
                      <w:szCs w:val="21"/>
                      <w:lang w:bidi="ar"/>
                    </w:rPr>
                    <w:t>250mL/瓶</w:t>
                  </w:r>
                </w:p>
              </w:tc>
              <w:tc>
                <w:tcPr>
                  <w:tcW w:w="562" w:type="pct"/>
                  <w:vAlign w:val="center"/>
                </w:tcPr>
                <w:p w14:paraId="24715FB6">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478B448E">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3945A62C">
                  <w:pPr>
                    <w:widowControl/>
                    <w:jc w:val="center"/>
                    <w:textAlignment w:val="bottom"/>
                    <w:rPr>
                      <w:kern w:val="0"/>
                      <w:sz w:val="21"/>
                      <w:szCs w:val="21"/>
                      <w:lang w:bidi="ar"/>
                    </w:rPr>
                  </w:pPr>
                </w:p>
              </w:tc>
              <w:tc>
                <w:tcPr>
                  <w:tcW w:w="426" w:type="pct"/>
                  <w:vMerge w:val="continue"/>
                  <w:vAlign w:val="center"/>
                </w:tcPr>
                <w:p w14:paraId="1F063BDE">
                  <w:pPr>
                    <w:widowControl/>
                    <w:jc w:val="center"/>
                    <w:textAlignment w:val="bottom"/>
                    <w:rPr>
                      <w:kern w:val="0"/>
                      <w:sz w:val="21"/>
                      <w:szCs w:val="21"/>
                      <w:lang w:bidi="ar"/>
                    </w:rPr>
                  </w:pPr>
                </w:p>
              </w:tc>
            </w:tr>
            <w:tr w14:paraId="3B646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780DDCD">
                  <w:pPr>
                    <w:widowControl/>
                    <w:jc w:val="center"/>
                    <w:textAlignment w:val="bottom"/>
                    <w:rPr>
                      <w:kern w:val="0"/>
                      <w:sz w:val="21"/>
                      <w:szCs w:val="21"/>
                      <w:lang w:bidi="ar"/>
                    </w:rPr>
                  </w:pPr>
                  <w:r>
                    <w:rPr>
                      <w:rFonts w:hint="eastAsia"/>
                      <w:kern w:val="0"/>
                      <w:sz w:val="21"/>
                      <w:szCs w:val="21"/>
                      <w:lang w:bidi="ar"/>
                    </w:rPr>
                    <w:t>70</w:t>
                  </w:r>
                </w:p>
              </w:tc>
              <w:tc>
                <w:tcPr>
                  <w:tcW w:w="1588" w:type="pct"/>
                  <w:vAlign w:val="center"/>
                </w:tcPr>
                <w:p w14:paraId="1536F332">
                  <w:pPr>
                    <w:widowControl/>
                    <w:jc w:val="center"/>
                    <w:textAlignment w:val="center"/>
                    <w:rPr>
                      <w:kern w:val="0"/>
                      <w:sz w:val="21"/>
                      <w:szCs w:val="21"/>
                      <w:lang w:bidi="ar"/>
                    </w:rPr>
                  </w:pPr>
                  <w:r>
                    <w:rPr>
                      <w:kern w:val="0"/>
                      <w:sz w:val="21"/>
                      <w:szCs w:val="21"/>
                      <w:lang w:bidi="ar"/>
                    </w:rPr>
                    <w:t>四硼酸钠（硼砂）</w:t>
                  </w:r>
                </w:p>
              </w:tc>
              <w:tc>
                <w:tcPr>
                  <w:tcW w:w="773" w:type="pct"/>
                  <w:vAlign w:val="center"/>
                </w:tcPr>
                <w:p w14:paraId="09D18BC4">
                  <w:pPr>
                    <w:widowControl/>
                    <w:jc w:val="center"/>
                    <w:textAlignment w:val="center"/>
                    <w:rPr>
                      <w:kern w:val="0"/>
                      <w:sz w:val="21"/>
                      <w:szCs w:val="21"/>
                      <w:lang w:bidi="ar"/>
                    </w:rPr>
                  </w:pPr>
                  <w:r>
                    <w:rPr>
                      <w:kern w:val="0"/>
                      <w:sz w:val="21"/>
                      <w:szCs w:val="21"/>
                      <w:lang w:bidi="ar"/>
                    </w:rPr>
                    <w:t>500g/瓶</w:t>
                  </w:r>
                </w:p>
              </w:tc>
              <w:tc>
                <w:tcPr>
                  <w:tcW w:w="562" w:type="pct"/>
                  <w:vAlign w:val="center"/>
                </w:tcPr>
                <w:p w14:paraId="00E0EE08">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0624A2EE">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15DA5737">
                  <w:pPr>
                    <w:widowControl/>
                    <w:jc w:val="center"/>
                    <w:textAlignment w:val="bottom"/>
                    <w:rPr>
                      <w:kern w:val="0"/>
                      <w:sz w:val="21"/>
                      <w:szCs w:val="21"/>
                      <w:lang w:bidi="ar"/>
                    </w:rPr>
                  </w:pPr>
                </w:p>
              </w:tc>
              <w:tc>
                <w:tcPr>
                  <w:tcW w:w="426" w:type="pct"/>
                  <w:vMerge w:val="continue"/>
                  <w:vAlign w:val="center"/>
                </w:tcPr>
                <w:p w14:paraId="3990F708">
                  <w:pPr>
                    <w:widowControl/>
                    <w:jc w:val="center"/>
                    <w:textAlignment w:val="bottom"/>
                    <w:rPr>
                      <w:kern w:val="0"/>
                      <w:sz w:val="21"/>
                      <w:szCs w:val="21"/>
                      <w:lang w:bidi="ar"/>
                    </w:rPr>
                  </w:pPr>
                </w:p>
              </w:tc>
            </w:tr>
            <w:tr w14:paraId="5979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F341BBD">
                  <w:pPr>
                    <w:widowControl/>
                    <w:jc w:val="center"/>
                    <w:textAlignment w:val="bottom"/>
                    <w:rPr>
                      <w:kern w:val="0"/>
                      <w:sz w:val="21"/>
                      <w:szCs w:val="21"/>
                      <w:lang w:bidi="ar"/>
                    </w:rPr>
                  </w:pPr>
                  <w:r>
                    <w:rPr>
                      <w:rFonts w:hint="eastAsia"/>
                      <w:kern w:val="0"/>
                      <w:sz w:val="21"/>
                      <w:szCs w:val="21"/>
                      <w:lang w:bidi="ar"/>
                    </w:rPr>
                    <w:t>71</w:t>
                  </w:r>
                </w:p>
              </w:tc>
              <w:tc>
                <w:tcPr>
                  <w:tcW w:w="1588" w:type="pct"/>
                  <w:vAlign w:val="center"/>
                </w:tcPr>
                <w:p w14:paraId="3BB51EDC">
                  <w:pPr>
                    <w:widowControl/>
                    <w:jc w:val="center"/>
                    <w:textAlignment w:val="center"/>
                    <w:rPr>
                      <w:kern w:val="0"/>
                      <w:sz w:val="21"/>
                      <w:szCs w:val="21"/>
                      <w:lang w:bidi="ar"/>
                    </w:rPr>
                  </w:pPr>
                  <w:r>
                    <w:rPr>
                      <w:kern w:val="0"/>
                      <w:sz w:val="21"/>
                      <w:szCs w:val="21"/>
                      <w:lang w:bidi="ar"/>
                    </w:rPr>
                    <w:t>酸性铬蓝K</w:t>
                  </w:r>
                </w:p>
              </w:tc>
              <w:tc>
                <w:tcPr>
                  <w:tcW w:w="773" w:type="pct"/>
                  <w:vAlign w:val="center"/>
                </w:tcPr>
                <w:p w14:paraId="7DCEAA11">
                  <w:pPr>
                    <w:widowControl/>
                    <w:jc w:val="center"/>
                    <w:textAlignment w:val="center"/>
                    <w:rPr>
                      <w:kern w:val="0"/>
                      <w:sz w:val="21"/>
                      <w:szCs w:val="21"/>
                      <w:lang w:bidi="ar"/>
                    </w:rPr>
                  </w:pPr>
                  <w:r>
                    <w:rPr>
                      <w:kern w:val="0"/>
                      <w:sz w:val="21"/>
                      <w:szCs w:val="21"/>
                      <w:lang w:bidi="ar"/>
                    </w:rPr>
                    <w:t>10g/瓶</w:t>
                  </w:r>
                </w:p>
              </w:tc>
              <w:tc>
                <w:tcPr>
                  <w:tcW w:w="562" w:type="pct"/>
                  <w:vAlign w:val="center"/>
                </w:tcPr>
                <w:p w14:paraId="4FE8771C">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44B3DEAF">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2D013CB9">
                  <w:pPr>
                    <w:widowControl/>
                    <w:jc w:val="center"/>
                    <w:textAlignment w:val="bottom"/>
                    <w:rPr>
                      <w:kern w:val="0"/>
                      <w:sz w:val="21"/>
                      <w:szCs w:val="21"/>
                      <w:lang w:bidi="ar"/>
                    </w:rPr>
                  </w:pPr>
                </w:p>
              </w:tc>
              <w:tc>
                <w:tcPr>
                  <w:tcW w:w="426" w:type="pct"/>
                  <w:vMerge w:val="continue"/>
                  <w:vAlign w:val="center"/>
                </w:tcPr>
                <w:p w14:paraId="75837B22">
                  <w:pPr>
                    <w:widowControl/>
                    <w:jc w:val="center"/>
                    <w:textAlignment w:val="bottom"/>
                    <w:rPr>
                      <w:kern w:val="0"/>
                      <w:sz w:val="21"/>
                      <w:szCs w:val="21"/>
                      <w:lang w:bidi="ar"/>
                    </w:rPr>
                  </w:pPr>
                </w:p>
              </w:tc>
            </w:tr>
            <w:tr w14:paraId="50751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FC2F410">
                  <w:pPr>
                    <w:widowControl/>
                    <w:jc w:val="center"/>
                    <w:textAlignment w:val="bottom"/>
                    <w:rPr>
                      <w:kern w:val="0"/>
                      <w:sz w:val="21"/>
                      <w:szCs w:val="21"/>
                      <w:lang w:bidi="ar"/>
                    </w:rPr>
                  </w:pPr>
                  <w:r>
                    <w:rPr>
                      <w:rFonts w:hint="eastAsia"/>
                      <w:kern w:val="0"/>
                      <w:sz w:val="21"/>
                      <w:szCs w:val="21"/>
                      <w:lang w:bidi="ar"/>
                    </w:rPr>
                    <w:t>72</w:t>
                  </w:r>
                </w:p>
              </w:tc>
              <w:tc>
                <w:tcPr>
                  <w:tcW w:w="1588" w:type="pct"/>
                  <w:vAlign w:val="center"/>
                </w:tcPr>
                <w:p w14:paraId="7F50B49B">
                  <w:pPr>
                    <w:widowControl/>
                    <w:jc w:val="center"/>
                    <w:textAlignment w:val="center"/>
                    <w:rPr>
                      <w:kern w:val="0"/>
                      <w:sz w:val="21"/>
                      <w:szCs w:val="21"/>
                      <w:lang w:bidi="ar"/>
                    </w:rPr>
                  </w:pPr>
                  <w:r>
                    <w:rPr>
                      <w:kern w:val="0"/>
                      <w:sz w:val="21"/>
                      <w:szCs w:val="21"/>
                      <w:lang w:bidi="ar"/>
                    </w:rPr>
                    <w:t>无苯二硫化碳</w:t>
                  </w:r>
                </w:p>
              </w:tc>
              <w:tc>
                <w:tcPr>
                  <w:tcW w:w="773" w:type="pct"/>
                  <w:vAlign w:val="center"/>
                </w:tcPr>
                <w:p w14:paraId="12E96B38">
                  <w:pPr>
                    <w:widowControl/>
                    <w:jc w:val="center"/>
                    <w:textAlignment w:val="center"/>
                    <w:rPr>
                      <w:kern w:val="0"/>
                      <w:sz w:val="21"/>
                      <w:szCs w:val="21"/>
                      <w:lang w:bidi="ar"/>
                    </w:rPr>
                  </w:pPr>
                  <w:r>
                    <w:rPr>
                      <w:kern w:val="0"/>
                      <w:sz w:val="21"/>
                      <w:szCs w:val="21"/>
                      <w:lang w:bidi="ar"/>
                    </w:rPr>
                    <w:t>500mL/瓶</w:t>
                  </w:r>
                </w:p>
              </w:tc>
              <w:tc>
                <w:tcPr>
                  <w:tcW w:w="562" w:type="pct"/>
                  <w:vAlign w:val="center"/>
                </w:tcPr>
                <w:p w14:paraId="31D96FC4">
                  <w:pPr>
                    <w:widowControl/>
                    <w:jc w:val="center"/>
                    <w:textAlignment w:val="center"/>
                    <w:rPr>
                      <w:kern w:val="0"/>
                      <w:sz w:val="21"/>
                      <w:szCs w:val="21"/>
                      <w:lang w:bidi="ar"/>
                    </w:rPr>
                  </w:pPr>
                  <w:r>
                    <w:rPr>
                      <w:kern w:val="0"/>
                      <w:sz w:val="21"/>
                      <w:szCs w:val="21"/>
                      <w:lang w:bidi="ar"/>
                    </w:rPr>
                    <w:t>7</w:t>
                  </w:r>
                  <w:r>
                    <w:rPr>
                      <w:rFonts w:hint="eastAsia"/>
                      <w:kern w:val="0"/>
                      <w:sz w:val="21"/>
                      <w:szCs w:val="21"/>
                      <w:lang w:bidi="ar"/>
                    </w:rPr>
                    <w:t>瓶</w:t>
                  </w:r>
                </w:p>
              </w:tc>
              <w:tc>
                <w:tcPr>
                  <w:tcW w:w="740" w:type="pct"/>
                  <w:vAlign w:val="center"/>
                </w:tcPr>
                <w:p w14:paraId="1E5A82DA">
                  <w:pPr>
                    <w:widowControl/>
                    <w:jc w:val="center"/>
                    <w:textAlignment w:val="center"/>
                    <w:rPr>
                      <w:kern w:val="0"/>
                      <w:sz w:val="21"/>
                      <w:szCs w:val="21"/>
                      <w:lang w:bidi="ar"/>
                    </w:rPr>
                  </w:pPr>
                  <w:r>
                    <w:rPr>
                      <w:rFonts w:hint="eastAsia"/>
                      <w:kern w:val="0"/>
                      <w:sz w:val="21"/>
                      <w:szCs w:val="21"/>
                      <w:lang w:bidi="ar"/>
                    </w:rPr>
                    <w:t>3瓶</w:t>
                  </w:r>
                </w:p>
              </w:tc>
              <w:tc>
                <w:tcPr>
                  <w:tcW w:w="554" w:type="pct"/>
                  <w:vMerge w:val="continue"/>
                  <w:vAlign w:val="center"/>
                </w:tcPr>
                <w:p w14:paraId="6E75E8FC">
                  <w:pPr>
                    <w:widowControl/>
                    <w:jc w:val="center"/>
                    <w:textAlignment w:val="bottom"/>
                    <w:rPr>
                      <w:kern w:val="0"/>
                      <w:sz w:val="21"/>
                      <w:szCs w:val="21"/>
                      <w:lang w:bidi="ar"/>
                    </w:rPr>
                  </w:pPr>
                </w:p>
              </w:tc>
              <w:tc>
                <w:tcPr>
                  <w:tcW w:w="426" w:type="pct"/>
                  <w:vMerge w:val="continue"/>
                  <w:vAlign w:val="center"/>
                </w:tcPr>
                <w:p w14:paraId="21193C6E">
                  <w:pPr>
                    <w:widowControl/>
                    <w:jc w:val="center"/>
                    <w:textAlignment w:val="bottom"/>
                    <w:rPr>
                      <w:kern w:val="0"/>
                      <w:sz w:val="21"/>
                      <w:szCs w:val="21"/>
                      <w:lang w:bidi="ar"/>
                    </w:rPr>
                  </w:pPr>
                </w:p>
              </w:tc>
            </w:tr>
            <w:tr w14:paraId="5B56E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77756DC2">
                  <w:pPr>
                    <w:widowControl/>
                    <w:jc w:val="center"/>
                    <w:textAlignment w:val="bottom"/>
                    <w:rPr>
                      <w:kern w:val="0"/>
                      <w:sz w:val="21"/>
                      <w:szCs w:val="21"/>
                      <w:lang w:bidi="ar"/>
                    </w:rPr>
                  </w:pPr>
                  <w:r>
                    <w:rPr>
                      <w:rFonts w:hint="eastAsia"/>
                      <w:kern w:val="0"/>
                      <w:sz w:val="21"/>
                      <w:szCs w:val="21"/>
                      <w:lang w:bidi="ar"/>
                    </w:rPr>
                    <w:t>73</w:t>
                  </w:r>
                </w:p>
              </w:tc>
              <w:tc>
                <w:tcPr>
                  <w:tcW w:w="1588" w:type="pct"/>
                  <w:vAlign w:val="center"/>
                </w:tcPr>
                <w:p w14:paraId="1632C61C">
                  <w:pPr>
                    <w:widowControl/>
                    <w:jc w:val="center"/>
                    <w:textAlignment w:val="center"/>
                    <w:rPr>
                      <w:kern w:val="0"/>
                      <w:sz w:val="21"/>
                      <w:szCs w:val="21"/>
                      <w:lang w:bidi="ar"/>
                    </w:rPr>
                  </w:pPr>
                  <w:r>
                    <w:rPr>
                      <w:kern w:val="0"/>
                      <w:sz w:val="21"/>
                      <w:szCs w:val="21"/>
                      <w:lang w:bidi="ar"/>
                    </w:rPr>
                    <w:t>无水对氨基苯磺酸</w:t>
                  </w:r>
                </w:p>
              </w:tc>
              <w:tc>
                <w:tcPr>
                  <w:tcW w:w="773" w:type="pct"/>
                  <w:vAlign w:val="center"/>
                </w:tcPr>
                <w:p w14:paraId="520B29BA">
                  <w:pPr>
                    <w:widowControl/>
                    <w:jc w:val="center"/>
                    <w:textAlignment w:val="center"/>
                    <w:rPr>
                      <w:kern w:val="0"/>
                      <w:sz w:val="21"/>
                      <w:szCs w:val="21"/>
                      <w:lang w:bidi="ar"/>
                    </w:rPr>
                  </w:pPr>
                  <w:r>
                    <w:rPr>
                      <w:kern w:val="0"/>
                      <w:sz w:val="21"/>
                      <w:szCs w:val="21"/>
                      <w:lang w:bidi="ar"/>
                    </w:rPr>
                    <w:t>100g/瓶</w:t>
                  </w:r>
                </w:p>
              </w:tc>
              <w:tc>
                <w:tcPr>
                  <w:tcW w:w="562" w:type="pct"/>
                  <w:vAlign w:val="center"/>
                </w:tcPr>
                <w:p w14:paraId="68791F01">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51398782">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4C1F2D3A">
                  <w:pPr>
                    <w:widowControl/>
                    <w:jc w:val="center"/>
                    <w:textAlignment w:val="bottom"/>
                    <w:rPr>
                      <w:kern w:val="0"/>
                      <w:sz w:val="21"/>
                      <w:szCs w:val="21"/>
                      <w:lang w:bidi="ar"/>
                    </w:rPr>
                  </w:pPr>
                </w:p>
              </w:tc>
              <w:tc>
                <w:tcPr>
                  <w:tcW w:w="426" w:type="pct"/>
                  <w:vMerge w:val="continue"/>
                  <w:vAlign w:val="center"/>
                </w:tcPr>
                <w:p w14:paraId="2AB83FF2">
                  <w:pPr>
                    <w:widowControl/>
                    <w:jc w:val="center"/>
                    <w:textAlignment w:val="bottom"/>
                    <w:rPr>
                      <w:kern w:val="0"/>
                      <w:sz w:val="21"/>
                      <w:szCs w:val="21"/>
                      <w:lang w:bidi="ar"/>
                    </w:rPr>
                  </w:pPr>
                </w:p>
              </w:tc>
            </w:tr>
            <w:tr w14:paraId="4E464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8A174F1">
                  <w:pPr>
                    <w:widowControl/>
                    <w:jc w:val="center"/>
                    <w:textAlignment w:val="bottom"/>
                    <w:rPr>
                      <w:kern w:val="0"/>
                      <w:sz w:val="21"/>
                      <w:szCs w:val="21"/>
                      <w:lang w:bidi="ar"/>
                    </w:rPr>
                  </w:pPr>
                  <w:r>
                    <w:rPr>
                      <w:rFonts w:hint="eastAsia"/>
                      <w:kern w:val="0"/>
                      <w:sz w:val="21"/>
                      <w:szCs w:val="21"/>
                      <w:lang w:bidi="ar"/>
                    </w:rPr>
                    <w:t>74</w:t>
                  </w:r>
                </w:p>
              </w:tc>
              <w:tc>
                <w:tcPr>
                  <w:tcW w:w="1588" w:type="pct"/>
                  <w:vAlign w:val="center"/>
                </w:tcPr>
                <w:p w14:paraId="7863D009">
                  <w:pPr>
                    <w:widowControl/>
                    <w:jc w:val="center"/>
                    <w:textAlignment w:val="center"/>
                    <w:rPr>
                      <w:kern w:val="0"/>
                      <w:sz w:val="21"/>
                      <w:szCs w:val="21"/>
                      <w:lang w:bidi="ar"/>
                    </w:rPr>
                  </w:pPr>
                  <w:r>
                    <w:rPr>
                      <w:kern w:val="0"/>
                      <w:sz w:val="21"/>
                      <w:szCs w:val="21"/>
                      <w:lang w:bidi="ar"/>
                    </w:rPr>
                    <w:t>无水磷酸氢二钠</w:t>
                  </w:r>
                </w:p>
              </w:tc>
              <w:tc>
                <w:tcPr>
                  <w:tcW w:w="773" w:type="pct"/>
                  <w:vAlign w:val="center"/>
                </w:tcPr>
                <w:p w14:paraId="4638E27B">
                  <w:pPr>
                    <w:widowControl/>
                    <w:jc w:val="center"/>
                    <w:textAlignment w:val="center"/>
                    <w:rPr>
                      <w:kern w:val="0"/>
                      <w:sz w:val="21"/>
                      <w:szCs w:val="21"/>
                      <w:lang w:bidi="ar"/>
                    </w:rPr>
                  </w:pPr>
                  <w:r>
                    <w:rPr>
                      <w:kern w:val="0"/>
                      <w:sz w:val="21"/>
                      <w:szCs w:val="21"/>
                      <w:lang w:bidi="ar"/>
                    </w:rPr>
                    <w:t>500g/瓶</w:t>
                  </w:r>
                </w:p>
              </w:tc>
              <w:tc>
                <w:tcPr>
                  <w:tcW w:w="562" w:type="pct"/>
                  <w:vAlign w:val="center"/>
                </w:tcPr>
                <w:p w14:paraId="321B3C5A">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ED8F8CB">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1C55A4B4">
                  <w:pPr>
                    <w:widowControl/>
                    <w:jc w:val="center"/>
                    <w:textAlignment w:val="bottom"/>
                    <w:rPr>
                      <w:kern w:val="0"/>
                      <w:sz w:val="21"/>
                      <w:szCs w:val="21"/>
                      <w:lang w:bidi="ar"/>
                    </w:rPr>
                  </w:pPr>
                </w:p>
              </w:tc>
              <w:tc>
                <w:tcPr>
                  <w:tcW w:w="426" w:type="pct"/>
                  <w:vMerge w:val="continue"/>
                  <w:vAlign w:val="center"/>
                </w:tcPr>
                <w:p w14:paraId="042D29C0">
                  <w:pPr>
                    <w:widowControl/>
                    <w:jc w:val="center"/>
                    <w:textAlignment w:val="bottom"/>
                    <w:rPr>
                      <w:kern w:val="0"/>
                      <w:sz w:val="21"/>
                      <w:szCs w:val="21"/>
                      <w:lang w:bidi="ar"/>
                    </w:rPr>
                  </w:pPr>
                </w:p>
              </w:tc>
            </w:tr>
            <w:tr w14:paraId="63867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A238032">
                  <w:pPr>
                    <w:widowControl/>
                    <w:jc w:val="center"/>
                    <w:textAlignment w:val="bottom"/>
                    <w:rPr>
                      <w:kern w:val="0"/>
                      <w:sz w:val="21"/>
                      <w:szCs w:val="21"/>
                      <w:lang w:bidi="ar"/>
                    </w:rPr>
                  </w:pPr>
                  <w:r>
                    <w:rPr>
                      <w:rFonts w:hint="eastAsia"/>
                      <w:kern w:val="0"/>
                      <w:sz w:val="21"/>
                      <w:szCs w:val="21"/>
                      <w:lang w:bidi="ar"/>
                    </w:rPr>
                    <w:t>75</w:t>
                  </w:r>
                </w:p>
              </w:tc>
              <w:tc>
                <w:tcPr>
                  <w:tcW w:w="1588" w:type="pct"/>
                  <w:vAlign w:val="center"/>
                </w:tcPr>
                <w:p w14:paraId="022F97EC">
                  <w:pPr>
                    <w:widowControl/>
                    <w:jc w:val="center"/>
                    <w:textAlignment w:val="center"/>
                    <w:rPr>
                      <w:kern w:val="0"/>
                      <w:sz w:val="21"/>
                      <w:szCs w:val="21"/>
                      <w:lang w:bidi="ar"/>
                    </w:rPr>
                  </w:pPr>
                  <w:r>
                    <w:rPr>
                      <w:kern w:val="0"/>
                      <w:sz w:val="21"/>
                      <w:szCs w:val="21"/>
                      <w:lang w:bidi="ar"/>
                    </w:rPr>
                    <w:t>无水硫酸钠</w:t>
                  </w:r>
                </w:p>
              </w:tc>
              <w:tc>
                <w:tcPr>
                  <w:tcW w:w="773" w:type="pct"/>
                  <w:vAlign w:val="center"/>
                </w:tcPr>
                <w:p w14:paraId="7CB79061">
                  <w:pPr>
                    <w:widowControl/>
                    <w:jc w:val="center"/>
                    <w:textAlignment w:val="center"/>
                    <w:rPr>
                      <w:kern w:val="0"/>
                      <w:sz w:val="21"/>
                      <w:szCs w:val="21"/>
                      <w:lang w:bidi="ar"/>
                    </w:rPr>
                  </w:pPr>
                  <w:r>
                    <w:rPr>
                      <w:kern w:val="0"/>
                      <w:sz w:val="21"/>
                      <w:szCs w:val="21"/>
                      <w:lang w:bidi="ar"/>
                    </w:rPr>
                    <w:t>500g/瓶</w:t>
                  </w:r>
                </w:p>
              </w:tc>
              <w:tc>
                <w:tcPr>
                  <w:tcW w:w="562" w:type="pct"/>
                  <w:vAlign w:val="center"/>
                </w:tcPr>
                <w:p w14:paraId="0BFEFDA6">
                  <w:pPr>
                    <w:widowControl/>
                    <w:jc w:val="center"/>
                    <w:textAlignment w:val="center"/>
                    <w:rPr>
                      <w:kern w:val="0"/>
                      <w:sz w:val="21"/>
                      <w:szCs w:val="21"/>
                      <w:lang w:bidi="ar"/>
                    </w:rPr>
                  </w:pPr>
                  <w:r>
                    <w:rPr>
                      <w:kern w:val="0"/>
                      <w:sz w:val="21"/>
                      <w:szCs w:val="21"/>
                      <w:lang w:bidi="ar"/>
                    </w:rPr>
                    <w:t>29</w:t>
                  </w:r>
                  <w:r>
                    <w:rPr>
                      <w:rFonts w:hint="eastAsia"/>
                      <w:kern w:val="0"/>
                      <w:sz w:val="21"/>
                      <w:szCs w:val="21"/>
                      <w:lang w:bidi="ar"/>
                    </w:rPr>
                    <w:t>瓶</w:t>
                  </w:r>
                </w:p>
              </w:tc>
              <w:tc>
                <w:tcPr>
                  <w:tcW w:w="740" w:type="pct"/>
                  <w:vAlign w:val="center"/>
                </w:tcPr>
                <w:p w14:paraId="43E02E8B">
                  <w:pPr>
                    <w:widowControl/>
                    <w:jc w:val="center"/>
                    <w:textAlignment w:val="center"/>
                    <w:rPr>
                      <w:kern w:val="0"/>
                      <w:sz w:val="21"/>
                      <w:szCs w:val="21"/>
                      <w:lang w:bidi="ar"/>
                    </w:rPr>
                  </w:pPr>
                  <w:r>
                    <w:rPr>
                      <w:kern w:val="0"/>
                      <w:sz w:val="21"/>
                      <w:szCs w:val="21"/>
                      <w:lang w:bidi="ar"/>
                    </w:rPr>
                    <w:t>10</w:t>
                  </w:r>
                  <w:r>
                    <w:rPr>
                      <w:rFonts w:hint="eastAsia"/>
                      <w:kern w:val="0"/>
                      <w:sz w:val="21"/>
                      <w:szCs w:val="21"/>
                      <w:lang w:bidi="ar"/>
                    </w:rPr>
                    <w:t>瓶</w:t>
                  </w:r>
                </w:p>
              </w:tc>
              <w:tc>
                <w:tcPr>
                  <w:tcW w:w="554" w:type="pct"/>
                  <w:vMerge w:val="continue"/>
                  <w:vAlign w:val="center"/>
                </w:tcPr>
                <w:p w14:paraId="16715CE6">
                  <w:pPr>
                    <w:widowControl/>
                    <w:jc w:val="center"/>
                    <w:textAlignment w:val="bottom"/>
                    <w:rPr>
                      <w:kern w:val="0"/>
                      <w:sz w:val="21"/>
                      <w:szCs w:val="21"/>
                      <w:lang w:bidi="ar"/>
                    </w:rPr>
                  </w:pPr>
                </w:p>
              </w:tc>
              <w:tc>
                <w:tcPr>
                  <w:tcW w:w="426" w:type="pct"/>
                  <w:vMerge w:val="continue"/>
                  <w:vAlign w:val="center"/>
                </w:tcPr>
                <w:p w14:paraId="180611CE">
                  <w:pPr>
                    <w:widowControl/>
                    <w:jc w:val="center"/>
                    <w:textAlignment w:val="bottom"/>
                    <w:rPr>
                      <w:kern w:val="0"/>
                      <w:sz w:val="21"/>
                      <w:szCs w:val="21"/>
                      <w:lang w:bidi="ar"/>
                    </w:rPr>
                  </w:pPr>
                </w:p>
              </w:tc>
            </w:tr>
            <w:tr w14:paraId="4909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0C5A567">
                  <w:pPr>
                    <w:widowControl/>
                    <w:jc w:val="center"/>
                    <w:textAlignment w:val="bottom"/>
                    <w:rPr>
                      <w:kern w:val="0"/>
                      <w:sz w:val="21"/>
                      <w:szCs w:val="21"/>
                      <w:lang w:bidi="ar"/>
                    </w:rPr>
                  </w:pPr>
                  <w:r>
                    <w:rPr>
                      <w:rFonts w:hint="eastAsia"/>
                      <w:kern w:val="0"/>
                      <w:sz w:val="21"/>
                      <w:szCs w:val="21"/>
                      <w:lang w:bidi="ar"/>
                    </w:rPr>
                    <w:t>76</w:t>
                  </w:r>
                </w:p>
              </w:tc>
              <w:tc>
                <w:tcPr>
                  <w:tcW w:w="1588" w:type="pct"/>
                  <w:vAlign w:val="center"/>
                </w:tcPr>
                <w:p w14:paraId="4C2700C2">
                  <w:pPr>
                    <w:widowControl/>
                    <w:jc w:val="center"/>
                    <w:textAlignment w:val="center"/>
                    <w:rPr>
                      <w:kern w:val="0"/>
                      <w:sz w:val="21"/>
                      <w:szCs w:val="21"/>
                      <w:lang w:bidi="ar"/>
                    </w:rPr>
                  </w:pPr>
                  <w:r>
                    <w:rPr>
                      <w:kern w:val="0"/>
                      <w:sz w:val="21"/>
                      <w:szCs w:val="21"/>
                      <w:lang w:bidi="ar"/>
                    </w:rPr>
                    <w:t>无水碳酸钠</w:t>
                  </w:r>
                </w:p>
              </w:tc>
              <w:tc>
                <w:tcPr>
                  <w:tcW w:w="773" w:type="pct"/>
                  <w:vAlign w:val="center"/>
                </w:tcPr>
                <w:p w14:paraId="76CB67A6">
                  <w:pPr>
                    <w:widowControl/>
                    <w:jc w:val="center"/>
                    <w:textAlignment w:val="center"/>
                    <w:rPr>
                      <w:kern w:val="0"/>
                      <w:sz w:val="21"/>
                      <w:szCs w:val="21"/>
                      <w:lang w:bidi="ar"/>
                    </w:rPr>
                  </w:pPr>
                  <w:r>
                    <w:rPr>
                      <w:kern w:val="0"/>
                      <w:sz w:val="21"/>
                      <w:szCs w:val="21"/>
                      <w:lang w:bidi="ar"/>
                    </w:rPr>
                    <w:t>500g/瓶</w:t>
                  </w:r>
                </w:p>
              </w:tc>
              <w:tc>
                <w:tcPr>
                  <w:tcW w:w="562" w:type="pct"/>
                  <w:vAlign w:val="center"/>
                </w:tcPr>
                <w:p w14:paraId="2005BEB7">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701D5026">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4D088A1B">
                  <w:pPr>
                    <w:widowControl/>
                    <w:jc w:val="center"/>
                    <w:textAlignment w:val="bottom"/>
                    <w:rPr>
                      <w:kern w:val="0"/>
                      <w:sz w:val="21"/>
                      <w:szCs w:val="21"/>
                      <w:lang w:bidi="ar"/>
                    </w:rPr>
                  </w:pPr>
                </w:p>
              </w:tc>
              <w:tc>
                <w:tcPr>
                  <w:tcW w:w="426" w:type="pct"/>
                  <w:vMerge w:val="continue"/>
                  <w:vAlign w:val="center"/>
                </w:tcPr>
                <w:p w14:paraId="3084D2F1">
                  <w:pPr>
                    <w:widowControl/>
                    <w:jc w:val="center"/>
                    <w:textAlignment w:val="bottom"/>
                    <w:rPr>
                      <w:kern w:val="0"/>
                      <w:sz w:val="21"/>
                      <w:szCs w:val="21"/>
                      <w:lang w:bidi="ar"/>
                    </w:rPr>
                  </w:pPr>
                </w:p>
              </w:tc>
            </w:tr>
            <w:tr w14:paraId="6B65C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49348A1">
                  <w:pPr>
                    <w:widowControl/>
                    <w:jc w:val="center"/>
                    <w:textAlignment w:val="bottom"/>
                    <w:rPr>
                      <w:kern w:val="0"/>
                      <w:sz w:val="21"/>
                      <w:szCs w:val="21"/>
                      <w:lang w:bidi="ar"/>
                    </w:rPr>
                  </w:pPr>
                  <w:r>
                    <w:rPr>
                      <w:rFonts w:hint="eastAsia"/>
                      <w:kern w:val="0"/>
                      <w:sz w:val="21"/>
                      <w:szCs w:val="21"/>
                      <w:lang w:bidi="ar"/>
                    </w:rPr>
                    <w:t>77</w:t>
                  </w:r>
                </w:p>
              </w:tc>
              <w:tc>
                <w:tcPr>
                  <w:tcW w:w="1588" w:type="pct"/>
                  <w:vAlign w:val="center"/>
                </w:tcPr>
                <w:p w14:paraId="57899D0C">
                  <w:pPr>
                    <w:widowControl/>
                    <w:jc w:val="center"/>
                    <w:textAlignment w:val="center"/>
                    <w:rPr>
                      <w:kern w:val="0"/>
                      <w:sz w:val="21"/>
                      <w:szCs w:val="21"/>
                      <w:lang w:bidi="ar"/>
                    </w:rPr>
                  </w:pPr>
                  <w:r>
                    <w:rPr>
                      <w:kern w:val="0"/>
                      <w:sz w:val="21"/>
                      <w:szCs w:val="21"/>
                      <w:lang w:bidi="ar"/>
                    </w:rPr>
                    <w:t>无水亚硫酸钠</w:t>
                  </w:r>
                </w:p>
              </w:tc>
              <w:tc>
                <w:tcPr>
                  <w:tcW w:w="773" w:type="pct"/>
                  <w:vAlign w:val="center"/>
                </w:tcPr>
                <w:p w14:paraId="6A0183EF">
                  <w:pPr>
                    <w:widowControl/>
                    <w:jc w:val="center"/>
                    <w:textAlignment w:val="center"/>
                    <w:rPr>
                      <w:kern w:val="0"/>
                      <w:sz w:val="21"/>
                      <w:szCs w:val="21"/>
                      <w:lang w:bidi="ar"/>
                    </w:rPr>
                  </w:pPr>
                  <w:r>
                    <w:rPr>
                      <w:kern w:val="0"/>
                      <w:sz w:val="21"/>
                      <w:szCs w:val="21"/>
                      <w:lang w:bidi="ar"/>
                    </w:rPr>
                    <w:t>500g/瓶</w:t>
                  </w:r>
                </w:p>
              </w:tc>
              <w:tc>
                <w:tcPr>
                  <w:tcW w:w="562" w:type="pct"/>
                  <w:vAlign w:val="center"/>
                </w:tcPr>
                <w:p w14:paraId="05B0A930">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10AADCB1">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56175B96">
                  <w:pPr>
                    <w:widowControl/>
                    <w:jc w:val="center"/>
                    <w:textAlignment w:val="bottom"/>
                    <w:rPr>
                      <w:kern w:val="0"/>
                      <w:sz w:val="21"/>
                      <w:szCs w:val="21"/>
                      <w:lang w:bidi="ar"/>
                    </w:rPr>
                  </w:pPr>
                </w:p>
              </w:tc>
              <w:tc>
                <w:tcPr>
                  <w:tcW w:w="426" w:type="pct"/>
                  <w:vMerge w:val="continue"/>
                  <w:vAlign w:val="center"/>
                </w:tcPr>
                <w:p w14:paraId="0560B207">
                  <w:pPr>
                    <w:widowControl/>
                    <w:jc w:val="center"/>
                    <w:textAlignment w:val="bottom"/>
                    <w:rPr>
                      <w:kern w:val="0"/>
                      <w:sz w:val="21"/>
                      <w:szCs w:val="21"/>
                      <w:lang w:bidi="ar"/>
                    </w:rPr>
                  </w:pPr>
                </w:p>
              </w:tc>
            </w:tr>
            <w:tr w14:paraId="33437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965F83C">
                  <w:pPr>
                    <w:widowControl/>
                    <w:jc w:val="center"/>
                    <w:textAlignment w:val="bottom"/>
                    <w:rPr>
                      <w:kern w:val="0"/>
                      <w:sz w:val="21"/>
                      <w:szCs w:val="21"/>
                      <w:lang w:bidi="ar"/>
                    </w:rPr>
                  </w:pPr>
                  <w:r>
                    <w:rPr>
                      <w:rFonts w:hint="eastAsia"/>
                      <w:kern w:val="0"/>
                      <w:sz w:val="21"/>
                      <w:szCs w:val="21"/>
                      <w:lang w:bidi="ar"/>
                    </w:rPr>
                    <w:t>78</w:t>
                  </w:r>
                </w:p>
              </w:tc>
              <w:tc>
                <w:tcPr>
                  <w:tcW w:w="1588" w:type="pct"/>
                  <w:vAlign w:val="center"/>
                </w:tcPr>
                <w:p w14:paraId="25DE1B66">
                  <w:pPr>
                    <w:widowControl/>
                    <w:jc w:val="center"/>
                    <w:textAlignment w:val="center"/>
                    <w:rPr>
                      <w:kern w:val="0"/>
                      <w:sz w:val="21"/>
                      <w:szCs w:val="21"/>
                      <w:lang w:bidi="ar"/>
                    </w:rPr>
                  </w:pPr>
                  <w:r>
                    <w:rPr>
                      <w:kern w:val="0"/>
                      <w:sz w:val="21"/>
                      <w:szCs w:val="21"/>
                      <w:lang w:bidi="ar"/>
                    </w:rPr>
                    <w:t>乙酸铵</w:t>
                  </w:r>
                </w:p>
              </w:tc>
              <w:tc>
                <w:tcPr>
                  <w:tcW w:w="773" w:type="pct"/>
                  <w:vAlign w:val="center"/>
                </w:tcPr>
                <w:p w14:paraId="3EEA66D3">
                  <w:pPr>
                    <w:widowControl/>
                    <w:jc w:val="center"/>
                    <w:textAlignment w:val="center"/>
                    <w:rPr>
                      <w:kern w:val="0"/>
                      <w:sz w:val="21"/>
                      <w:szCs w:val="21"/>
                      <w:lang w:bidi="ar"/>
                    </w:rPr>
                  </w:pPr>
                  <w:r>
                    <w:rPr>
                      <w:kern w:val="0"/>
                      <w:sz w:val="21"/>
                      <w:szCs w:val="21"/>
                      <w:lang w:bidi="ar"/>
                    </w:rPr>
                    <w:t>500g/瓶</w:t>
                  </w:r>
                </w:p>
              </w:tc>
              <w:tc>
                <w:tcPr>
                  <w:tcW w:w="562" w:type="pct"/>
                  <w:vAlign w:val="center"/>
                </w:tcPr>
                <w:p w14:paraId="253984C1">
                  <w:pPr>
                    <w:widowControl/>
                    <w:jc w:val="center"/>
                    <w:textAlignment w:val="center"/>
                    <w:rPr>
                      <w:kern w:val="0"/>
                      <w:sz w:val="21"/>
                      <w:szCs w:val="21"/>
                      <w:lang w:bidi="ar"/>
                    </w:rPr>
                  </w:pPr>
                  <w:r>
                    <w:rPr>
                      <w:kern w:val="0"/>
                      <w:sz w:val="21"/>
                      <w:szCs w:val="21"/>
                      <w:lang w:bidi="ar"/>
                    </w:rPr>
                    <w:t>13</w:t>
                  </w:r>
                  <w:r>
                    <w:rPr>
                      <w:rFonts w:hint="eastAsia"/>
                      <w:kern w:val="0"/>
                      <w:sz w:val="21"/>
                      <w:szCs w:val="21"/>
                      <w:lang w:bidi="ar"/>
                    </w:rPr>
                    <w:t>瓶</w:t>
                  </w:r>
                </w:p>
              </w:tc>
              <w:tc>
                <w:tcPr>
                  <w:tcW w:w="740" w:type="pct"/>
                  <w:vAlign w:val="center"/>
                </w:tcPr>
                <w:p w14:paraId="0B67838D">
                  <w:pPr>
                    <w:widowControl/>
                    <w:jc w:val="center"/>
                    <w:textAlignment w:val="center"/>
                    <w:rPr>
                      <w:kern w:val="0"/>
                      <w:sz w:val="21"/>
                      <w:szCs w:val="21"/>
                      <w:lang w:bidi="ar"/>
                    </w:rPr>
                  </w:pPr>
                  <w:r>
                    <w:rPr>
                      <w:rFonts w:hint="eastAsia"/>
                      <w:kern w:val="0"/>
                      <w:sz w:val="21"/>
                      <w:szCs w:val="21"/>
                      <w:lang w:bidi="ar"/>
                    </w:rPr>
                    <w:t>5瓶</w:t>
                  </w:r>
                </w:p>
              </w:tc>
              <w:tc>
                <w:tcPr>
                  <w:tcW w:w="554" w:type="pct"/>
                  <w:vMerge w:val="continue"/>
                  <w:vAlign w:val="center"/>
                </w:tcPr>
                <w:p w14:paraId="34D3DA56">
                  <w:pPr>
                    <w:widowControl/>
                    <w:jc w:val="center"/>
                    <w:textAlignment w:val="bottom"/>
                    <w:rPr>
                      <w:kern w:val="0"/>
                      <w:sz w:val="21"/>
                      <w:szCs w:val="21"/>
                      <w:lang w:bidi="ar"/>
                    </w:rPr>
                  </w:pPr>
                </w:p>
              </w:tc>
              <w:tc>
                <w:tcPr>
                  <w:tcW w:w="426" w:type="pct"/>
                  <w:vMerge w:val="continue"/>
                  <w:vAlign w:val="center"/>
                </w:tcPr>
                <w:p w14:paraId="187105EC">
                  <w:pPr>
                    <w:widowControl/>
                    <w:jc w:val="center"/>
                    <w:textAlignment w:val="bottom"/>
                    <w:rPr>
                      <w:kern w:val="0"/>
                      <w:sz w:val="21"/>
                      <w:szCs w:val="21"/>
                      <w:lang w:bidi="ar"/>
                    </w:rPr>
                  </w:pPr>
                </w:p>
              </w:tc>
            </w:tr>
            <w:tr w14:paraId="12564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12121DB">
                  <w:pPr>
                    <w:widowControl/>
                    <w:jc w:val="center"/>
                    <w:textAlignment w:val="bottom"/>
                    <w:rPr>
                      <w:kern w:val="0"/>
                      <w:sz w:val="21"/>
                      <w:szCs w:val="21"/>
                      <w:lang w:bidi="ar"/>
                    </w:rPr>
                  </w:pPr>
                  <w:r>
                    <w:rPr>
                      <w:rFonts w:hint="eastAsia"/>
                      <w:kern w:val="0"/>
                      <w:sz w:val="21"/>
                      <w:szCs w:val="21"/>
                      <w:lang w:bidi="ar"/>
                    </w:rPr>
                    <w:t>79</w:t>
                  </w:r>
                </w:p>
              </w:tc>
              <w:tc>
                <w:tcPr>
                  <w:tcW w:w="1588" w:type="pct"/>
                  <w:vAlign w:val="center"/>
                </w:tcPr>
                <w:p w14:paraId="19E028DE">
                  <w:pPr>
                    <w:widowControl/>
                    <w:jc w:val="center"/>
                    <w:textAlignment w:val="center"/>
                    <w:rPr>
                      <w:kern w:val="0"/>
                      <w:sz w:val="21"/>
                      <w:szCs w:val="21"/>
                      <w:lang w:bidi="ar"/>
                    </w:rPr>
                  </w:pPr>
                  <w:r>
                    <w:rPr>
                      <w:kern w:val="0"/>
                      <w:sz w:val="21"/>
                      <w:szCs w:val="21"/>
                      <w:lang w:bidi="ar"/>
                    </w:rPr>
                    <w:t>溴化钾</w:t>
                  </w:r>
                </w:p>
              </w:tc>
              <w:tc>
                <w:tcPr>
                  <w:tcW w:w="773" w:type="pct"/>
                  <w:vAlign w:val="center"/>
                </w:tcPr>
                <w:p w14:paraId="2C140DD2">
                  <w:pPr>
                    <w:widowControl/>
                    <w:jc w:val="center"/>
                    <w:textAlignment w:val="center"/>
                    <w:rPr>
                      <w:kern w:val="0"/>
                      <w:sz w:val="21"/>
                      <w:szCs w:val="21"/>
                      <w:lang w:bidi="ar"/>
                    </w:rPr>
                  </w:pPr>
                  <w:r>
                    <w:rPr>
                      <w:kern w:val="0"/>
                      <w:sz w:val="21"/>
                      <w:szCs w:val="21"/>
                      <w:lang w:bidi="ar"/>
                    </w:rPr>
                    <w:t>500g/瓶</w:t>
                  </w:r>
                </w:p>
              </w:tc>
              <w:tc>
                <w:tcPr>
                  <w:tcW w:w="562" w:type="pct"/>
                  <w:vAlign w:val="center"/>
                </w:tcPr>
                <w:p w14:paraId="4538E396">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31AB0A7A">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1E8A5276">
                  <w:pPr>
                    <w:widowControl/>
                    <w:jc w:val="center"/>
                    <w:textAlignment w:val="bottom"/>
                    <w:rPr>
                      <w:kern w:val="0"/>
                      <w:sz w:val="21"/>
                      <w:szCs w:val="21"/>
                      <w:lang w:bidi="ar"/>
                    </w:rPr>
                  </w:pPr>
                </w:p>
              </w:tc>
              <w:tc>
                <w:tcPr>
                  <w:tcW w:w="426" w:type="pct"/>
                  <w:vMerge w:val="continue"/>
                  <w:vAlign w:val="center"/>
                </w:tcPr>
                <w:p w14:paraId="04A30D04">
                  <w:pPr>
                    <w:widowControl/>
                    <w:jc w:val="center"/>
                    <w:textAlignment w:val="bottom"/>
                    <w:rPr>
                      <w:kern w:val="0"/>
                      <w:sz w:val="21"/>
                      <w:szCs w:val="21"/>
                      <w:lang w:bidi="ar"/>
                    </w:rPr>
                  </w:pPr>
                </w:p>
              </w:tc>
            </w:tr>
            <w:tr w14:paraId="0E858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31800C81">
                  <w:pPr>
                    <w:widowControl/>
                    <w:jc w:val="center"/>
                    <w:textAlignment w:val="bottom"/>
                    <w:rPr>
                      <w:kern w:val="0"/>
                      <w:sz w:val="21"/>
                      <w:szCs w:val="21"/>
                      <w:lang w:bidi="ar"/>
                    </w:rPr>
                  </w:pPr>
                  <w:r>
                    <w:rPr>
                      <w:rFonts w:hint="eastAsia"/>
                      <w:kern w:val="0"/>
                      <w:sz w:val="21"/>
                      <w:szCs w:val="21"/>
                      <w:lang w:bidi="ar"/>
                    </w:rPr>
                    <w:t>80</w:t>
                  </w:r>
                </w:p>
              </w:tc>
              <w:tc>
                <w:tcPr>
                  <w:tcW w:w="1588" w:type="pct"/>
                  <w:vAlign w:val="center"/>
                </w:tcPr>
                <w:p w14:paraId="712C717B">
                  <w:pPr>
                    <w:widowControl/>
                    <w:jc w:val="center"/>
                    <w:textAlignment w:val="center"/>
                    <w:rPr>
                      <w:kern w:val="0"/>
                      <w:sz w:val="21"/>
                      <w:szCs w:val="21"/>
                      <w:lang w:bidi="ar"/>
                    </w:rPr>
                  </w:pPr>
                  <w:r>
                    <w:rPr>
                      <w:kern w:val="0"/>
                      <w:sz w:val="21"/>
                      <w:szCs w:val="21"/>
                      <w:lang w:bidi="ar"/>
                    </w:rPr>
                    <w:t>盐酸羟胺</w:t>
                  </w:r>
                </w:p>
              </w:tc>
              <w:tc>
                <w:tcPr>
                  <w:tcW w:w="773" w:type="pct"/>
                  <w:vAlign w:val="center"/>
                </w:tcPr>
                <w:p w14:paraId="2CCA63CF">
                  <w:pPr>
                    <w:widowControl/>
                    <w:jc w:val="center"/>
                    <w:textAlignment w:val="center"/>
                    <w:rPr>
                      <w:kern w:val="0"/>
                      <w:sz w:val="21"/>
                      <w:szCs w:val="21"/>
                      <w:lang w:bidi="ar"/>
                    </w:rPr>
                  </w:pPr>
                  <w:r>
                    <w:rPr>
                      <w:kern w:val="0"/>
                      <w:sz w:val="21"/>
                      <w:szCs w:val="21"/>
                      <w:lang w:bidi="ar"/>
                    </w:rPr>
                    <w:t>25g/瓶</w:t>
                  </w:r>
                </w:p>
              </w:tc>
              <w:tc>
                <w:tcPr>
                  <w:tcW w:w="562" w:type="pct"/>
                  <w:vAlign w:val="center"/>
                </w:tcPr>
                <w:p w14:paraId="3B8B01B9">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720DB79">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0251A653">
                  <w:pPr>
                    <w:widowControl/>
                    <w:jc w:val="center"/>
                    <w:textAlignment w:val="bottom"/>
                    <w:rPr>
                      <w:kern w:val="0"/>
                      <w:sz w:val="21"/>
                      <w:szCs w:val="21"/>
                      <w:lang w:bidi="ar"/>
                    </w:rPr>
                  </w:pPr>
                </w:p>
              </w:tc>
              <w:tc>
                <w:tcPr>
                  <w:tcW w:w="426" w:type="pct"/>
                  <w:vMerge w:val="continue"/>
                  <w:vAlign w:val="center"/>
                </w:tcPr>
                <w:p w14:paraId="340A43FA">
                  <w:pPr>
                    <w:widowControl/>
                    <w:jc w:val="center"/>
                    <w:textAlignment w:val="bottom"/>
                    <w:rPr>
                      <w:kern w:val="0"/>
                      <w:sz w:val="21"/>
                      <w:szCs w:val="21"/>
                      <w:lang w:bidi="ar"/>
                    </w:rPr>
                  </w:pPr>
                </w:p>
              </w:tc>
            </w:tr>
            <w:tr w14:paraId="17C24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F68013D">
                  <w:pPr>
                    <w:widowControl/>
                    <w:jc w:val="center"/>
                    <w:textAlignment w:val="bottom"/>
                    <w:rPr>
                      <w:kern w:val="0"/>
                      <w:sz w:val="21"/>
                      <w:szCs w:val="21"/>
                      <w:lang w:bidi="ar"/>
                    </w:rPr>
                  </w:pPr>
                  <w:r>
                    <w:rPr>
                      <w:rFonts w:hint="eastAsia"/>
                      <w:kern w:val="0"/>
                      <w:sz w:val="21"/>
                      <w:szCs w:val="21"/>
                      <w:lang w:bidi="ar"/>
                    </w:rPr>
                    <w:t>81</w:t>
                  </w:r>
                </w:p>
              </w:tc>
              <w:tc>
                <w:tcPr>
                  <w:tcW w:w="1588" w:type="pct"/>
                  <w:vAlign w:val="center"/>
                </w:tcPr>
                <w:p w14:paraId="460FBBC1">
                  <w:pPr>
                    <w:widowControl/>
                    <w:jc w:val="center"/>
                    <w:textAlignment w:val="center"/>
                    <w:rPr>
                      <w:kern w:val="0"/>
                      <w:sz w:val="21"/>
                      <w:szCs w:val="21"/>
                      <w:lang w:bidi="ar"/>
                    </w:rPr>
                  </w:pPr>
                  <w:r>
                    <w:rPr>
                      <w:kern w:val="0"/>
                      <w:sz w:val="21"/>
                      <w:szCs w:val="21"/>
                      <w:lang w:bidi="ar"/>
                    </w:rPr>
                    <w:t>硒粉</w:t>
                  </w:r>
                </w:p>
              </w:tc>
              <w:tc>
                <w:tcPr>
                  <w:tcW w:w="773" w:type="pct"/>
                  <w:vAlign w:val="center"/>
                </w:tcPr>
                <w:p w14:paraId="1DA5E018">
                  <w:pPr>
                    <w:widowControl/>
                    <w:jc w:val="center"/>
                    <w:textAlignment w:val="center"/>
                    <w:rPr>
                      <w:kern w:val="0"/>
                      <w:sz w:val="21"/>
                      <w:szCs w:val="21"/>
                      <w:lang w:bidi="ar"/>
                    </w:rPr>
                  </w:pPr>
                  <w:r>
                    <w:rPr>
                      <w:kern w:val="0"/>
                      <w:sz w:val="21"/>
                      <w:szCs w:val="21"/>
                      <w:lang w:bidi="ar"/>
                    </w:rPr>
                    <w:t>25g/瓶</w:t>
                  </w:r>
                </w:p>
              </w:tc>
              <w:tc>
                <w:tcPr>
                  <w:tcW w:w="562" w:type="pct"/>
                  <w:vAlign w:val="center"/>
                </w:tcPr>
                <w:p w14:paraId="0627469E">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5FFCD1C3">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09E07AE5">
                  <w:pPr>
                    <w:widowControl/>
                    <w:jc w:val="center"/>
                    <w:textAlignment w:val="bottom"/>
                    <w:rPr>
                      <w:kern w:val="0"/>
                      <w:sz w:val="21"/>
                      <w:szCs w:val="21"/>
                      <w:lang w:bidi="ar"/>
                    </w:rPr>
                  </w:pPr>
                </w:p>
              </w:tc>
              <w:tc>
                <w:tcPr>
                  <w:tcW w:w="426" w:type="pct"/>
                  <w:vMerge w:val="continue"/>
                  <w:vAlign w:val="center"/>
                </w:tcPr>
                <w:p w14:paraId="6D73E533">
                  <w:pPr>
                    <w:widowControl/>
                    <w:jc w:val="center"/>
                    <w:textAlignment w:val="bottom"/>
                    <w:rPr>
                      <w:kern w:val="0"/>
                      <w:sz w:val="21"/>
                      <w:szCs w:val="21"/>
                      <w:lang w:bidi="ar"/>
                    </w:rPr>
                  </w:pPr>
                </w:p>
              </w:tc>
            </w:tr>
            <w:tr w14:paraId="2B303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60AB69F4">
                  <w:pPr>
                    <w:widowControl/>
                    <w:jc w:val="center"/>
                    <w:textAlignment w:val="bottom"/>
                    <w:rPr>
                      <w:kern w:val="0"/>
                      <w:sz w:val="21"/>
                      <w:szCs w:val="21"/>
                      <w:lang w:bidi="ar"/>
                    </w:rPr>
                  </w:pPr>
                  <w:r>
                    <w:rPr>
                      <w:rFonts w:hint="eastAsia"/>
                      <w:kern w:val="0"/>
                      <w:sz w:val="21"/>
                      <w:szCs w:val="21"/>
                      <w:lang w:bidi="ar"/>
                    </w:rPr>
                    <w:t>82</w:t>
                  </w:r>
                </w:p>
              </w:tc>
              <w:tc>
                <w:tcPr>
                  <w:tcW w:w="1588" w:type="pct"/>
                  <w:vAlign w:val="center"/>
                </w:tcPr>
                <w:p w14:paraId="7F12C2EE">
                  <w:pPr>
                    <w:widowControl/>
                    <w:jc w:val="center"/>
                    <w:textAlignment w:val="center"/>
                    <w:rPr>
                      <w:kern w:val="0"/>
                      <w:sz w:val="21"/>
                      <w:szCs w:val="21"/>
                      <w:lang w:bidi="ar"/>
                    </w:rPr>
                  </w:pPr>
                  <w:r>
                    <w:rPr>
                      <w:kern w:val="0"/>
                      <w:sz w:val="21"/>
                      <w:szCs w:val="21"/>
                      <w:lang w:bidi="ar"/>
                    </w:rPr>
                    <w:t>硝酸</w:t>
                  </w:r>
                </w:p>
              </w:tc>
              <w:tc>
                <w:tcPr>
                  <w:tcW w:w="773" w:type="pct"/>
                  <w:vAlign w:val="center"/>
                </w:tcPr>
                <w:p w14:paraId="18373387">
                  <w:pPr>
                    <w:widowControl/>
                    <w:jc w:val="center"/>
                    <w:textAlignment w:val="center"/>
                    <w:rPr>
                      <w:kern w:val="0"/>
                      <w:sz w:val="21"/>
                      <w:szCs w:val="21"/>
                      <w:lang w:bidi="ar"/>
                    </w:rPr>
                  </w:pPr>
                  <w:r>
                    <w:rPr>
                      <w:kern w:val="0"/>
                      <w:sz w:val="21"/>
                      <w:szCs w:val="21"/>
                      <w:lang w:bidi="ar"/>
                    </w:rPr>
                    <w:t>500mL/瓶</w:t>
                  </w:r>
                </w:p>
              </w:tc>
              <w:tc>
                <w:tcPr>
                  <w:tcW w:w="562" w:type="pct"/>
                  <w:vAlign w:val="center"/>
                </w:tcPr>
                <w:p w14:paraId="1539CF78">
                  <w:pPr>
                    <w:widowControl/>
                    <w:jc w:val="center"/>
                    <w:textAlignment w:val="center"/>
                    <w:rPr>
                      <w:kern w:val="0"/>
                      <w:sz w:val="21"/>
                      <w:szCs w:val="21"/>
                      <w:lang w:bidi="ar"/>
                    </w:rPr>
                  </w:pPr>
                  <w:r>
                    <w:rPr>
                      <w:kern w:val="0"/>
                      <w:sz w:val="21"/>
                      <w:szCs w:val="21"/>
                      <w:lang w:bidi="ar"/>
                    </w:rPr>
                    <w:t>74</w:t>
                  </w:r>
                  <w:r>
                    <w:rPr>
                      <w:rFonts w:hint="eastAsia"/>
                      <w:kern w:val="0"/>
                      <w:sz w:val="21"/>
                      <w:szCs w:val="21"/>
                      <w:lang w:bidi="ar"/>
                    </w:rPr>
                    <w:t>瓶</w:t>
                  </w:r>
                </w:p>
              </w:tc>
              <w:tc>
                <w:tcPr>
                  <w:tcW w:w="740" w:type="pct"/>
                  <w:vAlign w:val="center"/>
                </w:tcPr>
                <w:p w14:paraId="1CBB6297">
                  <w:pPr>
                    <w:widowControl/>
                    <w:jc w:val="center"/>
                    <w:textAlignment w:val="center"/>
                    <w:rPr>
                      <w:kern w:val="0"/>
                      <w:sz w:val="21"/>
                      <w:szCs w:val="21"/>
                      <w:lang w:bidi="ar"/>
                    </w:rPr>
                  </w:pPr>
                  <w:r>
                    <w:rPr>
                      <w:kern w:val="0"/>
                      <w:sz w:val="21"/>
                      <w:szCs w:val="21"/>
                      <w:lang w:bidi="ar"/>
                    </w:rPr>
                    <w:t>36</w:t>
                  </w:r>
                  <w:r>
                    <w:rPr>
                      <w:rFonts w:hint="eastAsia"/>
                      <w:kern w:val="0"/>
                      <w:sz w:val="21"/>
                      <w:szCs w:val="21"/>
                      <w:lang w:bidi="ar"/>
                    </w:rPr>
                    <w:t>瓶</w:t>
                  </w:r>
                </w:p>
              </w:tc>
              <w:tc>
                <w:tcPr>
                  <w:tcW w:w="554" w:type="pct"/>
                  <w:vMerge w:val="continue"/>
                  <w:vAlign w:val="center"/>
                </w:tcPr>
                <w:p w14:paraId="1FFECE4A">
                  <w:pPr>
                    <w:widowControl/>
                    <w:jc w:val="center"/>
                    <w:textAlignment w:val="bottom"/>
                    <w:rPr>
                      <w:kern w:val="0"/>
                      <w:sz w:val="21"/>
                      <w:szCs w:val="21"/>
                      <w:lang w:bidi="ar"/>
                    </w:rPr>
                  </w:pPr>
                </w:p>
              </w:tc>
              <w:tc>
                <w:tcPr>
                  <w:tcW w:w="426" w:type="pct"/>
                  <w:vMerge w:val="continue"/>
                  <w:vAlign w:val="center"/>
                </w:tcPr>
                <w:p w14:paraId="426F29CA">
                  <w:pPr>
                    <w:widowControl/>
                    <w:jc w:val="center"/>
                    <w:textAlignment w:val="bottom"/>
                    <w:rPr>
                      <w:kern w:val="0"/>
                      <w:sz w:val="21"/>
                      <w:szCs w:val="21"/>
                      <w:lang w:bidi="ar"/>
                    </w:rPr>
                  </w:pPr>
                </w:p>
              </w:tc>
            </w:tr>
            <w:tr w14:paraId="50FA4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76184628">
                  <w:pPr>
                    <w:widowControl/>
                    <w:jc w:val="center"/>
                    <w:textAlignment w:val="bottom"/>
                    <w:rPr>
                      <w:kern w:val="0"/>
                      <w:sz w:val="21"/>
                      <w:szCs w:val="21"/>
                      <w:lang w:bidi="ar"/>
                    </w:rPr>
                  </w:pPr>
                  <w:r>
                    <w:rPr>
                      <w:rFonts w:hint="eastAsia"/>
                      <w:kern w:val="0"/>
                      <w:sz w:val="21"/>
                      <w:szCs w:val="21"/>
                      <w:lang w:bidi="ar"/>
                    </w:rPr>
                    <w:t>83</w:t>
                  </w:r>
                </w:p>
              </w:tc>
              <w:tc>
                <w:tcPr>
                  <w:tcW w:w="1588" w:type="pct"/>
                  <w:vAlign w:val="center"/>
                </w:tcPr>
                <w:p w14:paraId="3A3D6757">
                  <w:pPr>
                    <w:widowControl/>
                    <w:jc w:val="center"/>
                    <w:textAlignment w:val="center"/>
                    <w:rPr>
                      <w:kern w:val="0"/>
                      <w:sz w:val="21"/>
                      <w:szCs w:val="21"/>
                      <w:lang w:bidi="ar"/>
                    </w:rPr>
                  </w:pPr>
                  <w:r>
                    <w:rPr>
                      <w:kern w:val="0"/>
                      <w:sz w:val="21"/>
                      <w:szCs w:val="21"/>
                      <w:lang w:bidi="ar"/>
                    </w:rPr>
                    <w:t>盐酸（36%-38%）</w:t>
                  </w:r>
                </w:p>
              </w:tc>
              <w:tc>
                <w:tcPr>
                  <w:tcW w:w="773" w:type="pct"/>
                  <w:vAlign w:val="center"/>
                </w:tcPr>
                <w:p w14:paraId="697F6CB0">
                  <w:pPr>
                    <w:widowControl/>
                    <w:jc w:val="center"/>
                    <w:textAlignment w:val="center"/>
                    <w:rPr>
                      <w:kern w:val="0"/>
                      <w:sz w:val="21"/>
                      <w:szCs w:val="21"/>
                      <w:lang w:bidi="ar"/>
                    </w:rPr>
                  </w:pPr>
                  <w:r>
                    <w:rPr>
                      <w:kern w:val="0"/>
                      <w:sz w:val="21"/>
                      <w:szCs w:val="21"/>
                      <w:lang w:bidi="ar"/>
                    </w:rPr>
                    <w:t>500mL/瓶</w:t>
                  </w:r>
                </w:p>
              </w:tc>
              <w:tc>
                <w:tcPr>
                  <w:tcW w:w="562" w:type="pct"/>
                  <w:vAlign w:val="center"/>
                </w:tcPr>
                <w:p w14:paraId="6CF419E2">
                  <w:pPr>
                    <w:widowControl/>
                    <w:jc w:val="center"/>
                    <w:textAlignment w:val="center"/>
                    <w:rPr>
                      <w:kern w:val="0"/>
                      <w:sz w:val="21"/>
                      <w:szCs w:val="21"/>
                      <w:lang w:bidi="ar"/>
                    </w:rPr>
                  </w:pPr>
                  <w:r>
                    <w:rPr>
                      <w:kern w:val="0"/>
                      <w:sz w:val="21"/>
                      <w:szCs w:val="21"/>
                      <w:lang w:bidi="ar"/>
                    </w:rPr>
                    <w:t>137</w:t>
                  </w:r>
                  <w:r>
                    <w:rPr>
                      <w:rFonts w:hint="eastAsia"/>
                      <w:kern w:val="0"/>
                      <w:sz w:val="21"/>
                      <w:szCs w:val="21"/>
                      <w:lang w:bidi="ar"/>
                    </w:rPr>
                    <w:t>瓶</w:t>
                  </w:r>
                </w:p>
              </w:tc>
              <w:tc>
                <w:tcPr>
                  <w:tcW w:w="740" w:type="pct"/>
                  <w:vAlign w:val="center"/>
                </w:tcPr>
                <w:p w14:paraId="5AD13003">
                  <w:pPr>
                    <w:widowControl/>
                    <w:jc w:val="center"/>
                    <w:textAlignment w:val="center"/>
                    <w:rPr>
                      <w:kern w:val="0"/>
                      <w:sz w:val="21"/>
                      <w:szCs w:val="21"/>
                      <w:lang w:bidi="ar"/>
                    </w:rPr>
                  </w:pPr>
                  <w:r>
                    <w:rPr>
                      <w:kern w:val="0"/>
                      <w:sz w:val="21"/>
                      <w:szCs w:val="21"/>
                      <w:lang w:bidi="ar"/>
                    </w:rPr>
                    <w:t>40</w:t>
                  </w:r>
                  <w:r>
                    <w:rPr>
                      <w:rFonts w:hint="eastAsia"/>
                      <w:kern w:val="0"/>
                      <w:sz w:val="21"/>
                      <w:szCs w:val="21"/>
                      <w:lang w:bidi="ar"/>
                    </w:rPr>
                    <w:t>瓶</w:t>
                  </w:r>
                </w:p>
              </w:tc>
              <w:tc>
                <w:tcPr>
                  <w:tcW w:w="554" w:type="pct"/>
                  <w:vMerge w:val="continue"/>
                  <w:vAlign w:val="center"/>
                </w:tcPr>
                <w:p w14:paraId="5049F7AA">
                  <w:pPr>
                    <w:widowControl/>
                    <w:jc w:val="center"/>
                    <w:textAlignment w:val="bottom"/>
                    <w:rPr>
                      <w:kern w:val="0"/>
                      <w:sz w:val="21"/>
                      <w:szCs w:val="21"/>
                      <w:lang w:bidi="ar"/>
                    </w:rPr>
                  </w:pPr>
                </w:p>
              </w:tc>
              <w:tc>
                <w:tcPr>
                  <w:tcW w:w="426" w:type="pct"/>
                  <w:vMerge w:val="continue"/>
                  <w:vAlign w:val="center"/>
                </w:tcPr>
                <w:p w14:paraId="2EB1C5FB">
                  <w:pPr>
                    <w:widowControl/>
                    <w:jc w:val="center"/>
                    <w:textAlignment w:val="bottom"/>
                    <w:rPr>
                      <w:kern w:val="0"/>
                      <w:sz w:val="21"/>
                      <w:szCs w:val="21"/>
                      <w:lang w:bidi="ar"/>
                    </w:rPr>
                  </w:pPr>
                </w:p>
              </w:tc>
            </w:tr>
            <w:tr w14:paraId="39E78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7C9EFF9">
                  <w:pPr>
                    <w:widowControl/>
                    <w:jc w:val="center"/>
                    <w:textAlignment w:val="bottom"/>
                    <w:rPr>
                      <w:kern w:val="0"/>
                      <w:sz w:val="21"/>
                      <w:szCs w:val="21"/>
                      <w:lang w:bidi="ar"/>
                    </w:rPr>
                  </w:pPr>
                  <w:r>
                    <w:rPr>
                      <w:rFonts w:hint="eastAsia"/>
                      <w:kern w:val="0"/>
                      <w:sz w:val="21"/>
                      <w:szCs w:val="21"/>
                      <w:lang w:bidi="ar"/>
                    </w:rPr>
                    <w:t>84</w:t>
                  </w:r>
                </w:p>
              </w:tc>
              <w:tc>
                <w:tcPr>
                  <w:tcW w:w="1588" w:type="pct"/>
                  <w:vAlign w:val="center"/>
                </w:tcPr>
                <w:p w14:paraId="320E1844">
                  <w:pPr>
                    <w:widowControl/>
                    <w:jc w:val="center"/>
                    <w:textAlignment w:val="center"/>
                    <w:rPr>
                      <w:kern w:val="0"/>
                      <w:sz w:val="21"/>
                      <w:szCs w:val="21"/>
                      <w:lang w:bidi="ar"/>
                    </w:rPr>
                  </w:pPr>
                  <w:r>
                    <w:rPr>
                      <w:kern w:val="0"/>
                      <w:sz w:val="21"/>
                      <w:szCs w:val="21"/>
                      <w:lang w:bidi="ar"/>
                    </w:rPr>
                    <w:t>异烟酸</w:t>
                  </w:r>
                </w:p>
              </w:tc>
              <w:tc>
                <w:tcPr>
                  <w:tcW w:w="773" w:type="pct"/>
                  <w:vAlign w:val="center"/>
                </w:tcPr>
                <w:p w14:paraId="5EA45D4C">
                  <w:pPr>
                    <w:widowControl/>
                    <w:jc w:val="center"/>
                    <w:textAlignment w:val="center"/>
                    <w:rPr>
                      <w:kern w:val="0"/>
                      <w:sz w:val="21"/>
                      <w:szCs w:val="21"/>
                      <w:lang w:bidi="ar"/>
                    </w:rPr>
                  </w:pPr>
                  <w:r>
                    <w:rPr>
                      <w:kern w:val="0"/>
                      <w:sz w:val="21"/>
                      <w:szCs w:val="21"/>
                      <w:lang w:bidi="ar"/>
                    </w:rPr>
                    <w:t>25g/瓶</w:t>
                  </w:r>
                </w:p>
              </w:tc>
              <w:tc>
                <w:tcPr>
                  <w:tcW w:w="562" w:type="pct"/>
                  <w:vAlign w:val="center"/>
                </w:tcPr>
                <w:p w14:paraId="60B30C4A">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361A3934">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721B18FD">
                  <w:pPr>
                    <w:widowControl/>
                    <w:jc w:val="center"/>
                    <w:textAlignment w:val="bottom"/>
                    <w:rPr>
                      <w:kern w:val="0"/>
                      <w:sz w:val="21"/>
                      <w:szCs w:val="21"/>
                      <w:lang w:bidi="ar"/>
                    </w:rPr>
                  </w:pPr>
                </w:p>
              </w:tc>
              <w:tc>
                <w:tcPr>
                  <w:tcW w:w="426" w:type="pct"/>
                  <w:vMerge w:val="continue"/>
                  <w:vAlign w:val="center"/>
                </w:tcPr>
                <w:p w14:paraId="64053A7A">
                  <w:pPr>
                    <w:widowControl/>
                    <w:jc w:val="center"/>
                    <w:textAlignment w:val="bottom"/>
                    <w:rPr>
                      <w:kern w:val="0"/>
                      <w:sz w:val="21"/>
                      <w:szCs w:val="21"/>
                      <w:lang w:bidi="ar"/>
                    </w:rPr>
                  </w:pPr>
                </w:p>
              </w:tc>
            </w:tr>
            <w:tr w14:paraId="390CC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9F4DFC6">
                  <w:pPr>
                    <w:widowControl/>
                    <w:jc w:val="center"/>
                    <w:textAlignment w:val="bottom"/>
                    <w:rPr>
                      <w:kern w:val="0"/>
                      <w:sz w:val="21"/>
                      <w:szCs w:val="21"/>
                      <w:lang w:bidi="ar"/>
                    </w:rPr>
                  </w:pPr>
                  <w:r>
                    <w:rPr>
                      <w:rFonts w:hint="eastAsia"/>
                      <w:kern w:val="0"/>
                      <w:sz w:val="21"/>
                      <w:szCs w:val="21"/>
                      <w:lang w:bidi="ar"/>
                    </w:rPr>
                    <w:t>85</w:t>
                  </w:r>
                </w:p>
              </w:tc>
              <w:tc>
                <w:tcPr>
                  <w:tcW w:w="1588" w:type="pct"/>
                  <w:vAlign w:val="center"/>
                </w:tcPr>
                <w:p w14:paraId="65428B1E">
                  <w:pPr>
                    <w:widowControl/>
                    <w:jc w:val="center"/>
                    <w:textAlignment w:val="center"/>
                    <w:rPr>
                      <w:kern w:val="0"/>
                      <w:sz w:val="21"/>
                      <w:szCs w:val="21"/>
                      <w:lang w:bidi="ar"/>
                    </w:rPr>
                  </w:pPr>
                  <w:r>
                    <w:rPr>
                      <w:kern w:val="0"/>
                      <w:sz w:val="21"/>
                      <w:szCs w:val="21"/>
                      <w:lang w:bidi="ar"/>
                    </w:rPr>
                    <w:t>伊红美蓝琼脂培养基</w:t>
                  </w:r>
                </w:p>
              </w:tc>
              <w:tc>
                <w:tcPr>
                  <w:tcW w:w="773" w:type="pct"/>
                  <w:vAlign w:val="center"/>
                </w:tcPr>
                <w:p w14:paraId="207B17E9">
                  <w:pPr>
                    <w:widowControl/>
                    <w:jc w:val="center"/>
                    <w:textAlignment w:val="center"/>
                    <w:rPr>
                      <w:kern w:val="0"/>
                      <w:sz w:val="21"/>
                      <w:szCs w:val="21"/>
                      <w:lang w:bidi="ar"/>
                    </w:rPr>
                  </w:pPr>
                  <w:r>
                    <w:rPr>
                      <w:kern w:val="0"/>
                      <w:sz w:val="21"/>
                      <w:szCs w:val="21"/>
                      <w:lang w:bidi="ar"/>
                    </w:rPr>
                    <w:t>250g/瓶</w:t>
                  </w:r>
                </w:p>
              </w:tc>
              <w:tc>
                <w:tcPr>
                  <w:tcW w:w="562" w:type="pct"/>
                  <w:vAlign w:val="center"/>
                </w:tcPr>
                <w:p w14:paraId="655B767D">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2B968768">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554" w:type="pct"/>
                  <w:vMerge w:val="continue"/>
                  <w:vAlign w:val="center"/>
                </w:tcPr>
                <w:p w14:paraId="61906BCF">
                  <w:pPr>
                    <w:widowControl/>
                    <w:jc w:val="center"/>
                    <w:textAlignment w:val="bottom"/>
                    <w:rPr>
                      <w:kern w:val="0"/>
                      <w:sz w:val="21"/>
                      <w:szCs w:val="21"/>
                      <w:lang w:bidi="ar"/>
                    </w:rPr>
                  </w:pPr>
                </w:p>
              </w:tc>
              <w:tc>
                <w:tcPr>
                  <w:tcW w:w="426" w:type="pct"/>
                  <w:vMerge w:val="continue"/>
                  <w:vAlign w:val="center"/>
                </w:tcPr>
                <w:p w14:paraId="552121CB">
                  <w:pPr>
                    <w:widowControl/>
                    <w:jc w:val="center"/>
                    <w:textAlignment w:val="bottom"/>
                    <w:rPr>
                      <w:kern w:val="0"/>
                      <w:sz w:val="21"/>
                      <w:szCs w:val="21"/>
                      <w:lang w:bidi="ar"/>
                    </w:rPr>
                  </w:pPr>
                </w:p>
              </w:tc>
            </w:tr>
            <w:tr w14:paraId="6965A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5897D53">
                  <w:pPr>
                    <w:widowControl/>
                    <w:jc w:val="center"/>
                    <w:textAlignment w:val="bottom"/>
                    <w:rPr>
                      <w:kern w:val="0"/>
                      <w:sz w:val="21"/>
                      <w:szCs w:val="21"/>
                      <w:lang w:bidi="ar"/>
                    </w:rPr>
                  </w:pPr>
                  <w:r>
                    <w:rPr>
                      <w:rFonts w:hint="eastAsia"/>
                      <w:kern w:val="0"/>
                      <w:sz w:val="21"/>
                      <w:szCs w:val="21"/>
                      <w:lang w:bidi="ar"/>
                    </w:rPr>
                    <w:t>86</w:t>
                  </w:r>
                </w:p>
              </w:tc>
              <w:tc>
                <w:tcPr>
                  <w:tcW w:w="1588" w:type="pct"/>
                  <w:vAlign w:val="center"/>
                </w:tcPr>
                <w:p w14:paraId="48EF336E">
                  <w:pPr>
                    <w:widowControl/>
                    <w:jc w:val="center"/>
                    <w:textAlignment w:val="center"/>
                    <w:rPr>
                      <w:kern w:val="0"/>
                      <w:sz w:val="21"/>
                      <w:szCs w:val="21"/>
                      <w:lang w:bidi="ar"/>
                    </w:rPr>
                  </w:pPr>
                  <w:r>
                    <w:rPr>
                      <w:kern w:val="0"/>
                      <w:sz w:val="21"/>
                      <w:szCs w:val="21"/>
                      <w:lang w:bidi="ar"/>
                    </w:rPr>
                    <w:t>反式-1，2-环己二胺四乙酸</w:t>
                  </w:r>
                  <w:r>
                    <w:rPr>
                      <w:rFonts w:hint="eastAsia"/>
                      <w:kern w:val="0"/>
                      <w:sz w:val="21"/>
                      <w:szCs w:val="21"/>
                      <w:lang w:bidi="ar"/>
                    </w:rPr>
                    <w:t>—</w:t>
                  </w:r>
                  <w:r>
                    <w:rPr>
                      <w:kern w:val="0"/>
                      <w:sz w:val="21"/>
                      <w:szCs w:val="21"/>
                      <w:lang w:bidi="ar"/>
                    </w:rPr>
                    <w:t>水</w:t>
                  </w:r>
                  <w:r>
                    <w:rPr>
                      <w:rFonts w:hint="eastAsia"/>
                      <w:kern w:val="0"/>
                      <w:sz w:val="21"/>
                      <w:szCs w:val="21"/>
                      <w:lang w:bidi="ar"/>
                    </w:rPr>
                    <w:t>合物</w:t>
                  </w:r>
                </w:p>
              </w:tc>
              <w:tc>
                <w:tcPr>
                  <w:tcW w:w="773" w:type="pct"/>
                  <w:vAlign w:val="center"/>
                </w:tcPr>
                <w:p w14:paraId="63ADD1D9">
                  <w:pPr>
                    <w:widowControl/>
                    <w:jc w:val="center"/>
                    <w:textAlignment w:val="center"/>
                    <w:rPr>
                      <w:kern w:val="0"/>
                      <w:sz w:val="21"/>
                      <w:szCs w:val="21"/>
                      <w:lang w:bidi="ar"/>
                    </w:rPr>
                  </w:pPr>
                  <w:r>
                    <w:rPr>
                      <w:kern w:val="0"/>
                      <w:sz w:val="21"/>
                      <w:szCs w:val="21"/>
                      <w:lang w:bidi="ar"/>
                    </w:rPr>
                    <w:t>25g/瓶</w:t>
                  </w:r>
                </w:p>
              </w:tc>
              <w:tc>
                <w:tcPr>
                  <w:tcW w:w="562" w:type="pct"/>
                  <w:vAlign w:val="center"/>
                </w:tcPr>
                <w:p w14:paraId="26B3CA55">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5DD044CD">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7E68B389">
                  <w:pPr>
                    <w:widowControl/>
                    <w:jc w:val="center"/>
                    <w:textAlignment w:val="bottom"/>
                    <w:rPr>
                      <w:kern w:val="0"/>
                      <w:sz w:val="21"/>
                      <w:szCs w:val="21"/>
                      <w:lang w:bidi="ar"/>
                    </w:rPr>
                  </w:pPr>
                </w:p>
              </w:tc>
              <w:tc>
                <w:tcPr>
                  <w:tcW w:w="426" w:type="pct"/>
                  <w:vMerge w:val="continue"/>
                  <w:vAlign w:val="center"/>
                </w:tcPr>
                <w:p w14:paraId="0694C6BC">
                  <w:pPr>
                    <w:widowControl/>
                    <w:jc w:val="center"/>
                    <w:textAlignment w:val="bottom"/>
                    <w:rPr>
                      <w:kern w:val="0"/>
                      <w:sz w:val="21"/>
                      <w:szCs w:val="21"/>
                      <w:lang w:bidi="ar"/>
                    </w:rPr>
                  </w:pPr>
                </w:p>
              </w:tc>
            </w:tr>
            <w:tr w14:paraId="592F2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272FFB3C">
                  <w:pPr>
                    <w:widowControl/>
                    <w:jc w:val="center"/>
                    <w:textAlignment w:val="bottom"/>
                    <w:rPr>
                      <w:kern w:val="0"/>
                      <w:sz w:val="21"/>
                      <w:szCs w:val="21"/>
                      <w:lang w:bidi="ar"/>
                    </w:rPr>
                  </w:pPr>
                  <w:r>
                    <w:rPr>
                      <w:rFonts w:hint="eastAsia"/>
                      <w:kern w:val="0"/>
                      <w:sz w:val="21"/>
                      <w:szCs w:val="21"/>
                      <w:lang w:bidi="ar"/>
                    </w:rPr>
                    <w:t>87</w:t>
                  </w:r>
                </w:p>
              </w:tc>
              <w:tc>
                <w:tcPr>
                  <w:tcW w:w="1588" w:type="pct"/>
                  <w:vAlign w:val="center"/>
                </w:tcPr>
                <w:p w14:paraId="1A422E04">
                  <w:pPr>
                    <w:widowControl/>
                    <w:jc w:val="center"/>
                    <w:textAlignment w:val="center"/>
                    <w:rPr>
                      <w:kern w:val="0"/>
                      <w:sz w:val="21"/>
                      <w:szCs w:val="21"/>
                      <w:lang w:bidi="ar"/>
                    </w:rPr>
                  </w:pPr>
                  <w:r>
                    <w:rPr>
                      <w:kern w:val="0"/>
                      <w:sz w:val="21"/>
                      <w:szCs w:val="21"/>
                      <w:lang w:bidi="ar"/>
                    </w:rPr>
                    <w:t>一水合硫酸锰（硫酸锰）</w:t>
                  </w:r>
                </w:p>
              </w:tc>
              <w:tc>
                <w:tcPr>
                  <w:tcW w:w="773" w:type="pct"/>
                  <w:vAlign w:val="center"/>
                </w:tcPr>
                <w:p w14:paraId="058D39D7">
                  <w:pPr>
                    <w:widowControl/>
                    <w:jc w:val="center"/>
                    <w:textAlignment w:val="center"/>
                    <w:rPr>
                      <w:kern w:val="0"/>
                      <w:sz w:val="21"/>
                      <w:szCs w:val="21"/>
                      <w:lang w:bidi="ar"/>
                    </w:rPr>
                  </w:pPr>
                  <w:r>
                    <w:rPr>
                      <w:kern w:val="0"/>
                      <w:sz w:val="21"/>
                      <w:szCs w:val="21"/>
                      <w:lang w:bidi="ar"/>
                    </w:rPr>
                    <w:t>500g</w:t>
                  </w:r>
                  <w:r>
                    <w:rPr>
                      <w:rFonts w:hint="eastAsia"/>
                      <w:kern w:val="0"/>
                      <w:sz w:val="21"/>
                      <w:szCs w:val="21"/>
                      <w:lang w:bidi="ar"/>
                    </w:rPr>
                    <w:t>/瓶</w:t>
                  </w:r>
                </w:p>
              </w:tc>
              <w:tc>
                <w:tcPr>
                  <w:tcW w:w="562" w:type="pct"/>
                  <w:vAlign w:val="center"/>
                </w:tcPr>
                <w:p w14:paraId="634DD7E7">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7238512D">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7DF86309">
                  <w:pPr>
                    <w:widowControl/>
                    <w:jc w:val="center"/>
                    <w:textAlignment w:val="bottom"/>
                    <w:rPr>
                      <w:kern w:val="0"/>
                      <w:sz w:val="21"/>
                      <w:szCs w:val="21"/>
                      <w:lang w:bidi="ar"/>
                    </w:rPr>
                  </w:pPr>
                </w:p>
              </w:tc>
              <w:tc>
                <w:tcPr>
                  <w:tcW w:w="426" w:type="pct"/>
                  <w:vMerge w:val="continue"/>
                  <w:vAlign w:val="center"/>
                </w:tcPr>
                <w:p w14:paraId="1D6D8771">
                  <w:pPr>
                    <w:widowControl/>
                    <w:jc w:val="center"/>
                    <w:textAlignment w:val="bottom"/>
                    <w:rPr>
                      <w:kern w:val="0"/>
                      <w:sz w:val="21"/>
                      <w:szCs w:val="21"/>
                      <w:lang w:bidi="ar"/>
                    </w:rPr>
                  </w:pPr>
                </w:p>
              </w:tc>
            </w:tr>
            <w:tr w14:paraId="63A0C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F003E0A">
                  <w:pPr>
                    <w:widowControl/>
                    <w:jc w:val="center"/>
                    <w:textAlignment w:val="bottom"/>
                    <w:rPr>
                      <w:kern w:val="0"/>
                      <w:sz w:val="21"/>
                      <w:szCs w:val="21"/>
                      <w:lang w:bidi="ar"/>
                    </w:rPr>
                  </w:pPr>
                  <w:r>
                    <w:rPr>
                      <w:rFonts w:hint="eastAsia"/>
                      <w:kern w:val="0"/>
                      <w:sz w:val="21"/>
                      <w:szCs w:val="21"/>
                      <w:lang w:bidi="ar"/>
                    </w:rPr>
                    <w:t>88</w:t>
                  </w:r>
                </w:p>
              </w:tc>
              <w:tc>
                <w:tcPr>
                  <w:tcW w:w="1588" w:type="pct"/>
                  <w:vAlign w:val="center"/>
                </w:tcPr>
                <w:p w14:paraId="33899CE1">
                  <w:pPr>
                    <w:widowControl/>
                    <w:jc w:val="center"/>
                    <w:textAlignment w:val="center"/>
                    <w:rPr>
                      <w:kern w:val="0"/>
                      <w:sz w:val="21"/>
                      <w:szCs w:val="21"/>
                      <w:lang w:bidi="ar"/>
                    </w:rPr>
                  </w:pPr>
                  <w:r>
                    <w:rPr>
                      <w:kern w:val="0"/>
                      <w:sz w:val="21"/>
                      <w:szCs w:val="21"/>
                      <w:lang w:bidi="ar"/>
                    </w:rPr>
                    <w:t>乙二胺四乙酸二钠</w:t>
                  </w:r>
                </w:p>
              </w:tc>
              <w:tc>
                <w:tcPr>
                  <w:tcW w:w="773" w:type="pct"/>
                  <w:vAlign w:val="center"/>
                </w:tcPr>
                <w:p w14:paraId="4B569B2B">
                  <w:pPr>
                    <w:widowControl/>
                    <w:jc w:val="center"/>
                    <w:textAlignment w:val="center"/>
                    <w:rPr>
                      <w:kern w:val="0"/>
                      <w:sz w:val="21"/>
                      <w:szCs w:val="21"/>
                      <w:lang w:bidi="ar"/>
                    </w:rPr>
                  </w:pPr>
                  <w:r>
                    <w:rPr>
                      <w:kern w:val="0"/>
                      <w:sz w:val="21"/>
                      <w:szCs w:val="21"/>
                      <w:lang w:bidi="ar"/>
                    </w:rPr>
                    <w:t>100g/瓶</w:t>
                  </w:r>
                </w:p>
              </w:tc>
              <w:tc>
                <w:tcPr>
                  <w:tcW w:w="562" w:type="pct"/>
                  <w:vAlign w:val="center"/>
                </w:tcPr>
                <w:p w14:paraId="58645AA3">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740" w:type="pct"/>
                  <w:vAlign w:val="center"/>
                </w:tcPr>
                <w:p w14:paraId="4A260398">
                  <w:pPr>
                    <w:widowControl/>
                    <w:jc w:val="center"/>
                    <w:textAlignment w:val="center"/>
                    <w:rPr>
                      <w:kern w:val="0"/>
                      <w:sz w:val="21"/>
                      <w:szCs w:val="21"/>
                      <w:lang w:bidi="ar"/>
                    </w:rPr>
                  </w:pPr>
                  <w:r>
                    <w:rPr>
                      <w:kern w:val="0"/>
                      <w:sz w:val="21"/>
                      <w:szCs w:val="21"/>
                      <w:lang w:bidi="ar"/>
                    </w:rPr>
                    <w:t>2</w:t>
                  </w:r>
                  <w:r>
                    <w:rPr>
                      <w:rFonts w:hint="eastAsia"/>
                      <w:kern w:val="0"/>
                      <w:sz w:val="21"/>
                      <w:szCs w:val="21"/>
                      <w:lang w:bidi="ar"/>
                    </w:rPr>
                    <w:t>瓶</w:t>
                  </w:r>
                </w:p>
              </w:tc>
              <w:tc>
                <w:tcPr>
                  <w:tcW w:w="554" w:type="pct"/>
                  <w:vMerge w:val="continue"/>
                  <w:vAlign w:val="center"/>
                </w:tcPr>
                <w:p w14:paraId="6A0F654B">
                  <w:pPr>
                    <w:widowControl/>
                    <w:jc w:val="center"/>
                    <w:textAlignment w:val="bottom"/>
                    <w:rPr>
                      <w:kern w:val="0"/>
                      <w:sz w:val="21"/>
                      <w:szCs w:val="21"/>
                      <w:lang w:bidi="ar"/>
                    </w:rPr>
                  </w:pPr>
                </w:p>
              </w:tc>
              <w:tc>
                <w:tcPr>
                  <w:tcW w:w="426" w:type="pct"/>
                  <w:vMerge w:val="continue"/>
                  <w:vAlign w:val="center"/>
                </w:tcPr>
                <w:p w14:paraId="75AE7D8A">
                  <w:pPr>
                    <w:widowControl/>
                    <w:jc w:val="center"/>
                    <w:textAlignment w:val="bottom"/>
                    <w:rPr>
                      <w:kern w:val="0"/>
                      <w:sz w:val="21"/>
                      <w:szCs w:val="21"/>
                      <w:lang w:bidi="ar"/>
                    </w:rPr>
                  </w:pPr>
                </w:p>
              </w:tc>
            </w:tr>
            <w:tr w14:paraId="67EC3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06E0CC86">
                  <w:pPr>
                    <w:widowControl/>
                    <w:jc w:val="center"/>
                    <w:textAlignment w:val="bottom"/>
                    <w:rPr>
                      <w:kern w:val="0"/>
                      <w:sz w:val="21"/>
                      <w:szCs w:val="21"/>
                      <w:lang w:bidi="ar"/>
                    </w:rPr>
                  </w:pPr>
                  <w:r>
                    <w:rPr>
                      <w:rFonts w:hint="eastAsia"/>
                      <w:kern w:val="0"/>
                      <w:sz w:val="21"/>
                      <w:szCs w:val="21"/>
                      <w:lang w:bidi="ar"/>
                    </w:rPr>
                    <w:t>89</w:t>
                  </w:r>
                </w:p>
              </w:tc>
              <w:tc>
                <w:tcPr>
                  <w:tcW w:w="1588" w:type="pct"/>
                  <w:vAlign w:val="center"/>
                </w:tcPr>
                <w:p w14:paraId="17D41F83">
                  <w:pPr>
                    <w:widowControl/>
                    <w:jc w:val="center"/>
                    <w:textAlignment w:val="center"/>
                    <w:rPr>
                      <w:kern w:val="0"/>
                      <w:sz w:val="21"/>
                      <w:szCs w:val="21"/>
                      <w:lang w:bidi="ar"/>
                    </w:rPr>
                  </w:pPr>
                  <w:r>
                    <w:rPr>
                      <w:kern w:val="0"/>
                      <w:sz w:val="21"/>
                      <w:szCs w:val="21"/>
                      <w:lang w:bidi="ar"/>
                    </w:rPr>
                    <w:t>营养琼脂</w:t>
                  </w:r>
                </w:p>
              </w:tc>
              <w:tc>
                <w:tcPr>
                  <w:tcW w:w="773" w:type="pct"/>
                  <w:vAlign w:val="center"/>
                </w:tcPr>
                <w:p w14:paraId="25783874">
                  <w:pPr>
                    <w:widowControl/>
                    <w:jc w:val="center"/>
                    <w:textAlignment w:val="center"/>
                    <w:rPr>
                      <w:kern w:val="0"/>
                      <w:sz w:val="21"/>
                      <w:szCs w:val="21"/>
                      <w:lang w:bidi="ar"/>
                    </w:rPr>
                  </w:pPr>
                  <w:r>
                    <w:rPr>
                      <w:kern w:val="0"/>
                      <w:sz w:val="21"/>
                      <w:szCs w:val="21"/>
                      <w:lang w:bidi="ar"/>
                    </w:rPr>
                    <w:t>250g/瓶</w:t>
                  </w:r>
                </w:p>
              </w:tc>
              <w:tc>
                <w:tcPr>
                  <w:tcW w:w="562" w:type="pct"/>
                  <w:vAlign w:val="center"/>
                </w:tcPr>
                <w:p w14:paraId="78FEF687">
                  <w:pPr>
                    <w:widowControl/>
                    <w:jc w:val="center"/>
                    <w:textAlignment w:val="center"/>
                    <w:rPr>
                      <w:kern w:val="0"/>
                      <w:sz w:val="21"/>
                      <w:szCs w:val="21"/>
                      <w:lang w:bidi="ar"/>
                    </w:rPr>
                  </w:pPr>
                  <w:r>
                    <w:rPr>
                      <w:kern w:val="0"/>
                      <w:sz w:val="21"/>
                      <w:szCs w:val="21"/>
                      <w:lang w:bidi="ar"/>
                    </w:rPr>
                    <w:t>1</w:t>
                  </w:r>
                  <w:r>
                    <w:rPr>
                      <w:rFonts w:hint="eastAsia"/>
                      <w:kern w:val="0"/>
                      <w:sz w:val="21"/>
                      <w:szCs w:val="21"/>
                      <w:lang w:bidi="ar"/>
                    </w:rPr>
                    <w:t>瓶</w:t>
                  </w:r>
                </w:p>
              </w:tc>
              <w:tc>
                <w:tcPr>
                  <w:tcW w:w="740" w:type="pct"/>
                  <w:vAlign w:val="center"/>
                </w:tcPr>
                <w:p w14:paraId="038A14FA">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507C5B64">
                  <w:pPr>
                    <w:widowControl/>
                    <w:jc w:val="center"/>
                    <w:textAlignment w:val="bottom"/>
                    <w:rPr>
                      <w:kern w:val="0"/>
                      <w:sz w:val="21"/>
                      <w:szCs w:val="21"/>
                      <w:lang w:bidi="ar"/>
                    </w:rPr>
                  </w:pPr>
                </w:p>
              </w:tc>
              <w:tc>
                <w:tcPr>
                  <w:tcW w:w="426" w:type="pct"/>
                  <w:vMerge w:val="continue"/>
                  <w:vAlign w:val="center"/>
                </w:tcPr>
                <w:p w14:paraId="4A9931F7">
                  <w:pPr>
                    <w:widowControl/>
                    <w:jc w:val="center"/>
                    <w:textAlignment w:val="bottom"/>
                    <w:rPr>
                      <w:kern w:val="0"/>
                      <w:sz w:val="21"/>
                      <w:szCs w:val="21"/>
                      <w:lang w:bidi="ar"/>
                    </w:rPr>
                  </w:pPr>
                </w:p>
              </w:tc>
            </w:tr>
            <w:tr w14:paraId="4AC10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48DEBAA4">
                  <w:pPr>
                    <w:widowControl/>
                    <w:jc w:val="center"/>
                    <w:textAlignment w:val="bottom"/>
                    <w:rPr>
                      <w:kern w:val="0"/>
                      <w:sz w:val="21"/>
                      <w:szCs w:val="21"/>
                      <w:lang w:bidi="ar"/>
                    </w:rPr>
                  </w:pPr>
                  <w:r>
                    <w:rPr>
                      <w:rFonts w:hint="eastAsia"/>
                      <w:kern w:val="0"/>
                      <w:sz w:val="21"/>
                      <w:szCs w:val="21"/>
                      <w:lang w:bidi="ar"/>
                    </w:rPr>
                    <w:t>90</w:t>
                  </w:r>
                </w:p>
              </w:tc>
              <w:tc>
                <w:tcPr>
                  <w:tcW w:w="1588" w:type="pct"/>
                  <w:vAlign w:val="center"/>
                </w:tcPr>
                <w:p w14:paraId="3237A1A3">
                  <w:pPr>
                    <w:widowControl/>
                    <w:jc w:val="center"/>
                    <w:textAlignment w:val="center"/>
                    <w:rPr>
                      <w:color w:val="auto"/>
                      <w:kern w:val="0"/>
                      <w:sz w:val="21"/>
                      <w:szCs w:val="21"/>
                      <w:highlight w:val="magenta"/>
                      <w:lang w:bidi="ar"/>
                    </w:rPr>
                  </w:pPr>
                  <w:r>
                    <w:rPr>
                      <w:rFonts w:hint="eastAsia"/>
                      <w:color w:val="auto"/>
                      <w:kern w:val="0"/>
                      <w:sz w:val="21"/>
                      <w:szCs w:val="21"/>
                      <w:lang w:bidi="ar"/>
                    </w:rPr>
                    <w:t>工业片碱</w:t>
                  </w:r>
                </w:p>
              </w:tc>
              <w:tc>
                <w:tcPr>
                  <w:tcW w:w="773" w:type="pct"/>
                  <w:vAlign w:val="center"/>
                </w:tcPr>
                <w:p w14:paraId="0B37ED50">
                  <w:pPr>
                    <w:widowControl/>
                    <w:jc w:val="center"/>
                    <w:textAlignment w:val="center"/>
                    <w:rPr>
                      <w:color w:val="auto"/>
                      <w:kern w:val="0"/>
                      <w:sz w:val="21"/>
                      <w:szCs w:val="21"/>
                      <w:highlight w:val="magenta"/>
                      <w:lang w:bidi="ar"/>
                    </w:rPr>
                  </w:pPr>
                  <w:r>
                    <w:rPr>
                      <w:rFonts w:hint="eastAsia"/>
                      <w:color w:val="auto"/>
                      <w:kern w:val="0"/>
                      <w:sz w:val="21"/>
                      <w:szCs w:val="21"/>
                      <w:lang w:bidi="ar"/>
                    </w:rPr>
                    <w:t>5kg/袋</w:t>
                  </w:r>
                </w:p>
              </w:tc>
              <w:tc>
                <w:tcPr>
                  <w:tcW w:w="562" w:type="pct"/>
                  <w:vAlign w:val="center"/>
                </w:tcPr>
                <w:p w14:paraId="05DF8863">
                  <w:pPr>
                    <w:widowControl/>
                    <w:jc w:val="center"/>
                    <w:textAlignment w:val="center"/>
                    <w:rPr>
                      <w:color w:val="auto"/>
                      <w:kern w:val="0"/>
                      <w:sz w:val="21"/>
                      <w:szCs w:val="21"/>
                      <w:lang w:bidi="ar"/>
                    </w:rPr>
                  </w:pPr>
                  <w:r>
                    <w:rPr>
                      <w:rFonts w:hint="eastAsia"/>
                      <w:color w:val="auto"/>
                      <w:kern w:val="0"/>
                      <w:sz w:val="21"/>
                      <w:szCs w:val="21"/>
                      <w:lang w:bidi="ar"/>
                    </w:rPr>
                    <w:t>8袋</w:t>
                  </w:r>
                </w:p>
              </w:tc>
              <w:tc>
                <w:tcPr>
                  <w:tcW w:w="740" w:type="pct"/>
                  <w:vAlign w:val="center"/>
                </w:tcPr>
                <w:p w14:paraId="5D47C2BA">
                  <w:pPr>
                    <w:widowControl/>
                    <w:jc w:val="center"/>
                    <w:textAlignment w:val="center"/>
                    <w:rPr>
                      <w:color w:val="auto"/>
                      <w:kern w:val="0"/>
                      <w:sz w:val="21"/>
                      <w:szCs w:val="21"/>
                      <w:lang w:bidi="ar"/>
                    </w:rPr>
                  </w:pPr>
                  <w:r>
                    <w:rPr>
                      <w:rFonts w:hint="eastAsia"/>
                      <w:color w:val="auto"/>
                      <w:kern w:val="0"/>
                      <w:sz w:val="21"/>
                      <w:szCs w:val="21"/>
                      <w:lang w:bidi="ar"/>
                    </w:rPr>
                    <w:t>1袋</w:t>
                  </w:r>
                </w:p>
              </w:tc>
              <w:tc>
                <w:tcPr>
                  <w:tcW w:w="554" w:type="pct"/>
                  <w:vMerge w:val="continue"/>
                  <w:vAlign w:val="center"/>
                </w:tcPr>
                <w:p w14:paraId="2E47E38B">
                  <w:pPr>
                    <w:widowControl/>
                    <w:jc w:val="center"/>
                    <w:textAlignment w:val="bottom"/>
                    <w:rPr>
                      <w:kern w:val="0"/>
                      <w:sz w:val="21"/>
                      <w:szCs w:val="21"/>
                      <w:lang w:bidi="ar"/>
                    </w:rPr>
                  </w:pPr>
                </w:p>
              </w:tc>
              <w:tc>
                <w:tcPr>
                  <w:tcW w:w="426" w:type="pct"/>
                  <w:vMerge w:val="continue"/>
                  <w:vAlign w:val="center"/>
                </w:tcPr>
                <w:p w14:paraId="773F1923">
                  <w:pPr>
                    <w:widowControl/>
                    <w:jc w:val="center"/>
                    <w:textAlignment w:val="bottom"/>
                    <w:rPr>
                      <w:kern w:val="0"/>
                      <w:sz w:val="21"/>
                      <w:szCs w:val="21"/>
                      <w:lang w:bidi="ar"/>
                    </w:rPr>
                  </w:pPr>
                </w:p>
              </w:tc>
            </w:tr>
            <w:tr w14:paraId="762D5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8CE2546">
                  <w:pPr>
                    <w:widowControl/>
                    <w:jc w:val="center"/>
                    <w:textAlignment w:val="bottom"/>
                    <w:rPr>
                      <w:kern w:val="0"/>
                      <w:sz w:val="21"/>
                      <w:szCs w:val="21"/>
                      <w:lang w:bidi="ar"/>
                    </w:rPr>
                  </w:pPr>
                  <w:r>
                    <w:rPr>
                      <w:rFonts w:hint="eastAsia"/>
                      <w:kern w:val="0"/>
                      <w:sz w:val="21"/>
                      <w:szCs w:val="21"/>
                      <w:lang w:bidi="ar"/>
                    </w:rPr>
                    <w:t>91</w:t>
                  </w:r>
                </w:p>
              </w:tc>
              <w:tc>
                <w:tcPr>
                  <w:tcW w:w="1588" w:type="pct"/>
                  <w:vAlign w:val="center"/>
                </w:tcPr>
                <w:p w14:paraId="23E796D3">
                  <w:pPr>
                    <w:widowControl/>
                    <w:jc w:val="center"/>
                    <w:textAlignment w:val="center"/>
                    <w:rPr>
                      <w:color w:val="auto"/>
                      <w:kern w:val="0"/>
                      <w:sz w:val="21"/>
                      <w:szCs w:val="21"/>
                      <w:lang w:bidi="ar"/>
                    </w:rPr>
                  </w:pPr>
                  <w:r>
                    <w:rPr>
                      <w:rFonts w:hint="eastAsia"/>
                      <w:color w:val="auto"/>
                      <w:kern w:val="0"/>
                      <w:sz w:val="21"/>
                      <w:szCs w:val="21"/>
                      <w:lang w:bidi="ar"/>
                    </w:rPr>
                    <w:t>氮气</w:t>
                  </w:r>
                </w:p>
              </w:tc>
              <w:tc>
                <w:tcPr>
                  <w:tcW w:w="773" w:type="pct"/>
                  <w:vAlign w:val="center"/>
                </w:tcPr>
                <w:p w14:paraId="66E4A362">
                  <w:pPr>
                    <w:widowControl/>
                    <w:jc w:val="center"/>
                    <w:textAlignment w:val="center"/>
                    <w:rPr>
                      <w:color w:val="auto"/>
                      <w:kern w:val="0"/>
                      <w:sz w:val="21"/>
                      <w:szCs w:val="21"/>
                      <w:lang w:bidi="ar"/>
                    </w:rPr>
                  </w:pPr>
                  <w:r>
                    <w:rPr>
                      <w:rFonts w:hint="eastAsia"/>
                      <w:color w:val="auto"/>
                      <w:kern w:val="0"/>
                      <w:sz w:val="21"/>
                      <w:szCs w:val="21"/>
                      <w:lang w:bidi="ar"/>
                    </w:rPr>
                    <w:t>40L/瓶</w:t>
                  </w:r>
                </w:p>
              </w:tc>
              <w:tc>
                <w:tcPr>
                  <w:tcW w:w="562" w:type="pct"/>
                  <w:vAlign w:val="center"/>
                </w:tcPr>
                <w:p w14:paraId="5622EACB">
                  <w:pPr>
                    <w:widowControl/>
                    <w:jc w:val="center"/>
                    <w:textAlignment w:val="center"/>
                    <w:rPr>
                      <w:color w:val="auto"/>
                      <w:kern w:val="0"/>
                      <w:sz w:val="21"/>
                      <w:szCs w:val="21"/>
                      <w:lang w:bidi="ar"/>
                    </w:rPr>
                  </w:pPr>
                  <w:r>
                    <w:rPr>
                      <w:rFonts w:hint="eastAsia"/>
                      <w:color w:val="auto"/>
                      <w:kern w:val="0"/>
                      <w:sz w:val="21"/>
                      <w:szCs w:val="21"/>
                      <w:lang w:bidi="ar"/>
                    </w:rPr>
                    <w:t>94瓶</w:t>
                  </w:r>
                </w:p>
              </w:tc>
              <w:tc>
                <w:tcPr>
                  <w:tcW w:w="740" w:type="pct"/>
                  <w:vAlign w:val="center"/>
                </w:tcPr>
                <w:p w14:paraId="4449198C">
                  <w:pPr>
                    <w:widowControl/>
                    <w:jc w:val="center"/>
                    <w:textAlignment w:val="center"/>
                    <w:rPr>
                      <w:color w:val="auto"/>
                      <w:kern w:val="0"/>
                      <w:sz w:val="21"/>
                      <w:szCs w:val="21"/>
                      <w:lang w:bidi="ar"/>
                    </w:rPr>
                  </w:pPr>
                  <w:r>
                    <w:rPr>
                      <w:rFonts w:hint="eastAsia"/>
                      <w:color w:val="auto"/>
                      <w:kern w:val="0"/>
                      <w:sz w:val="21"/>
                      <w:szCs w:val="21"/>
                      <w:lang w:bidi="ar"/>
                    </w:rPr>
                    <w:t>10瓶</w:t>
                  </w:r>
                </w:p>
              </w:tc>
              <w:tc>
                <w:tcPr>
                  <w:tcW w:w="554" w:type="pct"/>
                  <w:vMerge w:val="restart"/>
                  <w:vAlign w:val="center"/>
                </w:tcPr>
                <w:p w14:paraId="668B5989">
                  <w:pPr>
                    <w:widowControl/>
                    <w:jc w:val="center"/>
                    <w:textAlignment w:val="bottom"/>
                    <w:rPr>
                      <w:kern w:val="0"/>
                      <w:sz w:val="21"/>
                      <w:szCs w:val="21"/>
                      <w:lang w:bidi="ar"/>
                    </w:rPr>
                  </w:pPr>
                  <w:r>
                    <w:rPr>
                      <w:rFonts w:hint="eastAsia"/>
                      <w:kern w:val="0"/>
                      <w:sz w:val="21"/>
                      <w:szCs w:val="21"/>
                      <w:lang w:bidi="ar"/>
                    </w:rPr>
                    <w:t>气瓶室</w:t>
                  </w:r>
                </w:p>
              </w:tc>
              <w:tc>
                <w:tcPr>
                  <w:tcW w:w="426" w:type="pct"/>
                  <w:vMerge w:val="continue"/>
                  <w:vAlign w:val="center"/>
                </w:tcPr>
                <w:p w14:paraId="25B2DA5A">
                  <w:pPr>
                    <w:widowControl/>
                    <w:jc w:val="center"/>
                    <w:textAlignment w:val="bottom"/>
                    <w:rPr>
                      <w:rFonts w:hint="eastAsia"/>
                      <w:kern w:val="0"/>
                      <w:sz w:val="21"/>
                      <w:szCs w:val="21"/>
                      <w:lang w:bidi="ar"/>
                    </w:rPr>
                  </w:pPr>
                </w:p>
              </w:tc>
            </w:tr>
            <w:tr w14:paraId="156BC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8273663">
                  <w:pPr>
                    <w:widowControl/>
                    <w:jc w:val="center"/>
                    <w:textAlignment w:val="bottom"/>
                    <w:rPr>
                      <w:kern w:val="0"/>
                      <w:sz w:val="21"/>
                      <w:szCs w:val="21"/>
                      <w:lang w:bidi="ar"/>
                    </w:rPr>
                  </w:pPr>
                  <w:r>
                    <w:rPr>
                      <w:rFonts w:hint="eastAsia"/>
                      <w:kern w:val="0"/>
                      <w:sz w:val="21"/>
                      <w:szCs w:val="21"/>
                      <w:lang w:bidi="ar"/>
                    </w:rPr>
                    <w:t>92</w:t>
                  </w:r>
                </w:p>
              </w:tc>
              <w:tc>
                <w:tcPr>
                  <w:tcW w:w="1588" w:type="pct"/>
                  <w:vAlign w:val="center"/>
                </w:tcPr>
                <w:p w14:paraId="088A2E97">
                  <w:pPr>
                    <w:widowControl/>
                    <w:jc w:val="center"/>
                    <w:textAlignment w:val="center"/>
                    <w:rPr>
                      <w:kern w:val="0"/>
                      <w:sz w:val="21"/>
                      <w:szCs w:val="21"/>
                      <w:lang w:bidi="ar"/>
                    </w:rPr>
                  </w:pPr>
                  <w:r>
                    <w:rPr>
                      <w:rFonts w:hint="eastAsia"/>
                      <w:kern w:val="0"/>
                      <w:sz w:val="21"/>
                      <w:szCs w:val="21"/>
                      <w:lang w:bidi="ar"/>
                    </w:rPr>
                    <w:t>氦气</w:t>
                  </w:r>
                </w:p>
              </w:tc>
              <w:tc>
                <w:tcPr>
                  <w:tcW w:w="773" w:type="pct"/>
                  <w:vAlign w:val="center"/>
                </w:tcPr>
                <w:p w14:paraId="698F44C0">
                  <w:pPr>
                    <w:widowControl/>
                    <w:jc w:val="center"/>
                    <w:textAlignment w:val="center"/>
                    <w:rPr>
                      <w:kern w:val="0"/>
                      <w:sz w:val="21"/>
                      <w:szCs w:val="21"/>
                      <w:lang w:bidi="ar"/>
                    </w:rPr>
                  </w:pPr>
                  <w:r>
                    <w:rPr>
                      <w:rFonts w:hint="eastAsia"/>
                      <w:kern w:val="0"/>
                      <w:sz w:val="21"/>
                      <w:szCs w:val="21"/>
                      <w:lang w:bidi="ar"/>
                    </w:rPr>
                    <w:t>40L/瓶</w:t>
                  </w:r>
                </w:p>
              </w:tc>
              <w:tc>
                <w:tcPr>
                  <w:tcW w:w="562" w:type="pct"/>
                  <w:vAlign w:val="center"/>
                </w:tcPr>
                <w:p w14:paraId="7C359697">
                  <w:pPr>
                    <w:widowControl/>
                    <w:jc w:val="center"/>
                    <w:textAlignment w:val="center"/>
                    <w:rPr>
                      <w:kern w:val="0"/>
                      <w:sz w:val="21"/>
                      <w:szCs w:val="21"/>
                      <w:lang w:bidi="ar"/>
                    </w:rPr>
                  </w:pPr>
                  <w:r>
                    <w:rPr>
                      <w:rFonts w:hint="eastAsia"/>
                      <w:kern w:val="0"/>
                      <w:sz w:val="21"/>
                      <w:szCs w:val="21"/>
                      <w:lang w:bidi="ar"/>
                    </w:rPr>
                    <w:t>2瓶</w:t>
                  </w:r>
                </w:p>
              </w:tc>
              <w:tc>
                <w:tcPr>
                  <w:tcW w:w="740" w:type="pct"/>
                  <w:vAlign w:val="center"/>
                </w:tcPr>
                <w:p w14:paraId="58C9BEE3">
                  <w:pPr>
                    <w:widowControl/>
                    <w:jc w:val="center"/>
                    <w:textAlignment w:val="center"/>
                    <w:rPr>
                      <w:kern w:val="0"/>
                      <w:sz w:val="21"/>
                      <w:szCs w:val="21"/>
                      <w:lang w:bidi="ar"/>
                    </w:rPr>
                  </w:pPr>
                  <w:r>
                    <w:rPr>
                      <w:rFonts w:hint="eastAsia"/>
                      <w:kern w:val="0"/>
                      <w:sz w:val="21"/>
                      <w:szCs w:val="21"/>
                      <w:lang w:bidi="ar"/>
                    </w:rPr>
                    <w:t>2瓶</w:t>
                  </w:r>
                </w:p>
              </w:tc>
              <w:tc>
                <w:tcPr>
                  <w:tcW w:w="554" w:type="pct"/>
                  <w:vMerge w:val="continue"/>
                  <w:vAlign w:val="center"/>
                </w:tcPr>
                <w:p w14:paraId="57C83BA8">
                  <w:pPr>
                    <w:widowControl/>
                    <w:jc w:val="center"/>
                    <w:textAlignment w:val="bottom"/>
                    <w:rPr>
                      <w:kern w:val="0"/>
                      <w:sz w:val="21"/>
                      <w:szCs w:val="21"/>
                      <w:lang w:bidi="ar"/>
                    </w:rPr>
                  </w:pPr>
                </w:p>
              </w:tc>
              <w:tc>
                <w:tcPr>
                  <w:tcW w:w="426" w:type="pct"/>
                  <w:vMerge w:val="continue"/>
                  <w:vAlign w:val="center"/>
                </w:tcPr>
                <w:p w14:paraId="3D823B1F">
                  <w:pPr>
                    <w:widowControl/>
                    <w:jc w:val="center"/>
                    <w:textAlignment w:val="bottom"/>
                    <w:rPr>
                      <w:kern w:val="0"/>
                      <w:sz w:val="21"/>
                      <w:szCs w:val="21"/>
                      <w:lang w:bidi="ar"/>
                    </w:rPr>
                  </w:pPr>
                </w:p>
              </w:tc>
            </w:tr>
            <w:tr w14:paraId="2D914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50FE249F">
                  <w:pPr>
                    <w:widowControl/>
                    <w:jc w:val="center"/>
                    <w:textAlignment w:val="bottom"/>
                    <w:rPr>
                      <w:kern w:val="0"/>
                      <w:sz w:val="21"/>
                      <w:szCs w:val="21"/>
                      <w:lang w:bidi="ar"/>
                    </w:rPr>
                  </w:pPr>
                  <w:r>
                    <w:rPr>
                      <w:rFonts w:hint="eastAsia"/>
                      <w:kern w:val="0"/>
                      <w:sz w:val="21"/>
                      <w:szCs w:val="21"/>
                      <w:lang w:bidi="ar"/>
                    </w:rPr>
                    <w:t>93</w:t>
                  </w:r>
                </w:p>
              </w:tc>
              <w:tc>
                <w:tcPr>
                  <w:tcW w:w="1588" w:type="pct"/>
                  <w:vAlign w:val="center"/>
                </w:tcPr>
                <w:p w14:paraId="4557AB0C">
                  <w:pPr>
                    <w:widowControl/>
                    <w:jc w:val="center"/>
                    <w:textAlignment w:val="center"/>
                    <w:rPr>
                      <w:kern w:val="0"/>
                      <w:sz w:val="21"/>
                      <w:szCs w:val="21"/>
                      <w:lang w:bidi="ar"/>
                    </w:rPr>
                  </w:pPr>
                  <w:r>
                    <w:rPr>
                      <w:rFonts w:hint="eastAsia"/>
                      <w:kern w:val="0"/>
                      <w:sz w:val="21"/>
                      <w:szCs w:val="21"/>
                      <w:lang w:bidi="ar"/>
                    </w:rPr>
                    <w:t>氩气</w:t>
                  </w:r>
                </w:p>
              </w:tc>
              <w:tc>
                <w:tcPr>
                  <w:tcW w:w="773" w:type="pct"/>
                  <w:vAlign w:val="center"/>
                </w:tcPr>
                <w:p w14:paraId="7D7B368E">
                  <w:pPr>
                    <w:widowControl/>
                    <w:jc w:val="center"/>
                    <w:textAlignment w:val="center"/>
                    <w:rPr>
                      <w:kern w:val="0"/>
                      <w:sz w:val="21"/>
                      <w:szCs w:val="21"/>
                      <w:lang w:bidi="ar"/>
                    </w:rPr>
                  </w:pPr>
                  <w:r>
                    <w:rPr>
                      <w:rFonts w:hint="eastAsia"/>
                      <w:kern w:val="0"/>
                      <w:sz w:val="21"/>
                      <w:szCs w:val="21"/>
                      <w:lang w:bidi="ar"/>
                    </w:rPr>
                    <w:t>40L/瓶</w:t>
                  </w:r>
                </w:p>
              </w:tc>
              <w:tc>
                <w:tcPr>
                  <w:tcW w:w="562" w:type="pct"/>
                  <w:vAlign w:val="center"/>
                </w:tcPr>
                <w:p w14:paraId="2F1BBEFC">
                  <w:pPr>
                    <w:widowControl/>
                    <w:jc w:val="center"/>
                    <w:textAlignment w:val="center"/>
                    <w:rPr>
                      <w:kern w:val="0"/>
                      <w:sz w:val="21"/>
                      <w:szCs w:val="21"/>
                      <w:lang w:bidi="ar"/>
                    </w:rPr>
                  </w:pPr>
                  <w:r>
                    <w:rPr>
                      <w:rFonts w:hint="eastAsia"/>
                      <w:kern w:val="0"/>
                      <w:sz w:val="21"/>
                      <w:szCs w:val="21"/>
                      <w:lang w:bidi="ar"/>
                    </w:rPr>
                    <w:t>164瓶</w:t>
                  </w:r>
                </w:p>
              </w:tc>
              <w:tc>
                <w:tcPr>
                  <w:tcW w:w="740" w:type="pct"/>
                  <w:vAlign w:val="center"/>
                </w:tcPr>
                <w:p w14:paraId="78073EC8">
                  <w:pPr>
                    <w:widowControl/>
                    <w:jc w:val="center"/>
                    <w:textAlignment w:val="center"/>
                    <w:rPr>
                      <w:kern w:val="0"/>
                      <w:sz w:val="21"/>
                      <w:szCs w:val="21"/>
                      <w:lang w:bidi="ar"/>
                    </w:rPr>
                  </w:pPr>
                  <w:r>
                    <w:rPr>
                      <w:rFonts w:hint="eastAsia"/>
                      <w:kern w:val="0"/>
                      <w:sz w:val="21"/>
                      <w:szCs w:val="21"/>
                      <w:lang w:bidi="ar"/>
                    </w:rPr>
                    <w:t>4瓶</w:t>
                  </w:r>
                </w:p>
              </w:tc>
              <w:tc>
                <w:tcPr>
                  <w:tcW w:w="554" w:type="pct"/>
                  <w:vMerge w:val="continue"/>
                  <w:vAlign w:val="center"/>
                </w:tcPr>
                <w:p w14:paraId="7B23608A">
                  <w:pPr>
                    <w:widowControl/>
                    <w:jc w:val="center"/>
                    <w:textAlignment w:val="bottom"/>
                    <w:rPr>
                      <w:kern w:val="0"/>
                      <w:sz w:val="21"/>
                      <w:szCs w:val="21"/>
                      <w:lang w:bidi="ar"/>
                    </w:rPr>
                  </w:pPr>
                </w:p>
              </w:tc>
              <w:tc>
                <w:tcPr>
                  <w:tcW w:w="426" w:type="pct"/>
                  <w:vMerge w:val="continue"/>
                  <w:vAlign w:val="center"/>
                </w:tcPr>
                <w:p w14:paraId="7680EEB4">
                  <w:pPr>
                    <w:widowControl/>
                    <w:jc w:val="center"/>
                    <w:textAlignment w:val="bottom"/>
                    <w:rPr>
                      <w:kern w:val="0"/>
                      <w:sz w:val="21"/>
                      <w:szCs w:val="21"/>
                      <w:lang w:bidi="ar"/>
                    </w:rPr>
                  </w:pPr>
                </w:p>
              </w:tc>
            </w:tr>
            <w:tr w14:paraId="6C412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Align w:val="center"/>
                </w:tcPr>
                <w:p w14:paraId="1FB3B5D0">
                  <w:pPr>
                    <w:widowControl/>
                    <w:jc w:val="center"/>
                    <w:textAlignment w:val="bottom"/>
                    <w:rPr>
                      <w:kern w:val="0"/>
                      <w:sz w:val="21"/>
                      <w:szCs w:val="21"/>
                      <w:lang w:bidi="ar"/>
                    </w:rPr>
                  </w:pPr>
                  <w:r>
                    <w:rPr>
                      <w:rFonts w:hint="eastAsia"/>
                      <w:kern w:val="0"/>
                      <w:sz w:val="21"/>
                      <w:szCs w:val="21"/>
                      <w:lang w:bidi="ar"/>
                    </w:rPr>
                    <w:t>94</w:t>
                  </w:r>
                </w:p>
              </w:tc>
              <w:tc>
                <w:tcPr>
                  <w:tcW w:w="1588" w:type="pct"/>
                  <w:vAlign w:val="center"/>
                </w:tcPr>
                <w:p w14:paraId="2C0F61E9">
                  <w:pPr>
                    <w:widowControl/>
                    <w:jc w:val="center"/>
                    <w:textAlignment w:val="center"/>
                    <w:rPr>
                      <w:kern w:val="0"/>
                      <w:sz w:val="21"/>
                      <w:szCs w:val="21"/>
                      <w:lang w:bidi="ar"/>
                    </w:rPr>
                  </w:pPr>
                  <w:r>
                    <w:rPr>
                      <w:rFonts w:hint="eastAsia"/>
                      <w:kern w:val="0"/>
                      <w:sz w:val="21"/>
                      <w:szCs w:val="21"/>
                      <w:lang w:bidi="ar"/>
                    </w:rPr>
                    <w:t>乙炔</w:t>
                  </w:r>
                </w:p>
              </w:tc>
              <w:tc>
                <w:tcPr>
                  <w:tcW w:w="773" w:type="pct"/>
                  <w:vAlign w:val="center"/>
                </w:tcPr>
                <w:p w14:paraId="5881DCB4">
                  <w:pPr>
                    <w:widowControl/>
                    <w:jc w:val="center"/>
                    <w:textAlignment w:val="center"/>
                    <w:rPr>
                      <w:kern w:val="0"/>
                      <w:sz w:val="21"/>
                      <w:szCs w:val="21"/>
                      <w:lang w:bidi="ar"/>
                    </w:rPr>
                  </w:pPr>
                  <w:r>
                    <w:rPr>
                      <w:rFonts w:hint="eastAsia"/>
                      <w:kern w:val="0"/>
                      <w:sz w:val="21"/>
                      <w:szCs w:val="21"/>
                      <w:lang w:bidi="ar"/>
                    </w:rPr>
                    <w:t>60L/瓶</w:t>
                  </w:r>
                </w:p>
              </w:tc>
              <w:tc>
                <w:tcPr>
                  <w:tcW w:w="562" w:type="pct"/>
                  <w:vAlign w:val="center"/>
                </w:tcPr>
                <w:p w14:paraId="1070C43B">
                  <w:pPr>
                    <w:widowControl/>
                    <w:jc w:val="center"/>
                    <w:textAlignment w:val="center"/>
                    <w:rPr>
                      <w:kern w:val="0"/>
                      <w:sz w:val="21"/>
                      <w:szCs w:val="21"/>
                      <w:lang w:bidi="ar"/>
                    </w:rPr>
                  </w:pPr>
                  <w:r>
                    <w:rPr>
                      <w:rFonts w:hint="eastAsia"/>
                      <w:kern w:val="0"/>
                      <w:sz w:val="21"/>
                      <w:szCs w:val="21"/>
                      <w:lang w:bidi="ar"/>
                    </w:rPr>
                    <w:t>3瓶</w:t>
                  </w:r>
                </w:p>
              </w:tc>
              <w:tc>
                <w:tcPr>
                  <w:tcW w:w="740" w:type="pct"/>
                  <w:vAlign w:val="center"/>
                </w:tcPr>
                <w:p w14:paraId="444FB802">
                  <w:pPr>
                    <w:widowControl/>
                    <w:jc w:val="center"/>
                    <w:textAlignment w:val="center"/>
                    <w:rPr>
                      <w:kern w:val="0"/>
                      <w:sz w:val="21"/>
                      <w:szCs w:val="21"/>
                      <w:lang w:bidi="ar"/>
                    </w:rPr>
                  </w:pPr>
                  <w:r>
                    <w:rPr>
                      <w:rFonts w:hint="eastAsia"/>
                      <w:kern w:val="0"/>
                      <w:sz w:val="21"/>
                      <w:szCs w:val="21"/>
                      <w:lang w:bidi="ar"/>
                    </w:rPr>
                    <w:t>1瓶</w:t>
                  </w:r>
                </w:p>
              </w:tc>
              <w:tc>
                <w:tcPr>
                  <w:tcW w:w="554" w:type="pct"/>
                  <w:vMerge w:val="continue"/>
                  <w:vAlign w:val="center"/>
                </w:tcPr>
                <w:p w14:paraId="4B1E26BB">
                  <w:pPr>
                    <w:widowControl/>
                    <w:jc w:val="center"/>
                    <w:textAlignment w:val="bottom"/>
                    <w:rPr>
                      <w:kern w:val="0"/>
                      <w:sz w:val="21"/>
                      <w:szCs w:val="21"/>
                      <w:lang w:bidi="ar"/>
                    </w:rPr>
                  </w:pPr>
                </w:p>
              </w:tc>
              <w:tc>
                <w:tcPr>
                  <w:tcW w:w="426" w:type="pct"/>
                  <w:vMerge w:val="continue"/>
                  <w:vAlign w:val="center"/>
                </w:tcPr>
                <w:p w14:paraId="084B2955">
                  <w:pPr>
                    <w:widowControl/>
                    <w:jc w:val="center"/>
                    <w:textAlignment w:val="bottom"/>
                    <w:rPr>
                      <w:kern w:val="0"/>
                      <w:sz w:val="21"/>
                      <w:szCs w:val="21"/>
                      <w:lang w:bidi="ar"/>
                    </w:rPr>
                  </w:pPr>
                </w:p>
              </w:tc>
            </w:tr>
          </w:tbl>
          <w:p w14:paraId="4BD1197C">
            <w:pPr>
              <w:widowControl/>
              <w:spacing w:before="156" w:beforeLines="50"/>
              <w:contextualSpacing/>
              <w:jc w:val="center"/>
              <w:rPr>
                <w:b/>
                <w:sz w:val="21"/>
                <w:szCs w:val="21"/>
              </w:rPr>
            </w:pPr>
            <w:r>
              <w:rPr>
                <w:b/>
                <w:bCs/>
                <w:kern w:val="0"/>
                <w:sz w:val="21"/>
                <w:szCs w:val="21"/>
              </w:rPr>
              <w:t>表2-</w:t>
            </w:r>
            <w:r>
              <w:rPr>
                <w:rFonts w:hint="eastAsia"/>
                <w:b/>
                <w:bCs/>
                <w:kern w:val="0"/>
                <w:sz w:val="21"/>
                <w:szCs w:val="21"/>
              </w:rPr>
              <w:t>5</w:t>
            </w:r>
            <w:r>
              <w:rPr>
                <w:b/>
                <w:bCs/>
                <w:kern w:val="0"/>
                <w:sz w:val="21"/>
                <w:szCs w:val="21"/>
              </w:rPr>
              <w:t xml:space="preserve">  项目主要</w:t>
            </w:r>
            <w:r>
              <w:rPr>
                <w:rFonts w:hint="eastAsia"/>
                <w:b/>
                <w:bCs/>
                <w:kern w:val="0"/>
                <w:sz w:val="21"/>
                <w:szCs w:val="21"/>
              </w:rPr>
              <w:t>能源消耗一览表</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2545"/>
              <w:gridCol w:w="2191"/>
              <w:gridCol w:w="2088"/>
            </w:tblGrid>
            <w:tr w14:paraId="5F1BD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9" w:type="pct"/>
                  <w:vAlign w:val="center"/>
                </w:tcPr>
                <w:p w14:paraId="44E21AB1">
                  <w:pPr>
                    <w:jc w:val="center"/>
                    <w:rPr>
                      <w:b/>
                      <w:sz w:val="21"/>
                      <w:szCs w:val="21"/>
                    </w:rPr>
                  </w:pPr>
                  <w:r>
                    <w:rPr>
                      <w:b/>
                      <w:sz w:val="21"/>
                      <w:szCs w:val="21"/>
                    </w:rPr>
                    <w:t>序号</w:t>
                  </w:r>
                </w:p>
              </w:tc>
              <w:tc>
                <w:tcPr>
                  <w:tcW w:w="1604" w:type="pct"/>
                  <w:vAlign w:val="center"/>
                </w:tcPr>
                <w:p w14:paraId="48C577DB">
                  <w:pPr>
                    <w:jc w:val="center"/>
                    <w:rPr>
                      <w:b/>
                      <w:sz w:val="21"/>
                      <w:szCs w:val="21"/>
                    </w:rPr>
                  </w:pPr>
                  <w:r>
                    <w:rPr>
                      <w:b/>
                      <w:sz w:val="21"/>
                      <w:szCs w:val="21"/>
                    </w:rPr>
                    <w:t>主要成分</w:t>
                  </w:r>
                </w:p>
              </w:tc>
              <w:tc>
                <w:tcPr>
                  <w:tcW w:w="1380" w:type="pct"/>
                  <w:vAlign w:val="center"/>
                </w:tcPr>
                <w:p w14:paraId="2B57AC9A">
                  <w:pPr>
                    <w:jc w:val="center"/>
                    <w:rPr>
                      <w:b/>
                      <w:sz w:val="21"/>
                      <w:szCs w:val="21"/>
                    </w:rPr>
                  </w:pPr>
                  <w:r>
                    <w:rPr>
                      <w:b/>
                      <w:sz w:val="21"/>
                      <w:szCs w:val="21"/>
                    </w:rPr>
                    <w:t>年用量</w:t>
                  </w:r>
                </w:p>
              </w:tc>
              <w:tc>
                <w:tcPr>
                  <w:tcW w:w="1315" w:type="pct"/>
                  <w:vAlign w:val="center"/>
                </w:tcPr>
                <w:p w14:paraId="520E2A04">
                  <w:pPr>
                    <w:jc w:val="center"/>
                    <w:rPr>
                      <w:b/>
                      <w:sz w:val="21"/>
                      <w:szCs w:val="21"/>
                    </w:rPr>
                  </w:pPr>
                  <w:r>
                    <w:rPr>
                      <w:b/>
                      <w:sz w:val="21"/>
                      <w:szCs w:val="21"/>
                    </w:rPr>
                    <w:t>备注</w:t>
                  </w:r>
                </w:p>
              </w:tc>
            </w:tr>
            <w:tr w14:paraId="09307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9" w:type="pct"/>
                  <w:vAlign w:val="center"/>
                </w:tcPr>
                <w:p w14:paraId="6D435E78">
                  <w:pPr>
                    <w:jc w:val="center"/>
                    <w:rPr>
                      <w:sz w:val="21"/>
                      <w:szCs w:val="21"/>
                    </w:rPr>
                  </w:pPr>
                  <w:r>
                    <w:rPr>
                      <w:sz w:val="21"/>
                      <w:szCs w:val="21"/>
                    </w:rPr>
                    <w:t>1</w:t>
                  </w:r>
                </w:p>
              </w:tc>
              <w:tc>
                <w:tcPr>
                  <w:tcW w:w="1604" w:type="pct"/>
                  <w:vAlign w:val="center"/>
                </w:tcPr>
                <w:p w14:paraId="6AFDA1E9">
                  <w:pPr>
                    <w:jc w:val="center"/>
                    <w:rPr>
                      <w:sz w:val="21"/>
                      <w:szCs w:val="21"/>
                    </w:rPr>
                  </w:pPr>
                  <w:r>
                    <w:rPr>
                      <w:rFonts w:hint="eastAsia"/>
                      <w:sz w:val="21"/>
                      <w:szCs w:val="21"/>
                    </w:rPr>
                    <w:t>自来水</w:t>
                  </w:r>
                </w:p>
              </w:tc>
              <w:tc>
                <w:tcPr>
                  <w:tcW w:w="1380" w:type="pct"/>
                  <w:vAlign w:val="center"/>
                </w:tcPr>
                <w:p w14:paraId="09AA0692">
                  <w:pPr>
                    <w:jc w:val="center"/>
                    <w:rPr>
                      <w:color w:val="auto"/>
                      <w:sz w:val="21"/>
                      <w:szCs w:val="21"/>
                    </w:rPr>
                  </w:pPr>
                  <w:r>
                    <w:rPr>
                      <w:rFonts w:hint="eastAsia"/>
                      <w:color w:val="auto"/>
                      <w:sz w:val="21"/>
                      <w:szCs w:val="21"/>
                    </w:rPr>
                    <w:t>1048.5m</w:t>
                  </w:r>
                  <w:r>
                    <w:rPr>
                      <w:rFonts w:hint="eastAsia"/>
                      <w:color w:val="auto"/>
                      <w:sz w:val="21"/>
                      <w:szCs w:val="21"/>
                      <w:vertAlign w:val="superscript"/>
                    </w:rPr>
                    <w:t>3</w:t>
                  </w:r>
                  <w:r>
                    <w:rPr>
                      <w:rFonts w:hint="eastAsia"/>
                      <w:color w:val="auto"/>
                      <w:sz w:val="21"/>
                      <w:szCs w:val="21"/>
                    </w:rPr>
                    <w:t>/a</w:t>
                  </w:r>
                </w:p>
              </w:tc>
              <w:tc>
                <w:tcPr>
                  <w:tcW w:w="1315" w:type="pct"/>
                  <w:vAlign w:val="center"/>
                </w:tcPr>
                <w:p w14:paraId="661B4F27">
                  <w:pPr>
                    <w:jc w:val="center"/>
                    <w:rPr>
                      <w:sz w:val="21"/>
                      <w:szCs w:val="21"/>
                    </w:rPr>
                  </w:pPr>
                  <w:r>
                    <w:rPr>
                      <w:sz w:val="21"/>
                      <w:szCs w:val="21"/>
                    </w:rPr>
                    <w:t>市政自来水管网</w:t>
                  </w:r>
                </w:p>
              </w:tc>
            </w:tr>
            <w:tr w14:paraId="25B65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9" w:type="pct"/>
                  <w:vAlign w:val="center"/>
                </w:tcPr>
                <w:p w14:paraId="5BE4B30A">
                  <w:pPr>
                    <w:jc w:val="center"/>
                    <w:rPr>
                      <w:sz w:val="21"/>
                      <w:szCs w:val="21"/>
                    </w:rPr>
                  </w:pPr>
                  <w:r>
                    <w:rPr>
                      <w:rFonts w:hint="eastAsia"/>
                      <w:sz w:val="21"/>
                      <w:szCs w:val="21"/>
                    </w:rPr>
                    <w:t>2</w:t>
                  </w:r>
                </w:p>
              </w:tc>
              <w:tc>
                <w:tcPr>
                  <w:tcW w:w="1604" w:type="pct"/>
                  <w:vAlign w:val="center"/>
                </w:tcPr>
                <w:p w14:paraId="05C39E42">
                  <w:pPr>
                    <w:jc w:val="center"/>
                    <w:rPr>
                      <w:sz w:val="21"/>
                      <w:szCs w:val="21"/>
                    </w:rPr>
                  </w:pPr>
                  <w:r>
                    <w:rPr>
                      <w:sz w:val="21"/>
                      <w:szCs w:val="21"/>
                    </w:rPr>
                    <w:t>电</w:t>
                  </w:r>
                </w:p>
              </w:tc>
              <w:tc>
                <w:tcPr>
                  <w:tcW w:w="1380" w:type="pct"/>
                  <w:vAlign w:val="center"/>
                </w:tcPr>
                <w:p w14:paraId="07973857">
                  <w:pPr>
                    <w:jc w:val="center"/>
                    <w:rPr>
                      <w:color w:val="auto"/>
                      <w:sz w:val="21"/>
                      <w:szCs w:val="21"/>
                      <w:highlight w:val="magenta"/>
                    </w:rPr>
                  </w:pPr>
                  <w:r>
                    <w:rPr>
                      <w:rFonts w:hint="eastAsia"/>
                      <w:color w:val="auto"/>
                      <w:sz w:val="21"/>
                      <w:szCs w:val="21"/>
                    </w:rPr>
                    <w:t>2万</w:t>
                  </w:r>
                  <w:r>
                    <w:rPr>
                      <w:color w:val="auto"/>
                      <w:sz w:val="21"/>
                      <w:szCs w:val="21"/>
                    </w:rPr>
                    <w:t>kW·h</w:t>
                  </w:r>
                </w:p>
              </w:tc>
              <w:tc>
                <w:tcPr>
                  <w:tcW w:w="1315" w:type="pct"/>
                  <w:vAlign w:val="center"/>
                </w:tcPr>
                <w:p w14:paraId="669AC817">
                  <w:pPr>
                    <w:jc w:val="center"/>
                    <w:rPr>
                      <w:sz w:val="21"/>
                      <w:szCs w:val="21"/>
                    </w:rPr>
                  </w:pPr>
                  <w:r>
                    <w:rPr>
                      <w:rFonts w:hint="eastAsia"/>
                      <w:sz w:val="21"/>
                      <w:szCs w:val="21"/>
                    </w:rPr>
                    <w:t>市政电网</w:t>
                  </w:r>
                </w:p>
              </w:tc>
            </w:tr>
          </w:tbl>
          <w:p w14:paraId="253E59CA">
            <w:pPr>
              <w:spacing w:line="360" w:lineRule="auto"/>
              <w:ind w:firstLine="480" w:firstLineChars="200"/>
              <w:rPr>
                <w:bCs/>
                <w:color w:val="auto"/>
                <w:kern w:val="0"/>
              </w:rPr>
            </w:pPr>
            <w:r>
              <w:rPr>
                <w:rFonts w:hint="eastAsia"/>
                <w:bCs/>
                <w:color w:val="auto"/>
                <w:kern w:val="0"/>
              </w:rPr>
              <w:t>根据实验试剂有毒有害特性及使用情况，在此给出主要原辅材料理化性质，详见表2-6。</w:t>
            </w:r>
          </w:p>
          <w:p w14:paraId="784FB0E7">
            <w:pPr>
              <w:widowControl/>
              <w:contextualSpacing/>
              <w:jc w:val="center"/>
              <w:rPr>
                <w:b/>
                <w:bCs/>
                <w:kern w:val="0"/>
                <w:sz w:val="21"/>
                <w:szCs w:val="21"/>
              </w:rPr>
            </w:pPr>
            <w:r>
              <w:rPr>
                <w:b/>
                <w:bCs/>
                <w:kern w:val="0"/>
                <w:sz w:val="21"/>
                <w:szCs w:val="21"/>
              </w:rPr>
              <w:t>表2-</w:t>
            </w:r>
            <w:r>
              <w:rPr>
                <w:rFonts w:hint="eastAsia"/>
                <w:b/>
                <w:bCs/>
                <w:kern w:val="0"/>
                <w:sz w:val="21"/>
                <w:szCs w:val="21"/>
              </w:rPr>
              <w:t>6</w:t>
            </w:r>
            <w:r>
              <w:rPr>
                <w:b/>
                <w:bCs/>
                <w:kern w:val="0"/>
                <w:sz w:val="21"/>
                <w:szCs w:val="21"/>
              </w:rPr>
              <w:t xml:space="preserve">  项目主要原辅材料理化性质一览表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141"/>
              <w:gridCol w:w="6096"/>
            </w:tblGrid>
            <w:tr w14:paraId="137A6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29483D04">
                  <w:pPr>
                    <w:widowControl/>
                    <w:contextualSpacing/>
                    <w:jc w:val="center"/>
                    <w:rPr>
                      <w:b/>
                      <w:bCs/>
                      <w:kern w:val="0"/>
                      <w:sz w:val="21"/>
                      <w:szCs w:val="21"/>
                    </w:rPr>
                  </w:pPr>
                  <w:r>
                    <w:rPr>
                      <w:b/>
                      <w:bCs/>
                      <w:kern w:val="0"/>
                      <w:sz w:val="21"/>
                      <w:szCs w:val="21"/>
                    </w:rPr>
                    <w:t>序号</w:t>
                  </w:r>
                </w:p>
              </w:tc>
              <w:tc>
                <w:tcPr>
                  <w:tcW w:w="719" w:type="pct"/>
                  <w:shd w:val="clear" w:color="auto" w:fill="auto"/>
                  <w:vAlign w:val="center"/>
                </w:tcPr>
                <w:p w14:paraId="10E2D1A4">
                  <w:pPr>
                    <w:widowControl/>
                    <w:contextualSpacing/>
                    <w:jc w:val="center"/>
                    <w:rPr>
                      <w:b/>
                      <w:bCs/>
                      <w:kern w:val="0"/>
                      <w:sz w:val="21"/>
                      <w:szCs w:val="21"/>
                    </w:rPr>
                  </w:pPr>
                  <w:r>
                    <w:rPr>
                      <w:b/>
                      <w:bCs/>
                      <w:kern w:val="0"/>
                      <w:sz w:val="21"/>
                      <w:szCs w:val="21"/>
                    </w:rPr>
                    <w:t>名称</w:t>
                  </w:r>
                </w:p>
              </w:tc>
              <w:tc>
                <w:tcPr>
                  <w:tcW w:w="3840" w:type="pct"/>
                  <w:shd w:val="clear" w:color="auto" w:fill="auto"/>
                  <w:vAlign w:val="center"/>
                </w:tcPr>
                <w:p w14:paraId="6EC4E843">
                  <w:pPr>
                    <w:widowControl/>
                    <w:contextualSpacing/>
                    <w:jc w:val="center"/>
                    <w:rPr>
                      <w:b/>
                      <w:bCs/>
                      <w:kern w:val="0"/>
                      <w:sz w:val="21"/>
                      <w:szCs w:val="21"/>
                    </w:rPr>
                  </w:pPr>
                  <w:r>
                    <w:rPr>
                      <w:b/>
                      <w:bCs/>
                      <w:kern w:val="0"/>
                      <w:sz w:val="21"/>
                      <w:szCs w:val="21"/>
                    </w:rPr>
                    <w:t>基本理化性质</w:t>
                  </w:r>
                </w:p>
              </w:tc>
            </w:tr>
            <w:tr w14:paraId="138A4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69F58532">
                  <w:pPr>
                    <w:widowControl/>
                    <w:contextualSpacing/>
                    <w:jc w:val="center"/>
                    <w:rPr>
                      <w:kern w:val="0"/>
                      <w:sz w:val="21"/>
                      <w:szCs w:val="21"/>
                    </w:rPr>
                  </w:pPr>
                  <w:r>
                    <w:rPr>
                      <w:rFonts w:hint="eastAsia"/>
                      <w:kern w:val="0"/>
                      <w:sz w:val="21"/>
                      <w:szCs w:val="21"/>
                    </w:rPr>
                    <w:t>1</w:t>
                  </w:r>
                </w:p>
              </w:tc>
              <w:tc>
                <w:tcPr>
                  <w:tcW w:w="719" w:type="pct"/>
                  <w:shd w:val="clear" w:color="auto" w:fill="auto"/>
                  <w:vAlign w:val="center"/>
                </w:tcPr>
                <w:p w14:paraId="2760D18E">
                  <w:pPr>
                    <w:widowControl/>
                    <w:contextualSpacing/>
                    <w:jc w:val="center"/>
                    <w:rPr>
                      <w:sz w:val="21"/>
                      <w:szCs w:val="21"/>
                    </w:rPr>
                  </w:pPr>
                  <w:r>
                    <w:rPr>
                      <w:sz w:val="21"/>
                      <w:szCs w:val="21"/>
                    </w:rPr>
                    <w:t>正己烷</w:t>
                  </w:r>
                </w:p>
              </w:tc>
              <w:tc>
                <w:tcPr>
                  <w:tcW w:w="3840" w:type="pct"/>
                  <w:shd w:val="clear" w:color="auto" w:fill="auto"/>
                  <w:vAlign w:val="center"/>
                </w:tcPr>
                <w:p w14:paraId="3DCB2DB1">
                  <w:pPr>
                    <w:widowControl/>
                    <w:contextualSpacing/>
                    <w:rPr>
                      <w:sz w:val="21"/>
                      <w:szCs w:val="21"/>
                    </w:rPr>
                  </w:pPr>
                  <w:r>
                    <w:rPr>
                      <w:sz w:val="21"/>
                      <w:szCs w:val="21"/>
                    </w:rPr>
                    <w:t>C</w:t>
                  </w:r>
                  <w:r>
                    <w:rPr>
                      <w:sz w:val="21"/>
                      <w:szCs w:val="21"/>
                      <w:vertAlign w:val="subscript"/>
                    </w:rPr>
                    <w:t>6</w:t>
                  </w:r>
                  <w:r>
                    <w:rPr>
                      <w:sz w:val="21"/>
                      <w:szCs w:val="21"/>
                    </w:rPr>
                    <w:t>H</w:t>
                  </w:r>
                  <w:r>
                    <w:rPr>
                      <w:sz w:val="21"/>
                      <w:szCs w:val="21"/>
                      <w:vertAlign w:val="subscript"/>
                    </w:rPr>
                    <w:t>14</w:t>
                  </w:r>
                  <w:r>
                    <w:rPr>
                      <w:sz w:val="21"/>
                      <w:szCs w:val="21"/>
                    </w:rPr>
                    <w:t>，是低毒、有微弱的特殊气味的无色液体，熔点：-95℃，沸点：69℃（lit.），闪点：30°F，密度：0.692g/mL at 20℃，不溶于水，可与乙醚、氯仿混溶，溶于丙酮，在乙醇中的溶解度为100份乙醇溶解50份正己烷（33摄氏度）。极易燃，其蒸气与空气可形成爆炸性混合物。遇明火、高热极易燃烧爆炸。与氧化剂接触发生强烈反应，甚至引起燃烧。在火场中，受热的容器有爆炸危险。其蒸气比空气重，能在较低处扩散到相当远的地方，遇明火会引着回燃。正己烷是一种化学溶剂，主要用于丙烯等烯烃聚合时的溶剂、食用植物油的提取剂、橡胶和涂料的溶剂以及颜料的稀释剂，具有一定的毒性，会通过呼吸道、皮肤等途径进入人体，长期接触可导致人体出现头痛、头晕、乏力、四肢麻木等慢性中毒症状，严重的可导致晕倒、神志丧失、癌症甚至死亡。急性毒性：LD</w:t>
                  </w:r>
                  <w:r>
                    <w:rPr>
                      <w:sz w:val="21"/>
                      <w:szCs w:val="21"/>
                      <w:vertAlign w:val="subscript"/>
                    </w:rPr>
                    <w:t>50</w:t>
                  </w:r>
                  <w:r>
                    <w:rPr>
                      <w:sz w:val="21"/>
                      <w:szCs w:val="21"/>
                    </w:rPr>
                    <w:t xml:space="preserve"> 28710mg/kg（大鼠经口）；人吸入12.5g/m</w:t>
                  </w:r>
                  <w:r>
                    <w:rPr>
                      <w:sz w:val="21"/>
                      <w:szCs w:val="21"/>
                      <w:vertAlign w:val="superscript"/>
                    </w:rPr>
                    <w:t>3</w:t>
                  </w:r>
                  <w:r>
                    <w:rPr>
                      <w:sz w:val="21"/>
                      <w:szCs w:val="21"/>
                    </w:rPr>
                    <w:t>，轻度中毒、头痛、恶心、眼和呼吸刺激症状。</w:t>
                  </w:r>
                </w:p>
              </w:tc>
            </w:tr>
            <w:tr w14:paraId="1EABE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1BB8A859">
                  <w:pPr>
                    <w:widowControl/>
                    <w:contextualSpacing/>
                    <w:jc w:val="center"/>
                    <w:rPr>
                      <w:color w:val="auto"/>
                      <w:kern w:val="0"/>
                      <w:sz w:val="21"/>
                      <w:szCs w:val="21"/>
                    </w:rPr>
                  </w:pPr>
                  <w:r>
                    <w:rPr>
                      <w:rFonts w:hint="eastAsia"/>
                      <w:color w:val="auto"/>
                      <w:kern w:val="0"/>
                      <w:sz w:val="21"/>
                      <w:szCs w:val="21"/>
                    </w:rPr>
                    <w:t>2</w:t>
                  </w:r>
                </w:p>
              </w:tc>
              <w:tc>
                <w:tcPr>
                  <w:tcW w:w="719" w:type="pct"/>
                  <w:shd w:val="clear" w:color="auto" w:fill="auto"/>
                  <w:vAlign w:val="center"/>
                </w:tcPr>
                <w:p w14:paraId="77ECF96F">
                  <w:pPr>
                    <w:widowControl/>
                    <w:contextualSpacing/>
                    <w:jc w:val="center"/>
                    <w:rPr>
                      <w:color w:val="auto"/>
                      <w:sz w:val="21"/>
                      <w:szCs w:val="21"/>
                    </w:rPr>
                  </w:pPr>
                  <w:r>
                    <w:rPr>
                      <w:rFonts w:hint="eastAsia"/>
                      <w:color w:val="auto"/>
                      <w:sz w:val="21"/>
                      <w:szCs w:val="21"/>
                    </w:rPr>
                    <w:t>环己烷</w:t>
                  </w:r>
                </w:p>
              </w:tc>
              <w:tc>
                <w:tcPr>
                  <w:tcW w:w="3840" w:type="pct"/>
                  <w:shd w:val="clear" w:color="auto" w:fill="auto"/>
                  <w:vAlign w:val="center"/>
                </w:tcPr>
                <w:p w14:paraId="30FC0E37">
                  <w:pPr>
                    <w:widowControl/>
                    <w:contextualSpacing/>
                    <w:rPr>
                      <w:color w:val="auto"/>
                      <w:sz w:val="21"/>
                      <w:szCs w:val="21"/>
                    </w:rPr>
                  </w:pPr>
                  <w:r>
                    <w:rPr>
                      <w:color w:val="auto"/>
                      <w:sz w:val="21"/>
                      <w:szCs w:val="21"/>
                    </w:rPr>
                    <w:t>又称六氢化苯、六亚甲基、六环烷</w:t>
                  </w:r>
                  <w:r>
                    <w:rPr>
                      <w:rFonts w:hint="eastAsia"/>
                      <w:color w:val="auto"/>
                      <w:sz w:val="21"/>
                      <w:szCs w:val="21"/>
                    </w:rPr>
                    <w:t>，</w:t>
                  </w:r>
                  <w:r>
                    <w:rPr>
                      <w:color w:val="auto"/>
                      <w:sz w:val="21"/>
                      <w:szCs w:val="21"/>
                    </w:rPr>
                    <w:t>C</w:t>
                  </w:r>
                  <w:r>
                    <w:rPr>
                      <w:color w:val="auto"/>
                      <w:sz w:val="21"/>
                      <w:szCs w:val="21"/>
                      <w:vertAlign w:val="subscript"/>
                    </w:rPr>
                    <w:t>6</w:t>
                  </w:r>
                  <w:r>
                    <w:rPr>
                      <w:color w:val="auto"/>
                      <w:sz w:val="21"/>
                      <w:szCs w:val="21"/>
                    </w:rPr>
                    <w:t>H</w:t>
                  </w:r>
                  <w:r>
                    <w:rPr>
                      <w:color w:val="auto"/>
                      <w:sz w:val="21"/>
                      <w:szCs w:val="21"/>
                      <w:vertAlign w:val="subscript"/>
                    </w:rPr>
                    <w:t>12</w:t>
                  </w:r>
                  <w:r>
                    <w:rPr>
                      <w:color w:val="auto"/>
                      <w:sz w:val="21"/>
                      <w:szCs w:val="21"/>
                    </w:rPr>
                    <w:t>，为无色有刺激性气味的液体，不溶于水，溶于乙醇、乙醚、苯、丙酮等多数有机溶剂。易挥发</w:t>
                  </w:r>
                  <w:r>
                    <w:rPr>
                      <w:rFonts w:hint="eastAsia"/>
                      <w:color w:val="auto"/>
                      <w:sz w:val="21"/>
                      <w:szCs w:val="21"/>
                    </w:rPr>
                    <w:t>，</w:t>
                  </w:r>
                  <w:r>
                    <w:rPr>
                      <w:color w:val="auto"/>
                      <w:sz w:val="21"/>
                      <w:szCs w:val="21"/>
                    </w:rPr>
                    <w:t>易燃。存在于石油中</w:t>
                  </w:r>
                  <w:r>
                    <w:rPr>
                      <w:rFonts w:hint="eastAsia"/>
                      <w:color w:val="auto"/>
                      <w:sz w:val="21"/>
                      <w:szCs w:val="21"/>
                    </w:rPr>
                    <w:t>（</w:t>
                  </w:r>
                  <w:r>
                    <w:rPr>
                      <w:color w:val="auto"/>
                      <w:sz w:val="21"/>
                      <w:szCs w:val="21"/>
                    </w:rPr>
                    <w:t>约0.5%～1.0%</w:t>
                  </w:r>
                  <w:r>
                    <w:rPr>
                      <w:rFonts w:hint="eastAsia"/>
                      <w:color w:val="auto"/>
                      <w:sz w:val="21"/>
                      <w:szCs w:val="21"/>
                    </w:rPr>
                    <w:t>）</w:t>
                  </w:r>
                  <w:r>
                    <w:rPr>
                      <w:color w:val="auto"/>
                      <w:sz w:val="21"/>
                      <w:szCs w:val="21"/>
                    </w:rPr>
                    <w:t>。相对分子</w:t>
                  </w:r>
                  <w:r>
                    <w:rPr>
                      <w:color w:val="auto"/>
                    </w:rPr>
                    <w:fldChar w:fldCharType="begin"/>
                  </w:r>
                  <w:r>
                    <w:rPr>
                      <w:color w:val="auto"/>
                    </w:rPr>
                    <w:instrText xml:space="preserve"> HYPERLINK "https://baike.so.com/doc/5379057-5615291.html" \t "https://baike.so.com/doc/_blank" </w:instrText>
                  </w:r>
                  <w:r>
                    <w:rPr>
                      <w:color w:val="auto"/>
                    </w:rPr>
                    <w:fldChar w:fldCharType="separate"/>
                  </w:r>
                  <w:r>
                    <w:rPr>
                      <w:color w:val="auto"/>
                      <w:sz w:val="21"/>
                      <w:szCs w:val="21"/>
                    </w:rPr>
                    <w:t>质量</w:t>
                  </w:r>
                  <w:r>
                    <w:rPr>
                      <w:color w:val="auto"/>
                      <w:sz w:val="21"/>
                      <w:szCs w:val="21"/>
                    </w:rPr>
                    <w:fldChar w:fldCharType="end"/>
                  </w:r>
                  <w:r>
                    <w:rPr>
                      <w:color w:val="auto"/>
                      <w:sz w:val="21"/>
                      <w:szCs w:val="21"/>
                    </w:rPr>
                    <w:t>84.16。相对密度</w:t>
                  </w:r>
                  <w:r>
                    <w:rPr>
                      <w:rFonts w:hint="eastAsia"/>
                      <w:color w:val="auto"/>
                      <w:sz w:val="21"/>
                      <w:szCs w:val="21"/>
                    </w:rPr>
                    <w:t>：</w:t>
                  </w:r>
                  <w:r>
                    <w:rPr>
                      <w:color w:val="auto"/>
                      <w:sz w:val="21"/>
                      <w:szCs w:val="21"/>
                    </w:rPr>
                    <w:t>0.7785。熔点</w:t>
                  </w:r>
                  <w:r>
                    <w:rPr>
                      <w:rFonts w:hint="eastAsia"/>
                      <w:color w:val="auto"/>
                      <w:sz w:val="21"/>
                      <w:szCs w:val="21"/>
                    </w:rPr>
                    <w:t>：</w:t>
                  </w:r>
                  <w:r>
                    <w:rPr>
                      <w:color w:val="auto"/>
                      <w:sz w:val="21"/>
                      <w:szCs w:val="21"/>
                    </w:rPr>
                    <w:t>6.47℃。沸点</w:t>
                  </w:r>
                  <w:r>
                    <w:rPr>
                      <w:rFonts w:hint="eastAsia"/>
                      <w:color w:val="auto"/>
                      <w:sz w:val="21"/>
                      <w:szCs w:val="21"/>
                    </w:rPr>
                    <w:t>：</w:t>
                  </w:r>
                  <w:r>
                    <w:rPr>
                      <w:color w:val="auto"/>
                      <w:sz w:val="21"/>
                      <w:szCs w:val="21"/>
                    </w:rPr>
                    <w:t>80.7℃</w:t>
                  </w:r>
                  <w:r>
                    <w:rPr>
                      <w:rFonts w:hint="eastAsia"/>
                      <w:color w:val="auto"/>
                      <w:sz w:val="21"/>
                      <w:szCs w:val="21"/>
                    </w:rPr>
                    <w:t>，</w:t>
                  </w:r>
                  <w:r>
                    <w:rPr>
                      <w:color w:val="auto"/>
                      <w:sz w:val="21"/>
                      <w:szCs w:val="21"/>
                    </w:rPr>
                    <w:t>闪点</w:t>
                  </w:r>
                  <w:r>
                    <w:rPr>
                      <w:rFonts w:hint="eastAsia"/>
                      <w:color w:val="auto"/>
                      <w:sz w:val="21"/>
                      <w:szCs w:val="21"/>
                    </w:rPr>
                    <w:t>：</w:t>
                  </w:r>
                  <w:r>
                    <w:rPr>
                      <w:color w:val="auto"/>
                      <w:sz w:val="21"/>
                      <w:szCs w:val="21"/>
                    </w:rPr>
                    <w:t>-18℃</w:t>
                  </w:r>
                  <w:r>
                    <w:rPr>
                      <w:rFonts w:hint="eastAsia"/>
                      <w:color w:val="auto"/>
                      <w:sz w:val="21"/>
                      <w:szCs w:val="21"/>
                    </w:rPr>
                    <w:t>（</w:t>
                  </w:r>
                  <w:r>
                    <w:rPr>
                      <w:color w:val="auto"/>
                      <w:sz w:val="21"/>
                      <w:szCs w:val="21"/>
                    </w:rPr>
                    <w:t>闭式</w:t>
                  </w:r>
                  <w:r>
                    <w:rPr>
                      <w:rFonts w:hint="eastAsia"/>
                      <w:color w:val="auto"/>
                      <w:sz w:val="21"/>
                      <w:szCs w:val="21"/>
                    </w:rPr>
                    <w:t>），</w:t>
                  </w:r>
                  <w:r>
                    <w:rPr>
                      <w:color w:val="auto"/>
                      <w:sz w:val="21"/>
                      <w:szCs w:val="21"/>
                    </w:rPr>
                    <w:t>燃点</w:t>
                  </w:r>
                  <w:r>
                    <w:rPr>
                      <w:rFonts w:hint="eastAsia"/>
                      <w:color w:val="auto"/>
                      <w:sz w:val="21"/>
                      <w:szCs w:val="21"/>
                    </w:rPr>
                    <w:t>：</w:t>
                  </w:r>
                  <w:r>
                    <w:rPr>
                      <w:color w:val="auto"/>
                      <w:sz w:val="21"/>
                      <w:szCs w:val="21"/>
                    </w:rPr>
                    <w:t>260℃</w:t>
                  </w:r>
                  <w:r>
                    <w:rPr>
                      <w:rFonts w:hint="eastAsia"/>
                      <w:color w:val="auto"/>
                      <w:sz w:val="21"/>
                      <w:szCs w:val="21"/>
                    </w:rPr>
                    <w:t>，</w:t>
                  </w:r>
                  <w:r>
                    <w:rPr>
                      <w:color w:val="auto"/>
                      <w:sz w:val="21"/>
                      <w:szCs w:val="21"/>
                    </w:rPr>
                    <w:t>折射率</w:t>
                  </w:r>
                  <w:r>
                    <w:rPr>
                      <w:rFonts w:hint="eastAsia"/>
                      <w:color w:val="auto"/>
                      <w:sz w:val="21"/>
                      <w:szCs w:val="21"/>
                    </w:rPr>
                    <w:t>：</w:t>
                  </w:r>
                  <w:r>
                    <w:rPr>
                      <w:color w:val="auto"/>
                      <w:sz w:val="21"/>
                      <w:szCs w:val="21"/>
                    </w:rPr>
                    <w:t>1.4266</w:t>
                  </w:r>
                  <w:r>
                    <w:rPr>
                      <w:rFonts w:hint="eastAsia"/>
                      <w:color w:val="auto"/>
                      <w:sz w:val="21"/>
                      <w:szCs w:val="21"/>
                    </w:rPr>
                    <w:t>。对眼睛有轻微刺激性，但大量吸入会引起中枢神经系统损害，这可能会引起头痛，麻醉和抽搐等症状。环己烷主要作为各种行业的副产品释放到环境中，这是形成光化学烟雾的辅助因素。</w:t>
                  </w:r>
                  <w:r>
                    <w:rPr>
                      <w:color w:val="auto"/>
                    </w:rPr>
                    <w:fldChar w:fldCharType="begin"/>
                  </w:r>
                  <w:r>
                    <w:rPr>
                      <w:color w:val="auto"/>
                    </w:rPr>
                    <w:instrText xml:space="preserve"> HYPERLINK "https://baike.so.com/doc/496729-32329993.html" \l "refff_496729-32329993-3" </w:instrText>
                  </w:r>
                  <w:r>
                    <w:rPr>
                      <w:color w:val="auto"/>
                    </w:rPr>
                    <w:fldChar w:fldCharType="separate"/>
                  </w:r>
                  <w:r>
                    <w:rPr>
                      <w:color w:val="auto"/>
                    </w:rPr>
                    <w:fldChar w:fldCharType="end"/>
                  </w:r>
                </w:p>
              </w:tc>
            </w:tr>
            <w:tr w14:paraId="4283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1B968344">
                  <w:pPr>
                    <w:widowControl/>
                    <w:contextualSpacing/>
                    <w:jc w:val="center"/>
                    <w:rPr>
                      <w:kern w:val="0"/>
                      <w:sz w:val="21"/>
                      <w:szCs w:val="21"/>
                    </w:rPr>
                  </w:pPr>
                  <w:r>
                    <w:rPr>
                      <w:rFonts w:hint="eastAsia"/>
                      <w:kern w:val="0"/>
                      <w:sz w:val="21"/>
                      <w:szCs w:val="21"/>
                    </w:rPr>
                    <w:t>3</w:t>
                  </w:r>
                </w:p>
              </w:tc>
              <w:tc>
                <w:tcPr>
                  <w:tcW w:w="719" w:type="pct"/>
                  <w:shd w:val="clear" w:color="auto" w:fill="auto"/>
                  <w:vAlign w:val="center"/>
                </w:tcPr>
                <w:p w14:paraId="5862531B">
                  <w:pPr>
                    <w:widowControl/>
                    <w:contextualSpacing/>
                    <w:jc w:val="center"/>
                    <w:rPr>
                      <w:kern w:val="0"/>
                      <w:sz w:val="21"/>
                      <w:szCs w:val="21"/>
                    </w:rPr>
                  </w:pPr>
                  <w:r>
                    <w:rPr>
                      <w:kern w:val="0"/>
                      <w:sz w:val="21"/>
                      <w:szCs w:val="21"/>
                    </w:rPr>
                    <w:t>乙酸乙酯</w:t>
                  </w:r>
                </w:p>
              </w:tc>
              <w:tc>
                <w:tcPr>
                  <w:tcW w:w="3840" w:type="pct"/>
                  <w:shd w:val="clear" w:color="auto" w:fill="auto"/>
                  <w:vAlign w:val="center"/>
                </w:tcPr>
                <w:p w14:paraId="05BA8EFE">
                  <w:pPr>
                    <w:widowControl/>
                    <w:contextualSpacing/>
                    <w:rPr>
                      <w:b/>
                      <w:bCs/>
                      <w:kern w:val="0"/>
                      <w:sz w:val="21"/>
                      <w:szCs w:val="21"/>
                    </w:rPr>
                  </w:pPr>
                  <w:r>
                    <w:rPr>
                      <w:kern w:val="0"/>
                      <w:sz w:val="21"/>
                      <w:szCs w:val="21"/>
                    </w:rPr>
                    <w:t>C</w:t>
                  </w:r>
                  <w:r>
                    <w:rPr>
                      <w:kern w:val="0"/>
                      <w:sz w:val="21"/>
                      <w:szCs w:val="21"/>
                      <w:vertAlign w:val="subscript"/>
                    </w:rPr>
                    <w:t>4</w:t>
                  </w:r>
                  <w:r>
                    <w:rPr>
                      <w:kern w:val="0"/>
                      <w:sz w:val="21"/>
                      <w:szCs w:val="21"/>
                    </w:rPr>
                    <w:t>H</w:t>
                  </w:r>
                  <w:r>
                    <w:rPr>
                      <w:kern w:val="0"/>
                      <w:sz w:val="21"/>
                      <w:szCs w:val="21"/>
                      <w:vertAlign w:val="subscript"/>
                    </w:rPr>
                    <w:t>8</w:t>
                  </w:r>
                  <w:r>
                    <w:rPr>
                      <w:kern w:val="0"/>
                      <w:sz w:val="21"/>
                      <w:szCs w:val="21"/>
                    </w:rPr>
                    <w:t>O</w:t>
                  </w:r>
                  <w:r>
                    <w:rPr>
                      <w:kern w:val="0"/>
                      <w:sz w:val="21"/>
                      <w:szCs w:val="21"/>
                      <w:vertAlign w:val="subscript"/>
                    </w:rPr>
                    <w:t>2</w:t>
                  </w:r>
                  <w:r>
                    <w:rPr>
                      <w:kern w:val="0"/>
                      <w:sz w:val="21"/>
                      <w:szCs w:val="21"/>
                    </w:rPr>
                    <w:t>，无色透明液体，低毒性，有甜味，浓度较高时有刺激性气味，易挥发，对空气敏感，能吸水分，使其缓慢水解而呈酸性反应。能与氯仿、乙醇、丙酮和乙醚混溶，溶于水（10%mL/mL）。能溶解某些金属盐类（如氯化锂、氯化钴、氯化锌、氯化铁等）反应。熔点：-83℃，沸点：77℃，闪点：7.2℃（开杯），相对密度0.902，半数致死量（大鼠，经口）11.3mL/kg。易燃，具刺激性，具致敏性。其蒸气与空气可形成爆炸性混合物，遇明火、高热能引起燃烧爆炸。与氧化剂接触猛烈反应。其蒸气比空气重，能在较低处扩散到相当远的地方，遇火源会着火回燃。</w:t>
                  </w:r>
                </w:p>
              </w:tc>
            </w:tr>
            <w:tr w14:paraId="6C1BD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18F87CF3">
                  <w:pPr>
                    <w:widowControl/>
                    <w:contextualSpacing/>
                    <w:jc w:val="center"/>
                    <w:rPr>
                      <w:b/>
                      <w:bCs/>
                      <w:kern w:val="0"/>
                      <w:sz w:val="21"/>
                      <w:szCs w:val="21"/>
                    </w:rPr>
                  </w:pPr>
                  <w:r>
                    <w:rPr>
                      <w:rFonts w:hint="eastAsia"/>
                      <w:kern w:val="0"/>
                      <w:sz w:val="21"/>
                      <w:szCs w:val="21"/>
                    </w:rPr>
                    <w:t>4</w:t>
                  </w:r>
                </w:p>
              </w:tc>
              <w:tc>
                <w:tcPr>
                  <w:tcW w:w="719" w:type="pct"/>
                  <w:shd w:val="clear" w:color="auto" w:fill="auto"/>
                  <w:vAlign w:val="center"/>
                </w:tcPr>
                <w:p w14:paraId="15A604FA">
                  <w:pPr>
                    <w:widowControl/>
                    <w:jc w:val="center"/>
                    <w:textAlignment w:val="bottom"/>
                    <w:rPr>
                      <w:sz w:val="21"/>
                      <w:szCs w:val="21"/>
                    </w:rPr>
                  </w:pPr>
                  <w:r>
                    <w:rPr>
                      <w:kern w:val="0"/>
                      <w:sz w:val="21"/>
                      <w:szCs w:val="21"/>
                      <w:lang w:bidi="ar"/>
                    </w:rPr>
                    <w:t>乙腈</w:t>
                  </w:r>
                </w:p>
              </w:tc>
              <w:tc>
                <w:tcPr>
                  <w:tcW w:w="3840" w:type="pct"/>
                  <w:shd w:val="clear" w:color="auto" w:fill="auto"/>
                  <w:vAlign w:val="center"/>
                </w:tcPr>
                <w:p w14:paraId="6030DBCB">
                  <w:pPr>
                    <w:widowControl/>
                    <w:contextualSpacing/>
                    <w:rPr>
                      <w:kern w:val="0"/>
                      <w:sz w:val="21"/>
                      <w:szCs w:val="21"/>
                    </w:rPr>
                  </w:pPr>
                  <w:r>
                    <w:rPr>
                      <w:kern w:val="0"/>
                      <w:sz w:val="21"/>
                      <w:szCs w:val="21"/>
                    </w:rPr>
                    <w:t>C</w:t>
                  </w:r>
                  <w:r>
                    <w:rPr>
                      <w:kern w:val="0"/>
                      <w:sz w:val="21"/>
                      <w:szCs w:val="21"/>
                      <w:vertAlign w:val="subscript"/>
                    </w:rPr>
                    <w:t>2</w:t>
                  </w:r>
                  <w:r>
                    <w:rPr>
                      <w:kern w:val="0"/>
                      <w:sz w:val="21"/>
                      <w:szCs w:val="21"/>
                    </w:rPr>
                    <w:t>H</w:t>
                  </w:r>
                  <w:r>
                    <w:rPr>
                      <w:kern w:val="0"/>
                      <w:sz w:val="21"/>
                      <w:szCs w:val="21"/>
                      <w:vertAlign w:val="subscript"/>
                    </w:rPr>
                    <w:t>3</w:t>
                  </w:r>
                  <w:r>
                    <w:rPr>
                      <w:kern w:val="0"/>
                      <w:sz w:val="21"/>
                      <w:szCs w:val="21"/>
                    </w:rPr>
                    <w:t>N，无色透明液体，熔点：-45℃，沸点：81~82℃，闪点：2℃，密度：0.7±0.1g/cm</w:t>
                  </w:r>
                  <w:r>
                    <w:rPr>
                      <w:kern w:val="0"/>
                      <w:sz w:val="21"/>
                      <w:szCs w:val="21"/>
                      <w:vertAlign w:val="superscript"/>
                    </w:rPr>
                    <w:t>3</w:t>
                  </w:r>
                  <w:r>
                    <w:rPr>
                      <w:kern w:val="0"/>
                      <w:sz w:val="21"/>
                      <w:szCs w:val="21"/>
                    </w:rPr>
                    <w:t>，具有优良的溶剂性能，能够溶解多种有机、无机和气体物质。乙腈与水和醇都能无限互溶，这使得它在许多化学反应中成为理想的溶剂。乙腈能够发生一系列典型的腈类反应，这些反应使得乙腈成为制备许多典型含氮化合物的重要有机中间体。乙腈为稳定的化合物，不易氧化或还原，但碳氮之间为叁键，易发生加成反应。在酸或碱存在下发生水解，生成酰胺，进一步水解生成酸。能与金属钠、醇钠或氨基钠发生反应。易燃，有毒。在空气中的爆炸范围为3.0%～16%（体积），工作场所乙腈最高容许浓度为70mg/m</w:t>
                  </w:r>
                  <w:r>
                    <w:rPr>
                      <w:kern w:val="0"/>
                      <w:sz w:val="21"/>
                      <w:szCs w:val="21"/>
                      <w:vertAlign w:val="superscript"/>
                    </w:rPr>
                    <w:t>3</w:t>
                  </w:r>
                  <w:r>
                    <w:rPr>
                      <w:kern w:val="0"/>
                      <w:sz w:val="21"/>
                      <w:szCs w:val="21"/>
                    </w:rPr>
                    <w:t>。在乙腈饱和的空气中，大鼠停留4小时以上不致死亡，但对小鼠15分钟即可致死。乙腈的经口LD</w:t>
                  </w:r>
                  <w:r>
                    <w:rPr>
                      <w:kern w:val="0"/>
                      <w:sz w:val="21"/>
                      <w:szCs w:val="21"/>
                      <w:vertAlign w:val="subscript"/>
                    </w:rPr>
                    <w:t>50</w:t>
                  </w:r>
                  <w:r>
                    <w:rPr>
                      <w:kern w:val="0"/>
                      <w:sz w:val="21"/>
                      <w:szCs w:val="21"/>
                    </w:rPr>
                    <w:t>，对大鼠为3.8g/kg，对小鼠为0.2g/kg。吸入乙腈蒸气或经皮肤吸收后会引起中毒，呈现恶心、呕吐、呼吸困难、极度乏力和意识模糊，血中氰化物及硫氰化物浓度增高，并出现蛋白尿等症状。</w:t>
                  </w:r>
                </w:p>
              </w:tc>
            </w:tr>
            <w:tr w14:paraId="18703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33667EC3">
                  <w:pPr>
                    <w:widowControl/>
                    <w:contextualSpacing/>
                    <w:jc w:val="center"/>
                    <w:rPr>
                      <w:kern w:val="0"/>
                      <w:sz w:val="21"/>
                      <w:szCs w:val="21"/>
                    </w:rPr>
                  </w:pPr>
                  <w:r>
                    <w:rPr>
                      <w:rFonts w:hint="eastAsia"/>
                      <w:kern w:val="0"/>
                      <w:sz w:val="21"/>
                      <w:szCs w:val="21"/>
                    </w:rPr>
                    <w:t>5</w:t>
                  </w:r>
                </w:p>
              </w:tc>
              <w:tc>
                <w:tcPr>
                  <w:tcW w:w="719" w:type="pct"/>
                  <w:shd w:val="clear" w:color="auto" w:fill="auto"/>
                  <w:vAlign w:val="center"/>
                </w:tcPr>
                <w:p w14:paraId="772D9A12">
                  <w:pPr>
                    <w:jc w:val="center"/>
                    <w:rPr>
                      <w:color w:val="auto"/>
                      <w:sz w:val="21"/>
                      <w:szCs w:val="21"/>
                    </w:rPr>
                  </w:pPr>
                  <w:r>
                    <w:rPr>
                      <w:color w:val="auto"/>
                      <w:sz w:val="21"/>
                      <w:szCs w:val="21"/>
                    </w:rPr>
                    <w:t>无水乙醇</w:t>
                  </w:r>
                </w:p>
              </w:tc>
              <w:tc>
                <w:tcPr>
                  <w:tcW w:w="3840" w:type="pct"/>
                  <w:shd w:val="clear" w:color="auto" w:fill="auto"/>
                  <w:vAlign w:val="center"/>
                </w:tcPr>
                <w:p w14:paraId="465A17DB">
                  <w:pPr>
                    <w:rPr>
                      <w:color w:val="auto"/>
                      <w:sz w:val="21"/>
                      <w:szCs w:val="21"/>
                    </w:rPr>
                  </w:pPr>
                  <w:r>
                    <w:rPr>
                      <w:color w:val="auto"/>
                      <w:sz w:val="21"/>
                      <w:szCs w:val="21"/>
                    </w:rPr>
                    <w:t>无水乙醇，是指纯度较高的乙醇水溶液，是乙醇和水的混合物。一般情况下称浓度99.5%的乙醇溶液为无水乙醇。乙醇是一种有机物，俗称酒精，化学式为CH</w:t>
                  </w:r>
                  <w:r>
                    <w:rPr>
                      <w:color w:val="auto"/>
                      <w:sz w:val="21"/>
                      <w:szCs w:val="21"/>
                      <w:vertAlign w:val="subscript"/>
                    </w:rPr>
                    <w:t>3</w:t>
                  </w:r>
                  <w:r>
                    <w:rPr>
                      <w:color w:val="auto"/>
                      <w:sz w:val="21"/>
                      <w:szCs w:val="21"/>
                    </w:rPr>
                    <w:t>CH</w:t>
                  </w:r>
                  <w:r>
                    <w:rPr>
                      <w:color w:val="auto"/>
                      <w:sz w:val="21"/>
                      <w:szCs w:val="21"/>
                      <w:vertAlign w:val="subscript"/>
                    </w:rPr>
                    <w:t>2</w:t>
                  </w:r>
                  <w:r>
                    <w:rPr>
                      <w:color w:val="auto"/>
                      <w:sz w:val="21"/>
                      <w:szCs w:val="21"/>
                    </w:rPr>
                    <w:t>OH（C</w:t>
                  </w:r>
                  <w:r>
                    <w:rPr>
                      <w:color w:val="auto"/>
                      <w:sz w:val="21"/>
                      <w:szCs w:val="21"/>
                      <w:vertAlign w:val="subscript"/>
                    </w:rPr>
                    <w:t>2</w:t>
                  </w:r>
                  <w:r>
                    <w:rPr>
                      <w:color w:val="auto"/>
                      <w:sz w:val="21"/>
                      <w:szCs w:val="21"/>
                    </w:rPr>
                    <w:t>H</w:t>
                  </w:r>
                  <w:r>
                    <w:rPr>
                      <w:color w:val="auto"/>
                      <w:sz w:val="21"/>
                      <w:szCs w:val="21"/>
                      <w:vertAlign w:val="subscript"/>
                    </w:rPr>
                    <w:t>6</w:t>
                  </w:r>
                  <w:r>
                    <w:rPr>
                      <w:color w:val="auto"/>
                      <w:sz w:val="21"/>
                      <w:szCs w:val="21"/>
                    </w:rPr>
                    <w:t>O或C</w:t>
                  </w:r>
                  <w:r>
                    <w:rPr>
                      <w:color w:val="auto"/>
                      <w:sz w:val="21"/>
                      <w:szCs w:val="21"/>
                      <w:vertAlign w:val="subscript"/>
                    </w:rPr>
                    <w:t>2</w:t>
                  </w:r>
                  <w:r>
                    <w:rPr>
                      <w:color w:val="auto"/>
                      <w:sz w:val="21"/>
                      <w:szCs w:val="21"/>
                    </w:rPr>
                    <w:t>H</w:t>
                  </w:r>
                  <w:r>
                    <w:rPr>
                      <w:color w:val="auto"/>
                      <w:sz w:val="21"/>
                      <w:szCs w:val="21"/>
                      <w:vertAlign w:val="subscript"/>
                    </w:rPr>
                    <w:t>5</w:t>
                  </w:r>
                  <w:r>
                    <w:rPr>
                      <w:color w:val="auto"/>
                      <w:sz w:val="21"/>
                      <w:szCs w:val="21"/>
                    </w:rPr>
                    <w:t>OH）或EtOH，是带有一个羟基的饱和一元醇，在常温、常压下是一种易燃、易挥发的无色透明液体，它的水溶液具有酒香的气味，并略带刺激。有酒的气味和刺激的辛辣滋味，微甘。液体密度是0.789g/cm</w:t>
                  </w:r>
                  <w:r>
                    <w:rPr>
                      <w:color w:val="auto"/>
                      <w:sz w:val="21"/>
                      <w:szCs w:val="21"/>
                      <w:vertAlign w:val="superscript"/>
                    </w:rPr>
                    <w:t>3</w:t>
                  </w:r>
                  <w:r>
                    <w:rPr>
                      <w:color w:val="auto"/>
                      <w:sz w:val="21"/>
                      <w:szCs w:val="21"/>
                    </w:rPr>
                    <w:t>（20C°），乙醇气体密度为1.59kg/m</w:t>
                  </w:r>
                  <w:r>
                    <w:rPr>
                      <w:color w:val="auto"/>
                      <w:sz w:val="21"/>
                      <w:szCs w:val="21"/>
                      <w:vertAlign w:val="superscript"/>
                    </w:rPr>
                    <w:t>3</w:t>
                  </w:r>
                  <w:r>
                    <w:rPr>
                      <w:color w:val="auto"/>
                      <w:sz w:val="21"/>
                      <w:szCs w:val="21"/>
                    </w:rPr>
                    <w:t>，沸点是78.3℃，熔点是-114.1℃，易燃，其蒸气能与空气形成爆炸性混合物，能与水以任意比互溶。能与氯仿、乙醚、甲醇、丙酮和其他多数有机溶剂混溶，相对密度0.816。乙醇的用途很广，可用乙醇制造醋酸、饮料、香精、染料、燃料等。医疗上也常用体积分数为70%</w:t>
                  </w:r>
                  <w:r>
                    <w:rPr>
                      <w:rFonts w:hint="eastAsia"/>
                      <w:color w:val="auto"/>
                      <w:sz w:val="21"/>
                      <w:szCs w:val="21"/>
                    </w:rPr>
                    <w:t>～</w:t>
                  </w:r>
                  <w:r>
                    <w:rPr>
                      <w:color w:val="auto"/>
                      <w:sz w:val="21"/>
                      <w:szCs w:val="21"/>
                    </w:rPr>
                    <w:t>75%的乙醇作消毒剂等，在国防工业、医疗卫生、有机合成、食品工业、工农业生产中都有广泛的用途。</w:t>
                  </w:r>
                </w:p>
              </w:tc>
            </w:tr>
            <w:tr w14:paraId="485BF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4E394ABA">
                  <w:pPr>
                    <w:widowControl/>
                    <w:contextualSpacing/>
                    <w:jc w:val="center"/>
                    <w:rPr>
                      <w:kern w:val="0"/>
                      <w:sz w:val="21"/>
                      <w:szCs w:val="21"/>
                    </w:rPr>
                  </w:pPr>
                  <w:r>
                    <w:rPr>
                      <w:rFonts w:hint="eastAsia"/>
                      <w:kern w:val="0"/>
                      <w:sz w:val="21"/>
                      <w:szCs w:val="21"/>
                    </w:rPr>
                    <w:t>6</w:t>
                  </w:r>
                </w:p>
              </w:tc>
              <w:tc>
                <w:tcPr>
                  <w:tcW w:w="719" w:type="pct"/>
                  <w:shd w:val="clear" w:color="auto" w:fill="auto"/>
                  <w:vAlign w:val="center"/>
                </w:tcPr>
                <w:p w14:paraId="772C678C">
                  <w:pPr>
                    <w:widowControl/>
                    <w:jc w:val="center"/>
                    <w:rPr>
                      <w:color w:val="auto"/>
                      <w:kern w:val="0"/>
                      <w:sz w:val="21"/>
                      <w:szCs w:val="21"/>
                      <w:lang w:bidi="ar"/>
                    </w:rPr>
                  </w:pPr>
                  <w:r>
                    <w:rPr>
                      <w:color w:val="auto"/>
                      <w:kern w:val="0"/>
                      <w:sz w:val="21"/>
                      <w:szCs w:val="21"/>
                      <w:lang w:bidi="ar"/>
                    </w:rPr>
                    <w:t>异丙醇</w:t>
                  </w:r>
                </w:p>
              </w:tc>
              <w:tc>
                <w:tcPr>
                  <w:tcW w:w="3840" w:type="pct"/>
                  <w:shd w:val="clear" w:color="auto" w:fill="auto"/>
                  <w:vAlign w:val="center"/>
                </w:tcPr>
                <w:p w14:paraId="12DAEE1A">
                  <w:pPr>
                    <w:rPr>
                      <w:color w:val="auto"/>
                      <w:sz w:val="21"/>
                      <w:szCs w:val="21"/>
                    </w:rPr>
                  </w:pPr>
                  <w:r>
                    <w:rPr>
                      <w:color w:val="auto"/>
                      <w:sz w:val="21"/>
                      <w:szCs w:val="21"/>
                    </w:rPr>
                    <w:t>C</w:t>
                  </w:r>
                  <w:r>
                    <w:rPr>
                      <w:color w:val="auto"/>
                      <w:sz w:val="21"/>
                      <w:szCs w:val="21"/>
                      <w:vertAlign w:val="subscript"/>
                    </w:rPr>
                    <w:t>3</w:t>
                  </w:r>
                  <w:r>
                    <w:rPr>
                      <w:color w:val="auto"/>
                      <w:sz w:val="21"/>
                      <w:szCs w:val="21"/>
                    </w:rPr>
                    <w:t>H</w:t>
                  </w:r>
                  <w:r>
                    <w:rPr>
                      <w:color w:val="auto"/>
                      <w:sz w:val="21"/>
                      <w:szCs w:val="21"/>
                      <w:vertAlign w:val="subscript"/>
                    </w:rPr>
                    <w:t>8</w:t>
                  </w:r>
                  <w:r>
                    <w:rPr>
                      <w:color w:val="auto"/>
                      <w:sz w:val="21"/>
                      <w:szCs w:val="21"/>
                    </w:rPr>
                    <w:t>O，分子量为60.06，无色透明液体，有似乙醇和丙酮混合物的气味。溶于水，也溶于醇、醚、苯、氯仿等多数有机溶剂，密度：0.79g/cm</w:t>
                  </w:r>
                  <w:r>
                    <w:rPr>
                      <w:color w:val="auto"/>
                      <w:sz w:val="21"/>
                      <w:szCs w:val="21"/>
                      <w:vertAlign w:val="superscript"/>
                    </w:rPr>
                    <w:t>3</w:t>
                  </w:r>
                  <w:r>
                    <w:rPr>
                      <w:color w:val="auto"/>
                      <w:sz w:val="21"/>
                      <w:szCs w:val="21"/>
                    </w:rPr>
                    <w:t>，熔点：-88.5℃，沸点：82.3℃，闪点：12℃，饱和蒸气压（kPa）：4.40（20℃）。爆炸上限[%（V/V）]：12.7%；爆炸下限[%（V/V）]：2.0%</w:t>
                  </w:r>
                  <w:r>
                    <w:rPr>
                      <w:rFonts w:hint="eastAsia"/>
                      <w:color w:val="auto"/>
                      <w:sz w:val="21"/>
                      <w:szCs w:val="21"/>
                    </w:rPr>
                    <w:t>。</w:t>
                  </w:r>
                </w:p>
              </w:tc>
            </w:tr>
            <w:tr w14:paraId="5421C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71BC21B7">
                  <w:pPr>
                    <w:widowControl/>
                    <w:contextualSpacing/>
                    <w:jc w:val="center"/>
                    <w:rPr>
                      <w:kern w:val="0"/>
                      <w:sz w:val="21"/>
                      <w:szCs w:val="21"/>
                    </w:rPr>
                  </w:pPr>
                  <w:r>
                    <w:rPr>
                      <w:rFonts w:hint="eastAsia"/>
                      <w:kern w:val="0"/>
                      <w:sz w:val="21"/>
                      <w:szCs w:val="21"/>
                    </w:rPr>
                    <w:t>7</w:t>
                  </w:r>
                </w:p>
              </w:tc>
              <w:tc>
                <w:tcPr>
                  <w:tcW w:w="719" w:type="pct"/>
                  <w:shd w:val="clear" w:color="auto" w:fill="auto"/>
                  <w:vAlign w:val="center"/>
                </w:tcPr>
                <w:p w14:paraId="3915C765">
                  <w:pPr>
                    <w:adjustRightInd w:val="0"/>
                    <w:snapToGrid w:val="0"/>
                    <w:jc w:val="center"/>
                    <w:textAlignment w:val="baseline"/>
                    <w:rPr>
                      <w:spacing w:val="4"/>
                      <w:sz w:val="21"/>
                      <w:szCs w:val="21"/>
                    </w:rPr>
                  </w:pPr>
                  <w:r>
                    <w:rPr>
                      <w:spacing w:val="4"/>
                      <w:sz w:val="21"/>
                      <w:szCs w:val="21"/>
                    </w:rPr>
                    <w:t>甲醇</w:t>
                  </w:r>
                </w:p>
              </w:tc>
              <w:tc>
                <w:tcPr>
                  <w:tcW w:w="3840" w:type="pct"/>
                  <w:shd w:val="clear" w:color="auto" w:fill="auto"/>
                  <w:vAlign w:val="center"/>
                </w:tcPr>
                <w:p w14:paraId="775943ED">
                  <w:pPr>
                    <w:adjustRightInd w:val="0"/>
                    <w:snapToGrid w:val="0"/>
                    <w:textAlignment w:val="baseline"/>
                    <w:rPr>
                      <w:spacing w:val="4"/>
                      <w:sz w:val="21"/>
                      <w:szCs w:val="21"/>
                    </w:rPr>
                  </w:pPr>
                  <w:r>
                    <w:rPr>
                      <w:spacing w:val="4"/>
                      <w:sz w:val="21"/>
                      <w:szCs w:val="21"/>
                    </w:rPr>
                    <w:t>CH</w:t>
                  </w:r>
                  <w:r>
                    <w:rPr>
                      <w:spacing w:val="4"/>
                      <w:sz w:val="21"/>
                      <w:szCs w:val="21"/>
                      <w:vertAlign w:val="subscript"/>
                    </w:rPr>
                    <w:t>3</w:t>
                  </w:r>
                  <w:r>
                    <w:rPr>
                      <w:spacing w:val="4"/>
                      <w:sz w:val="21"/>
                      <w:szCs w:val="21"/>
                    </w:rPr>
                    <w:t>OH，相对分子质量：32.04，密度0.7918g/cm</w:t>
                  </w:r>
                  <w:r>
                    <w:rPr>
                      <w:spacing w:val="4"/>
                      <w:sz w:val="21"/>
                      <w:szCs w:val="21"/>
                      <w:vertAlign w:val="superscript"/>
                    </w:rPr>
                    <w:t>3</w:t>
                  </w:r>
                  <w:r>
                    <w:rPr>
                      <w:spacing w:val="4"/>
                      <w:sz w:val="21"/>
                      <w:szCs w:val="21"/>
                    </w:rPr>
                    <w:t>，沸点：64.7℃，熔点：-97℃，闪点：11℃，是无色有酒精气味易挥发的液体。人口服中毒最低剂量约为100mg/kg体重，经口摄入0.3</w:t>
                  </w:r>
                  <w:r>
                    <w:rPr>
                      <w:rFonts w:hint="eastAsia"/>
                      <w:spacing w:val="4"/>
                      <w:sz w:val="21"/>
                      <w:szCs w:val="21"/>
                    </w:rPr>
                    <w:t>～</w:t>
                  </w:r>
                  <w:r>
                    <w:rPr>
                      <w:spacing w:val="4"/>
                      <w:sz w:val="21"/>
                      <w:szCs w:val="21"/>
                    </w:rPr>
                    <w:t>1g/kg可致死。用于制造甲醛和农药等，用作有机物的萃取剂和酒精的变性剂等。</w:t>
                  </w:r>
                </w:p>
              </w:tc>
            </w:tr>
            <w:tr w14:paraId="20C2D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4292730C">
                  <w:pPr>
                    <w:widowControl/>
                    <w:contextualSpacing/>
                    <w:jc w:val="center"/>
                    <w:rPr>
                      <w:kern w:val="0"/>
                      <w:sz w:val="21"/>
                      <w:szCs w:val="21"/>
                    </w:rPr>
                  </w:pPr>
                  <w:r>
                    <w:rPr>
                      <w:rFonts w:hint="eastAsia"/>
                      <w:kern w:val="0"/>
                      <w:sz w:val="21"/>
                      <w:szCs w:val="21"/>
                    </w:rPr>
                    <w:t>8</w:t>
                  </w:r>
                </w:p>
              </w:tc>
              <w:tc>
                <w:tcPr>
                  <w:tcW w:w="719" w:type="pct"/>
                  <w:shd w:val="clear" w:color="auto" w:fill="auto"/>
                  <w:vAlign w:val="center"/>
                </w:tcPr>
                <w:p w14:paraId="6C4D7A60">
                  <w:pPr>
                    <w:widowControl/>
                    <w:jc w:val="center"/>
                    <w:rPr>
                      <w:kern w:val="0"/>
                      <w:sz w:val="21"/>
                      <w:szCs w:val="21"/>
                      <w:lang w:bidi="ar"/>
                    </w:rPr>
                  </w:pPr>
                  <w:r>
                    <w:rPr>
                      <w:kern w:val="0"/>
                      <w:sz w:val="21"/>
                      <w:szCs w:val="21"/>
                      <w:lang w:bidi="ar"/>
                    </w:rPr>
                    <w:t>甲基叔丁基醚</w:t>
                  </w:r>
                </w:p>
              </w:tc>
              <w:tc>
                <w:tcPr>
                  <w:tcW w:w="3840" w:type="pct"/>
                  <w:shd w:val="clear" w:color="auto" w:fill="auto"/>
                  <w:vAlign w:val="center"/>
                </w:tcPr>
                <w:p w14:paraId="1A2A0CF4">
                  <w:pPr>
                    <w:pStyle w:val="79"/>
                    <w:jc w:val="both"/>
                    <w:rPr>
                      <w:shd w:val="clear" w:color="auto" w:fill="FFFFFF"/>
                    </w:rPr>
                  </w:pPr>
                  <w:r>
                    <w:rPr>
                      <w:shd w:val="clear" w:color="auto" w:fill="FFFFFF"/>
                    </w:rPr>
                    <w:t>C</w:t>
                  </w:r>
                  <w:r>
                    <w:rPr>
                      <w:shd w:val="clear" w:color="auto" w:fill="FFFFFF"/>
                      <w:vertAlign w:val="subscript"/>
                    </w:rPr>
                    <w:t>5</w:t>
                  </w:r>
                  <w:r>
                    <w:rPr>
                      <w:shd w:val="clear" w:color="auto" w:fill="FFFFFF"/>
                    </w:rPr>
                    <w:t>H</w:t>
                  </w:r>
                  <w:r>
                    <w:rPr>
                      <w:shd w:val="clear" w:color="auto" w:fill="FFFFFF"/>
                      <w:vertAlign w:val="subscript"/>
                    </w:rPr>
                    <w:t>12</w:t>
                  </w:r>
                  <w:r>
                    <w:rPr>
                      <w:shd w:val="clear" w:color="auto" w:fill="FFFFFF"/>
                    </w:rPr>
                    <w:t>O，分子量88.15，无色液体，具有醚样气味，熔点：-108.6℃，沸点：55℃</w:t>
                  </w:r>
                  <w:r>
                    <w:rPr>
                      <w:rFonts w:hint="eastAsia"/>
                      <w:shd w:val="clear" w:color="auto" w:fill="FFFFFF"/>
                    </w:rPr>
                    <w:t>.2</w:t>
                  </w:r>
                  <w:r>
                    <w:rPr>
                      <w:shd w:val="clear" w:color="auto" w:fill="FFFFFF"/>
                    </w:rPr>
                    <w:t>，相对密度（水=1）：0.74，相对蒸气密度（空气=1）：3.1，不溶于水，易溶于乙醇、乙醚。</w:t>
                  </w:r>
                  <w:r>
                    <w:rPr>
                      <w:rFonts w:hint="eastAsia"/>
                      <w:shd w:val="clear" w:color="auto" w:fill="FFFFFF"/>
                    </w:rPr>
                    <w:t>急性毒性：</w:t>
                  </w:r>
                  <w:r>
                    <w:rPr>
                      <w:shd w:val="clear" w:color="auto" w:fill="FFFFFF"/>
                    </w:rPr>
                    <w:t>LD</w:t>
                  </w:r>
                  <w:r>
                    <w:rPr>
                      <w:shd w:val="clear" w:color="auto" w:fill="FFFFFF"/>
                      <w:vertAlign w:val="subscript"/>
                    </w:rPr>
                    <w:t>50</w:t>
                  </w:r>
                  <w:r>
                    <w:rPr>
                      <w:shd w:val="clear" w:color="auto" w:fill="FFFFFF"/>
                    </w:rPr>
                    <w:t>：4g/kg（大鼠经口）；＞7500mg/kg（兔经皮）</w:t>
                  </w:r>
                  <w:r>
                    <w:rPr>
                      <w:rFonts w:hint="eastAsia"/>
                      <w:shd w:val="clear" w:color="auto" w:fill="FFFFFF"/>
                    </w:rPr>
                    <w:t>，</w:t>
                  </w:r>
                  <w:r>
                    <w:rPr>
                      <w:shd w:val="clear" w:color="auto" w:fill="FFFFFF"/>
                    </w:rPr>
                    <w:t>LC</w:t>
                  </w:r>
                  <w:r>
                    <w:rPr>
                      <w:shd w:val="clear" w:color="auto" w:fill="FFFFFF"/>
                      <w:vertAlign w:val="subscript"/>
                    </w:rPr>
                    <w:t>50</w:t>
                  </w:r>
                  <w:r>
                    <w:rPr>
                      <w:shd w:val="clear" w:color="auto" w:fill="FFFFFF"/>
                    </w:rPr>
                    <w:t>：41000mg/m</w:t>
                  </w:r>
                  <w:r>
                    <w:rPr>
                      <w:shd w:val="clear" w:color="auto" w:fill="FFFFFF"/>
                      <w:vertAlign w:val="superscript"/>
                    </w:rPr>
                    <w:t>3</w:t>
                  </w:r>
                  <w:r>
                    <w:rPr>
                      <w:shd w:val="clear" w:color="auto" w:fill="FFFFFF"/>
                    </w:rPr>
                    <w:t>（大鼠吸入，4h）</w:t>
                  </w:r>
                  <w:r>
                    <w:rPr>
                      <w:rFonts w:hint="eastAsia"/>
                      <w:shd w:val="clear" w:color="auto" w:fill="FFFFFF"/>
                    </w:rPr>
                    <w:t>。</w:t>
                  </w:r>
                </w:p>
              </w:tc>
            </w:tr>
            <w:tr w14:paraId="05639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185D3607">
                  <w:pPr>
                    <w:widowControl/>
                    <w:contextualSpacing/>
                    <w:jc w:val="center"/>
                    <w:rPr>
                      <w:kern w:val="0"/>
                      <w:sz w:val="21"/>
                      <w:szCs w:val="21"/>
                    </w:rPr>
                  </w:pPr>
                  <w:r>
                    <w:rPr>
                      <w:rFonts w:hint="eastAsia"/>
                      <w:kern w:val="0"/>
                      <w:sz w:val="21"/>
                      <w:szCs w:val="21"/>
                    </w:rPr>
                    <w:t>9</w:t>
                  </w:r>
                </w:p>
              </w:tc>
              <w:tc>
                <w:tcPr>
                  <w:tcW w:w="719" w:type="pct"/>
                  <w:shd w:val="clear" w:color="auto" w:fill="auto"/>
                  <w:vAlign w:val="center"/>
                </w:tcPr>
                <w:p w14:paraId="04EEFCA7">
                  <w:pPr>
                    <w:widowControl/>
                    <w:jc w:val="center"/>
                    <w:rPr>
                      <w:color w:val="auto"/>
                      <w:kern w:val="0"/>
                      <w:sz w:val="21"/>
                      <w:szCs w:val="21"/>
                      <w:lang w:bidi="ar"/>
                    </w:rPr>
                  </w:pPr>
                  <w:r>
                    <w:rPr>
                      <w:color w:val="auto"/>
                      <w:kern w:val="0"/>
                      <w:sz w:val="21"/>
                      <w:szCs w:val="21"/>
                      <w:lang w:bidi="ar"/>
                    </w:rPr>
                    <w:t>石油醚</w:t>
                  </w:r>
                </w:p>
              </w:tc>
              <w:tc>
                <w:tcPr>
                  <w:tcW w:w="3840" w:type="pct"/>
                  <w:shd w:val="clear" w:color="auto" w:fill="auto"/>
                  <w:vAlign w:val="center"/>
                </w:tcPr>
                <w:p w14:paraId="4D5FAF38">
                  <w:pPr>
                    <w:rPr>
                      <w:color w:val="auto"/>
                      <w:sz w:val="21"/>
                      <w:szCs w:val="21"/>
                    </w:rPr>
                  </w:pPr>
                  <w:r>
                    <w:rPr>
                      <w:color w:val="auto"/>
                      <w:sz w:val="21"/>
                      <w:szCs w:val="21"/>
                    </w:rPr>
                    <w:t>主要为戊烷和己烷的混合物，无色透明液体，有煤油气味。熔点：＜-73℃，沸点：40~80℃，相对密度（水）：0.64~0.66，闪点：＜20℃，不溶于水，溶于无水乙醇、苯、氯仿、油类等多数有机溶剂。属于弱极性有机溶剂，常与其他强极性溶剂混合作为薄层色谱分析的展开剂。爆炸上限[%（V/V）]：8.7%；爆炸下限[%（V/V）]：1.1%</w:t>
                  </w:r>
                  <w:r>
                    <w:rPr>
                      <w:rFonts w:hint="eastAsia"/>
                      <w:color w:val="auto"/>
                      <w:sz w:val="21"/>
                      <w:szCs w:val="21"/>
                    </w:rPr>
                    <w:t>。LD</w:t>
                  </w:r>
                  <w:r>
                    <w:rPr>
                      <w:rFonts w:hint="eastAsia"/>
                      <w:color w:val="auto"/>
                      <w:sz w:val="21"/>
                      <w:szCs w:val="21"/>
                      <w:vertAlign w:val="subscript"/>
                    </w:rPr>
                    <w:t>50</w:t>
                  </w:r>
                  <w:r>
                    <w:rPr>
                      <w:rFonts w:hint="eastAsia"/>
                      <w:color w:val="auto"/>
                      <w:sz w:val="21"/>
                      <w:szCs w:val="21"/>
                    </w:rPr>
                    <w:t>：40mg/kg（小鼠静脉）；</w:t>
                  </w:r>
                </w:p>
                <w:p w14:paraId="28A83E16">
                  <w:pPr>
                    <w:rPr>
                      <w:color w:val="auto"/>
                      <w:sz w:val="21"/>
                      <w:szCs w:val="21"/>
                    </w:rPr>
                  </w:pPr>
                  <w:r>
                    <w:rPr>
                      <w:rFonts w:hint="eastAsia"/>
                      <w:color w:val="auto"/>
                      <w:sz w:val="21"/>
                      <w:szCs w:val="21"/>
                    </w:rPr>
                    <w:t>LC</w:t>
                  </w:r>
                  <w:r>
                    <w:rPr>
                      <w:rFonts w:hint="eastAsia"/>
                      <w:color w:val="auto"/>
                      <w:sz w:val="21"/>
                      <w:szCs w:val="21"/>
                      <w:vertAlign w:val="subscript"/>
                    </w:rPr>
                    <w:t>50</w:t>
                  </w:r>
                  <w:r>
                    <w:rPr>
                      <w:rFonts w:hint="eastAsia"/>
                      <w:color w:val="auto"/>
                      <w:sz w:val="21"/>
                      <w:szCs w:val="21"/>
                    </w:rPr>
                    <w:t>：3400ppm（大鼠吸入）</w:t>
                  </w:r>
                </w:p>
              </w:tc>
            </w:tr>
            <w:tr w14:paraId="39471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3D7523F2">
                  <w:pPr>
                    <w:widowControl/>
                    <w:contextualSpacing/>
                    <w:jc w:val="center"/>
                    <w:rPr>
                      <w:b/>
                      <w:bCs/>
                      <w:kern w:val="0"/>
                      <w:sz w:val="21"/>
                      <w:szCs w:val="21"/>
                    </w:rPr>
                  </w:pPr>
                  <w:r>
                    <w:rPr>
                      <w:rFonts w:hint="eastAsia"/>
                      <w:kern w:val="0"/>
                      <w:sz w:val="21"/>
                      <w:szCs w:val="21"/>
                    </w:rPr>
                    <w:t>10</w:t>
                  </w:r>
                </w:p>
              </w:tc>
              <w:tc>
                <w:tcPr>
                  <w:tcW w:w="719" w:type="pct"/>
                  <w:shd w:val="clear" w:color="auto" w:fill="auto"/>
                  <w:vAlign w:val="center"/>
                </w:tcPr>
                <w:p w14:paraId="032A4984">
                  <w:pPr>
                    <w:jc w:val="center"/>
                    <w:rPr>
                      <w:sz w:val="21"/>
                      <w:szCs w:val="21"/>
                    </w:rPr>
                  </w:pPr>
                  <w:r>
                    <w:rPr>
                      <w:sz w:val="21"/>
                      <w:szCs w:val="21"/>
                    </w:rPr>
                    <w:t>冰乙酸</w:t>
                  </w:r>
                </w:p>
              </w:tc>
              <w:tc>
                <w:tcPr>
                  <w:tcW w:w="3840" w:type="pct"/>
                  <w:shd w:val="clear" w:color="auto" w:fill="auto"/>
                  <w:vAlign w:val="center"/>
                </w:tcPr>
                <w:p w14:paraId="546A4511">
                  <w:pPr>
                    <w:pStyle w:val="18"/>
                    <w:spacing w:before="0" w:beforeAutospacing="0" w:after="0" w:afterAutospacing="0"/>
                    <w:jc w:val="both"/>
                    <w:rPr>
                      <w:rFonts w:ascii="Times New Roman" w:hAnsi="Times New Roman" w:eastAsia="宋体" w:cs="Times New Roman"/>
                      <w:sz w:val="21"/>
                      <w:szCs w:val="21"/>
                    </w:rPr>
                  </w:pPr>
                  <w:r>
                    <w:rPr>
                      <w:rFonts w:ascii="Times New Roman" w:hAnsi="Times New Roman" w:eastAsia="宋体" w:cs="Times New Roman"/>
                      <w:sz w:val="21"/>
                      <w:szCs w:val="21"/>
                    </w:rPr>
                    <w:t>冰乙酸（纯净物），即无水乙酸，乙酸是重要的有机酸之一，有机化合物。其在低温时凝固成冰状，俗称冰醋酸。凝固时</w:t>
                  </w:r>
                  <w:r>
                    <w:fldChar w:fldCharType="begin"/>
                  </w:r>
                  <w:r>
                    <w:instrText xml:space="preserve"> HYPERLINK "https://baike.so.com/doc/1889934-1999629.html" \t "https://baike.so.com/doc/_blank" </w:instrText>
                  </w:r>
                  <w:r>
                    <w:fldChar w:fldCharType="separate"/>
                  </w:r>
                  <w:r>
                    <w:rPr>
                      <w:rFonts w:ascii="Times New Roman" w:hAnsi="Times New Roman" w:eastAsia="宋体" w:cs="Times New Roman"/>
                      <w:sz w:val="21"/>
                      <w:szCs w:val="21"/>
                    </w:rPr>
                    <w:t>体积膨胀</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可能导致容器破裂。闪点</w:t>
                  </w:r>
                  <w:r>
                    <w:rPr>
                      <w:rFonts w:hint="eastAsia" w:ascii="Times New Roman" w:hAnsi="Times New Roman" w:eastAsia="宋体" w:cs="Times New Roman"/>
                      <w:sz w:val="21"/>
                      <w:szCs w:val="21"/>
                    </w:rPr>
                    <w:t>：</w:t>
                  </w:r>
                  <w:r>
                    <w:rPr>
                      <w:rFonts w:ascii="Times New Roman" w:hAnsi="Times New Roman" w:eastAsia="宋体" w:cs="Times New Roman"/>
                      <w:sz w:val="21"/>
                      <w:szCs w:val="21"/>
                    </w:rPr>
                    <w:t>39℃，</w:t>
                  </w:r>
                  <w:r>
                    <w:fldChar w:fldCharType="begin"/>
                  </w:r>
                  <w:r>
                    <w:instrText xml:space="preserve"> HYPERLINK "https://baike.so.com/doc/625906-662542.html" \t "https://baike.so.com/doc/_blank" </w:instrText>
                  </w:r>
                  <w:r>
                    <w:fldChar w:fldCharType="separate"/>
                  </w:r>
                  <w:r>
                    <w:rPr>
                      <w:rFonts w:ascii="Times New Roman" w:hAnsi="Times New Roman" w:eastAsia="宋体" w:cs="Times New Roman"/>
                      <w:sz w:val="21"/>
                      <w:szCs w:val="21"/>
                    </w:rPr>
                    <w:t>爆炸极限</w:t>
                  </w:r>
                  <w:r>
                    <w:rPr>
                      <w:rFonts w:ascii="Times New Roman" w:hAnsi="Times New Roman" w:eastAsia="宋体" w:cs="Times New Roman"/>
                      <w:sz w:val="21"/>
                      <w:szCs w:val="21"/>
                    </w:rPr>
                    <w:fldChar w:fldCharType="end"/>
                  </w:r>
                  <w:r>
                    <w:rPr>
                      <w:rFonts w:hint="eastAsia" w:ascii="Times New Roman" w:hAnsi="Times New Roman" w:eastAsia="宋体" w:cs="Times New Roman"/>
                      <w:sz w:val="21"/>
                      <w:szCs w:val="21"/>
                    </w:rPr>
                    <w:t>：</w:t>
                  </w:r>
                  <w:r>
                    <w:rPr>
                      <w:rFonts w:ascii="Times New Roman" w:hAnsi="Times New Roman" w:eastAsia="宋体" w:cs="Times New Roman"/>
                      <w:sz w:val="21"/>
                      <w:szCs w:val="21"/>
                    </w:rPr>
                    <w:t>4.0%</w:t>
                  </w:r>
                  <w:r>
                    <w:rPr>
                      <w:rFonts w:hint="eastAsia" w:ascii="Times New Roman" w:hAnsi="Times New Roman" w:eastAsia="宋体" w:cs="Times New Roman"/>
                      <w:sz w:val="21"/>
                      <w:szCs w:val="21"/>
                    </w:rPr>
                    <w:t>～</w:t>
                  </w:r>
                  <w:r>
                    <w:rPr>
                      <w:rFonts w:ascii="Times New Roman" w:hAnsi="Times New Roman" w:eastAsia="宋体" w:cs="Times New Roman"/>
                      <w:sz w:val="21"/>
                      <w:szCs w:val="21"/>
                    </w:rPr>
                    <w:t>16.0%，空气中最大允许浓度不超过25mg/m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。纯的乙酸在低于熔点时会冻结成冰状晶体，所以无水乙酸又称为冰醋酸。危险特性：其蒸气与空气形成</w:t>
                  </w:r>
                  <w:r>
                    <w:fldChar w:fldCharType="begin"/>
                  </w:r>
                  <w:r>
                    <w:instrText xml:space="preserve"> HYPERLINK "https://baike.so.com/doc/5706238-5918957.html" \t "https://baike.so.com/doc/_blank" </w:instrText>
                  </w:r>
                  <w:r>
                    <w:fldChar w:fldCharType="separate"/>
                  </w:r>
                  <w:r>
                    <w:rPr>
                      <w:rFonts w:ascii="Times New Roman" w:hAnsi="Times New Roman" w:eastAsia="宋体" w:cs="Times New Roman"/>
                      <w:sz w:val="21"/>
                      <w:szCs w:val="21"/>
                    </w:rPr>
                    <w:t>爆炸性混合物</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，遇</w:t>
                  </w:r>
                  <w:r>
                    <w:fldChar w:fldCharType="begin"/>
                  </w:r>
                  <w:r>
                    <w:instrText xml:space="preserve"> HYPERLINK "https://baike.so.com/doc/4278266-4481446.html" \t "https://baike.so.com/doc/_blank" </w:instrText>
                  </w:r>
                  <w:r>
                    <w:fldChar w:fldCharType="separate"/>
                  </w:r>
                  <w:r>
                    <w:rPr>
                      <w:rFonts w:ascii="Times New Roman" w:hAnsi="Times New Roman" w:eastAsia="宋体" w:cs="Times New Roman"/>
                      <w:sz w:val="21"/>
                      <w:szCs w:val="21"/>
                    </w:rPr>
                    <w:t>明火</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、高热能引起燃烧爆炸。与</w:t>
                  </w:r>
                  <w:r>
                    <w:fldChar w:fldCharType="begin"/>
                  </w:r>
                  <w:r>
                    <w:instrText xml:space="preserve"> HYPERLINK "https://baike.so.com/doc/6298092-6511615.html" \t "https://baike.so.com/doc/_blank" </w:instrText>
                  </w:r>
                  <w:r>
                    <w:fldChar w:fldCharType="separate"/>
                  </w:r>
                  <w:r>
                    <w:rPr>
                      <w:rFonts w:ascii="Times New Roman" w:hAnsi="Times New Roman" w:eastAsia="宋体" w:cs="Times New Roman"/>
                      <w:sz w:val="21"/>
                      <w:szCs w:val="21"/>
                    </w:rPr>
                    <w:t>强氧化剂</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可发生反应。燃烧（分解）产物：一氧化碳、二氧化碳。主要用于合成醋酸乙烯、醋酸纤维、醋酸酐、醋酸酯、金属醋酸盐及卤代醋酸等。也是制药、染料、农药及其他有机合成的重要原料。此外，在</w:t>
                  </w:r>
                  <w:r>
                    <w:rPr>
                      <w:rFonts w:hint="eastAsia" w:ascii="Times New Roman" w:hAnsi="Times New Roman" w:eastAsia="宋体" w:cs="Times New Roman"/>
                      <w:sz w:val="21"/>
                      <w:szCs w:val="21"/>
                    </w:rPr>
                    <w:t>照相</w:t>
                  </w:r>
                  <w:r>
                    <w:rPr>
                      <w:rFonts w:ascii="Times New Roman" w:hAnsi="Times New Roman" w:eastAsia="宋体" w:cs="Times New Roman"/>
                      <w:sz w:val="21"/>
                      <w:szCs w:val="21"/>
                    </w:rPr>
                    <w:t>药品制造、</w:t>
                  </w:r>
                  <w:r>
                    <w:fldChar w:fldCharType="begin"/>
                  </w:r>
                  <w:r>
                    <w:instrText xml:space="preserve"> HYPERLINK "https://baike.so.com/doc/5633289-5845913.html" \t "https://baike.so.com/doc/_blank" </w:instrText>
                  </w:r>
                  <w:r>
                    <w:fldChar w:fldCharType="separate"/>
                  </w:r>
                  <w:r>
                    <w:rPr>
                      <w:rFonts w:ascii="Times New Roman" w:hAnsi="Times New Roman" w:eastAsia="宋体" w:cs="Times New Roman"/>
                      <w:sz w:val="21"/>
                      <w:szCs w:val="21"/>
                    </w:rPr>
                    <w:t>醋酸纤维素</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、织物印染以及橡胶工业等方面也有广泛的用途、制造塑料、染料的溶剂、照相、医药、农药以及其他有机合成的原料。</w:t>
                  </w:r>
                </w:p>
              </w:tc>
            </w:tr>
            <w:tr w14:paraId="21AB1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563D04D1">
                  <w:pPr>
                    <w:widowControl/>
                    <w:contextualSpacing/>
                    <w:jc w:val="center"/>
                    <w:rPr>
                      <w:color w:val="auto"/>
                      <w:kern w:val="0"/>
                      <w:sz w:val="21"/>
                      <w:szCs w:val="21"/>
                    </w:rPr>
                  </w:pPr>
                  <w:r>
                    <w:rPr>
                      <w:rFonts w:hint="eastAsia"/>
                      <w:color w:val="auto"/>
                      <w:kern w:val="0"/>
                      <w:sz w:val="21"/>
                      <w:szCs w:val="21"/>
                    </w:rPr>
                    <w:t>11</w:t>
                  </w:r>
                </w:p>
              </w:tc>
              <w:tc>
                <w:tcPr>
                  <w:tcW w:w="719" w:type="pct"/>
                  <w:shd w:val="clear" w:color="auto" w:fill="auto"/>
                  <w:vAlign w:val="center"/>
                </w:tcPr>
                <w:p w14:paraId="6C6C5A00">
                  <w:pPr>
                    <w:jc w:val="center"/>
                    <w:rPr>
                      <w:color w:val="auto"/>
                      <w:sz w:val="21"/>
                      <w:szCs w:val="21"/>
                    </w:rPr>
                  </w:pPr>
                  <w:r>
                    <w:rPr>
                      <w:color w:val="auto"/>
                      <w:sz w:val="21"/>
                      <w:szCs w:val="21"/>
                    </w:rPr>
                    <w:t>高氯酸</w:t>
                  </w:r>
                </w:p>
              </w:tc>
              <w:tc>
                <w:tcPr>
                  <w:tcW w:w="3840" w:type="pct"/>
                  <w:shd w:val="clear" w:color="auto" w:fill="auto"/>
                  <w:vAlign w:val="center"/>
                </w:tcPr>
                <w:p w14:paraId="5E665F41">
                  <w:pPr>
                    <w:pStyle w:val="18"/>
                    <w:spacing w:before="0" w:beforeAutospacing="0" w:after="0" w:afterAutospacing="0"/>
                    <w:jc w:val="both"/>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HClO</w:t>
                  </w:r>
                  <w:r>
                    <w:rPr>
                      <w:rFonts w:ascii="Times New Roman" w:hAnsi="Times New Roman" w:eastAsia="宋体" w:cs="Times New Roman"/>
                      <w:color w:val="auto"/>
                      <w:sz w:val="21"/>
                      <w:szCs w:val="21"/>
                      <w:vertAlign w:val="subscript"/>
                    </w:rPr>
                    <w:t>4</w:t>
                  </w:r>
                  <w:r>
                    <w:rPr>
                      <w:rFonts w:ascii="Times New Roman" w:hAnsi="Times New Roman" w:eastAsia="宋体" w:cs="Times New Roman"/>
                      <w:color w:val="auto"/>
                      <w:sz w:val="21"/>
                      <w:szCs w:val="21"/>
                    </w:rPr>
                    <w:t>，分子量：100.46，密度：1.76g/cm3，熔点：-122℃，沸点：130℃爆炸，六大无机强酸之一，是无色透明的发烟液体。130℃爆炸</w:t>
                  </w:r>
                  <w:r>
                    <w:rPr>
                      <w:rFonts w:hint="eastAsia" w:ascii="Times New Roman" w:hAnsi="Times New Roman" w:eastAsia="宋体" w:cs="Times New Roman"/>
                      <w:color w:val="auto"/>
                      <w:sz w:val="21"/>
                      <w:szCs w:val="21"/>
                    </w:rPr>
                    <w:t>。LD</w:t>
                  </w:r>
                  <w:r>
                    <w:rPr>
                      <w:rFonts w:hint="eastAsia" w:ascii="Times New Roman" w:hAnsi="Times New Roman" w:eastAsia="宋体" w:cs="Times New Roman"/>
                      <w:color w:val="auto"/>
                      <w:sz w:val="21"/>
                      <w:szCs w:val="21"/>
                      <w:vertAlign w:val="subscript"/>
                    </w:rPr>
                    <w:t>50</w:t>
                  </w:r>
                  <w:r>
                    <w:rPr>
                      <w:rFonts w:hint="eastAsia" w:ascii="Times New Roman" w:hAnsi="Times New Roman" w:eastAsia="宋体" w:cs="Times New Roman"/>
                      <w:color w:val="auto"/>
                      <w:sz w:val="21"/>
                      <w:szCs w:val="21"/>
                    </w:rPr>
                    <w:t>：1100mg/kg（大鼠经口）；400mg/kg（犬经口）。</w:t>
                  </w:r>
                </w:p>
              </w:tc>
            </w:tr>
            <w:tr w14:paraId="58F6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4F2311E6">
                  <w:pPr>
                    <w:widowControl/>
                    <w:contextualSpacing/>
                    <w:jc w:val="center"/>
                    <w:rPr>
                      <w:kern w:val="0"/>
                      <w:sz w:val="21"/>
                      <w:szCs w:val="21"/>
                    </w:rPr>
                  </w:pPr>
                  <w:r>
                    <w:rPr>
                      <w:rFonts w:hint="eastAsia"/>
                      <w:kern w:val="0"/>
                      <w:sz w:val="21"/>
                      <w:szCs w:val="21"/>
                    </w:rPr>
                    <w:t>12</w:t>
                  </w:r>
                </w:p>
              </w:tc>
              <w:tc>
                <w:tcPr>
                  <w:tcW w:w="719" w:type="pct"/>
                  <w:shd w:val="clear" w:color="auto" w:fill="auto"/>
                  <w:vAlign w:val="center"/>
                </w:tcPr>
                <w:p w14:paraId="4F86DC43">
                  <w:pPr>
                    <w:jc w:val="center"/>
                    <w:rPr>
                      <w:sz w:val="21"/>
                      <w:szCs w:val="21"/>
                    </w:rPr>
                  </w:pPr>
                  <w:r>
                    <w:rPr>
                      <w:rFonts w:hint="eastAsia"/>
                      <w:sz w:val="21"/>
                      <w:szCs w:val="21"/>
                    </w:rPr>
                    <w:t>磷酸</w:t>
                  </w:r>
                </w:p>
              </w:tc>
              <w:tc>
                <w:tcPr>
                  <w:tcW w:w="3840" w:type="pct"/>
                  <w:shd w:val="clear" w:color="auto" w:fill="auto"/>
                  <w:vAlign w:val="center"/>
                </w:tcPr>
                <w:p w14:paraId="2CC2C77C">
                  <w:pPr>
                    <w:pStyle w:val="18"/>
                    <w:spacing w:before="0" w:beforeAutospacing="0" w:after="0" w:afterAutospacing="0"/>
                    <w:jc w:val="both"/>
                    <w:rPr>
                      <w:rFonts w:ascii="Times New Roman" w:hAnsi="Times New Roman" w:eastAsia="宋体" w:cs="Times New Roman"/>
                      <w:sz w:val="21"/>
                      <w:szCs w:val="21"/>
                      <w:shd w:val="clear" w:color="auto" w:fill="FFFFFF"/>
                    </w:rPr>
                  </w:pPr>
                  <w:r>
                    <w:rPr>
                      <w:rFonts w:ascii="Times New Roman" w:hAnsi="Times New Roman" w:eastAsia="宋体" w:cs="Times New Roman"/>
                      <w:sz w:val="21"/>
                      <w:szCs w:val="21"/>
                      <w:shd w:val="clear" w:color="auto" w:fill="FFFFFF"/>
                    </w:rPr>
                    <w:t>H</w:t>
                  </w:r>
                  <w:r>
                    <w:rPr>
                      <w:rFonts w:ascii="Times New Roman" w:hAnsi="Times New Roman" w:eastAsia="宋体" w:cs="Times New Roman"/>
                      <w:sz w:val="21"/>
                      <w:szCs w:val="21"/>
                      <w:shd w:val="clear" w:color="auto" w:fill="FFFFFF"/>
                      <w:vertAlign w:val="subscript"/>
                    </w:rPr>
                    <w:t>3</w:t>
                  </w:r>
                  <w:r>
                    <w:rPr>
                      <w:rFonts w:ascii="Times New Roman" w:hAnsi="Times New Roman" w:eastAsia="宋体" w:cs="Times New Roman"/>
                      <w:sz w:val="21"/>
                      <w:szCs w:val="21"/>
                      <w:shd w:val="clear" w:color="auto" w:fill="FFFFFF"/>
                    </w:rPr>
                    <w:t>PO</w:t>
                  </w:r>
                  <w:r>
                    <w:rPr>
                      <w:rFonts w:ascii="Times New Roman" w:hAnsi="Times New Roman" w:eastAsia="宋体" w:cs="Times New Roman"/>
                      <w:sz w:val="21"/>
                      <w:szCs w:val="21"/>
                      <w:shd w:val="clear" w:color="auto" w:fill="FFFFFF"/>
                      <w:vertAlign w:val="subscript"/>
                    </w:rPr>
                    <w:t>4</w:t>
                  </w:r>
                  <w:r>
                    <w:rPr>
                      <w:rFonts w:ascii="Times New Roman" w:hAnsi="Times New Roman" w:eastAsia="宋体" w:cs="Times New Roman"/>
                      <w:sz w:val="21"/>
                      <w:szCs w:val="21"/>
                      <w:shd w:val="clear" w:color="auto" w:fill="FFFFFF"/>
                    </w:rPr>
                    <w:t>，分子量97.9</w:t>
                  </w:r>
                  <w:r>
                    <w:rPr>
                      <w:rFonts w:ascii="Times New Roman" w:hAnsi="Times New Roman" w:eastAsia="宋体" w:cs="Times New Roman"/>
                      <w:color w:val="auto"/>
                      <w:sz w:val="21"/>
                      <w:szCs w:val="21"/>
                      <w:shd w:val="clear" w:color="auto" w:fill="FFFFFF"/>
                    </w:rPr>
                    <w:t>95，为无色</w:t>
                  </w:r>
                  <w:r>
                    <w:rPr>
                      <w:rFonts w:hint="eastAsia" w:ascii="Times New Roman" w:hAnsi="Times New Roman" w:eastAsia="宋体" w:cs="Times New Roman"/>
                      <w:color w:val="auto"/>
                      <w:sz w:val="21"/>
                      <w:szCs w:val="21"/>
                      <w:shd w:val="clear" w:color="auto" w:fill="FFFFFF"/>
                      <w:lang w:val="en-US" w:eastAsia="zh-CN"/>
                    </w:rPr>
                    <w:t>粘稠状</w:t>
                  </w:r>
                  <w:r>
                    <w:rPr>
                      <w:rFonts w:ascii="Times New Roman" w:hAnsi="Times New Roman" w:eastAsia="宋体" w:cs="Times New Roman"/>
                      <w:color w:val="auto"/>
                      <w:sz w:val="21"/>
                      <w:szCs w:val="21"/>
                      <w:shd w:val="clear" w:color="auto" w:fill="FFFFFF"/>
                    </w:rPr>
                    <w:t>液体，密度：</w:t>
                  </w:r>
                  <w:r>
                    <w:rPr>
                      <w:rFonts w:hint="eastAsia" w:ascii="Times New Roman" w:hAnsi="Times New Roman" w:eastAsia="宋体" w:cs="Times New Roman"/>
                      <w:color w:val="auto"/>
                      <w:sz w:val="21"/>
                      <w:szCs w:val="21"/>
                      <w:shd w:val="clear" w:color="auto" w:fill="FFFFFF"/>
                      <w:lang w:val="en-US" w:eastAsia="zh-CN"/>
                    </w:rPr>
                    <w:t>1.874g/mL</w:t>
                  </w:r>
                  <w:r>
                    <w:rPr>
                      <w:rFonts w:ascii="Times New Roman" w:hAnsi="Times New Roman" w:eastAsia="宋体" w:cs="Times New Roman"/>
                      <w:color w:val="auto"/>
                      <w:sz w:val="21"/>
                      <w:szCs w:val="21"/>
                      <w:shd w:val="clear" w:color="auto" w:fill="FFFFFF"/>
                    </w:rPr>
                    <w:t>，溶于水，可混溶于醇、醚等多数有机溶剂。饱和蒸气压：13.33KPa/21.1℃。磷酸是三元</w:t>
                  </w:r>
                  <w:r>
                    <w:rPr>
                      <w:rFonts w:ascii="Times New Roman" w:hAnsi="Times New Roman" w:eastAsia="宋体" w:cs="Times New Roman"/>
                      <w:color w:val="auto"/>
                      <w:sz w:val="21"/>
                      <w:szCs w:val="21"/>
                      <w:shd w:val="clear" w:color="auto" w:fill="FFFFFF"/>
                    </w:rPr>
                    <w:fldChar w:fldCharType="begin"/>
                  </w:r>
                  <w:r>
                    <w:rPr>
                      <w:rFonts w:ascii="Times New Roman" w:hAnsi="Times New Roman" w:eastAsia="宋体" w:cs="Times New Roman"/>
                      <w:color w:val="auto"/>
                      <w:sz w:val="21"/>
                      <w:szCs w:val="21"/>
                      <w:shd w:val="clear" w:color="auto" w:fill="FFFFFF"/>
                    </w:rPr>
                    <w:instrText xml:space="preserve"> HYPERLINK "https://baike.so.com/doc/7777042.html" \t "https://baike.so.com/doc/_blank" </w:instrText>
                  </w:r>
                  <w:r>
                    <w:rPr>
                      <w:rFonts w:ascii="Times New Roman" w:hAnsi="Times New Roman" w:eastAsia="宋体" w:cs="Times New Roman"/>
                      <w:color w:val="auto"/>
                      <w:sz w:val="21"/>
                      <w:szCs w:val="21"/>
                      <w:shd w:val="clear" w:color="auto" w:fill="FFFFFF"/>
                    </w:rPr>
                    <w:fldChar w:fldCharType="separate"/>
                  </w:r>
                  <w:r>
                    <w:rPr>
                      <w:rFonts w:ascii="Times New Roman" w:hAnsi="Times New Roman" w:eastAsia="宋体" w:cs="Times New Roman"/>
                      <w:color w:val="auto"/>
                      <w:sz w:val="21"/>
                      <w:szCs w:val="21"/>
                      <w:shd w:val="clear" w:color="auto" w:fill="FFFFFF"/>
                    </w:rPr>
                    <w:t>中强酸</w:t>
                  </w:r>
                  <w:r>
                    <w:rPr>
                      <w:rFonts w:ascii="Times New Roman" w:hAnsi="Times New Roman" w:eastAsia="宋体" w:cs="Times New Roman"/>
                      <w:color w:val="auto"/>
                      <w:sz w:val="21"/>
                      <w:szCs w:val="21"/>
                      <w:shd w:val="clear" w:color="auto" w:fill="FFFFFF"/>
                    </w:rPr>
                    <w:fldChar w:fldCharType="end"/>
                  </w:r>
                  <w:r>
                    <w:rPr>
                      <w:rFonts w:ascii="Times New Roman" w:hAnsi="Times New Roman" w:eastAsia="宋体" w:cs="Times New Roman"/>
                      <w:color w:val="auto"/>
                      <w:sz w:val="21"/>
                      <w:szCs w:val="21"/>
                      <w:shd w:val="clear" w:color="auto" w:fill="FFFFFF"/>
                    </w:rPr>
                    <w:t>，分三步</w:t>
                  </w:r>
                  <w:r>
                    <w:rPr>
                      <w:rFonts w:ascii="Times New Roman" w:hAnsi="Times New Roman" w:eastAsia="宋体" w:cs="Times New Roman"/>
                      <w:color w:val="auto"/>
                      <w:sz w:val="21"/>
                      <w:szCs w:val="21"/>
                      <w:shd w:val="clear" w:color="auto" w:fill="FFFFFF"/>
                    </w:rPr>
                    <w:fldChar w:fldCharType="begin"/>
                  </w:r>
                  <w:r>
                    <w:rPr>
                      <w:rFonts w:ascii="Times New Roman" w:hAnsi="Times New Roman" w:eastAsia="宋体" w:cs="Times New Roman"/>
                      <w:color w:val="auto"/>
                      <w:sz w:val="21"/>
                      <w:szCs w:val="21"/>
                      <w:shd w:val="clear" w:color="auto" w:fill="FFFFFF"/>
                    </w:rPr>
                    <w:instrText xml:space="preserve"> HYPERLINK "https://baike.so.com/doc/989699.html" \t "https://baike.so.com/doc/_blank" </w:instrText>
                  </w:r>
                  <w:r>
                    <w:rPr>
                      <w:rFonts w:ascii="Times New Roman" w:hAnsi="Times New Roman" w:eastAsia="宋体" w:cs="Times New Roman"/>
                      <w:color w:val="auto"/>
                      <w:sz w:val="21"/>
                      <w:szCs w:val="21"/>
                      <w:shd w:val="clear" w:color="auto" w:fill="FFFFFF"/>
                    </w:rPr>
                    <w:fldChar w:fldCharType="separate"/>
                  </w:r>
                  <w:r>
                    <w:rPr>
                      <w:rFonts w:ascii="Times New Roman" w:hAnsi="Times New Roman" w:eastAsia="宋体" w:cs="Times New Roman"/>
                      <w:color w:val="auto"/>
                      <w:sz w:val="21"/>
                      <w:szCs w:val="21"/>
                      <w:shd w:val="clear" w:color="auto" w:fill="FFFFFF"/>
                    </w:rPr>
                    <w:t>电离</w:t>
                  </w:r>
                  <w:r>
                    <w:rPr>
                      <w:rFonts w:ascii="Times New Roman" w:hAnsi="Times New Roman" w:eastAsia="宋体" w:cs="Times New Roman"/>
                      <w:color w:val="auto"/>
                      <w:sz w:val="21"/>
                      <w:szCs w:val="21"/>
                      <w:shd w:val="clear" w:color="auto" w:fill="FFFFFF"/>
                    </w:rPr>
                    <w:fldChar w:fldCharType="end"/>
                  </w:r>
                  <w:r>
                    <w:rPr>
                      <w:rFonts w:ascii="Times New Roman" w:hAnsi="Times New Roman" w:eastAsia="宋体" w:cs="Times New Roman"/>
                      <w:color w:val="auto"/>
                      <w:sz w:val="21"/>
                      <w:szCs w:val="21"/>
                      <w:shd w:val="clear" w:color="auto" w:fill="FFFFFF"/>
                    </w:rPr>
                    <w:t>，不易</w:t>
                  </w:r>
                  <w:r>
                    <w:rPr>
                      <w:rFonts w:ascii="Times New Roman" w:hAnsi="Times New Roman" w:eastAsia="宋体" w:cs="Times New Roman"/>
                      <w:color w:val="auto"/>
                      <w:sz w:val="21"/>
                      <w:szCs w:val="21"/>
                      <w:shd w:val="clear" w:color="auto" w:fill="FFFFFF"/>
                    </w:rPr>
                    <w:fldChar w:fldCharType="begin"/>
                  </w:r>
                  <w:r>
                    <w:rPr>
                      <w:rFonts w:ascii="Times New Roman" w:hAnsi="Times New Roman" w:eastAsia="宋体" w:cs="Times New Roman"/>
                      <w:color w:val="auto"/>
                      <w:sz w:val="21"/>
                      <w:szCs w:val="21"/>
                      <w:shd w:val="clear" w:color="auto" w:fill="FFFFFF"/>
                    </w:rPr>
                    <w:instrText xml:space="preserve"> HYPERLINK "https://baike.so.com/doc/6255410.html" \t "https://baike.so.com/doc/_blank" </w:instrText>
                  </w:r>
                  <w:r>
                    <w:rPr>
                      <w:rFonts w:ascii="Times New Roman" w:hAnsi="Times New Roman" w:eastAsia="宋体" w:cs="Times New Roman"/>
                      <w:color w:val="auto"/>
                      <w:sz w:val="21"/>
                      <w:szCs w:val="21"/>
                      <w:shd w:val="clear" w:color="auto" w:fill="FFFFFF"/>
                    </w:rPr>
                    <w:fldChar w:fldCharType="separate"/>
                  </w:r>
                  <w:r>
                    <w:rPr>
                      <w:rFonts w:ascii="Times New Roman" w:hAnsi="Times New Roman" w:eastAsia="宋体" w:cs="Times New Roman"/>
                      <w:color w:val="auto"/>
                      <w:sz w:val="21"/>
                      <w:szCs w:val="21"/>
                      <w:shd w:val="clear" w:color="auto" w:fill="FFFFFF"/>
                    </w:rPr>
                    <w:t>挥发</w:t>
                  </w:r>
                  <w:r>
                    <w:rPr>
                      <w:rFonts w:ascii="Times New Roman" w:hAnsi="Times New Roman" w:eastAsia="宋体" w:cs="Times New Roman"/>
                      <w:color w:val="auto"/>
                      <w:sz w:val="21"/>
                      <w:szCs w:val="21"/>
                      <w:shd w:val="clear" w:color="auto" w:fill="FFFFFF"/>
                    </w:rPr>
                    <w:fldChar w:fldCharType="end"/>
                  </w:r>
                  <w:r>
                    <w:rPr>
                      <w:rFonts w:ascii="Times New Roman" w:hAnsi="Times New Roman" w:eastAsia="宋体" w:cs="Times New Roman"/>
                      <w:color w:val="auto"/>
                      <w:sz w:val="21"/>
                      <w:szCs w:val="21"/>
                      <w:shd w:val="clear" w:color="auto" w:fill="FFFFFF"/>
                    </w:rPr>
                    <w:t>，不易分解，几乎没有</w:t>
                  </w:r>
                  <w:r>
                    <w:rPr>
                      <w:rFonts w:ascii="Times New Roman" w:hAnsi="Times New Roman" w:eastAsia="宋体" w:cs="Times New Roman"/>
                      <w:color w:val="auto"/>
                      <w:sz w:val="21"/>
                      <w:szCs w:val="21"/>
                      <w:shd w:val="clear" w:color="auto" w:fill="FFFFFF"/>
                    </w:rPr>
                    <w:fldChar w:fldCharType="begin"/>
                  </w:r>
                  <w:r>
                    <w:rPr>
                      <w:rFonts w:ascii="Times New Roman" w:hAnsi="Times New Roman" w:eastAsia="宋体" w:cs="Times New Roman"/>
                      <w:color w:val="auto"/>
                      <w:sz w:val="21"/>
                      <w:szCs w:val="21"/>
                      <w:shd w:val="clear" w:color="auto" w:fill="FFFFFF"/>
                    </w:rPr>
                    <w:instrText xml:space="preserve"> HYPERLINK "https://baike.so.com/doc/2573201.html" \t "https://baike.so.com/doc/_blank" </w:instrText>
                  </w:r>
                  <w:r>
                    <w:rPr>
                      <w:rFonts w:ascii="Times New Roman" w:hAnsi="Times New Roman" w:eastAsia="宋体" w:cs="Times New Roman"/>
                      <w:color w:val="auto"/>
                      <w:sz w:val="21"/>
                      <w:szCs w:val="21"/>
                      <w:shd w:val="clear" w:color="auto" w:fill="FFFFFF"/>
                    </w:rPr>
                    <w:fldChar w:fldCharType="separate"/>
                  </w:r>
                  <w:r>
                    <w:rPr>
                      <w:rFonts w:ascii="Times New Roman" w:hAnsi="Times New Roman" w:eastAsia="宋体" w:cs="Times New Roman"/>
                      <w:color w:val="auto"/>
                      <w:sz w:val="21"/>
                      <w:szCs w:val="21"/>
                      <w:shd w:val="clear" w:color="auto" w:fill="FFFFFF"/>
                    </w:rPr>
                    <w:t>氧化性</w:t>
                  </w:r>
                  <w:r>
                    <w:rPr>
                      <w:rFonts w:ascii="Times New Roman" w:hAnsi="Times New Roman" w:eastAsia="宋体" w:cs="Times New Roman"/>
                      <w:color w:val="auto"/>
                      <w:sz w:val="21"/>
                      <w:szCs w:val="21"/>
                      <w:shd w:val="clear" w:color="auto" w:fill="FFFFFF"/>
                    </w:rPr>
                    <w:fldChar w:fldCharType="end"/>
                  </w:r>
                  <w:r>
                    <w:rPr>
                      <w:rFonts w:hint="eastAsia" w:ascii="Times New Roman" w:hAnsi="Times New Roman" w:eastAsia="宋体" w:cs="Times New Roman"/>
                      <w:color w:val="auto"/>
                      <w:sz w:val="21"/>
                      <w:szCs w:val="21"/>
                      <w:shd w:val="clear" w:color="auto" w:fill="FFFFFF"/>
                      <w:lang w:eastAsia="zh-CN"/>
                    </w:rPr>
                    <w:t>，</w:t>
                  </w:r>
                  <w:r>
                    <w:rPr>
                      <w:rFonts w:ascii="Times New Roman" w:hAnsi="Times New Roman" w:eastAsia="宋体" w:cs="Times New Roman"/>
                      <w:sz w:val="21"/>
                      <w:szCs w:val="21"/>
                      <w:shd w:val="clear" w:color="auto" w:fill="FFFFFF"/>
                    </w:rPr>
                    <w:t>具有</w:t>
                  </w:r>
                  <w:r>
                    <w:rPr>
                      <w:rFonts w:ascii="Times New Roman" w:hAnsi="Times New Roman" w:eastAsia="宋体" w:cs="Times New Roman"/>
                      <w:sz w:val="21"/>
                      <w:szCs w:val="21"/>
                      <w:shd w:val="clear" w:color="auto" w:fill="FFFFFF"/>
                    </w:rPr>
                    <w:fldChar w:fldCharType="begin"/>
                  </w:r>
                  <w:r>
                    <w:rPr>
                      <w:rFonts w:ascii="Times New Roman" w:hAnsi="Times New Roman" w:eastAsia="宋体" w:cs="Times New Roman"/>
                      <w:sz w:val="21"/>
                      <w:szCs w:val="21"/>
                      <w:shd w:val="clear" w:color="auto" w:fill="FFFFFF"/>
                    </w:rPr>
                    <w:instrText xml:space="preserve"> HYPERLINK "https://baike.so.com/doc/6795305.html" \t "https://baike.so.com/doc/_blank" </w:instrText>
                  </w:r>
                  <w:r>
                    <w:rPr>
                      <w:rFonts w:ascii="Times New Roman" w:hAnsi="Times New Roman" w:eastAsia="宋体" w:cs="Times New Roman"/>
                      <w:sz w:val="21"/>
                      <w:szCs w:val="21"/>
                      <w:shd w:val="clear" w:color="auto" w:fill="FFFFFF"/>
                    </w:rPr>
                    <w:fldChar w:fldCharType="separate"/>
                  </w:r>
                  <w:r>
                    <w:rPr>
                      <w:rFonts w:ascii="Times New Roman" w:hAnsi="Times New Roman" w:eastAsia="宋体" w:cs="Times New Roman"/>
                      <w:sz w:val="21"/>
                      <w:szCs w:val="21"/>
                      <w:shd w:val="clear" w:color="auto" w:fill="FFFFFF"/>
                    </w:rPr>
                    <w:t>酸的通性</w:t>
                  </w:r>
                  <w:r>
                    <w:rPr>
                      <w:rFonts w:ascii="Times New Roman" w:hAnsi="Times New Roman" w:eastAsia="宋体" w:cs="Times New Roman"/>
                      <w:sz w:val="21"/>
                      <w:szCs w:val="21"/>
                      <w:shd w:val="clear" w:color="auto" w:fill="FFFFFF"/>
                    </w:rPr>
                    <w:fldChar w:fldCharType="end"/>
                  </w:r>
                  <w:r>
                    <w:rPr>
                      <w:rFonts w:hint="eastAsia" w:ascii="Times New Roman" w:hAnsi="Times New Roman" w:eastAsia="宋体" w:cs="Times New Roman"/>
                      <w:sz w:val="21"/>
                      <w:szCs w:val="21"/>
                      <w:shd w:val="clear" w:color="auto" w:fill="FFFFFF"/>
                      <w:lang w:eastAsia="zh-CN"/>
                    </w:rPr>
                    <w:t>。</w:t>
                  </w:r>
                  <w:r>
                    <w:rPr>
                      <w:rFonts w:ascii="Times New Roman" w:hAnsi="Times New Roman" w:eastAsia="宋体" w:cs="Times New Roman"/>
                      <w:sz w:val="21"/>
                      <w:szCs w:val="21"/>
                      <w:shd w:val="clear" w:color="auto" w:fill="FFFFFF"/>
                    </w:rPr>
                    <w:t>LD</w:t>
                  </w:r>
                  <w:r>
                    <w:rPr>
                      <w:rFonts w:ascii="Times New Roman" w:hAnsi="Times New Roman" w:eastAsia="宋体" w:cs="Times New Roman"/>
                      <w:sz w:val="21"/>
                      <w:szCs w:val="21"/>
                      <w:shd w:val="clear" w:color="auto" w:fill="FFFFFF"/>
                      <w:vertAlign w:val="subscript"/>
                    </w:rPr>
                    <w:t>50</w:t>
                  </w:r>
                  <w:r>
                    <w:rPr>
                      <w:rFonts w:ascii="Times New Roman" w:hAnsi="Times New Roman" w:eastAsia="宋体" w:cs="Times New Roman"/>
                      <w:sz w:val="21"/>
                      <w:szCs w:val="21"/>
                      <w:shd w:val="clear" w:color="auto" w:fill="FFFFFF"/>
                    </w:rPr>
                    <w:t>：1530mg/kg（大鼠经口），2740mg/kg（兔经皮）</w:t>
                  </w:r>
                  <w:r>
                    <w:rPr>
                      <w:rFonts w:hint="eastAsia" w:ascii="Times New Roman" w:hAnsi="Times New Roman" w:eastAsia="宋体" w:cs="Times New Roman"/>
                      <w:sz w:val="21"/>
                      <w:szCs w:val="21"/>
                      <w:shd w:val="clear" w:color="auto" w:fill="FFFFFF"/>
                    </w:rPr>
                    <w:t>。</w:t>
                  </w:r>
                </w:p>
              </w:tc>
            </w:tr>
            <w:tr w14:paraId="79923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30756389">
                  <w:pPr>
                    <w:widowControl/>
                    <w:contextualSpacing/>
                    <w:jc w:val="center"/>
                    <w:rPr>
                      <w:kern w:val="0"/>
                      <w:sz w:val="21"/>
                      <w:szCs w:val="21"/>
                    </w:rPr>
                  </w:pPr>
                  <w:r>
                    <w:rPr>
                      <w:rFonts w:hint="eastAsia"/>
                      <w:kern w:val="0"/>
                      <w:sz w:val="21"/>
                      <w:szCs w:val="21"/>
                    </w:rPr>
                    <w:t>13</w:t>
                  </w:r>
                </w:p>
              </w:tc>
              <w:tc>
                <w:tcPr>
                  <w:tcW w:w="719" w:type="pct"/>
                  <w:shd w:val="clear" w:color="auto" w:fill="auto"/>
                  <w:vAlign w:val="center"/>
                </w:tcPr>
                <w:p w14:paraId="6C036392">
                  <w:pPr>
                    <w:jc w:val="center"/>
                    <w:rPr>
                      <w:sz w:val="21"/>
                      <w:szCs w:val="21"/>
                    </w:rPr>
                  </w:pPr>
                  <w:r>
                    <w:rPr>
                      <w:rFonts w:hint="eastAsia"/>
                      <w:sz w:val="21"/>
                      <w:szCs w:val="21"/>
                    </w:rPr>
                    <w:t>硫酸</w:t>
                  </w:r>
                </w:p>
              </w:tc>
              <w:tc>
                <w:tcPr>
                  <w:tcW w:w="3840" w:type="pct"/>
                  <w:shd w:val="clear" w:color="auto" w:fill="auto"/>
                  <w:vAlign w:val="center"/>
                </w:tcPr>
                <w:p w14:paraId="5DF488D9">
                  <w:pPr>
                    <w:rPr>
                      <w:sz w:val="21"/>
                      <w:szCs w:val="21"/>
                    </w:rPr>
                  </w:pPr>
                  <w:r>
                    <w:rPr>
                      <w:sz w:val="21"/>
                      <w:szCs w:val="21"/>
                    </w:rPr>
                    <w:t>H</w:t>
                  </w:r>
                  <w:r>
                    <w:rPr>
                      <w:sz w:val="21"/>
                      <w:szCs w:val="21"/>
                      <w:vertAlign w:val="subscript"/>
                    </w:rPr>
                    <w:t>2</w:t>
                  </w:r>
                  <w:r>
                    <w:rPr>
                      <w:sz w:val="21"/>
                      <w:szCs w:val="21"/>
                    </w:rPr>
                    <w:t>SO</w:t>
                  </w:r>
                  <w:r>
                    <w:rPr>
                      <w:sz w:val="21"/>
                      <w:szCs w:val="21"/>
                      <w:vertAlign w:val="subscript"/>
                    </w:rPr>
                    <w:t>4</w:t>
                  </w:r>
                  <w:r>
                    <w:rPr>
                      <w:sz w:val="21"/>
                      <w:szCs w:val="21"/>
                    </w:rPr>
                    <w:t>，分子量：98.078，密度：1.8305g/cm</w:t>
                  </w:r>
                  <w:r>
                    <w:rPr>
                      <w:sz w:val="21"/>
                      <w:szCs w:val="21"/>
                      <w:vertAlign w:val="superscript"/>
                    </w:rPr>
                    <w:t>3</w:t>
                  </w:r>
                  <w:r>
                    <w:rPr>
                      <w:sz w:val="21"/>
                      <w:szCs w:val="21"/>
                    </w:rPr>
                    <w:t>，熔点：10.371℃，沸点：337℃，无水硫酸为无色油状液体，10.36℃时结晶。LD</w:t>
                  </w:r>
                  <w:r>
                    <w:rPr>
                      <w:sz w:val="21"/>
                      <w:szCs w:val="21"/>
                      <w:vertAlign w:val="subscript"/>
                    </w:rPr>
                    <w:t>50</w:t>
                  </w:r>
                  <w:r>
                    <w:rPr>
                      <w:sz w:val="21"/>
                      <w:szCs w:val="21"/>
                    </w:rPr>
                    <w:t>：2140mg/kg（大鼠经口）；LC</w:t>
                  </w:r>
                  <w:r>
                    <w:rPr>
                      <w:sz w:val="21"/>
                      <w:szCs w:val="21"/>
                      <w:vertAlign w:val="subscript"/>
                    </w:rPr>
                    <w:t>50</w:t>
                  </w:r>
                  <w:r>
                    <w:rPr>
                      <w:sz w:val="21"/>
                      <w:szCs w:val="21"/>
                    </w:rPr>
                    <w:t>：510mg/m³，（大鼠吸入，2小时）</w:t>
                  </w:r>
                  <w:r>
                    <w:rPr>
                      <w:rFonts w:hint="eastAsia"/>
                      <w:sz w:val="21"/>
                      <w:szCs w:val="21"/>
                    </w:rPr>
                    <w:t>。</w:t>
                  </w:r>
                </w:p>
              </w:tc>
            </w:tr>
            <w:tr w14:paraId="60A06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0165D064">
                  <w:pPr>
                    <w:widowControl/>
                    <w:contextualSpacing/>
                    <w:jc w:val="center"/>
                    <w:rPr>
                      <w:kern w:val="0"/>
                      <w:sz w:val="21"/>
                      <w:szCs w:val="21"/>
                    </w:rPr>
                  </w:pPr>
                  <w:r>
                    <w:rPr>
                      <w:rFonts w:hint="eastAsia"/>
                      <w:kern w:val="0"/>
                      <w:sz w:val="21"/>
                      <w:szCs w:val="21"/>
                    </w:rPr>
                    <w:t>14</w:t>
                  </w:r>
                </w:p>
              </w:tc>
              <w:tc>
                <w:tcPr>
                  <w:tcW w:w="719" w:type="pct"/>
                  <w:shd w:val="clear" w:color="auto" w:fill="auto"/>
                  <w:vAlign w:val="center"/>
                </w:tcPr>
                <w:p w14:paraId="5F06C154">
                  <w:pPr>
                    <w:jc w:val="center"/>
                    <w:rPr>
                      <w:sz w:val="21"/>
                      <w:szCs w:val="21"/>
                    </w:rPr>
                  </w:pPr>
                  <w:r>
                    <w:rPr>
                      <w:sz w:val="21"/>
                      <w:szCs w:val="21"/>
                    </w:rPr>
                    <w:t>硝酸</w:t>
                  </w:r>
                </w:p>
              </w:tc>
              <w:tc>
                <w:tcPr>
                  <w:tcW w:w="3840" w:type="pct"/>
                  <w:shd w:val="clear" w:color="auto" w:fill="auto"/>
                  <w:vAlign w:val="center"/>
                </w:tcPr>
                <w:p w14:paraId="0191F407">
                  <w:pPr>
                    <w:rPr>
                      <w:sz w:val="21"/>
                      <w:szCs w:val="21"/>
                    </w:rPr>
                  </w:pPr>
                  <w:r>
                    <w:rPr>
                      <w:sz w:val="21"/>
                      <w:szCs w:val="21"/>
                    </w:rPr>
                    <w:t>HNO</w:t>
                  </w:r>
                  <w:r>
                    <w:rPr>
                      <w:sz w:val="21"/>
                      <w:szCs w:val="21"/>
                      <w:vertAlign w:val="subscript"/>
                    </w:rPr>
                    <w:t>3</w:t>
                  </w:r>
                  <w:r>
                    <w:rPr>
                      <w:sz w:val="21"/>
                      <w:szCs w:val="21"/>
                    </w:rPr>
                    <w:t>，无色透明发烟液体，有酸味；</w:t>
                  </w:r>
                  <w:r>
                    <w:rPr>
                      <w:spacing w:val="4"/>
                      <w:sz w:val="21"/>
                      <w:szCs w:val="21"/>
                    </w:rPr>
                    <w:t>熔点：-42℃；沸点：86℃，密度2.71g/cm</w:t>
                  </w:r>
                  <w:r>
                    <w:rPr>
                      <w:spacing w:val="4"/>
                      <w:sz w:val="21"/>
                      <w:szCs w:val="21"/>
                      <w:vertAlign w:val="superscript"/>
                    </w:rPr>
                    <w:t>3</w:t>
                  </w:r>
                  <w:r>
                    <w:rPr>
                      <w:spacing w:val="4"/>
                      <w:sz w:val="21"/>
                      <w:szCs w:val="21"/>
                    </w:rPr>
                    <w:t>；</w:t>
                  </w:r>
                  <w:r>
                    <w:rPr>
                      <w:sz w:val="21"/>
                      <w:szCs w:val="21"/>
                    </w:rPr>
                    <w:t>与水混溶，其蒸气有刺激作用，引起眼和上呼吸道刺激症状，如流泪、咽喉刺激感、呛咳，并伴有头痛、头晕、胸闷等。口服引起腹部剧痛，严重者可有胃穿孔、腹膜炎、喉痉挛、肾损害、休克以及窒息。皮肤接触引起灼伤。慢性影响：长期接触可引起牙齿酸蚀症。本品助燃，具强腐蚀性、强刺激性，可致人体灼伤。</w:t>
                  </w:r>
                </w:p>
              </w:tc>
            </w:tr>
            <w:tr w14:paraId="54187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3B5F143B">
                  <w:pPr>
                    <w:widowControl/>
                    <w:contextualSpacing/>
                    <w:jc w:val="center"/>
                    <w:rPr>
                      <w:kern w:val="0"/>
                      <w:sz w:val="21"/>
                      <w:szCs w:val="21"/>
                    </w:rPr>
                  </w:pPr>
                  <w:r>
                    <w:rPr>
                      <w:rFonts w:hint="eastAsia"/>
                      <w:kern w:val="0"/>
                      <w:sz w:val="21"/>
                      <w:szCs w:val="21"/>
                    </w:rPr>
                    <w:t>15</w:t>
                  </w:r>
                </w:p>
              </w:tc>
              <w:tc>
                <w:tcPr>
                  <w:tcW w:w="719" w:type="pct"/>
                  <w:shd w:val="clear" w:color="auto" w:fill="auto"/>
                  <w:vAlign w:val="center"/>
                </w:tcPr>
                <w:p w14:paraId="6C9FCF6D">
                  <w:pPr>
                    <w:jc w:val="center"/>
                    <w:rPr>
                      <w:sz w:val="21"/>
                      <w:szCs w:val="21"/>
                    </w:rPr>
                  </w:pPr>
                  <w:r>
                    <w:rPr>
                      <w:sz w:val="21"/>
                      <w:szCs w:val="21"/>
                    </w:rPr>
                    <w:t>盐酸</w:t>
                  </w:r>
                </w:p>
              </w:tc>
              <w:tc>
                <w:tcPr>
                  <w:tcW w:w="3840" w:type="pct"/>
                  <w:shd w:val="clear" w:color="auto" w:fill="auto"/>
                  <w:vAlign w:val="center"/>
                </w:tcPr>
                <w:p w14:paraId="58F0F90B">
                  <w:pPr>
                    <w:pStyle w:val="18"/>
                    <w:spacing w:before="0" w:beforeAutospacing="0" w:after="0" w:afterAutospacing="0"/>
                    <w:jc w:val="both"/>
                    <w:rPr>
                      <w:rFonts w:ascii="Times New Roman" w:hAnsi="Times New Roman" w:eastAsia="宋体" w:cs="Times New Roman"/>
                      <w:sz w:val="21"/>
                      <w:szCs w:val="21"/>
                    </w:rPr>
                  </w:pPr>
                  <w:r>
                    <w:rPr>
                      <w:rFonts w:ascii="Times New Roman" w:hAnsi="Times New Roman" w:eastAsia="宋体" w:cs="Times New Roman"/>
                      <w:sz w:val="21"/>
                      <w:szCs w:val="21"/>
                      <w:shd w:val="clear" w:color="auto" w:fill="FFFFFF"/>
                    </w:rPr>
                    <w:t>主要成分是</w:t>
                  </w:r>
                  <w:r>
                    <w:fldChar w:fldCharType="begin"/>
                  </w:r>
                  <w:r>
                    <w:instrText xml:space="preserve"> HYPERLINK "https://baike.so.com/doc/2962673-3125501.html"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氯化氢</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w:t>
                  </w:r>
                  <w:r>
                    <w:fldChar w:fldCharType="begin"/>
                  </w:r>
                  <w:r>
                    <w:instrText xml:space="preserve"> HYPERLINK "https://baike.so.com/doc/804239-850746.html"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化学式</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为HCl，分子量为36.46，工业盐酸含有铁、氯等杂质，因混有Fe而略带微黄色。工业盐酸有强烈的腐蚀性，能腐蚀金属，对动</w:t>
                  </w:r>
                  <w:r>
                    <w:fldChar w:fldCharType="begin"/>
                  </w:r>
                  <w:r>
                    <w:instrText xml:space="preserve"> HYPERLINK "https://baike.so.com/doc/5332319-5567685.html"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植物纤维</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和人体肌肤均有腐蚀作用。浓盐酸在空气中发烟，触及氨蒸气会生成白色云雾，氯化氢气体对动植物有害。</w:t>
                  </w:r>
                  <w:r>
                    <w:fldChar w:fldCharType="begin"/>
                  </w:r>
                  <w:r>
                    <w:instrText xml:space="preserve"> HYPERLINK "https://baike.so.com/doc/1244651-7124863.html"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盐酸</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是</w:t>
                  </w:r>
                  <w:r>
                    <w:fldChar w:fldCharType="begin"/>
                  </w:r>
                  <w:r>
                    <w:instrText xml:space="preserve"> HYPERLINK "https://baike.so.com/doc/5405267-5643041.html"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化学工业</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重要原料之一，广泛用于化工原料、染料、医药、食品、印染、皮革、制糖、冶金等行业。还用于</w:t>
                  </w:r>
                  <w:r>
                    <w:fldChar w:fldCharType="begin"/>
                  </w:r>
                  <w:r>
                    <w:instrText xml:space="preserve"> HYPERLINK "https://baike.so.com/doc/1725050-1823719.html"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离子交换树脂</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的再生以及</w:t>
                  </w:r>
                  <w:r>
                    <w:fldChar w:fldCharType="begin"/>
                  </w:r>
                  <w:r>
                    <w:instrText xml:space="preserve"> HYPERLINK "https://baike.so.com/doc/45538-47576.html"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电镀</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、金属表面的</w:t>
                  </w:r>
                  <w:r>
                    <w:fldChar w:fldCharType="begin"/>
                  </w:r>
                  <w:r>
                    <w:instrText xml:space="preserve"> HYPERLINK "https://baike.so.com/doc/5569311-5784499.html" \t "https://baike.so.com/doc/_blank" </w:instrText>
                  </w:r>
                  <w:r>
                    <w:fldChar w:fldCharType="separate"/>
                  </w:r>
                  <w:r>
                    <w:rPr>
                      <w:rStyle w:val="29"/>
                      <w:rFonts w:ascii="Times New Roman" w:hAnsi="Times New Roman" w:eastAsia="宋体" w:cs="Times New Roman"/>
                      <w:color w:val="auto"/>
                      <w:sz w:val="21"/>
                      <w:szCs w:val="21"/>
                      <w:u w:val="none"/>
                      <w:shd w:val="clear" w:color="auto" w:fill="FFFFFF"/>
                    </w:rPr>
                    <w:t>清洗剂</w:t>
                  </w:r>
                  <w:r>
                    <w:rPr>
                      <w:rStyle w:val="29"/>
                      <w:rFonts w:ascii="Times New Roman" w:hAnsi="Times New Roman" w:eastAsia="宋体" w:cs="Times New Roman"/>
                      <w:color w:val="auto"/>
                      <w:sz w:val="21"/>
                      <w:szCs w:val="21"/>
                      <w:u w:val="none"/>
                      <w:shd w:val="clear" w:color="auto" w:fill="FFFFFF"/>
                    </w:rPr>
                    <w:fldChar w:fldCharType="end"/>
                  </w:r>
                  <w:r>
                    <w:rPr>
                      <w:rFonts w:ascii="Times New Roman" w:hAnsi="Times New Roman" w:eastAsia="宋体" w:cs="Times New Roman"/>
                      <w:sz w:val="21"/>
                      <w:szCs w:val="21"/>
                      <w:shd w:val="clear" w:color="auto" w:fill="FFFFFF"/>
                    </w:rPr>
                    <w:t>。</w:t>
                  </w:r>
                </w:p>
              </w:tc>
            </w:tr>
            <w:tr w14:paraId="0470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2A281E16">
                  <w:pPr>
                    <w:widowControl/>
                    <w:contextualSpacing/>
                    <w:jc w:val="center"/>
                    <w:rPr>
                      <w:color w:val="auto"/>
                      <w:kern w:val="0"/>
                      <w:sz w:val="21"/>
                      <w:szCs w:val="21"/>
                    </w:rPr>
                  </w:pPr>
                  <w:r>
                    <w:rPr>
                      <w:rFonts w:hint="eastAsia"/>
                      <w:color w:val="auto"/>
                      <w:kern w:val="0"/>
                      <w:sz w:val="21"/>
                      <w:szCs w:val="21"/>
                    </w:rPr>
                    <w:t>16</w:t>
                  </w:r>
                </w:p>
              </w:tc>
              <w:tc>
                <w:tcPr>
                  <w:tcW w:w="719" w:type="pct"/>
                  <w:shd w:val="clear" w:color="auto" w:fill="auto"/>
                  <w:vAlign w:val="center"/>
                </w:tcPr>
                <w:p w14:paraId="757FF470">
                  <w:pPr>
                    <w:jc w:val="center"/>
                    <w:rPr>
                      <w:color w:val="auto"/>
                      <w:sz w:val="21"/>
                      <w:szCs w:val="21"/>
                    </w:rPr>
                  </w:pPr>
                  <w:r>
                    <w:rPr>
                      <w:rFonts w:hint="eastAsia"/>
                      <w:color w:val="auto"/>
                      <w:sz w:val="21"/>
                      <w:szCs w:val="21"/>
                    </w:rPr>
                    <w:t>氢氧化钠</w:t>
                  </w:r>
                </w:p>
              </w:tc>
              <w:tc>
                <w:tcPr>
                  <w:tcW w:w="3840" w:type="pct"/>
                  <w:shd w:val="clear" w:color="auto" w:fill="auto"/>
                  <w:vAlign w:val="center"/>
                </w:tcPr>
                <w:p w14:paraId="34AD7190">
                  <w:pPr>
                    <w:pStyle w:val="18"/>
                    <w:spacing w:before="0" w:beforeAutospacing="0" w:after="0" w:afterAutospacing="0"/>
                    <w:jc w:val="both"/>
                    <w:rPr>
                      <w:rFonts w:ascii="Times New Roman" w:hAnsi="Times New Roman" w:eastAsia="宋体" w:cs="Times New Roman"/>
                      <w:color w:val="auto"/>
                      <w:sz w:val="21"/>
                      <w:szCs w:val="21"/>
                      <w:shd w:val="clear" w:color="auto" w:fill="FFFFFF"/>
                    </w:rPr>
                  </w:pPr>
                  <w:r>
                    <w:rPr>
                      <w:rFonts w:hint="eastAsia" w:ascii="Times New Roman" w:hAnsi="Times New Roman" w:eastAsia="宋体" w:cs="Times New Roman"/>
                      <w:color w:val="auto"/>
                      <w:sz w:val="21"/>
                      <w:szCs w:val="21"/>
                      <w:shd w:val="clear" w:color="auto" w:fill="FFFFFF"/>
                    </w:rPr>
                    <w:t>NaOH，分子量为40.01，外观为白色不透明固体，易潮解。易溶于水、乙醇、甘油、不溶于丙酮。用于肥皂工业、石油精炼、造纸、人造丝、染色、制革、医药、有机合成等。具有强腐蚀性。</w:t>
                  </w:r>
                </w:p>
              </w:tc>
            </w:tr>
            <w:tr w14:paraId="2065B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shd w:val="clear" w:color="auto" w:fill="auto"/>
                  <w:vAlign w:val="center"/>
                </w:tcPr>
                <w:p w14:paraId="4B9A5FD7">
                  <w:pPr>
                    <w:widowControl/>
                    <w:contextualSpacing/>
                    <w:jc w:val="center"/>
                    <w:rPr>
                      <w:kern w:val="0"/>
                      <w:sz w:val="21"/>
                      <w:szCs w:val="21"/>
                    </w:rPr>
                  </w:pPr>
                  <w:r>
                    <w:rPr>
                      <w:rFonts w:hint="eastAsia"/>
                      <w:kern w:val="0"/>
                      <w:sz w:val="21"/>
                      <w:szCs w:val="21"/>
                    </w:rPr>
                    <w:t>17</w:t>
                  </w:r>
                </w:p>
              </w:tc>
              <w:tc>
                <w:tcPr>
                  <w:tcW w:w="719" w:type="pct"/>
                  <w:shd w:val="clear" w:color="auto" w:fill="auto"/>
                  <w:vAlign w:val="center"/>
                </w:tcPr>
                <w:p w14:paraId="4CFA34CE">
                  <w:pPr>
                    <w:widowControl/>
                    <w:contextualSpacing/>
                    <w:jc w:val="center"/>
                    <w:rPr>
                      <w:sz w:val="21"/>
                      <w:szCs w:val="21"/>
                    </w:rPr>
                  </w:pPr>
                  <w:r>
                    <w:rPr>
                      <w:sz w:val="21"/>
                      <w:szCs w:val="21"/>
                    </w:rPr>
                    <w:t>乙炔</w:t>
                  </w:r>
                </w:p>
              </w:tc>
              <w:tc>
                <w:tcPr>
                  <w:tcW w:w="3840" w:type="pct"/>
                  <w:shd w:val="clear" w:color="auto" w:fill="auto"/>
                  <w:vAlign w:val="center"/>
                </w:tcPr>
                <w:p w14:paraId="05122DBD">
                  <w:pPr>
                    <w:widowControl/>
                    <w:contextualSpacing/>
                    <w:rPr>
                      <w:sz w:val="21"/>
                      <w:szCs w:val="21"/>
                    </w:rPr>
                  </w:pPr>
                  <w:r>
                    <w:rPr>
                      <w:sz w:val="21"/>
                      <w:szCs w:val="21"/>
                    </w:rPr>
                    <w:t>无色无味气体，工业品有使人不愉快的大蒜气味。熔点：-81.8℃（119kPa），</w:t>
                  </w:r>
                  <w:r>
                    <w:rPr>
                      <w:sz w:val="21"/>
                      <w:szCs w:val="21"/>
                      <w:lang w:val="zh-CN"/>
                    </w:rPr>
                    <w:t>沸点</w:t>
                  </w:r>
                  <w:r>
                    <w:rPr>
                      <w:sz w:val="21"/>
                      <w:szCs w:val="21"/>
                    </w:rPr>
                    <w:t>：-83.8</w:t>
                  </w:r>
                  <w:r>
                    <w:rPr>
                      <w:spacing w:val="4"/>
                      <w:sz w:val="21"/>
                      <w:szCs w:val="21"/>
                    </w:rPr>
                    <w:t>℃</w:t>
                  </w:r>
                  <w:r>
                    <w:rPr>
                      <w:sz w:val="21"/>
                      <w:szCs w:val="21"/>
                    </w:rPr>
                    <w:t>（升华），相对密度（水=1）：0.62（-82</w:t>
                  </w:r>
                  <w:r>
                    <w:rPr>
                      <w:spacing w:val="4"/>
                      <w:sz w:val="21"/>
                      <w:szCs w:val="21"/>
                    </w:rPr>
                    <w:t>℃</w:t>
                  </w:r>
                  <w:r>
                    <w:rPr>
                      <w:sz w:val="21"/>
                      <w:szCs w:val="21"/>
                    </w:rPr>
                    <w:t>）。相对蒸气密度（空气=1）：0.91，燃烧热（kJ/mol）：-1298.4，临界温度（℃）：35.2，临界压力（MPa）：6.19。辛醇/水分配系数：0.37。引燃温度：305</w:t>
                  </w:r>
                  <w:r>
                    <w:rPr>
                      <w:spacing w:val="4"/>
                      <w:sz w:val="21"/>
                      <w:szCs w:val="21"/>
                    </w:rPr>
                    <w:t>℃</w:t>
                  </w:r>
                  <w:r>
                    <w:rPr>
                      <w:sz w:val="21"/>
                      <w:szCs w:val="21"/>
                    </w:rPr>
                    <w:t>。爆炸上限（%）：82。爆炸下限（%）：2.5。溶解性：微溶于水，溶于乙醇，丙酮、氯仿、苯，混溶于乙醚。乙炔通常是溶解在溶剂及多孔物中，装入钢瓶内，储存于阴凉、通风的易燃气体专用库房，远离火种、热源，库温不宜超过30℃。应与氧化剂、酸类、卤素分开存放，切忌混储。采用防爆型照明、通风设施，禁止使用易产生火花的机械设备和工具。储区应备有泄漏应急处理设备，小心避火。</w:t>
                  </w:r>
                </w:p>
              </w:tc>
            </w:tr>
          </w:tbl>
          <w:p w14:paraId="7C04708F">
            <w:pPr>
              <w:adjustRightInd w:val="0"/>
              <w:snapToGrid w:val="0"/>
              <w:spacing w:before="156" w:beforeLines="50" w:line="360" w:lineRule="auto"/>
              <w:ind w:firstLine="482" w:firstLineChars="200"/>
              <w:rPr>
                <w:b/>
              </w:rPr>
            </w:pPr>
            <w:r>
              <w:rPr>
                <w:rFonts w:hint="eastAsia"/>
                <w:b/>
              </w:rPr>
              <w:t>6、公用工程</w:t>
            </w:r>
          </w:p>
          <w:p w14:paraId="07CDD3E2">
            <w:pPr>
              <w:pStyle w:val="21"/>
              <w:adjustRightInd/>
              <w:snapToGrid/>
              <w:spacing w:line="360" w:lineRule="auto"/>
              <w:ind w:firstLine="452"/>
              <w:rPr>
                <w:b w:val="0"/>
                <w:bCs/>
              </w:rPr>
            </w:pPr>
            <w:r>
              <w:rPr>
                <w:rFonts w:hint="eastAsia"/>
                <w:b w:val="0"/>
                <w:bCs/>
              </w:rPr>
              <w:t>（1）</w:t>
            </w:r>
            <w:r>
              <w:rPr>
                <w:b w:val="0"/>
                <w:bCs/>
              </w:rPr>
              <w:t>给</w:t>
            </w:r>
            <w:r>
              <w:rPr>
                <w:rFonts w:hint="eastAsia"/>
                <w:b w:val="0"/>
                <w:bCs/>
              </w:rPr>
              <w:t>排</w:t>
            </w:r>
            <w:r>
              <w:rPr>
                <w:b w:val="0"/>
                <w:bCs/>
              </w:rPr>
              <w:t>水</w:t>
            </w:r>
          </w:p>
          <w:p w14:paraId="730A5193">
            <w:pPr>
              <w:spacing w:line="360" w:lineRule="auto"/>
              <w:ind w:firstLine="480" w:firstLineChars="200"/>
              <w:rPr>
                <w:bCs/>
              </w:rPr>
            </w:pPr>
            <w:r>
              <w:rPr>
                <w:bCs/>
              </w:rPr>
              <w:t>①</w:t>
            </w:r>
            <w:r>
              <w:rPr>
                <w:rFonts w:hint="eastAsia"/>
                <w:bCs/>
              </w:rPr>
              <w:t>给水</w:t>
            </w:r>
          </w:p>
          <w:p w14:paraId="1B14C4FF">
            <w:pPr>
              <w:spacing w:line="360" w:lineRule="auto"/>
              <w:ind w:firstLine="480" w:firstLineChars="200"/>
              <w:rPr>
                <w:bCs/>
                <w:kern w:val="0"/>
              </w:rPr>
            </w:pPr>
            <w:r>
              <w:rPr>
                <w:rFonts w:hint="eastAsia"/>
                <w:bCs/>
                <w:kern w:val="0"/>
              </w:rPr>
              <w:t>本项目用水主要为员工生活用水、地面清洁用水、实验试剂配制用水、实验器皿清洗用水、喷淋塔补充水、职工工作服清洗用水和超纯水制备用水。</w:t>
            </w:r>
          </w:p>
          <w:p w14:paraId="52170C84">
            <w:pPr>
              <w:numPr>
                <w:ilvl w:val="0"/>
                <w:numId w:val="5"/>
              </w:numPr>
              <w:spacing w:line="360" w:lineRule="auto"/>
              <w:ind w:firstLine="480" w:firstLineChars="200"/>
              <w:rPr>
                <w:bCs/>
              </w:rPr>
            </w:pPr>
            <w:r>
              <w:rPr>
                <w:rFonts w:hint="eastAsia"/>
                <w:bCs/>
              </w:rPr>
              <w:t>生活用水</w:t>
            </w:r>
          </w:p>
          <w:p w14:paraId="48D7F8E2">
            <w:pPr>
              <w:spacing w:line="360" w:lineRule="auto"/>
              <w:ind w:firstLine="480" w:firstLineChars="200"/>
              <w:rPr>
                <w:bCs/>
                <w:color w:val="auto"/>
              </w:rPr>
            </w:pPr>
            <w:r>
              <w:rPr>
                <w:rFonts w:hint="eastAsia"/>
                <w:bCs/>
                <w:kern w:val="0"/>
              </w:rPr>
              <w:t>建设单位现有劳动定员73人，搬迁后不新增人员，故本项目劳动定员为73人</w:t>
            </w:r>
            <w:r>
              <w:rPr>
                <w:rFonts w:hint="eastAsia"/>
                <w:bCs/>
                <w:color w:val="auto"/>
                <w:kern w:val="0"/>
              </w:rPr>
              <w:t>。根据《行业用水定额》（DB61/T 943-2020），取行政办公及科研院所用水定额中的先进值10m</w:t>
            </w:r>
            <w:r>
              <w:rPr>
                <w:rFonts w:hint="eastAsia"/>
                <w:bCs/>
                <w:color w:val="auto"/>
                <w:kern w:val="0"/>
                <w:vertAlign w:val="superscript"/>
              </w:rPr>
              <w:t>3</w:t>
            </w:r>
            <w:r>
              <w:rPr>
                <w:rFonts w:hint="eastAsia"/>
                <w:bCs/>
                <w:color w:val="auto"/>
                <w:kern w:val="0"/>
              </w:rPr>
              <w:t>/（人</w:t>
            </w:r>
            <w:r>
              <w:rPr>
                <w:bCs/>
                <w:color w:val="auto"/>
                <w:kern w:val="0"/>
              </w:rPr>
              <w:t>·</w:t>
            </w:r>
            <w:r>
              <w:rPr>
                <w:rFonts w:hint="eastAsia"/>
                <w:bCs/>
                <w:color w:val="auto"/>
                <w:kern w:val="0"/>
              </w:rPr>
              <w:t>a），则生活用水量为730m</w:t>
            </w:r>
            <w:r>
              <w:rPr>
                <w:rFonts w:hint="eastAsia"/>
                <w:bCs/>
                <w:color w:val="auto"/>
                <w:kern w:val="0"/>
                <w:vertAlign w:val="superscript"/>
              </w:rPr>
              <w:t>3</w:t>
            </w:r>
            <w:r>
              <w:rPr>
                <w:rFonts w:hint="eastAsia"/>
                <w:bCs/>
                <w:color w:val="auto"/>
                <w:kern w:val="0"/>
              </w:rPr>
              <w:t>/a（2.92</w:t>
            </w:r>
            <w:r>
              <w:rPr>
                <w:rFonts w:hint="eastAsia"/>
                <w:bCs/>
                <w:color w:val="auto"/>
              </w:rPr>
              <w:t>m</w:t>
            </w:r>
            <w:r>
              <w:rPr>
                <w:rFonts w:hint="eastAsia"/>
                <w:bCs/>
                <w:color w:val="auto"/>
                <w:vertAlign w:val="superscript"/>
              </w:rPr>
              <w:t>3</w:t>
            </w:r>
            <w:r>
              <w:rPr>
                <w:rFonts w:hint="eastAsia"/>
                <w:bCs/>
                <w:color w:val="auto"/>
              </w:rPr>
              <w:t>/d</w:t>
            </w:r>
            <w:r>
              <w:rPr>
                <w:rFonts w:hint="eastAsia"/>
                <w:bCs/>
                <w:color w:val="auto"/>
                <w:kern w:val="0"/>
              </w:rPr>
              <w:t>）</w:t>
            </w:r>
            <w:r>
              <w:rPr>
                <w:rFonts w:hint="eastAsia"/>
                <w:bCs/>
                <w:color w:val="auto"/>
              </w:rPr>
              <w:t>。</w:t>
            </w:r>
          </w:p>
          <w:p w14:paraId="238FEC3F">
            <w:pPr>
              <w:numPr>
                <w:ilvl w:val="0"/>
                <w:numId w:val="5"/>
              </w:numPr>
              <w:spacing w:line="360" w:lineRule="auto"/>
              <w:ind w:firstLine="480" w:firstLineChars="200"/>
              <w:textAlignment w:val="baseline"/>
              <w:rPr>
                <w:bCs/>
                <w:color w:val="auto"/>
              </w:rPr>
            </w:pPr>
            <w:r>
              <w:rPr>
                <w:bCs/>
                <w:color w:val="auto"/>
                <w:kern w:val="0"/>
              </w:rPr>
              <w:t>地面清洁用水</w:t>
            </w:r>
          </w:p>
          <w:p w14:paraId="6321A0FA">
            <w:pPr>
              <w:spacing w:line="360" w:lineRule="auto"/>
              <w:ind w:firstLine="480" w:firstLineChars="200"/>
              <w:textAlignment w:val="baseline"/>
              <w:rPr>
                <w:bCs/>
                <w:color w:val="auto"/>
              </w:rPr>
            </w:pPr>
            <w:r>
              <w:rPr>
                <w:bCs/>
                <w:color w:val="auto"/>
              </w:rPr>
              <w:t>地面清洁用水量按1.2L/m</w:t>
            </w:r>
            <w:r>
              <w:rPr>
                <w:bCs/>
                <w:color w:val="auto"/>
                <w:vertAlign w:val="superscript"/>
              </w:rPr>
              <w:t>2</w:t>
            </w:r>
            <w:r>
              <w:rPr>
                <w:bCs/>
                <w:color w:val="auto"/>
              </w:rPr>
              <w:t>·次计算，地面清洁用水采用自来水，项目</w:t>
            </w:r>
            <w:r>
              <w:rPr>
                <w:rFonts w:hint="eastAsia"/>
                <w:bCs/>
                <w:color w:val="auto"/>
              </w:rPr>
              <w:t>需清洁的地面</w:t>
            </w:r>
            <w:r>
              <w:rPr>
                <w:bCs/>
                <w:color w:val="auto"/>
              </w:rPr>
              <w:t>面积</w:t>
            </w:r>
            <w:r>
              <w:rPr>
                <w:rFonts w:hint="eastAsia"/>
                <w:bCs/>
                <w:color w:val="auto"/>
              </w:rPr>
              <w:t>约1800</w:t>
            </w:r>
            <w:r>
              <w:rPr>
                <w:bCs/>
                <w:color w:val="auto"/>
              </w:rPr>
              <w:t>m</w:t>
            </w:r>
            <w:r>
              <w:rPr>
                <w:bCs/>
                <w:color w:val="auto"/>
                <w:vertAlign w:val="superscript"/>
              </w:rPr>
              <w:t>2</w:t>
            </w:r>
            <w:r>
              <w:rPr>
                <w:bCs/>
                <w:color w:val="auto"/>
              </w:rPr>
              <w:t>，根据建设单位提供资料，年清洗次数按50次计，则地面清洁用水量为1</w:t>
            </w:r>
            <w:r>
              <w:rPr>
                <w:rFonts w:hint="eastAsia"/>
                <w:bCs/>
                <w:color w:val="auto"/>
              </w:rPr>
              <w:t>08</w:t>
            </w:r>
            <w:r>
              <w:rPr>
                <w:bCs/>
                <w:color w:val="auto"/>
              </w:rPr>
              <w:t>m</w:t>
            </w:r>
            <w:r>
              <w:rPr>
                <w:bCs/>
                <w:color w:val="auto"/>
                <w:vertAlign w:val="superscript"/>
              </w:rPr>
              <w:t>3</w:t>
            </w:r>
            <w:r>
              <w:rPr>
                <w:bCs/>
                <w:color w:val="auto"/>
              </w:rPr>
              <w:t>/a，折合为0.</w:t>
            </w:r>
            <w:r>
              <w:rPr>
                <w:rFonts w:hint="eastAsia"/>
                <w:bCs/>
                <w:color w:val="auto"/>
              </w:rPr>
              <w:t>432</w:t>
            </w:r>
            <w:r>
              <w:rPr>
                <w:bCs/>
                <w:color w:val="auto"/>
              </w:rPr>
              <w:t>m</w:t>
            </w:r>
            <w:r>
              <w:rPr>
                <w:bCs/>
                <w:color w:val="auto"/>
                <w:vertAlign w:val="superscript"/>
              </w:rPr>
              <w:t>3</w:t>
            </w:r>
            <w:r>
              <w:rPr>
                <w:bCs/>
                <w:color w:val="auto"/>
              </w:rPr>
              <w:t>/d。</w:t>
            </w:r>
          </w:p>
          <w:p w14:paraId="4024D07E">
            <w:pPr>
              <w:numPr>
                <w:ilvl w:val="0"/>
                <w:numId w:val="5"/>
              </w:numPr>
              <w:spacing w:line="360" w:lineRule="auto"/>
              <w:ind w:firstLine="480" w:firstLineChars="200"/>
              <w:textAlignment w:val="baseline"/>
              <w:rPr>
                <w:bCs/>
                <w:color w:val="auto"/>
                <w:kern w:val="0"/>
              </w:rPr>
            </w:pPr>
            <w:r>
              <w:rPr>
                <w:bCs/>
                <w:color w:val="auto"/>
                <w:kern w:val="0"/>
              </w:rPr>
              <w:t>实验试剂配制用水</w:t>
            </w:r>
          </w:p>
          <w:p w14:paraId="3FFD527C">
            <w:pPr>
              <w:pStyle w:val="21"/>
              <w:adjustRightInd/>
              <w:snapToGrid/>
              <w:spacing w:line="360" w:lineRule="auto"/>
              <w:ind w:firstLine="452"/>
              <w:rPr>
                <w:rFonts w:ascii="Times New Roman" w:hAnsi="Times New Roman"/>
                <w:b w:val="0"/>
                <w:bCs/>
              </w:rPr>
            </w:pPr>
            <w:r>
              <w:rPr>
                <w:rFonts w:ascii="Times New Roman" w:hAnsi="Times New Roman"/>
                <w:b w:val="0"/>
                <w:bCs/>
              </w:rPr>
              <w:t>项目实验试剂采用</w:t>
            </w:r>
            <w:r>
              <w:rPr>
                <w:rFonts w:hint="eastAsia" w:ascii="Times New Roman" w:hAnsi="Times New Roman"/>
                <w:b w:val="0"/>
                <w:bCs/>
              </w:rPr>
              <w:t>超</w:t>
            </w:r>
            <w:r>
              <w:rPr>
                <w:rFonts w:ascii="Times New Roman" w:hAnsi="Times New Roman"/>
                <w:b w:val="0"/>
                <w:bCs/>
              </w:rPr>
              <w:t>纯水进行配制/稀释，</w:t>
            </w:r>
            <w:r>
              <w:rPr>
                <w:rFonts w:hint="eastAsia" w:ascii="Times New Roman" w:hAnsi="Times New Roman"/>
                <w:b w:val="0"/>
                <w:bCs/>
              </w:rPr>
              <w:t>本次搬迁后实验室检测能力不变，故项目搬迁前后实验试剂配制用水量不变，</w:t>
            </w:r>
            <w:r>
              <w:rPr>
                <w:rFonts w:ascii="Times New Roman" w:hAnsi="Times New Roman"/>
                <w:b w:val="0"/>
                <w:bCs/>
              </w:rPr>
              <w:t>根据</w:t>
            </w:r>
            <w:r>
              <w:rPr>
                <w:rFonts w:hint="eastAsia" w:ascii="Times New Roman" w:hAnsi="Times New Roman"/>
                <w:b w:val="0"/>
                <w:bCs/>
              </w:rPr>
              <w:t>建设单位提供现有项目</w:t>
            </w:r>
            <w:r>
              <w:rPr>
                <w:rFonts w:hint="eastAsia"/>
                <w:b w:val="0"/>
                <w:bCs/>
              </w:rPr>
              <w:t>用水量</w:t>
            </w:r>
            <w:r>
              <w:rPr>
                <w:rFonts w:hint="eastAsia" w:ascii="Times New Roman" w:hAnsi="Times New Roman"/>
                <w:b w:val="0"/>
                <w:bCs/>
              </w:rPr>
              <w:t>数据，则本项目</w:t>
            </w:r>
            <w:r>
              <w:rPr>
                <w:rFonts w:ascii="Times New Roman" w:hAnsi="Times New Roman"/>
                <w:b w:val="0"/>
                <w:bCs/>
              </w:rPr>
              <w:t>实验配制用水为</w:t>
            </w:r>
            <w:r>
              <w:rPr>
                <w:rFonts w:hint="eastAsia" w:ascii="Times New Roman" w:hAnsi="Times New Roman"/>
                <w:b w:val="0"/>
                <w:bCs/>
              </w:rPr>
              <w:t>0.5</w:t>
            </w:r>
            <w:r>
              <w:rPr>
                <w:rFonts w:ascii="Times New Roman" w:hAnsi="Times New Roman"/>
                <w:b w:val="0"/>
                <w:bCs/>
              </w:rPr>
              <w:t>m</w:t>
            </w:r>
            <w:r>
              <w:rPr>
                <w:rFonts w:ascii="Times New Roman" w:hAnsi="Times New Roman"/>
                <w:b w:val="0"/>
                <w:bCs/>
                <w:vertAlign w:val="superscript"/>
              </w:rPr>
              <w:t>3</w:t>
            </w:r>
            <w:r>
              <w:rPr>
                <w:rFonts w:ascii="Times New Roman" w:hAnsi="Times New Roman"/>
                <w:b w:val="0"/>
                <w:bCs/>
              </w:rPr>
              <w:t>/a（0.0</w:t>
            </w:r>
            <w:r>
              <w:rPr>
                <w:rFonts w:hint="eastAsia" w:ascii="Times New Roman" w:hAnsi="Times New Roman"/>
                <w:b w:val="0"/>
                <w:bCs/>
              </w:rPr>
              <w:t>02</w:t>
            </w:r>
            <w:r>
              <w:rPr>
                <w:rFonts w:ascii="Times New Roman" w:hAnsi="Times New Roman"/>
                <w:b w:val="0"/>
                <w:bCs/>
              </w:rPr>
              <w:t>m</w:t>
            </w:r>
            <w:r>
              <w:rPr>
                <w:rFonts w:ascii="Times New Roman" w:hAnsi="Times New Roman"/>
                <w:b w:val="0"/>
                <w:bCs/>
                <w:vertAlign w:val="superscript"/>
              </w:rPr>
              <w:t>3</w:t>
            </w:r>
            <w:r>
              <w:rPr>
                <w:rFonts w:ascii="Times New Roman" w:hAnsi="Times New Roman"/>
                <w:b w:val="0"/>
                <w:bCs/>
              </w:rPr>
              <w:t>/d）。</w:t>
            </w:r>
          </w:p>
          <w:p w14:paraId="6F116059">
            <w:pPr>
              <w:numPr>
                <w:ilvl w:val="0"/>
                <w:numId w:val="5"/>
              </w:numPr>
              <w:spacing w:line="360" w:lineRule="auto"/>
              <w:ind w:firstLine="480" w:firstLineChars="200"/>
              <w:textAlignment w:val="baseline"/>
              <w:rPr>
                <w:bCs/>
              </w:rPr>
            </w:pPr>
            <w:r>
              <w:rPr>
                <w:bCs/>
                <w:kern w:val="0"/>
              </w:rPr>
              <w:t>实验器皿清洗用水</w:t>
            </w:r>
          </w:p>
          <w:p w14:paraId="629FE9E5">
            <w:pPr>
              <w:spacing w:line="360" w:lineRule="auto"/>
              <w:ind w:firstLine="480" w:firstLineChars="200"/>
              <w:textAlignment w:val="baseline"/>
            </w:pPr>
            <w:r>
              <w:rPr>
                <w:bCs/>
              </w:rPr>
              <w:t>项目实验结束后</w:t>
            </w:r>
            <w:r>
              <w:rPr>
                <w:rFonts w:hint="eastAsia"/>
              </w:rPr>
              <w:t>需要对实验器皿进行清洗，清洗分自来水清洗和超纯水清洗。清洗时首先采用自来水对器皿内残留的实验试剂进行初步冲洗，再</w:t>
            </w:r>
            <w:r>
              <w:rPr>
                <w:bCs/>
              </w:rPr>
              <w:t>用大量自来水清洗，</w:t>
            </w:r>
            <w:r>
              <w:rPr>
                <w:rFonts w:hint="eastAsia"/>
                <w:bCs/>
              </w:rPr>
              <w:t>最后</w:t>
            </w:r>
            <w:r>
              <w:rPr>
                <w:bCs/>
              </w:rPr>
              <w:t>用少量</w:t>
            </w:r>
            <w:r>
              <w:rPr>
                <w:rFonts w:hint="eastAsia"/>
                <w:bCs/>
              </w:rPr>
              <w:t>超</w:t>
            </w:r>
            <w:r>
              <w:rPr>
                <w:bCs/>
              </w:rPr>
              <w:t>纯水清洗。根据建设单位提供资料，</w:t>
            </w:r>
            <w:r>
              <w:rPr>
                <w:rFonts w:hint="eastAsia"/>
                <w:bCs/>
              </w:rPr>
              <w:t>本次搬迁后实验室检测能力不变，故项目搬迁前后实验器皿清洗用水量不变，</w:t>
            </w:r>
            <w:r>
              <w:rPr>
                <w:bCs/>
              </w:rPr>
              <w:t>根据</w:t>
            </w:r>
            <w:r>
              <w:rPr>
                <w:rFonts w:hint="eastAsia"/>
                <w:bCs/>
              </w:rPr>
              <w:t>建设单位提供现有项目用水量数据，则本项目</w:t>
            </w:r>
            <w:r>
              <w:rPr>
                <w:bCs/>
              </w:rPr>
              <w:t>实验室器皿清洗自来水量为</w:t>
            </w:r>
            <w:r>
              <w:rPr>
                <w:rFonts w:hint="eastAsia"/>
                <w:bCs/>
              </w:rPr>
              <w:t>142.5</w:t>
            </w:r>
            <w:r>
              <w:rPr>
                <w:bCs/>
              </w:rPr>
              <w:t>m</w:t>
            </w:r>
            <w:r>
              <w:rPr>
                <w:bCs/>
                <w:vertAlign w:val="superscript"/>
              </w:rPr>
              <w:t>3</w:t>
            </w:r>
            <w:r>
              <w:rPr>
                <w:bCs/>
              </w:rPr>
              <w:t>/a（0.</w:t>
            </w:r>
            <w:r>
              <w:rPr>
                <w:rFonts w:hint="eastAsia"/>
                <w:bCs/>
              </w:rPr>
              <w:t>57</w:t>
            </w:r>
            <w:r>
              <w:rPr>
                <w:bCs/>
              </w:rPr>
              <w:t>m</w:t>
            </w:r>
            <w:r>
              <w:rPr>
                <w:bCs/>
                <w:vertAlign w:val="superscript"/>
              </w:rPr>
              <w:t>3</w:t>
            </w:r>
            <w:r>
              <w:rPr>
                <w:bCs/>
              </w:rPr>
              <w:t>/d），</w:t>
            </w:r>
            <w:r>
              <w:rPr>
                <w:rFonts w:hint="eastAsia"/>
                <w:bCs/>
              </w:rPr>
              <w:t>超</w:t>
            </w:r>
            <w:r>
              <w:rPr>
                <w:bCs/>
              </w:rPr>
              <w:t>纯水用量为</w:t>
            </w:r>
            <w:r>
              <w:rPr>
                <w:rFonts w:hint="eastAsia"/>
                <w:bCs/>
              </w:rPr>
              <w:t>7.5</w:t>
            </w:r>
            <w:r>
              <w:rPr>
                <w:bCs/>
              </w:rPr>
              <w:t>m</w:t>
            </w:r>
            <w:r>
              <w:rPr>
                <w:bCs/>
                <w:vertAlign w:val="superscript"/>
              </w:rPr>
              <w:t>3</w:t>
            </w:r>
            <w:r>
              <w:rPr>
                <w:bCs/>
              </w:rPr>
              <w:t>/a（0.0</w:t>
            </w:r>
            <w:r>
              <w:rPr>
                <w:rFonts w:hint="eastAsia"/>
                <w:bCs/>
              </w:rPr>
              <w:t>3</w:t>
            </w:r>
            <w:r>
              <w:rPr>
                <w:bCs/>
              </w:rPr>
              <w:t>m</w:t>
            </w:r>
            <w:r>
              <w:rPr>
                <w:bCs/>
                <w:vertAlign w:val="superscript"/>
              </w:rPr>
              <w:t>3</w:t>
            </w:r>
            <w:r>
              <w:rPr>
                <w:bCs/>
              </w:rPr>
              <w:t>/d），总用水量为</w:t>
            </w:r>
            <w:r>
              <w:rPr>
                <w:rFonts w:hint="eastAsia"/>
                <w:bCs/>
              </w:rPr>
              <w:t>150</w:t>
            </w:r>
            <w:r>
              <w:rPr>
                <w:bCs/>
              </w:rPr>
              <w:t>m</w:t>
            </w:r>
            <w:r>
              <w:rPr>
                <w:bCs/>
                <w:vertAlign w:val="superscript"/>
              </w:rPr>
              <w:t>3</w:t>
            </w:r>
            <w:r>
              <w:rPr>
                <w:bCs/>
              </w:rPr>
              <w:t>/a（0.</w:t>
            </w:r>
            <w:r>
              <w:rPr>
                <w:rFonts w:hint="eastAsia"/>
                <w:bCs/>
              </w:rPr>
              <w:t>6</w:t>
            </w:r>
            <w:r>
              <w:rPr>
                <w:bCs/>
              </w:rPr>
              <w:t>m</w:t>
            </w:r>
            <w:r>
              <w:rPr>
                <w:bCs/>
                <w:vertAlign w:val="superscript"/>
              </w:rPr>
              <w:t>3</w:t>
            </w:r>
            <w:r>
              <w:rPr>
                <w:bCs/>
              </w:rPr>
              <w:t>/d）</w:t>
            </w:r>
            <w:r>
              <w:rPr>
                <w:rFonts w:hint="eastAsia"/>
                <w:bCs/>
              </w:rPr>
              <w:t>，其中一次清洗用水量为0.15m</w:t>
            </w:r>
            <w:r>
              <w:rPr>
                <w:rFonts w:hint="eastAsia"/>
                <w:bCs/>
                <w:vertAlign w:val="superscript"/>
              </w:rPr>
              <w:t>3</w:t>
            </w:r>
            <w:r>
              <w:rPr>
                <w:rFonts w:hint="eastAsia"/>
                <w:bCs/>
              </w:rPr>
              <w:t>/a（0.0006m</w:t>
            </w:r>
            <w:r>
              <w:rPr>
                <w:rFonts w:hint="eastAsia"/>
                <w:bCs/>
                <w:vertAlign w:val="superscript"/>
              </w:rPr>
              <w:t>3</w:t>
            </w:r>
            <w:r>
              <w:rPr>
                <w:rFonts w:hint="eastAsia"/>
                <w:bCs/>
              </w:rPr>
              <w:t>/d）。</w:t>
            </w:r>
          </w:p>
          <w:p w14:paraId="0F7BB555">
            <w:pPr>
              <w:numPr>
                <w:ilvl w:val="0"/>
                <w:numId w:val="5"/>
              </w:numPr>
              <w:spacing w:line="360" w:lineRule="auto"/>
              <w:ind w:firstLine="480" w:firstLineChars="200"/>
              <w:textAlignment w:val="baseline"/>
              <w:rPr>
                <w:bCs/>
              </w:rPr>
            </w:pPr>
            <w:r>
              <w:rPr>
                <w:rFonts w:hint="eastAsia"/>
                <w:bCs/>
                <w:kern w:val="0"/>
              </w:rPr>
              <w:t>喷淋塔补充</w:t>
            </w:r>
            <w:r>
              <w:rPr>
                <w:bCs/>
                <w:kern w:val="0"/>
              </w:rPr>
              <w:t>水</w:t>
            </w:r>
          </w:p>
          <w:p w14:paraId="4ED9FE77">
            <w:pPr>
              <w:pStyle w:val="21"/>
              <w:adjustRightInd/>
              <w:snapToGrid/>
              <w:spacing w:line="360" w:lineRule="auto"/>
              <w:ind w:firstLine="452"/>
              <w:rPr>
                <w:rFonts w:ascii="Times New Roman" w:hAnsi="Times New Roman"/>
                <w:b w:val="0"/>
                <w:bCs/>
              </w:rPr>
            </w:pPr>
            <w:r>
              <w:rPr>
                <w:rFonts w:hint="eastAsia"/>
                <w:b w:val="0"/>
                <w:bCs/>
              </w:rPr>
              <w:t>项目无机前处理产生的无机</w:t>
            </w:r>
            <w:r>
              <w:rPr>
                <w:rFonts w:hint="eastAsia" w:ascii="Times New Roman" w:hAnsi="Times New Roman"/>
                <w:b w:val="0"/>
                <w:bCs/>
              </w:rPr>
              <w:t>酸性废气（硫酸雾、氯化氢、氮氧化物）</w:t>
            </w:r>
            <w:r>
              <w:rPr>
                <w:rFonts w:hint="eastAsia"/>
                <w:b w:val="0"/>
                <w:bCs/>
              </w:rPr>
              <w:t>采用</w:t>
            </w:r>
            <w:r>
              <w:rPr>
                <w:rFonts w:hint="eastAsia" w:ascii="Times New Roman" w:hAnsi="Times New Roman"/>
                <w:b w:val="0"/>
                <w:bCs/>
              </w:rPr>
              <w:t>喷淋塔装置进行处</w:t>
            </w:r>
            <w:r>
              <w:rPr>
                <w:rFonts w:hint="eastAsia" w:ascii="Times New Roman" w:hAnsi="Times New Roman"/>
                <w:b w:val="0"/>
                <w:bCs/>
                <w:color w:val="auto"/>
              </w:rPr>
              <w:t>理</w:t>
            </w:r>
            <w:r>
              <w:rPr>
                <w:rFonts w:hint="eastAsia"/>
                <w:b w:val="0"/>
                <w:bCs/>
                <w:color w:val="auto"/>
              </w:rPr>
              <w:t>，喷淋塔运行过程中水量会有损耗，且喷淋塔需定期更换水，因此，喷淋塔用水需定期补充。</w:t>
            </w:r>
            <w:r>
              <w:rPr>
                <w:rFonts w:hint="eastAsia" w:ascii="Times New Roman" w:hAnsi="Times New Roman"/>
                <w:b w:val="0"/>
                <w:bCs/>
                <w:color w:val="auto"/>
              </w:rPr>
              <w:t>本次搬迁后实验室检测能力不变，</w:t>
            </w:r>
            <w:r>
              <w:rPr>
                <w:rFonts w:hint="eastAsia"/>
                <w:b w:val="0"/>
                <w:bCs/>
                <w:color w:val="auto"/>
              </w:rPr>
              <w:t>酸性废气产生量不变，</w:t>
            </w:r>
            <w:r>
              <w:rPr>
                <w:rFonts w:hint="eastAsia" w:ascii="Times New Roman" w:hAnsi="Times New Roman"/>
                <w:b w:val="0"/>
                <w:bCs/>
                <w:color w:val="auto"/>
              </w:rPr>
              <w:t>故项目搬迁前后喷淋塔补</w:t>
            </w:r>
            <w:r>
              <w:rPr>
                <w:rFonts w:hint="eastAsia" w:ascii="Times New Roman" w:hAnsi="Times New Roman"/>
                <w:b w:val="0"/>
                <w:bCs/>
              </w:rPr>
              <w:t>充水量不变，</w:t>
            </w:r>
            <w:r>
              <w:rPr>
                <w:rFonts w:ascii="Times New Roman" w:hAnsi="Times New Roman"/>
                <w:b w:val="0"/>
                <w:bCs/>
              </w:rPr>
              <w:t>根据</w:t>
            </w:r>
            <w:r>
              <w:rPr>
                <w:rFonts w:hint="eastAsia" w:ascii="Times New Roman" w:hAnsi="Times New Roman"/>
                <w:b w:val="0"/>
                <w:bCs/>
              </w:rPr>
              <w:t>建设单位提供</w:t>
            </w:r>
            <w:r>
              <w:rPr>
                <w:rFonts w:hint="eastAsia"/>
                <w:b w:val="0"/>
                <w:bCs/>
              </w:rPr>
              <w:t>现有项目用水量</w:t>
            </w:r>
            <w:r>
              <w:rPr>
                <w:rFonts w:hint="eastAsia" w:ascii="Times New Roman" w:hAnsi="Times New Roman"/>
                <w:b w:val="0"/>
                <w:bCs/>
              </w:rPr>
              <w:t>数据，则本项目喷淋塔补充水量</w:t>
            </w:r>
            <w:r>
              <w:rPr>
                <w:rFonts w:ascii="Times New Roman" w:hAnsi="Times New Roman"/>
                <w:b w:val="0"/>
                <w:bCs/>
              </w:rPr>
              <w:t>为</w:t>
            </w:r>
            <w:r>
              <w:rPr>
                <w:rFonts w:hint="eastAsia" w:ascii="Times New Roman" w:hAnsi="Times New Roman"/>
                <w:b w:val="0"/>
                <w:bCs/>
              </w:rPr>
              <w:t>20</w:t>
            </w:r>
            <w:r>
              <w:rPr>
                <w:rFonts w:ascii="Times New Roman" w:hAnsi="Times New Roman"/>
                <w:b w:val="0"/>
                <w:bCs/>
              </w:rPr>
              <w:t>m</w:t>
            </w:r>
            <w:r>
              <w:rPr>
                <w:rFonts w:ascii="Times New Roman" w:hAnsi="Times New Roman"/>
                <w:b w:val="0"/>
                <w:bCs/>
                <w:vertAlign w:val="superscript"/>
              </w:rPr>
              <w:t>3</w:t>
            </w:r>
            <w:r>
              <w:rPr>
                <w:rFonts w:ascii="Times New Roman" w:hAnsi="Times New Roman"/>
                <w:b w:val="0"/>
                <w:bCs/>
              </w:rPr>
              <w:t>/a（</w:t>
            </w:r>
            <w:r>
              <w:rPr>
                <w:rFonts w:hint="eastAsia" w:ascii="Times New Roman" w:hAnsi="Times New Roman"/>
                <w:b w:val="0"/>
                <w:bCs/>
              </w:rPr>
              <w:t>折合为</w:t>
            </w:r>
            <w:r>
              <w:rPr>
                <w:rFonts w:ascii="Times New Roman" w:hAnsi="Times New Roman"/>
                <w:b w:val="0"/>
                <w:bCs/>
              </w:rPr>
              <w:t>0.0</w:t>
            </w:r>
            <w:r>
              <w:rPr>
                <w:rFonts w:hint="eastAsia" w:ascii="Times New Roman" w:hAnsi="Times New Roman"/>
                <w:b w:val="0"/>
                <w:bCs/>
              </w:rPr>
              <w:t>8</w:t>
            </w:r>
            <w:r>
              <w:rPr>
                <w:rFonts w:ascii="Times New Roman" w:hAnsi="Times New Roman"/>
                <w:b w:val="0"/>
                <w:bCs/>
              </w:rPr>
              <w:t>m</w:t>
            </w:r>
            <w:r>
              <w:rPr>
                <w:rFonts w:ascii="Times New Roman" w:hAnsi="Times New Roman"/>
                <w:b w:val="0"/>
                <w:bCs/>
                <w:vertAlign w:val="superscript"/>
              </w:rPr>
              <w:t>3</w:t>
            </w:r>
            <w:r>
              <w:rPr>
                <w:rFonts w:ascii="Times New Roman" w:hAnsi="Times New Roman"/>
                <w:b w:val="0"/>
                <w:bCs/>
              </w:rPr>
              <w:t>/d）。</w:t>
            </w:r>
          </w:p>
          <w:p w14:paraId="3ABA3DF8">
            <w:pPr>
              <w:numPr>
                <w:ilvl w:val="0"/>
                <w:numId w:val="5"/>
              </w:numPr>
              <w:spacing w:line="360" w:lineRule="auto"/>
              <w:ind w:firstLine="480" w:firstLineChars="200"/>
              <w:textAlignment w:val="baseline"/>
              <w:rPr>
                <w:bCs/>
              </w:rPr>
            </w:pPr>
            <w:r>
              <w:rPr>
                <w:bCs/>
                <w:kern w:val="0"/>
              </w:rPr>
              <w:t>职工工作服清洗用水</w:t>
            </w:r>
          </w:p>
          <w:p w14:paraId="4927187D">
            <w:pPr>
              <w:spacing w:line="360" w:lineRule="auto"/>
              <w:ind w:firstLine="480" w:firstLineChars="200"/>
              <w:textAlignment w:val="baseline"/>
            </w:pPr>
            <w:r>
              <w:rPr>
                <w:rFonts w:hint="eastAsia"/>
                <w:bCs/>
                <w:kern w:val="0"/>
              </w:rPr>
              <w:t>项目搬迁后不新增人员，故搬迁前后</w:t>
            </w:r>
            <w:r>
              <w:rPr>
                <w:bCs/>
                <w:kern w:val="0"/>
              </w:rPr>
              <w:t>职工工作服清洗用水</w:t>
            </w:r>
            <w:r>
              <w:rPr>
                <w:rFonts w:hint="eastAsia"/>
                <w:bCs/>
                <w:kern w:val="0"/>
              </w:rPr>
              <w:t>不变。</w:t>
            </w:r>
            <w:r>
              <w:rPr>
                <w:bCs/>
              </w:rPr>
              <w:t>根据</w:t>
            </w:r>
            <w:r>
              <w:rPr>
                <w:rFonts w:hint="eastAsia"/>
                <w:bCs/>
              </w:rPr>
              <w:t>建设单位提供现有项目用水量数据，则本项目职工工作服清洗用水</w:t>
            </w:r>
            <w:r>
              <w:rPr>
                <w:bCs/>
              </w:rPr>
              <w:t>为36.5m</w:t>
            </w:r>
            <w:r>
              <w:rPr>
                <w:bCs/>
                <w:vertAlign w:val="superscript"/>
              </w:rPr>
              <w:t>3</w:t>
            </w:r>
            <w:r>
              <w:rPr>
                <w:bCs/>
              </w:rPr>
              <w:t>/a（0.146m</w:t>
            </w:r>
            <w:r>
              <w:rPr>
                <w:bCs/>
                <w:vertAlign w:val="superscript"/>
              </w:rPr>
              <w:t>3</w:t>
            </w:r>
            <w:r>
              <w:rPr>
                <w:bCs/>
              </w:rPr>
              <w:t>/d）。</w:t>
            </w:r>
          </w:p>
          <w:p w14:paraId="2C25C3C0">
            <w:pPr>
              <w:numPr>
                <w:ilvl w:val="0"/>
                <w:numId w:val="5"/>
              </w:numPr>
              <w:spacing w:line="360" w:lineRule="auto"/>
              <w:ind w:firstLine="480" w:firstLineChars="200"/>
              <w:textAlignment w:val="baseline"/>
              <w:rPr>
                <w:bCs/>
              </w:rPr>
            </w:pPr>
            <w:r>
              <w:rPr>
                <w:rFonts w:hint="eastAsia"/>
                <w:bCs/>
                <w:kern w:val="0"/>
              </w:rPr>
              <w:t>超</w:t>
            </w:r>
            <w:r>
              <w:rPr>
                <w:bCs/>
                <w:kern w:val="0"/>
              </w:rPr>
              <w:t>纯水制备用水</w:t>
            </w:r>
          </w:p>
          <w:p w14:paraId="2AAAE348">
            <w:pPr>
              <w:spacing w:line="360" w:lineRule="auto"/>
              <w:ind w:firstLine="480" w:firstLineChars="200"/>
              <w:textAlignment w:val="baseline"/>
              <w:rPr>
                <w:bCs/>
              </w:rPr>
            </w:pPr>
            <w:r>
              <w:rPr>
                <w:bCs/>
              </w:rPr>
              <w:t>项目实验试剂配制和实验器皿清洗中需要使用</w:t>
            </w:r>
            <w:r>
              <w:rPr>
                <w:rFonts w:hint="eastAsia"/>
                <w:bCs/>
              </w:rPr>
              <w:t>超</w:t>
            </w:r>
            <w:r>
              <w:rPr>
                <w:bCs/>
              </w:rPr>
              <w:t>纯水，根据前述，</w:t>
            </w:r>
            <w:r>
              <w:rPr>
                <w:rFonts w:hint="eastAsia"/>
                <w:bCs/>
              </w:rPr>
              <w:t>超</w:t>
            </w:r>
            <w:r>
              <w:rPr>
                <w:bCs/>
              </w:rPr>
              <w:t>纯水用量共计</w:t>
            </w:r>
            <w:r>
              <w:rPr>
                <w:rFonts w:hint="eastAsia"/>
                <w:bCs/>
              </w:rPr>
              <w:t>8</w:t>
            </w:r>
            <w:r>
              <w:rPr>
                <w:bCs/>
              </w:rPr>
              <w:t>m</w:t>
            </w:r>
            <w:r>
              <w:rPr>
                <w:bCs/>
                <w:vertAlign w:val="superscript"/>
              </w:rPr>
              <w:t>3</w:t>
            </w:r>
            <w:r>
              <w:rPr>
                <w:bCs/>
              </w:rPr>
              <w:t>/a（0.0</w:t>
            </w:r>
            <w:r>
              <w:rPr>
                <w:rFonts w:hint="eastAsia"/>
                <w:bCs/>
              </w:rPr>
              <w:t>32</w:t>
            </w:r>
            <w:r>
              <w:rPr>
                <w:bCs/>
              </w:rPr>
              <w:t>m</w:t>
            </w:r>
            <w:r>
              <w:rPr>
                <w:bCs/>
                <w:vertAlign w:val="superscript"/>
              </w:rPr>
              <w:t>3</w:t>
            </w:r>
            <w:r>
              <w:rPr>
                <w:bCs/>
              </w:rPr>
              <w:t>/d），结合建设单位提供</w:t>
            </w:r>
            <w:r>
              <w:rPr>
                <w:rFonts w:hint="eastAsia"/>
                <w:bCs/>
              </w:rPr>
              <w:t>资料</w:t>
            </w:r>
            <w:r>
              <w:rPr>
                <w:bCs/>
              </w:rPr>
              <w:t>，</w:t>
            </w:r>
            <w:r>
              <w:rPr>
                <w:rFonts w:hint="eastAsia"/>
              </w:rPr>
              <w:t>超</w:t>
            </w:r>
            <w:r>
              <w:rPr>
                <w:bCs/>
              </w:rPr>
              <w:t>纯水机</w:t>
            </w:r>
            <w:r>
              <w:rPr>
                <w:rFonts w:hint="eastAsia"/>
                <w:bCs/>
              </w:rPr>
              <w:t>制备工艺为“预处理柱+超纯水柱”，制备</w:t>
            </w:r>
            <w:r>
              <w:rPr>
                <w:bCs/>
              </w:rPr>
              <w:t>规格为2</w:t>
            </w:r>
            <w:r>
              <w:rPr>
                <w:rFonts w:hint="eastAsia"/>
                <w:bCs/>
              </w:rPr>
              <w:t>4</w:t>
            </w:r>
            <w:r>
              <w:rPr>
                <w:bCs/>
              </w:rPr>
              <w:t>L/h，制备率为7</w:t>
            </w:r>
            <w:r>
              <w:rPr>
                <w:rFonts w:hint="eastAsia"/>
                <w:bCs/>
              </w:rPr>
              <w:t>0</w:t>
            </w:r>
            <w:r>
              <w:rPr>
                <w:bCs/>
              </w:rPr>
              <w:t>%，则</w:t>
            </w:r>
            <w:r>
              <w:rPr>
                <w:rFonts w:hint="eastAsia"/>
                <w:bCs/>
              </w:rPr>
              <w:t>超</w:t>
            </w:r>
            <w:r>
              <w:rPr>
                <w:bCs/>
              </w:rPr>
              <w:t>纯水制备用水量为</w:t>
            </w:r>
            <w:r>
              <w:rPr>
                <w:rFonts w:hint="eastAsia"/>
                <w:bCs/>
              </w:rPr>
              <w:t>11.43</w:t>
            </w:r>
            <w:r>
              <w:rPr>
                <w:bCs/>
              </w:rPr>
              <w:t>m</w:t>
            </w:r>
            <w:r>
              <w:rPr>
                <w:bCs/>
                <w:vertAlign w:val="superscript"/>
              </w:rPr>
              <w:t>3</w:t>
            </w:r>
            <w:r>
              <w:rPr>
                <w:bCs/>
              </w:rPr>
              <w:t>/a（0.0</w:t>
            </w:r>
            <w:r>
              <w:rPr>
                <w:rFonts w:hint="eastAsia"/>
                <w:bCs/>
              </w:rPr>
              <w:t>46</w:t>
            </w:r>
            <w:r>
              <w:rPr>
                <w:bCs/>
              </w:rPr>
              <w:t>m</w:t>
            </w:r>
            <w:r>
              <w:rPr>
                <w:bCs/>
                <w:vertAlign w:val="superscript"/>
              </w:rPr>
              <w:t>3</w:t>
            </w:r>
            <w:r>
              <w:rPr>
                <w:bCs/>
              </w:rPr>
              <w:t>/d）。</w:t>
            </w:r>
          </w:p>
          <w:p w14:paraId="05128564">
            <w:pPr>
              <w:spacing w:line="360" w:lineRule="auto"/>
              <w:ind w:firstLine="480" w:firstLineChars="200"/>
              <w:textAlignment w:val="baseline"/>
              <w:rPr>
                <w:bCs/>
              </w:rPr>
            </w:pPr>
            <w:r>
              <w:rPr>
                <w:bCs/>
              </w:rPr>
              <w:t>②排水</w:t>
            </w:r>
          </w:p>
          <w:p w14:paraId="47CAF19C">
            <w:pPr>
              <w:spacing w:line="360" w:lineRule="auto"/>
              <w:ind w:firstLine="480" w:firstLineChars="200"/>
              <w:textAlignment w:val="baseline"/>
              <w:rPr>
                <w:bCs/>
                <w:kern w:val="0"/>
              </w:rPr>
            </w:pPr>
            <w:r>
              <w:rPr>
                <w:bCs/>
              </w:rPr>
              <w:t>项目采用雨污分流制排水系统，雨水通过收集管网排至</w:t>
            </w:r>
            <w:r>
              <w:rPr>
                <w:bCs/>
                <w:kern w:val="0"/>
              </w:rPr>
              <w:t>市政雨水管网</w:t>
            </w:r>
            <w:r>
              <w:rPr>
                <w:rFonts w:hint="eastAsia"/>
                <w:bCs/>
                <w:kern w:val="0"/>
              </w:rPr>
              <w:t>；</w:t>
            </w:r>
            <w:r>
              <w:rPr>
                <w:bCs/>
              </w:rPr>
              <w:t>项目废水主要为</w:t>
            </w:r>
            <w:r>
              <w:rPr>
                <w:bCs/>
                <w:kern w:val="0"/>
              </w:rPr>
              <w:t>员工生活污水、地面清洁废水</w:t>
            </w:r>
            <w:r>
              <w:rPr>
                <w:rFonts w:hint="eastAsia"/>
                <w:bCs/>
                <w:kern w:val="0"/>
              </w:rPr>
              <w:t>、</w:t>
            </w:r>
            <w:r>
              <w:rPr>
                <w:bCs/>
                <w:kern w:val="0"/>
              </w:rPr>
              <w:t>实验</w:t>
            </w:r>
            <w:r>
              <w:rPr>
                <w:rFonts w:hint="eastAsia"/>
                <w:bCs/>
                <w:kern w:val="0"/>
              </w:rPr>
              <w:t>器皿</w:t>
            </w:r>
            <w:r>
              <w:rPr>
                <w:bCs/>
                <w:kern w:val="0"/>
              </w:rPr>
              <w:t>清洗废水、</w:t>
            </w:r>
            <w:r>
              <w:rPr>
                <w:rFonts w:hint="eastAsia"/>
                <w:bCs/>
                <w:kern w:val="0"/>
              </w:rPr>
              <w:t>喷淋塔排水、</w:t>
            </w:r>
            <w:r>
              <w:rPr>
                <w:bCs/>
                <w:kern w:val="0"/>
              </w:rPr>
              <w:t>职工工作服清洗废水和</w:t>
            </w:r>
            <w:r>
              <w:rPr>
                <w:rFonts w:hint="eastAsia"/>
                <w:bCs/>
                <w:kern w:val="0"/>
              </w:rPr>
              <w:t>超</w:t>
            </w:r>
            <w:r>
              <w:rPr>
                <w:bCs/>
                <w:kern w:val="0"/>
              </w:rPr>
              <w:t>纯水制备</w:t>
            </w:r>
            <w:r>
              <w:rPr>
                <w:rFonts w:hint="eastAsia"/>
                <w:bCs/>
                <w:kern w:val="0"/>
              </w:rPr>
              <w:t>排放</w:t>
            </w:r>
            <w:r>
              <w:rPr>
                <w:bCs/>
                <w:kern w:val="0"/>
              </w:rPr>
              <w:t>浓水。</w:t>
            </w:r>
          </w:p>
          <w:p w14:paraId="0C339844">
            <w:pPr>
              <w:numPr>
                <w:ilvl w:val="0"/>
                <w:numId w:val="6"/>
              </w:numPr>
              <w:spacing w:line="360" w:lineRule="auto"/>
              <w:ind w:firstLine="480" w:firstLineChars="200"/>
              <w:textAlignment w:val="baseline"/>
              <w:rPr>
                <w:bCs/>
              </w:rPr>
            </w:pPr>
            <w:r>
              <w:rPr>
                <w:bCs/>
              </w:rPr>
              <w:t>生活污水</w:t>
            </w:r>
          </w:p>
          <w:p w14:paraId="5097D228">
            <w:pPr>
              <w:spacing w:line="360" w:lineRule="auto"/>
              <w:ind w:firstLine="480" w:firstLineChars="200"/>
              <w:textAlignment w:val="baseline"/>
              <w:rPr>
                <w:bCs/>
                <w:color w:val="auto"/>
              </w:rPr>
            </w:pPr>
            <w:r>
              <w:rPr>
                <w:bCs/>
                <w:kern w:val="0"/>
              </w:rPr>
              <w:t>项目</w:t>
            </w:r>
            <w:r>
              <w:rPr>
                <w:bCs/>
              </w:rPr>
              <w:t>员工生活用</w:t>
            </w:r>
            <w:r>
              <w:rPr>
                <w:bCs/>
                <w:color w:val="auto"/>
              </w:rPr>
              <w:t>水量为</w:t>
            </w:r>
            <w:r>
              <w:rPr>
                <w:rFonts w:hint="eastAsia"/>
                <w:bCs/>
                <w:color w:val="auto"/>
              </w:rPr>
              <w:t>730</w:t>
            </w:r>
            <w:r>
              <w:rPr>
                <w:bCs/>
                <w:color w:val="auto"/>
              </w:rPr>
              <w:t>m</w:t>
            </w:r>
            <w:r>
              <w:rPr>
                <w:bCs/>
                <w:color w:val="auto"/>
                <w:vertAlign w:val="superscript"/>
              </w:rPr>
              <w:t>3</w:t>
            </w:r>
            <w:r>
              <w:rPr>
                <w:bCs/>
                <w:color w:val="auto"/>
              </w:rPr>
              <w:t>/a（2.</w:t>
            </w:r>
            <w:r>
              <w:rPr>
                <w:rFonts w:hint="eastAsia"/>
                <w:bCs/>
                <w:color w:val="auto"/>
              </w:rPr>
              <w:t>92</w:t>
            </w:r>
            <w:r>
              <w:rPr>
                <w:bCs/>
                <w:color w:val="auto"/>
              </w:rPr>
              <w:t>m</w:t>
            </w:r>
            <w:r>
              <w:rPr>
                <w:bCs/>
                <w:color w:val="auto"/>
                <w:vertAlign w:val="superscript"/>
              </w:rPr>
              <w:t>3</w:t>
            </w:r>
            <w:r>
              <w:rPr>
                <w:bCs/>
                <w:color w:val="auto"/>
              </w:rPr>
              <w:t>/d），生活污水产污系数按0.8计，则生活污水产生量为5</w:t>
            </w:r>
            <w:r>
              <w:rPr>
                <w:rFonts w:hint="eastAsia"/>
                <w:bCs/>
                <w:color w:val="auto"/>
              </w:rPr>
              <w:t>84</w:t>
            </w:r>
            <w:r>
              <w:rPr>
                <w:bCs/>
                <w:color w:val="auto"/>
              </w:rPr>
              <w:t>m</w:t>
            </w:r>
            <w:r>
              <w:rPr>
                <w:bCs/>
                <w:color w:val="auto"/>
                <w:vertAlign w:val="superscript"/>
              </w:rPr>
              <w:t>3</w:t>
            </w:r>
            <w:r>
              <w:rPr>
                <w:bCs/>
                <w:color w:val="auto"/>
              </w:rPr>
              <w:t>/a（2.</w:t>
            </w:r>
            <w:r>
              <w:rPr>
                <w:rFonts w:hint="eastAsia"/>
                <w:bCs/>
                <w:color w:val="auto"/>
              </w:rPr>
              <w:t>336</w:t>
            </w:r>
            <w:r>
              <w:rPr>
                <w:bCs/>
                <w:color w:val="auto"/>
              </w:rPr>
              <w:t>m</w:t>
            </w:r>
            <w:r>
              <w:rPr>
                <w:bCs/>
                <w:color w:val="auto"/>
                <w:vertAlign w:val="superscript"/>
              </w:rPr>
              <w:t>3</w:t>
            </w:r>
            <w:r>
              <w:rPr>
                <w:bCs/>
                <w:color w:val="auto"/>
              </w:rPr>
              <w:t>/d）。</w:t>
            </w:r>
          </w:p>
          <w:p w14:paraId="4ABF32F5">
            <w:pPr>
              <w:numPr>
                <w:ilvl w:val="0"/>
                <w:numId w:val="6"/>
              </w:numPr>
              <w:spacing w:line="360" w:lineRule="auto"/>
              <w:ind w:firstLine="480" w:firstLineChars="200"/>
              <w:textAlignment w:val="baseline"/>
              <w:rPr>
                <w:bCs/>
                <w:color w:val="auto"/>
              </w:rPr>
            </w:pPr>
            <w:r>
              <w:rPr>
                <w:bCs/>
                <w:color w:val="auto"/>
                <w:kern w:val="0"/>
              </w:rPr>
              <w:t>地面清洁</w:t>
            </w:r>
            <w:r>
              <w:rPr>
                <w:rFonts w:hint="eastAsia"/>
                <w:bCs/>
                <w:color w:val="auto"/>
                <w:kern w:val="0"/>
              </w:rPr>
              <w:t>废</w:t>
            </w:r>
            <w:r>
              <w:rPr>
                <w:bCs/>
                <w:color w:val="auto"/>
                <w:kern w:val="0"/>
              </w:rPr>
              <w:t>水</w:t>
            </w:r>
          </w:p>
          <w:p w14:paraId="203876E8">
            <w:pPr>
              <w:spacing w:line="360" w:lineRule="auto"/>
              <w:ind w:firstLine="480" w:firstLineChars="200"/>
              <w:textAlignment w:val="baseline"/>
              <w:rPr>
                <w:bCs/>
                <w:color w:val="auto"/>
              </w:rPr>
            </w:pPr>
            <w:r>
              <w:rPr>
                <w:bCs/>
                <w:color w:val="auto"/>
              </w:rPr>
              <w:t>地面清洁用水量为</w:t>
            </w:r>
            <w:r>
              <w:rPr>
                <w:rFonts w:hint="eastAsia"/>
                <w:bCs/>
                <w:color w:val="auto"/>
              </w:rPr>
              <w:t>108</w:t>
            </w:r>
            <w:r>
              <w:rPr>
                <w:bCs/>
                <w:color w:val="auto"/>
              </w:rPr>
              <w:t>m</w:t>
            </w:r>
            <w:r>
              <w:rPr>
                <w:bCs/>
                <w:color w:val="auto"/>
                <w:vertAlign w:val="superscript"/>
              </w:rPr>
              <w:t>3</w:t>
            </w:r>
            <w:r>
              <w:rPr>
                <w:bCs/>
                <w:color w:val="auto"/>
              </w:rPr>
              <w:t>/a</w:t>
            </w:r>
            <w:r>
              <w:rPr>
                <w:rFonts w:hint="eastAsia"/>
                <w:bCs/>
                <w:color w:val="auto"/>
              </w:rPr>
              <w:t>（</w:t>
            </w:r>
            <w:r>
              <w:rPr>
                <w:bCs/>
                <w:color w:val="auto"/>
              </w:rPr>
              <w:t>0.</w:t>
            </w:r>
            <w:r>
              <w:rPr>
                <w:rFonts w:hint="eastAsia"/>
                <w:bCs/>
                <w:color w:val="auto"/>
              </w:rPr>
              <w:t>432</w:t>
            </w:r>
            <w:r>
              <w:rPr>
                <w:bCs/>
                <w:color w:val="auto"/>
              </w:rPr>
              <w:t>m</w:t>
            </w:r>
            <w:r>
              <w:rPr>
                <w:bCs/>
                <w:color w:val="auto"/>
                <w:vertAlign w:val="superscript"/>
              </w:rPr>
              <w:t>3</w:t>
            </w:r>
            <w:r>
              <w:rPr>
                <w:bCs/>
                <w:color w:val="auto"/>
              </w:rPr>
              <w:t>/d</w:t>
            </w:r>
            <w:r>
              <w:rPr>
                <w:rFonts w:hint="eastAsia"/>
                <w:bCs/>
                <w:color w:val="auto"/>
              </w:rPr>
              <w:t>），</w:t>
            </w:r>
            <w:r>
              <w:rPr>
                <w:bCs/>
                <w:color w:val="auto"/>
              </w:rPr>
              <w:t>废水产生系数按0.8计，则地面清洁废水产生量为</w:t>
            </w:r>
            <w:r>
              <w:rPr>
                <w:rFonts w:hint="eastAsia"/>
                <w:bCs/>
                <w:color w:val="auto"/>
              </w:rPr>
              <w:t>86.4</w:t>
            </w:r>
            <w:r>
              <w:rPr>
                <w:bCs/>
                <w:color w:val="auto"/>
              </w:rPr>
              <w:t>m</w:t>
            </w:r>
            <w:r>
              <w:rPr>
                <w:bCs/>
                <w:color w:val="auto"/>
                <w:vertAlign w:val="superscript"/>
              </w:rPr>
              <w:t>3</w:t>
            </w:r>
            <w:r>
              <w:rPr>
                <w:bCs/>
                <w:color w:val="auto"/>
              </w:rPr>
              <w:t>/a（0.</w:t>
            </w:r>
            <w:r>
              <w:rPr>
                <w:rFonts w:hint="eastAsia"/>
                <w:bCs/>
                <w:color w:val="auto"/>
              </w:rPr>
              <w:t>346</w:t>
            </w:r>
            <w:r>
              <w:rPr>
                <w:bCs/>
                <w:color w:val="auto"/>
              </w:rPr>
              <w:t>m</w:t>
            </w:r>
            <w:r>
              <w:rPr>
                <w:bCs/>
                <w:color w:val="auto"/>
                <w:vertAlign w:val="superscript"/>
              </w:rPr>
              <w:t>3</w:t>
            </w:r>
            <w:r>
              <w:rPr>
                <w:bCs/>
                <w:color w:val="auto"/>
              </w:rPr>
              <w:t>/d）。</w:t>
            </w:r>
          </w:p>
          <w:p w14:paraId="5EFF3799">
            <w:pPr>
              <w:numPr>
                <w:ilvl w:val="0"/>
                <w:numId w:val="6"/>
              </w:numPr>
              <w:spacing w:line="360" w:lineRule="auto"/>
              <w:ind w:firstLine="480" w:firstLineChars="200"/>
              <w:textAlignment w:val="baseline"/>
              <w:rPr>
                <w:bCs/>
                <w:color w:val="auto"/>
              </w:rPr>
            </w:pPr>
            <w:r>
              <w:rPr>
                <w:bCs/>
                <w:color w:val="auto"/>
                <w:kern w:val="0"/>
              </w:rPr>
              <w:t>实验试剂配制</w:t>
            </w:r>
          </w:p>
          <w:p w14:paraId="21D85E46">
            <w:pPr>
              <w:spacing w:line="360" w:lineRule="auto"/>
              <w:ind w:firstLine="480" w:firstLineChars="200"/>
              <w:textAlignment w:val="baseline"/>
              <w:rPr>
                <w:bCs/>
              </w:rPr>
            </w:pPr>
            <w:r>
              <w:rPr>
                <w:bCs/>
              </w:rPr>
              <w:t>项目实验结束后，实验配制试剂用水与实验过程中加入的试剂混合为实验废液，作为危废处置。</w:t>
            </w:r>
          </w:p>
          <w:p w14:paraId="2B73E685">
            <w:pPr>
              <w:numPr>
                <w:ilvl w:val="0"/>
                <w:numId w:val="6"/>
              </w:numPr>
              <w:spacing w:line="360" w:lineRule="auto"/>
              <w:ind w:firstLine="480" w:firstLineChars="200"/>
              <w:textAlignment w:val="baseline"/>
              <w:rPr>
                <w:bCs/>
                <w:kern w:val="0"/>
              </w:rPr>
            </w:pPr>
            <w:r>
              <w:rPr>
                <w:bCs/>
                <w:kern w:val="0"/>
              </w:rPr>
              <w:t>实验器皿清洗废水</w:t>
            </w:r>
          </w:p>
          <w:p w14:paraId="2B34C14E">
            <w:pPr>
              <w:spacing w:line="360" w:lineRule="auto"/>
              <w:ind w:firstLine="480" w:firstLineChars="200"/>
              <w:textAlignment w:val="baseline"/>
              <w:rPr>
                <w:bCs/>
              </w:rPr>
            </w:pPr>
            <w:r>
              <w:rPr>
                <w:bCs/>
              </w:rPr>
              <w:t>项目实验器皿清洗用水总量为</w:t>
            </w:r>
            <w:r>
              <w:rPr>
                <w:rFonts w:hint="eastAsia"/>
                <w:bCs/>
              </w:rPr>
              <w:t>15</w:t>
            </w:r>
            <w:r>
              <w:rPr>
                <w:bCs/>
              </w:rPr>
              <w:t>0m</w:t>
            </w:r>
            <w:r>
              <w:rPr>
                <w:bCs/>
                <w:vertAlign w:val="superscript"/>
              </w:rPr>
              <w:t>3</w:t>
            </w:r>
            <w:r>
              <w:rPr>
                <w:bCs/>
              </w:rPr>
              <w:t>/a（0.</w:t>
            </w:r>
            <w:r>
              <w:rPr>
                <w:rFonts w:hint="eastAsia"/>
                <w:bCs/>
              </w:rPr>
              <w:t>6</w:t>
            </w:r>
            <w:r>
              <w:rPr>
                <w:bCs/>
              </w:rPr>
              <w:t>m</w:t>
            </w:r>
            <w:r>
              <w:rPr>
                <w:bCs/>
                <w:vertAlign w:val="superscript"/>
              </w:rPr>
              <w:t>3</w:t>
            </w:r>
            <w:r>
              <w:rPr>
                <w:bCs/>
              </w:rPr>
              <w:t>/d），</w:t>
            </w:r>
            <w:r>
              <w:rPr>
                <w:rFonts w:hint="eastAsia"/>
                <w:bCs/>
              </w:rPr>
              <w:t>其中</w:t>
            </w:r>
            <w:r>
              <w:rPr>
                <w:bCs/>
              </w:rPr>
              <w:t>一次清洗用水量为</w:t>
            </w:r>
            <w:r>
              <w:rPr>
                <w:rFonts w:hint="eastAsia"/>
                <w:bCs/>
              </w:rPr>
              <w:t>0.15m</w:t>
            </w:r>
            <w:r>
              <w:rPr>
                <w:rFonts w:hint="eastAsia"/>
                <w:bCs/>
                <w:vertAlign w:val="superscript"/>
              </w:rPr>
              <w:t>3</w:t>
            </w:r>
            <w:r>
              <w:rPr>
                <w:rFonts w:hint="eastAsia"/>
                <w:bCs/>
              </w:rPr>
              <w:t>/a（0.0006m</w:t>
            </w:r>
            <w:r>
              <w:rPr>
                <w:rFonts w:hint="eastAsia"/>
                <w:bCs/>
                <w:vertAlign w:val="superscript"/>
              </w:rPr>
              <w:t>3</w:t>
            </w:r>
            <w:r>
              <w:rPr>
                <w:rFonts w:hint="eastAsia"/>
                <w:bCs/>
              </w:rPr>
              <w:t>/d）</w:t>
            </w:r>
            <w:r>
              <w:rPr>
                <w:bCs/>
              </w:rPr>
              <w:t>。根据建设单位提供</w:t>
            </w:r>
            <w:r>
              <w:rPr>
                <w:rFonts w:hint="eastAsia"/>
                <w:bCs/>
              </w:rPr>
              <w:t>数据</w:t>
            </w:r>
            <w:r>
              <w:rPr>
                <w:bCs/>
              </w:rPr>
              <w:t>，</w:t>
            </w:r>
            <w:r>
              <w:rPr>
                <w:rFonts w:hint="eastAsia"/>
                <w:bCs/>
              </w:rPr>
              <w:t>一次清洗废水产生量为0.12</w:t>
            </w:r>
            <w:r>
              <w:rPr>
                <w:bCs/>
              </w:rPr>
              <w:t>m</w:t>
            </w:r>
            <w:r>
              <w:rPr>
                <w:bCs/>
                <w:vertAlign w:val="superscript"/>
              </w:rPr>
              <w:t>3</w:t>
            </w:r>
            <w:r>
              <w:rPr>
                <w:bCs/>
              </w:rPr>
              <w:t>/a（0.00</w:t>
            </w:r>
            <w:r>
              <w:rPr>
                <w:rFonts w:hint="eastAsia"/>
                <w:bCs/>
              </w:rPr>
              <w:t>048</w:t>
            </w:r>
            <w:r>
              <w:rPr>
                <w:bCs/>
              </w:rPr>
              <w:t>m</w:t>
            </w:r>
            <w:r>
              <w:rPr>
                <w:bCs/>
                <w:vertAlign w:val="superscript"/>
              </w:rPr>
              <w:t>3</w:t>
            </w:r>
            <w:r>
              <w:rPr>
                <w:bCs/>
              </w:rPr>
              <w:t>/d）</w:t>
            </w:r>
            <w:r>
              <w:rPr>
                <w:rFonts w:hint="eastAsia"/>
                <w:bCs/>
              </w:rPr>
              <w:t>，作为危废处置，其余清洗废水产生量为120</w:t>
            </w:r>
            <w:r>
              <w:rPr>
                <w:bCs/>
              </w:rPr>
              <w:t>m</w:t>
            </w:r>
            <w:r>
              <w:rPr>
                <w:bCs/>
                <w:vertAlign w:val="superscript"/>
              </w:rPr>
              <w:t>3</w:t>
            </w:r>
            <w:r>
              <w:rPr>
                <w:bCs/>
              </w:rPr>
              <w:t>/a（0.</w:t>
            </w:r>
            <w:r>
              <w:rPr>
                <w:rFonts w:hint="eastAsia"/>
                <w:bCs/>
              </w:rPr>
              <w:t>48</w:t>
            </w:r>
            <w:r>
              <w:rPr>
                <w:bCs/>
              </w:rPr>
              <w:t>m</w:t>
            </w:r>
            <w:r>
              <w:rPr>
                <w:bCs/>
                <w:vertAlign w:val="superscript"/>
              </w:rPr>
              <w:t>3</w:t>
            </w:r>
            <w:r>
              <w:rPr>
                <w:bCs/>
              </w:rPr>
              <w:t>/d）。</w:t>
            </w:r>
          </w:p>
          <w:p w14:paraId="4F3EA9BC">
            <w:pPr>
              <w:numPr>
                <w:ilvl w:val="0"/>
                <w:numId w:val="6"/>
              </w:numPr>
              <w:spacing w:line="360" w:lineRule="auto"/>
              <w:ind w:firstLine="480" w:firstLineChars="200"/>
              <w:textAlignment w:val="baseline"/>
              <w:rPr>
                <w:bCs/>
                <w:kern w:val="0"/>
              </w:rPr>
            </w:pPr>
            <w:r>
              <w:rPr>
                <w:rFonts w:hint="eastAsia"/>
                <w:bCs/>
                <w:kern w:val="0"/>
              </w:rPr>
              <w:t>喷淋塔排水</w:t>
            </w:r>
          </w:p>
          <w:p w14:paraId="53F68D45">
            <w:pPr>
              <w:spacing w:line="360" w:lineRule="auto"/>
              <w:ind w:firstLine="480" w:firstLineChars="200"/>
              <w:textAlignment w:val="baseline"/>
              <w:rPr>
                <w:bCs/>
                <w:color w:val="auto"/>
              </w:rPr>
            </w:pPr>
            <w:r>
              <w:rPr>
                <w:rFonts w:hint="eastAsia"/>
                <w:bCs/>
              </w:rPr>
              <w:t>喷淋塔运行一段时间需定期排水，平均每两个月更换一次。根据建设单位提供数据，喷淋塔排</w:t>
            </w:r>
            <w:r>
              <w:rPr>
                <w:rFonts w:hint="eastAsia"/>
                <w:bCs/>
                <w:color w:val="auto"/>
              </w:rPr>
              <w:t>水量为3.0m</w:t>
            </w:r>
            <w:r>
              <w:rPr>
                <w:rFonts w:hint="eastAsia"/>
                <w:bCs/>
                <w:color w:val="auto"/>
                <w:vertAlign w:val="superscript"/>
              </w:rPr>
              <w:t>3</w:t>
            </w:r>
            <w:r>
              <w:rPr>
                <w:rFonts w:hint="eastAsia"/>
                <w:bCs/>
                <w:color w:val="auto"/>
              </w:rPr>
              <w:t>/a（折合为0.012</w:t>
            </w:r>
            <w:r>
              <w:rPr>
                <w:bCs/>
                <w:color w:val="auto"/>
              </w:rPr>
              <w:t>m</w:t>
            </w:r>
            <w:r>
              <w:rPr>
                <w:bCs/>
                <w:color w:val="auto"/>
                <w:vertAlign w:val="superscript"/>
              </w:rPr>
              <w:t>3</w:t>
            </w:r>
            <w:r>
              <w:rPr>
                <w:bCs/>
                <w:color w:val="auto"/>
              </w:rPr>
              <w:t>/d</w:t>
            </w:r>
            <w:r>
              <w:rPr>
                <w:rFonts w:hint="eastAsia"/>
                <w:bCs/>
                <w:color w:val="auto"/>
              </w:rPr>
              <w:t>）。</w:t>
            </w:r>
          </w:p>
          <w:p w14:paraId="2400A45B">
            <w:pPr>
              <w:numPr>
                <w:ilvl w:val="0"/>
                <w:numId w:val="6"/>
              </w:numPr>
              <w:spacing w:line="360" w:lineRule="auto"/>
              <w:ind w:firstLine="480" w:firstLineChars="200"/>
              <w:textAlignment w:val="baseline"/>
              <w:rPr>
                <w:bCs/>
                <w:color w:val="auto"/>
              </w:rPr>
            </w:pPr>
            <w:r>
              <w:rPr>
                <w:bCs/>
                <w:color w:val="auto"/>
              </w:rPr>
              <w:t>职工工作服清洗废水</w:t>
            </w:r>
          </w:p>
          <w:p w14:paraId="6C4DC0A7">
            <w:pPr>
              <w:spacing w:line="360" w:lineRule="auto"/>
              <w:ind w:firstLine="480" w:firstLineChars="200"/>
              <w:textAlignment w:val="baseline"/>
              <w:rPr>
                <w:bCs/>
              </w:rPr>
            </w:pPr>
            <w:r>
              <w:rPr>
                <w:bCs/>
              </w:rPr>
              <w:t>项目职工工作服清洗用水量为36.5m</w:t>
            </w:r>
            <w:r>
              <w:rPr>
                <w:bCs/>
                <w:vertAlign w:val="superscript"/>
              </w:rPr>
              <w:t>3</w:t>
            </w:r>
            <w:r>
              <w:rPr>
                <w:bCs/>
              </w:rPr>
              <w:t>/a（0.146m</w:t>
            </w:r>
            <w:r>
              <w:rPr>
                <w:bCs/>
                <w:vertAlign w:val="superscript"/>
              </w:rPr>
              <w:t>3</w:t>
            </w:r>
            <w:r>
              <w:rPr>
                <w:bCs/>
              </w:rPr>
              <w:t>/d），</w:t>
            </w:r>
            <w:r>
              <w:rPr>
                <w:rFonts w:hint="eastAsia"/>
                <w:bCs/>
              </w:rPr>
              <w:t>根据建设单位提供数据，</w:t>
            </w:r>
            <w:r>
              <w:rPr>
                <w:bCs/>
              </w:rPr>
              <w:t>职工工作服清洗废水产生量为</w:t>
            </w:r>
            <w:r>
              <w:rPr>
                <w:rFonts w:hint="eastAsia"/>
                <w:bCs/>
              </w:rPr>
              <w:t>30</w:t>
            </w:r>
            <w:r>
              <w:rPr>
                <w:bCs/>
              </w:rPr>
              <w:t>m</w:t>
            </w:r>
            <w:r>
              <w:rPr>
                <w:bCs/>
                <w:vertAlign w:val="superscript"/>
              </w:rPr>
              <w:t>3</w:t>
            </w:r>
            <w:r>
              <w:rPr>
                <w:bCs/>
              </w:rPr>
              <w:t>/a（0.12m</w:t>
            </w:r>
            <w:r>
              <w:rPr>
                <w:bCs/>
                <w:vertAlign w:val="superscript"/>
              </w:rPr>
              <w:t>3</w:t>
            </w:r>
            <w:r>
              <w:rPr>
                <w:bCs/>
              </w:rPr>
              <w:t>/d）。</w:t>
            </w:r>
          </w:p>
          <w:p w14:paraId="5319FF84">
            <w:pPr>
              <w:numPr>
                <w:ilvl w:val="0"/>
                <w:numId w:val="6"/>
              </w:numPr>
              <w:spacing w:line="360" w:lineRule="auto"/>
              <w:ind w:firstLine="480" w:firstLineChars="200"/>
              <w:textAlignment w:val="baseline"/>
              <w:rPr>
                <w:bCs/>
                <w:kern w:val="0"/>
              </w:rPr>
            </w:pPr>
            <w:r>
              <w:rPr>
                <w:rFonts w:hint="eastAsia"/>
                <w:bCs/>
              </w:rPr>
              <w:t>超</w:t>
            </w:r>
            <w:r>
              <w:rPr>
                <w:bCs/>
                <w:kern w:val="0"/>
              </w:rPr>
              <w:t>纯水制备</w:t>
            </w:r>
            <w:r>
              <w:rPr>
                <w:rFonts w:hint="eastAsia"/>
                <w:bCs/>
                <w:kern w:val="0"/>
              </w:rPr>
              <w:t>排放</w:t>
            </w:r>
            <w:r>
              <w:rPr>
                <w:bCs/>
                <w:kern w:val="0"/>
              </w:rPr>
              <w:t>浓水</w:t>
            </w:r>
          </w:p>
          <w:p w14:paraId="4ABD290F">
            <w:pPr>
              <w:spacing w:line="360" w:lineRule="auto"/>
              <w:ind w:firstLine="480" w:firstLineChars="200"/>
              <w:textAlignment w:val="baseline"/>
              <w:rPr>
                <w:bCs/>
                <w:kern w:val="0"/>
              </w:rPr>
            </w:pPr>
            <w:r>
              <w:rPr>
                <w:bCs/>
                <w:kern w:val="0"/>
              </w:rPr>
              <w:t>项目实验试剂配制和实验器皿清洗中</w:t>
            </w:r>
            <w:r>
              <w:rPr>
                <w:rFonts w:hint="eastAsia"/>
                <w:bCs/>
                <w:kern w:val="0"/>
              </w:rPr>
              <w:t>超</w:t>
            </w:r>
            <w:r>
              <w:rPr>
                <w:bCs/>
                <w:kern w:val="0"/>
              </w:rPr>
              <w:t>纯水用量为8m</w:t>
            </w:r>
            <w:r>
              <w:rPr>
                <w:bCs/>
                <w:kern w:val="0"/>
                <w:vertAlign w:val="superscript"/>
              </w:rPr>
              <w:t>3</w:t>
            </w:r>
            <w:r>
              <w:rPr>
                <w:bCs/>
                <w:kern w:val="0"/>
              </w:rPr>
              <w:t>/a（0.032m</w:t>
            </w:r>
            <w:r>
              <w:rPr>
                <w:bCs/>
                <w:kern w:val="0"/>
                <w:vertAlign w:val="superscript"/>
              </w:rPr>
              <w:t>3</w:t>
            </w:r>
            <w:r>
              <w:rPr>
                <w:bCs/>
                <w:kern w:val="0"/>
              </w:rPr>
              <w:t>/d），超纯水制备率为70%，则超纯水制备</w:t>
            </w:r>
            <w:r>
              <w:rPr>
                <w:rFonts w:hint="eastAsia"/>
                <w:bCs/>
                <w:kern w:val="0"/>
              </w:rPr>
              <w:t>排放浓水</w:t>
            </w:r>
            <w:r>
              <w:rPr>
                <w:bCs/>
                <w:kern w:val="0"/>
              </w:rPr>
              <w:t>量为</w:t>
            </w:r>
            <w:r>
              <w:rPr>
                <w:rFonts w:hint="eastAsia"/>
                <w:bCs/>
                <w:kern w:val="0"/>
              </w:rPr>
              <w:t>3</w:t>
            </w:r>
            <w:r>
              <w:rPr>
                <w:bCs/>
                <w:kern w:val="0"/>
              </w:rPr>
              <w:t>.43m</w:t>
            </w:r>
            <w:r>
              <w:rPr>
                <w:bCs/>
                <w:kern w:val="0"/>
                <w:vertAlign w:val="superscript"/>
              </w:rPr>
              <w:t>3</w:t>
            </w:r>
            <w:r>
              <w:rPr>
                <w:bCs/>
                <w:kern w:val="0"/>
              </w:rPr>
              <w:t>/a（0.0</w:t>
            </w:r>
            <w:r>
              <w:rPr>
                <w:rFonts w:hint="eastAsia"/>
                <w:bCs/>
                <w:kern w:val="0"/>
              </w:rPr>
              <w:t>14</w:t>
            </w:r>
            <w:r>
              <w:rPr>
                <w:bCs/>
                <w:kern w:val="0"/>
              </w:rPr>
              <w:t>m</w:t>
            </w:r>
            <w:r>
              <w:rPr>
                <w:bCs/>
                <w:kern w:val="0"/>
                <w:vertAlign w:val="superscript"/>
              </w:rPr>
              <w:t>3</w:t>
            </w:r>
            <w:r>
              <w:rPr>
                <w:bCs/>
                <w:kern w:val="0"/>
              </w:rPr>
              <w:t>/d）。</w:t>
            </w:r>
          </w:p>
          <w:p w14:paraId="665E4820">
            <w:pPr>
              <w:spacing w:line="360" w:lineRule="auto"/>
              <w:ind w:firstLine="480" w:firstLineChars="200"/>
              <w:textAlignment w:val="baseline"/>
              <w:rPr>
                <w:bCs/>
                <w:kern w:val="0"/>
              </w:rPr>
            </w:pPr>
            <w:r>
              <w:rPr>
                <w:bCs/>
              </w:rPr>
              <w:t>根据</w:t>
            </w:r>
            <w:r>
              <w:rPr>
                <w:rFonts w:hint="eastAsia"/>
                <w:bCs/>
              </w:rPr>
              <w:t>建设单位提供现有项目剩余一般水样量约0.5</w:t>
            </w:r>
            <w:r>
              <w:rPr>
                <w:bCs/>
                <w:kern w:val="0"/>
              </w:rPr>
              <w:t>m</w:t>
            </w:r>
            <w:r>
              <w:rPr>
                <w:bCs/>
                <w:kern w:val="0"/>
                <w:vertAlign w:val="superscript"/>
              </w:rPr>
              <w:t>3</w:t>
            </w:r>
            <w:r>
              <w:rPr>
                <w:bCs/>
                <w:kern w:val="0"/>
              </w:rPr>
              <w:t>/a</w:t>
            </w:r>
            <w:r>
              <w:rPr>
                <w:rFonts w:hint="eastAsia"/>
                <w:bCs/>
                <w:kern w:val="0"/>
              </w:rPr>
              <w:t>（</w:t>
            </w:r>
            <w:r>
              <w:rPr>
                <w:bCs/>
                <w:kern w:val="0"/>
              </w:rPr>
              <w:t>0.00</w:t>
            </w:r>
            <w:r>
              <w:rPr>
                <w:rFonts w:hint="eastAsia"/>
                <w:bCs/>
                <w:kern w:val="0"/>
              </w:rPr>
              <w:t>2</w:t>
            </w:r>
            <w:r>
              <w:rPr>
                <w:bCs/>
                <w:kern w:val="0"/>
              </w:rPr>
              <w:t>m</w:t>
            </w:r>
            <w:r>
              <w:rPr>
                <w:bCs/>
                <w:kern w:val="0"/>
                <w:vertAlign w:val="superscript"/>
              </w:rPr>
              <w:t>3</w:t>
            </w:r>
            <w:r>
              <w:rPr>
                <w:bCs/>
                <w:kern w:val="0"/>
              </w:rPr>
              <w:t>/d</w:t>
            </w:r>
            <w:r>
              <w:rPr>
                <w:rFonts w:hint="eastAsia"/>
                <w:bCs/>
                <w:kern w:val="0"/>
              </w:rPr>
              <w:t>）</w:t>
            </w:r>
            <w:r>
              <w:rPr>
                <w:bCs/>
                <w:kern w:val="0"/>
              </w:rPr>
              <w:t>，</w:t>
            </w:r>
            <w:r>
              <w:rPr>
                <w:rFonts w:hint="eastAsia"/>
                <w:bCs/>
                <w:kern w:val="0"/>
              </w:rPr>
              <w:t>则本项目剩余一般水样量为</w:t>
            </w:r>
            <w:r>
              <w:rPr>
                <w:rFonts w:hint="eastAsia"/>
                <w:bCs/>
              </w:rPr>
              <w:t>0.5</w:t>
            </w:r>
            <w:r>
              <w:rPr>
                <w:bCs/>
                <w:kern w:val="0"/>
              </w:rPr>
              <w:t>m</w:t>
            </w:r>
            <w:r>
              <w:rPr>
                <w:bCs/>
                <w:kern w:val="0"/>
                <w:vertAlign w:val="superscript"/>
              </w:rPr>
              <w:t>3</w:t>
            </w:r>
            <w:r>
              <w:rPr>
                <w:bCs/>
                <w:kern w:val="0"/>
              </w:rPr>
              <w:t>/a</w:t>
            </w:r>
            <w:r>
              <w:rPr>
                <w:rFonts w:hint="eastAsia"/>
                <w:bCs/>
                <w:kern w:val="0"/>
              </w:rPr>
              <w:t>（</w:t>
            </w:r>
            <w:r>
              <w:rPr>
                <w:bCs/>
                <w:kern w:val="0"/>
              </w:rPr>
              <w:t>0.00</w:t>
            </w:r>
            <w:r>
              <w:rPr>
                <w:rFonts w:hint="eastAsia"/>
                <w:bCs/>
                <w:kern w:val="0"/>
              </w:rPr>
              <w:t>2</w:t>
            </w:r>
            <w:r>
              <w:rPr>
                <w:bCs/>
                <w:kern w:val="0"/>
              </w:rPr>
              <w:t>m</w:t>
            </w:r>
            <w:r>
              <w:rPr>
                <w:bCs/>
                <w:kern w:val="0"/>
                <w:vertAlign w:val="superscript"/>
              </w:rPr>
              <w:t>3</w:t>
            </w:r>
            <w:r>
              <w:rPr>
                <w:bCs/>
                <w:kern w:val="0"/>
              </w:rPr>
              <w:t>/d</w:t>
            </w:r>
            <w:r>
              <w:rPr>
                <w:rFonts w:hint="eastAsia"/>
                <w:bCs/>
                <w:kern w:val="0"/>
              </w:rPr>
              <w:t>）。</w:t>
            </w:r>
            <w:r>
              <w:rPr>
                <w:bCs/>
                <w:kern w:val="0"/>
              </w:rPr>
              <w:t>实验</w:t>
            </w:r>
            <w:r>
              <w:rPr>
                <w:rFonts w:hint="eastAsia"/>
                <w:bCs/>
                <w:kern w:val="0"/>
              </w:rPr>
              <w:t>器皿</w:t>
            </w:r>
            <w:r>
              <w:rPr>
                <w:bCs/>
                <w:kern w:val="0"/>
              </w:rPr>
              <w:t>清洗废水</w:t>
            </w:r>
            <w:r>
              <w:rPr>
                <w:rFonts w:hint="eastAsia"/>
                <w:bCs/>
                <w:kern w:val="0"/>
              </w:rPr>
              <w:t>和</w:t>
            </w:r>
            <w:r>
              <w:rPr>
                <w:bCs/>
                <w:kern w:val="0"/>
              </w:rPr>
              <w:t>剩余一般水样</w:t>
            </w:r>
            <w:r>
              <w:rPr>
                <w:rFonts w:hint="eastAsia"/>
                <w:bCs/>
                <w:kern w:val="0"/>
              </w:rPr>
              <w:t>经4楼实验室水池下方排水管道收集，排入3楼污水处理间自建废水处理设备（</w:t>
            </w:r>
            <w:r>
              <w:rPr>
                <w:bCs/>
              </w:rPr>
              <w:t>酸碱中和，1t/d</w:t>
            </w:r>
            <w:r>
              <w:rPr>
                <w:rFonts w:hint="eastAsia"/>
                <w:bCs/>
                <w:kern w:val="0"/>
              </w:rPr>
              <w:t>），</w:t>
            </w:r>
            <w:r>
              <w:rPr>
                <w:bCs/>
                <w:kern w:val="0"/>
              </w:rPr>
              <w:t>经处理后排入</w:t>
            </w:r>
            <w:r>
              <w:rPr>
                <w:rFonts w:hint="eastAsia"/>
                <w:bCs/>
                <w:kern w:val="0"/>
              </w:rPr>
              <w:t>园区</w:t>
            </w:r>
            <w:r>
              <w:rPr>
                <w:bCs/>
                <w:kern w:val="0"/>
              </w:rPr>
              <w:t>化粪池</w:t>
            </w:r>
            <w:r>
              <w:rPr>
                <w:rFonts w:hint="eastAsia"/>
                <w:bCs/>
                <w:kern w:val="0"/>
              </w:rPr>
              <w:t>；喷淋塔排水采用专用桶收集后转入废水处理设备，</w:t>
            </w:r>
            <w:r>
              <w:rPr>
                <w:bCs/>
                <w:kern w:val="0"/>
              </w:rPr>
              <w:t>经处理后排入</w:t>
            </w:r>
            <w:r>
              <w:rPr>
                <w:rFonts w:hint="eastAsia"/>
                <w:bCs/>
                <w:kern w:val="0"/>
              </w:rPr>
              <w:t>园区</w:t>
            </w:r>
            <w:r>
              <w:rPr>
                <w:bCs/>
                <w:kern w:val="0"/>
              </w:rPr>
              <w:t>化粪池</w:t>
            </w:r>
            <w:r>
              <w:rPr>
                <w:rFonts w:hint="eastAsia"/>
                <w:bCs/>
                <w:kern w:val="0"/>
              </w:rPr>
              <w:t>；</w:t>
            </w:r>
            <w:r>
              <w:rPr>
                <w:bCs/>
                <w:kern w:val="0"/>
              </w:rPr>
              <w:t>生活污水</w:t>
            </w:r>
            <w:r>
              <w:rPr>
                <w:rFonts w:hint="eastAsia"/>
                <w:bCs/>
                <w:kern w:val="0"/>
              </w:rPr>
              <w:t>和其他废水（地面清洁废水、职工工作服清洗废水、</w:t>
            </w:r>
            <w:r>
              <w:rPr>
                <w:bCs/>
                <w:kern w:val="0"/>
              </w:rPr>
              <w:t>超纯水制备</w:t>
            </w:r>
            <w:r>
              <w:rPr>
                <w:rFonts w:hint="eastAsia"/>
                <w:bCs/>
                <w:kern w:val="0"/>
              </w:rPr>
              <w:t>排放</w:t>
            </w:r>
            <w:r>
              <w:rPr>
                <w:bCs/>
                <w:kern w:val="0"/>
              </w:rPr>
              <w:t>浓水</w:t>
            </w:r>
            <w:r>
              <w:rPr>
                <w:rFonts w:hint="eastAsia"/>
                <w:bCs/>
                <w:kern w:val="0"/>
              </w:rPr>
              <w:t>）</w:t>
            </w:r>
            <w:r>
              <w:rPr>
                <w:bCs/>
                <w:kern w:val="0"/>
              </w:rPr>
              <w:t>排入园区化粪池处理，最终经市政污水管网排</w:t>
            </w:r>
            <w:r>
              <w:rPr>
                <w:rFonts w:hint="eastAsia"/>
                <w:bCs/>
                <w:kern w:val="0"/>
              </w:rPr>
              <w:t>入</w:t>
            </w:r>
            <w:r>
              <w:rPr>
                <w:bCs/>
                <w:kern w:val="0"/>
              </w:rPr>
              <w:t>西安净水处理有限责任公司第六再生水厂。</w:t>
            </w:r>
          </w:p>
          <w:p w14:paraId="035394A4">
            <w:pPr>
              <w:spacing w:line="360" w:lineRule="auto"/>
              <w:ind w:firstLine="480" w:firstLineChars="200"/>
              <w:textAlignment w:val="baseline"/>
              <w:rPr>
                <w:bCs/>
                <w:kern w:val="0"/>
              </w:rPr>
            </w:pPr>
            <w:r>
              <w:rPr>
                <w:bCs/>
                <w:kern w:val="0"/>
              </w:rPr>
              <w:t>本项目水平衡图见图2-1。</w:t>
            </w:r>
          </w:p>
          <w:p w14:paraId="5807CE87">
            <w:pPr>
              <w:jc w:val="center"/>
            </w:pPr>
            <w:r>
              <w:drawing>
                <wp:inline distT="0" distB="0" distL="114300" distR="114300">
                  <wp:extent cx="4679950" cy="3364865"/>
                  <wp:effectExtent l="0" t="0" r="13970" b="317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6"/>
                          <a:stretch>
                            <a:fillRect/>
                          </a:stretch>
                        </pic:blipFill>
                        <pic:spPr>
                          <a:xfrm>
                            <a:off x="0" y="0"/>
                            <a:ext cx="4679950" cy="3364865"/>
                          </a:xfrm>
                          <a:prstGeom prst="rect">
                            <a:avLst/>
                          </a:prstGeom>
                          <a:noFill/>
                          <a:ln>
                            <a:noFill/>
                          </a:ln>
                        </pic:spPr>
                      </pic:pic>
                    </a:graphicData>
                  </a:graphic>
                </wp:inline>
              </w:drawing>
            </w:r>
          </w:p>
          <w:p w14:paraId="5F61BC86">
            <w:pPr>
              <w:tabs>
                <w:tab w:val="left" w:pos="644"/>
              </w:tabs>
              <w:jc w:val="center"/>
              <w:rPr>
                <w:bCs/>
                <w:color w:val="auto"/>
                <w:kern w:val="0"/>
                <w:sz w:val="21"/>
                <w:szCs w:val="21"/>
              </w:rPr>
            </w:pPr>
            <w:r>
              <w:rPr>
                <w:rFonts w:hint="eastAsia"/>
                <w:b/>
                <w:color w:val="auto"/>
                <w:kern w:val="0"/>
                <w:sz w:val="21"/>
                <w:szCs w:val="21"/>
              </w:rPr>
              <w:t xml:space="preserve">图2-1  </w:t>
            </w:r>
            <w:r>
              <w:rPr>
                <w:rFonts w:hint="eastAsia"/>
                <w:b/>
                <w:bCs/>
                <w:color w:val="auto"/>
                <w:sz w:val="21"/>
                <w:szCs w:val="21"/>
              </w:rPr>
              <w:t>项目</w:t>
            </w:r>
            <w:r>
              <w:rPr>
                <w:rFonts w:hint="eastAsia"/>
                <w:b/>
                <w:color w:val="auto"/>
                <w:kern w:val="0"/>
                <w:sz w:val="21"/>
                <w:szCs w:val="21"/>
              </w:rPr>
              <w:t>水平衡图（单位：m</w:t>
            </w:r>
            <w:r>
              <w:rPr>
                <w:rFonts w:hint="eastAsia"/>
                <w:b/>
                <w:color w:val="auto"/>
                <w:kern w:val="0"/>
                <w:sz w:val="21"/>
                <w:szCs w:val="21"/>
                <w:vertAlign w:val="superscript"/>
              </w:rPr>
              <w:t>3</w:t>
            </w:r>
            <w:r>
              <w:rPr>
                <w:rFonts w:hint="eastAsia"/>
                <w:b/>
                <w:color w:val="auto"/>
                <w:kern w:val="0"/>
                <w:sz w:val="21"/>
                <w:szCs w:val="21"/>
              </w:rPr>
              <w:t>/d）</w:t>
            </w:r>
          </w:p>
          <w:p w14:paraId="3C5BA92D">
            <w:pPr>
              <w:pStyle w:val="21"/>
              <w:adjustRightInd/>
              <w:snapToGrid/>
              <w:spacing w:line="360" w:lineRule="auto"/>
              <w:ind w:firstLine="452"/>
              <w:rPr>
                <w:rFonts w:ascii="Times New Roman" w:hAnsi="Times New Roman"/>
                <w:b w:val="0"/>
                <w:bCs/>
              </w:rPr>
            </w:pPr>
            <w:r>
              <w:rPr>
                <w:rFonts w:ascii="Times New Roman" w:hAnsi="Times New Roman"/>
                <w:b w:val="0"/>
                <w:bCs/>
              </w:rPr>
              <w:t>（2）供电</w:t>
            </w:r>
          </w:p>
          <w:p w14:paraId="361A066D">
            <w:pPr>
              <w:spacing w:line="360" w:lineRule="auto"/>
              <w:ind w:firstLine="480" w:firstLineChars="200"/>
              <w:rPr>
                <w:bCs/>
                <w:kern w:val="0"/>
              </w:rPr>
            </w:pPr>
            <w:r>
              <w:rPr>
                <w:rFonts w:hint="eastAsia"/>
                <w:bCs/>
                <w:kern w:val="0"/>
              </w:rPr>
              <w:t>项目供电来源市政供电，年用电量2万kW</w:t>
            </w:r>
            <w:r>
              <w:rPr>
                <w:bCs/>
                <w:kern w:val="0"/>
              </w:rPr>
              <w:t>·</w:t>
            </w:r>
            <w:r>
              <w:rPr>
                <w:rFonts w:hint="eastAsia"/>
                <w:bCs/>
                <w:kern w:val="0"/>
              </w:rPr>
              <w:t>h。</w:t>
            </w:r>
          </w:p>
          <w:p w14:paraId="0EE5432D">
            <w:pPr>
              <w:spacing w:line="360" w:lineRule="auto"/>
              <w:ind w:firstLine="480" w:firstLineChars="200"/>
              <w:rPr>
                <w:bCs/>
              </w:rPr>
            </w:pPr>
            <w:r>
              <w:rPr>
                <w:bCs/>
              </w:rPr>
              <w:t>（</w:t>
            </w:r>
            <w:r>
              <w:rPr>
                <w:rFonts w:hint="eastAsia"/>
                <w:bCs/>
              </w:rPr>
              <w:t>3</w:t>
            </w:r>
            <w:r>
              <w:rPr>
                <w:bCs/>
              </w:rPr>
              <w:t>）</w:t>
            </w:r>
            <w:r>
              <w:rPr>
                <w:rFonts w:hint="eastAsia"/>
                <w:bCs/>
              </w:rPr>
              <w:t>采暖及制冷</w:t>
            </w:r>
          </w:p>
          <w:p w14:paraId="3D4B7264">
            <w:pPr>
              <w:spacing w:line="360" w:lineRule="auto"/>
              <w:ind w:firstLine="480" w:firstLineChars="200"/>
              <w:rPr>
                <w:bCs/>
              </w:rPr>
            </w:pPr>
            <w:r>
              <w:rPr>
                <w:rFonts w:hint="eastAsia"/>
                <w:bCs/>
              </w:rPr>
              <w:t>项目采暖制冷均采用空调。</w:t>
            </w:r>
          </w:p>
          <w:p w14:paraId="6629F0DB">
            <w:pPr>
              <w:adjustRightInd w:val="0"/>
              <w:snapToGrid w:val="0"/>
              <w:spacing w:before="156" w:beforeLines="50" w:line="360" w:lineRule="auto"/>
              <w:ind w:firstLine="482" w:firstLineChars="200"/>
              <w:rPr>
                <w:b/>
              </w:rPr>
            </w:pPr>
            <w:r>
              <w:rPr>
                <w:rFonts w:hint="eastAsia"/>
                <w:b/>
              </w:rPr>
              <w:t>7、劳动定员和工作制度</w:t>
            </w:r>
          </w:p>
          <w:p w14:paraId="38F691BD">
            <w:pPr>
              <w:spacing w:line="360" w:lineRule="auto"/>
              <w:ind w:firstLine="480" w:firstLineChars="200"/>
              <w:rPr>
                <w:kern w:val="0"/>
              </w:rPr>
            </w:pPr>
            <w:r>
              <w:rPr>
                <w:rFonts w:hint="eastAsia"/>
                <w:kern w:val="0"/>
              </w:rPr>
              <w:t>（1）劳动定员</w:t>
            </w:r>
          </w:p>
          <w:p w14:paraId="62C53B21">
            <w:pPr>
              <w:spacing w:line="360" w:lineRule="auto"/>
              <w:ind w:firstLine="480" w:firstLineChars="200"/>
              <w:rPr>
                <w:kern w:val="0"/>
              </w:rPr>
            </w:pPr>
            <w:r>
              <w:rPr>
                <w:rFonts w:hint="eastAsia"/>
                <w:kern w:val="0"/>
              </w:rPr>
              <w:t>本项目不含食宿，劳动定员73人。</w:t>
            </w:r>
          </w:p>
          <w:p w14:paraId="67E84235">
            <w:pPr>
              <w:spacing w:line="360" w:lineRule="auto"/>
              <w:ind w:firstLine="480" w:firstLineChars="200"/>
              <w:rPr>
                <w:kern w:val="0"/>
              </w:rPr>
            </w:pPr>
            <w:r>
              <w:rPr>
                <w:rFonts w:hint="eastAsia"/>
                <w:kern w:val="0"/>
              </w:rPr>
              <w:t>（2）工作制度</w:t>
            </w:r>
          </w:p>
          <w:p w14:paraId="35463CF8">
            <w:pPr>
              <w:spacing w:line="360" w:lineRule="auto"/>
              <w:ind w:firstLine="480" w:firstLineChars="200"/>
              <w:rPr>
                <w:kern w:val="0"/>
              </w:rPr>
            </w:pPr>
            <w:r>
              <w:rPr>
                <w:rFonts w:hint="eastAsia"/>
                <w:kern w:val="0"/>
              </w:rPr>
              <w:t>本项目全年工作250d，每日8h，一班制。</w:t>
            </w:r>
          </w:p>
          <w:p w14:paraId="30063400">
            <w:pPr>
              <w:adjustRightInd w:val="0"/>
              <w:snapToGrid w:val="0"/>
              <w:spacing w:before="156" w:beforeLines="50" w:line="360" w:lineRule="auto"/>
              <w:ind w:firstLine="482" w:firstLineChars="200"/>
              <w:rPr>
                <w:b/>
              </w:rPr>
            </w:pPr>
            <w:r>
              <w:rPr>
                <w:rFonts w:hint="eastAsia"/>
                <w:b/>
              </w:rPr>
              <w:t>8</w:t>
            </w:r>
            <w:r>
              <w:rPr>
                <w:b/>
              </w:rPr>
              <w:t>、平面布置</w:t>
            </w:r>
          </w:p>
          <w:p w14:paraId="0A05462C">
            <w:pPr>
              <w:adjustRightInd w:val="0"/>
              <w:snapToGrid w:val="0"/>
              <w:spacing w:line="360" w:lineRule="auto"/>
              <w:ind w:firstLine="480"/>
              <w:rPr>
                <w:bCs/>
              </w:rPr>
            </w:pPr>
            <w:r>
              <w:rPr>
                <w:bCs/>
              </w:rPr>
              <w:t>本项目</w:t>
            </w:r>
            <w:r>
              <w:rPr>
                <w:rFonts w:hint="eastAsia"/>
                <w:bCs/>
              </w:rPr>
              <w:t>位于</w:t>
            </w:r>
            <w:r>
              <w:t>陕西省</w:t>
            </w:r>
            <w:r>
              <w:rPr>
                <w:rFonts w:hint="eastAsia"/>
              </w:rPr>
              <w:t>西咸新区沣东新城红光大道（沣东大道）以北、科源一路以西，租赁中国国检测试控股集团陕西有限公司一号楼三、四层</w:t>
            </w:r>
            <w:r>
              <w:rPr>
                <w:bCs/>
              </w:rPr>
              <w:t>，</w:t>
            </w:r>
            <w:r>
              <w:rPr>
                <w:rFonts w:hint="eastAsia"/>
                <w:bCs/>
              </w:rPr>
              <w:t>总建筑</w:t>
            </w:r>
            <w:r>
              <w:rPr>
                <w:bCs/>
              </w:rPr>
              <w:t>面积</w:t>
            </w:r>
            <w:r>
              <w:rPr>
                <w:rFonts w:hint="eastAsia"/>
                <w:bCs/>
              </w:rPr>
              <w:t>2463</w:t>
            </w:r>
            <w:r>
              <w:rPr>
                <w:bCs/>
              </w:rPr>
              <w:t>m</w:t>
            </w:r>
            <w:r>
              <w:rPr>
                <w:bCs/>
                <w:vertAlign w:val="superscript"/>
              </w:rPr>
              <w:t>2</w:t>
            </w:r>
            <w:r>
              <w:rPr>
                <w:rFonts w:hint="eastAsia"/>
                <w:bCs/>
              </w:rPr>
              <w:t>，租赁合同见附件5。项目主要分为实验区和办公区，其中，办公区主要位于三层，包括办公室、综合办、总经理室、财务室、会议室、客服中心、质量控制室、预留办公室等；</w:t>
            </w:r>
            <w:r>
              <w:rPr>
                <w:bCs/>
              </w:rPr>
              <w:t>实验</w:t>
            </w:r>
            <w:r>
              <w:rPr>
                <w:rFonts w:hint="eastAsia"/>
                <w:bCs/>
              </w:rPr>
              <w:t>区主要位于四层，包括有机检测室、理化和无机检测室、固废晾晒及制备室、土壤晾晒及制备室、微生物室、色谱1~4室、天平室1~2、臭味准备室、臭味制备室、嗅辨室、光谱1~2室、小型设备1~4室、洗瓶室等。另外，实验区平面布置时按照</w:t>
            </w:r>
            <w:r>
              <w:rPr>
                <w:bCs/>
              </w:rPr>
              <w:t>《检验检测实验室设计与建设技术要求 第1部分：通用要求》（GB/T 32146.1-2015）及《检验检测实验室技术要求验收规范》（GB/T 37140-2018）要求</w:t>
            </w:r>
            <w:r>
              <w:rPr>
                <w:rFonts w:hint="eastAsia"/>
                <w:bCs/>
              </w:rPr>
              <w:t>，结合实验检验过程中产生的废气类型分区布置，便于废气收集，且废气排气筒</w:t>
            </w:r>
            <w:r>
              <w:rPr>
                <w:bCs/>
              </w:rPr>
              <w:t>远离周边敏感目标，整体采取隔声、吸音、防振等措施，</w:t>
            </w:r>
            <w:r>
              <w:t>布局较为合理。</w:t>
            </w:r>
          </w:p>
          <w:p w14:paraId="268B3DD0">
            <w:pPr>
              <w:adjustRightInd w:val="0"/>
              <w:snapToGrid w:val="0"/>
              <w:spacing w:line="360" w:lineRule="auto"/>
              <w:ind w:firstLine="480"/>
            </w:pPr>
            <w:r>
              <w:rPr>
                <w:rFonts w:hint="eastAsia"/>
              </w:rPr>
              <w:t>项目功能区集中布置，有利于生产要求；办公区与实验区分离，可有效避免人流与物流相互交叉、往复和迂回，工艺流程顺捷，有效合理地利用建筑物。总图布置遵循现行的国家及行业标准中有关防火、防爆、安全卫生、环境保护等规范规定，布局合理。项目具体平面布置图见附图</w:t>
            </w:r>
            <w:r>
              <w:t>3</w:t>
            </w:r>
            <w:r>
              <w:rPr>
                <w:rFonts w:hint="eastAsia"/>
              </w:rPr>
              <w:t>。</w:t>
            </w:r>
          </w:p>
          <w:p w14:paraId="1D90CBA7">
            <w:pPr>
              <w:adjustRightInd w:val="0"/>
              <w:snapToGrid w:val="0"/>
              <w:rPr>
                <w:rFonts w:ascii="宋体" w:hAnsi="宋体" w:cs="宋体"/>
                <w:bCs/>
                <w:szCs w:val="21"/>
              </w:rPr>
            </w:pPr>
          </w:p>
          <w:p w14:paraId="24B4C985">
            <w:pPr>
              <w:adjustRightInd w:val="0"/>
              <w:snapToGrid w:val="0"/>
              <w:rPr>
                <w:rFonts w:ascii="宋体" w:hAnsi="宋体" w:cs="宋体"/>
                <w:bCs/>
                <w:szCs w:val="21"/>
              </w:rPr>
            </w:pPr>
          </w:p>
        </w:tc>
      </w:tr>
      <w:tr w14:paraId="5D637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9" w:hRule="atLeast"/>
          <w:jc w:val="center"/>
        </w:trPr>
        <w:tc>
          <w:tcPr>
            <w:tcW w:w="823" w:type="dxa"/>
            <w:shd w:val="clear" w:color="auto" w:fill="auto"/>
            <w:vAlign w:val="center"/>
          </w:tcPr>
          <w:p w14:paraId="21FBB1D5">
            <w:pPr>
              <w:pStyle w:val="18"/>
              <w:adjustRightInd w:val="0"/>
              <w:snapToGrid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Cs w:val="24"/>
              </w:rPr>
              <w:t>工艺流程和产排污环节</w:t>
            </w:r>
          </w:p>
        </w:tc>
        <w:tc>
          <w:tcPr>
            <w:tcW w:w="8161" w:type="dxa"/>
            <w:shd w:val="clear" w:color="auto" w:fill="auto"/>
          </w:tcPr>
          <w:p w14:paraId="31CEADA3">
            <w:pPr>
              <w:autoSpaceDE w:val="0"/>
              <w:autoSpaceDN w:val="0"/>
              <w:adjustRightInd w:val="0"/>
              <w:snapToGrid w:val="0"/>
              <w:spacing w:line="360" w:lineRule="auto"/>
              <w:ind w:firstLine="482" w:firstLineChars="200"/>
              <w:rPr>
                <w:b/>
                <w:kern w:val="0"/>
              </w:rPr>
            </w:pPr>
            <w:r>
              <w:rPr>
                <w:rFonts w:hint="eastAsia"/>
                <w:b/>
                <w:kern w:val="0"/>
              </w:rPr>
              <w:t>工艺流程简述</w:t>
            </w:r>
          </w:p>
          <w:p w14:paraId="01898B81">
            <w:pPr>
              <w:adjustRightInd w:val="0"/>
              <w:snapToGrid w:val="0"/>
              <w:spacing w:line="360" w:lineRule="auto"/>
              <w:ind w:firstLine="482" w:firstLineChars="200"/>
              <w:rPr>
                <w:b/>
                <w:szCs w:val="21"/>
              </w:rPr>
            </w:pPr>
            <w:r>
              <w:rPr>
                <w:b/>
                <w:szCs w:val="21"/>
              </w:rPr>
              <w:t>1、施工期</w:t>
            </w:r>
          </w:p>
          <w:p w14:paraId="30D68662">
            <w:pPr>
              <w:adjustRightInd w:val="0"/>
              <w:snapToGrid w:val="0"/>
              <w:spacing w:line="360" w:lineRule="auto"/>
              <w:ind w:firstLine="480" w:firstLineChars="200"/>
              <w:rPr>
                <w:bCs/>
                <w:szCs w:val="21"/>
              </w:rPr>
            </w:pPr>
            <w:r>
              <w:t>本项目依托现有厂房进行</w:t>
            </w:r>
            <w:r>
              <w:rPr>
                <w:rFonts w:hint="eastAsia"/>
              </w:rPr>
              <w:t>装修</w:t>
            </w:r>
            <w:r>
              <w:t>改造，施工期主要进行内部给水、排水、供电管道的建设，进行防渗作业，建设墙体隔断，安装调试实验设备及配套设施。装修过程中产生的污染物主要为扬尘、噪声、建筑垃圾和废水。</w:t>
            </w:r>
            <w:r>
              <w:rPr>
                <w:bCs/>
                <w:szCs w:val="21"/>
              </w:rPr>
              <w:t>这些污染物会对周边环境造成一定的不利影响，由于项目施工周期短、强度低，施工时间控制在昼间，并均在封闭厂房内施工，其造成的影响范围小、持续时间短、污染程度轻微。随着施工结束，污染随着消失。</w:t>
            </w:r>
          </w:p>
          <w:p w14:paraId="5E8C647D">
            <w:pPr>
              <w:numPr>
                <w:ilvl w:val="0"/>
                <w:numId w:val="7"/>
              </w:numPr>
              <w:adjustRightInd w:val="0"/>
              <w:snapToGrid w:val="0"/>
              <w:spacing w:line="360" w:lineRule="auto"/>
              <w:ind w:firstLine="482" w:firstLineChars="200"/>
              <w:rPr>
                <w:b/>
                <w:szCs w:val="21"/>
              </w:rPr>
            </w:pPr>
            <w:r>
              <w:rPr>
                <w:b/>
                <w:szCs w:val="21"/>
              </w:rPr>
              <w:t>运营期</w:t>
            </w:r>
          </w:p>
          <w:p w14:paraId="63F72B2C">
            <w:pPr>
              <w:adjustRightInd w:val="0"/>
              <w:snapToGrid w:val="0"/>
              <w:spacing w:line="360" w:lineRule="auto"/>
              <w:ind w:firstLine="480" w:firstLineChars="200"/>
              <w:rPr>
                <w:kern w:val="0"/>
              </w:rPr>
            </w:pPr>
            <w:r>
              <w:rPr>
                <w:rFonts w:hint="eastAsia"/>
                <w:kern w:val="0"/>
              </w:rPr>
              <w:t>本项目</w:t>
            </w:r>
            <w:r>
              <w:rPr>
                <w:rFonts w:hint="eastAsia" w:ascii="宋体" w:hAnsi="宋体" w:cs="宋体"/>
                <w:kern w:val="0"/>
              </w:rPr>
              <w:t>环境检测实验室主要进行</w:t>
            </w:r>
            <w:r>
              <w:t>水和</w:t>
            </w:r>
            <w:r>
              <w:rPr>
                <w:rFonts w:hint="eastAsia"/>
              </w:rPr>
              <w:t>废水、环境空气和废气、土壤和水系沉积物、固体废物等</w:t>
            </w:r>
            <w:r>
              <w:rPr>
                <w:rFonts w:hint="eastAsia" w:ascii="宋体" w:hAnsi="宋体" w:cs="宋体"/>
                <w:kern w:val="0"/>
              </w:rPr>
              <w:t>样本的检验检测，检测流程见图</w:t>
            </w:r>
            <w:r>
              <w:rPr>
                <w:kern w:val="0"/>
              </w:rPr>
              <w:t>2-2；</w:t>
            </w:r>
            <w:r>
              <w:rPr>
                <w:rFonts w:hint="eastAsia"/>
                <w:kern w:val="0"/>
              </w:rPr>
              <w:t>实验室检测过程总体分为有机检验、无机检验、微生物指标检验及固废/土壤制备，其中有机分析主要检测类别及分析过程见图2-3，无机分析检测类别及分析过程见图2-4，微生物实验室主要检测类别及分析过程见图2-5，固废/土壤制备过程见图2-6。</w:t>
            </w:r>
          </w:p>
          <w:p w14:paraId="6B50190D">
            <w:pPr>
              <w:adjustRightInd w:val="0"/>
              <w:snapToGrid w:val="0"/>
              <w:spacing w:line="360" w:lineRule="auto"/>
              <w:ind w:firstLine="480" w:firstLineChars="200"/>
              <w:rPr>
                <w:kern w:val="0"/>
              </w:rPr>
            </w:pPr>
            <w:r>
              <w:rPr>
                <w:kern w:val="0"/>
              </w:rPr>
              <w:t>①实验室</w:t>
            </w:r>
            <w:r>
              <w:rPr>
                <w:rFonts w:hint="eastAsia"/>
                <w:kern w:val="0"/>
              </w:rPr>
              <w:t>研究分析</w:t>
            </w:r>
          </w:p>
          <w:p w14:paraId="7039F6D9">
            <w:pPr>
              <w:jc w:val="center"/>
              <w:rPr>
                <w:rFonts w:ascii="宋体" w:hAnsi="宋体" w:cs="宋体"/>
                <w:kern w:val="0"/>
              </w:rPr>
            </w:pPr>
            <w:r>
              <w:drawing>
                <wp:inline distT="0" distB="0" distL="114300" distR="114300">
                  <wp:extent cx="4608195" cy="3208655"/>
                  <wp:effectExtent l="0" t="0" r="9525" b="6985"/>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7"/>
                          <a:stretch>
                            <a:fillRect/>
                          </a:stretch>
                        </pic:blipFill>
                        <pic:spPr>
                          <a:xfrm>
                            <a:off x="0" y="0"/>
                            <a:ext cx="4608195" cy="3208655"/>
                          </a:xfrm>
                          <a:prstGeom prst="rect">
                            <a:avLst/>
                          </a:prstGeom>
                          <a:noFill/>
                          <a:ln>
                            <a:noFill/>
                          </a:ln>
                        </pic:spPr>
                      </pic:pic>
                    </a:graphicData>
                  </a:graphic>
                </wp:inline>
              </w:drawing>
            </w:r>
          </w:p>
          <w:p w14:paraId="625B3FE0">
            <w:pPr>
              <w:jc w:val="center"/>
              <w:rPr>
                <w:b/>
                <w:sz w:val="21"/>
                <w:szCs w:val="21"/>
              </w:rPr>
            </w:pPr>
            <w:r>
              <w:rPr>
                <w:rFonts w:hint="eastAsia"/>
                <w:b/>
                <w:sz w:val="21"/>
                <w:szCs w:val="21"/>
              </w:rPr>
              <w:t>图2-2  实验室检测流程及产污环节图</w:t>
            </w:r>
          </w:p>
          <w:p w14:paraId="22FE38EB">
            <w:pPr>
              <w:spacing w:line="360" w:lineRule="auto"/>
              <w:ind w:firstLine="480" w:firstLineChars="200"/>
              <w:rPr>
                <w:kern w:val="0"/>
              </w:rPr>
            </w:pPr>
            <w:r>
              <w:rPr>
                <w:rFonts w:hint="eastAsia"/>
                <w:kern w:val="0"/>
              </w:rPr>
              <w:t>工艺流程主要为：</w:t>
            </w:r>
          </w:p>
          <w:p w14:paraId="2D8D66CD">
            <w:pPr>
              <w:spacing w:line="360" w:lineRule="auto"/>
              <w:ind w:firstLine="480" w:firstLineChars="200"/>
              <w:rPr>
                <w:rFonts w:ascii="宋体" w:hAnsi="宋体" w:cs="宋体"/>
                <w:kern w:val="0"/>
              </w:rPr>
            </w:pPr>
            <w:r>
              <w:rPr>
                <w:rFonts w:hint="eastAsia"/>
              </w:rPr>
              <w:t>样品接收后存储于样品室，</w:t>
            </w:r>
            <w:r>
              <w:rPr>
                <w:rFonts w:hint="eastAsia" w:ascii="宋体" w:hAnsi="宋体" w:cs="宋体"/>
                <w:kern w:val="0"/>
              </w:rPr>
              <w:t>样品检验前需按照分析方法对样品进行不同的预处理操作，包括稳定、定容、过滤、分离、沉淀、消解、研磨筛分等前处理，经过前处理的待测样品采用化学分析法（滴定法、重量分析）、电化学分析法（电极法）、比色法、分光光度法（原子吸收分光光度法、紫外分光光度法）、气相色谱法（气相色谱仪）、液相色谱法或微生物检测法（微生物计数）等方法进行检测，得出检测数据，并对数据进行处理，之后经三级审核签发，出具检测报告。检测过程中产生废气（非甲烷总烃、硫酸雾、氯化氢、氮氧化物、颗粒物等）、废水（清洗废水）、固废（实验废液、一次清洗废水、剩余样品、废试剂瓶、过期试剂、废培养基、废紫外灯管、废活性炭等）。</w:t>
            </w:r>
          </w:p>
          <w:p w14:paraId="5F044767">
            <w:pPr>
              <w:spacing w:line="360" w:lineRule="auto"/>
              <w:ind w:firstLine="480" w:firstLineChars="200"/>
              <w:rPr>
                <w:rFonts w:ascii="宋体" w:hAnsi="宋体" w:cs="宋体"/>
                <w:kern w:val="0"/>
              </w:rPr>
            </w:pPr>
            <w:r>
              <w:rPr>
                <w:kern w:val="0"/>
              </w:rPr>
              <w:t>②</w:t>
            </w:r>
            <w:r>
              <w:rPr>
                <w:rFonts w:hint="eastAsia"/>
                <w:kern w:val="0"/>
              </w:rPr>
              <w:t>有机</w:t>
            </w:r>
            <w:r>
              <w:rPr>
                <w:kern w:val="0"/>
              </w:rPr>
              <w:t>检测</w:t>
            </w:r>
          </w:p>
          <w:p w14:paraId="0FB85667">
            <w:pPr>
              <w:jc w:val="center"/>
            </w:pPr>
            <w:r>
              <w:drawing>
                <wp:inline distT="0" distB="0" distL="114300" distR="114300">
                  <wp:extent cx="4826635" cy="1859280"/>
                  <wp:effectExtent l="0" t="0" r="4445" b="0"/>
                  <wp:docPr id="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0"/>
                          <pic:cNvPicPr>
                            <a:picLocks noChangeAspect="1"/>
                          </pic:cNvPicPr>
                        </pic:nvPicPr>
                        <pic:blipFill>
                          <a:blip r:embed="rId8"/>
                          <a:stretch>
                            <a:fillRect/>
                          </a:stretch>
                        </pic:blipFill>
                        <pic:spPr>
                          <a:xfrm>
                            <a:off x="0" y="0"/>
                            <a:ext cx="4826635" cy="1859280"/>
                          </a:xfrm>
                          <a:prstGeom prst="rect">
                            <a:avLst/>
                          </a:prstGeom>
                          <a:noFill/>
                          <a:ln>
                            <a:noFill/>
                          </a:ln>
                        </pic:spPr>
                      </pic:pic>
                    </a:graphicData>
                  </a:graphic>
                </wp:inline>
              </w:drawing>
            </w:r>
          </w:p>
          <w:p w14:paraId="105D61CD">
            <w:pPr>
              <w:jc w:val="center"/>
              <w:rPr>
                <w:b/>
                <w:sz w:val="21"/>
                <w:szCs w:val="21"/>
              </w:rPr>
            </w:pPr>
            <w:r>
              <w:rPr>
                <w:b/>
                <w:sz w:val="21"/>
                <w:szCs w:val="21"/>
              </w:rPr>
              <w:t>图</w:t>
            </w:r>
            <w:r>
              <w:rPr>
                <w:rFonts w:hint="eastAsia"/>
                <w:b/>
                <w:sz w:val="21"/>
                <w:szCs w:val="21"/>
              </w:rPr>
              <w:t>2-3</w:t>
            </w:r>
            <w:r>
              <w:rPr>
                <w:b/>
                <w:sz w:val="21"/>
                <w:szCs w:val="21"/>
              </w:rPr>
              <w:t xml:space="preserve">  </w:t>
            </w:r>
            <w:r>
              <w:rPr>
                <w:rFonts w:hint="eastAsia"/>
                <w:b/>
                <w:sz w:val="21"/>
                <w:szCs w:val="21"/>
              </w:rPr>
              <w:t>有机检测工艺</w:t>
            </w:r>
            <w:r>
              <w:rPr>
                <w:b/>
                <w:sz w:val="21"/>
                <w:szCs w:val="21"/>
              </w:rPr>
              <w:t>流程及产污环节图</w:t>
            </w:r>
          </w:p>
          <w:p w14:paraId="016A5211">
            <w:pPr>
              <w:spacing w:line="360" w:lineRule="auto"/>
              <w:ind w:firstLine="480" w:firstLineChars="200"/>
              <w:rPr>
                <w:kern w:val="0"/>
              </w:rPr>
            </w:pPr>
            <w:r>
              <w:rPr>
                <w:rFonts w:hint="eastAsia"/>
                <w:kern w:val="0"/>
              </w:rPr>
              <w:t>工艺流程主要为：</w:t>
            </w:r>
          </w:p>
          <w:p w14:paraId="351A43CD">
            <w:pPr>
              <w:spacing w:line="360" w:lineRule="auto"/>
              <w:ind w:firstLine="480" w:firstLineChars="200"/>
              <w:rPr>
                <w:rFonts w:ascii="宋体" w:hAnsi="宋体" w:cs="宋体"/>
                <w:kern w:val="0"/>
              </w:rPr>
            </w:pPr>
            <w:r>
              <w:rPr>
                <w:rFonts w:hint="eastAsia"/>
              </w:rPr>
              <w:t>有机检测过程在通风橱内或</w:t>
            </w:r>
            <w:r>
              <w:rPr>
                <w:rFonts w:hint="eastAsia"/>
                <w:lang w:eastAsia="zh-CN"/>
              </w:rPr>
              <w:t>万向罩</w:t>
            </w:r>
            <w:r>
              <w:rPr>
                <w:rFonts w:hint="eastAsia"/>
              </w:rPr>
              <w:t>下进行，</w:t>
            </w:r>
            <w:r>
              <w:rPr>
                <w:rFonts w:hint="eastAsia" w:ascii="宋体" w:hAnsi="宋体" w:cs="宋体"/>
                <w:kern w:val="0"/>
              </w:rPr>
              <w:t>样品检验前需按照分析方法对样品进行不同的预处理操作，经过前处理的待测样品采用仪器检测，得出检测数据，并对数据进行处理。检测过程中产生废气（非甲烷总烃）、废水（清洗废水）、固废（实验废液、一次清洗废水、剩余样品、废试剂瓶、过期试剂、废活性炭等）和噪声。</w:t>
            </w:r>
          </w:p>
          <w:p w14:paraId="1FA28370">
            <w:pPr>
              <w:spacing w:line="360" w:lineRule="auto"/>
              <w:ind w:firstLine="480" w:firstLineChars="200"/>
              <w:rPr>
                <w:kern w:val="0"/>
              </w:rPr>
            </w:pPr>
            <w:r>
              <w:rPr>
                <w:kern w:val="0"/>
              </w:rPr>
              <w:t>③</w:t>
            </w:r>
            <w:r>
              <w:rPr>
                <w:rFonts w:hint="eastAsia"/>
                <w:kern w:val="0"/>
              </w:rPr>
              <w:t>无机检测</w:t>
            </w:r>
          </w:p>
          <w:p w14:paraId="7D3B4411">
            <w:pPr>
              <w:spacing w:line="360" w:lineRule="auto"/>
              <w:ind w:firstLine="480" w:firstLineChars="200"/>
              <w:rPr>
                <w:kern w:val="0"/>
              </w:rPr>
            </w:pPr>
          </w:p>
          <w:p w14:paraId="3DF360B5">
            <w:pPr>
              <w:spacing w:line="360" w:lineRule="auto"/>
              <w:ind w:firstLine="480" w:firstLineChars="200"/>
              <w:rPr>
                <w:kern w:val="0"/>
              </w:rPr>
            </w:pPr>
          </w:p>
          <w:p w14:paraId="26B3932A">
            <w:pPr>
              <w:jc w:val="center"/>
            </w:pPr>
            <w:r>
              <w:drawing>
                <wp:inline distT="0" distB="0" distL="114300" distR="114300">
                  <wp:extent cx="4826635" cy="2065020"/>
                  <wp:effectExtent l="0" t="0" r="4445" b="7620"/>
                  <wp:docPr id="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1"/>
                          <pic:cNvPicPr>
                            <a:picLocks noChangeAspect="1"/>
                          </pic:cNvPicPr>
                        </pic:nvPicPr>
                        <pic:blipFill>
                          <a:blip r:embed="rId9"/>
                          <a:stretch>
                            <a:fillRect/>
                          </a:stretch>
                        </pic:blipFill>
                        <pic:spPr>
                          <a:xfrm>
                            <a:off x="0" y="0"/>
                            <a:ext cx="4826635" cy="2065020"/>
                          </a:xfrm>
                          <a:prstGeom prst="rect">
                            <a:avLst/>
                          </a:prstGeom>
                          <a:noFill/>
                          <a:ln>
                            <a:noFill/>
                          </a:ln>
                        </pic:spPr>
                      </pic:pic>
                    </a:graphicData>
                  </a:graphic>
                </wp:inline>
              </w:drawing>
            </w:r>
          </w:p>
          <w:p w14:paraId="78258352">
            <w:pPr>
              <w:jc w:val="center"/>
              <w:rPr>
                <w:kern w:val="0"/>
              </w:rPr>
            </w:pPr>
            <w:r>
              <w:rPr>
                <w:b/>
                <w:sz w:val="21"/>
                <w:szCs w:val="21"/>
              </w:rPr>
              <w:t>图</w:t>
            </w:r>
            <w:r>
              <w:rPr>
                <w:rFonts w:hint="eastAsia"/>
                <w:b/>
                <w:sz w:val="21"/>
                <w:szCs w:val="21"/>
              </w:rPr>
              <w:t>2-4</w:t>
            </w:r>
            <w:r>
              <w:rPr>
                <w:b/>
                <w:sz w:val="21"/>
                <w:szCs w:val="21"/>
              </w:rPr>
              <w:t xml:space="preserve">  </w:t>
            </w:r>
            <w:r>
              <w:rPr>
                <w:rFonts w:hint="eastAsia"/>
                <w:b/>
                <w:sz w:val="21"/>
                <w:szCs w:val="21"/>
              </w:rPr>
              <w:t>无机检测工艺</w:t>
            </w:r>
            <w:r>
              <w:rPr>
                <w:b/>
                <w:sz w:val="21"/>
                <w:szCs w:val="21"/>
              </w:rPr>
              <w:t>流程及产污环节图</w:t>
            </w:r>
          </w:p>
          <w:p w14:paraId="0980FC76">
            <w:pPr>
              <w:spacing w:line="360" w:lineRule="auto"/>
              <w:ind w:firstLine="480" w:firstLineChars="200"/>
              <w:rPr>
                <w:kern w:val="0"/>
              </w:rPr>
            </w:pPr>
            <w:r>
              <w:rPr>
                <w:rFonts w:hint="eastAsia"/>
                <w:kern w:val="0"/>
              </w:rPr>
              <w:t>工艺流程主要为：</w:t>
            </w:r>
          </w:p>
          <w:p w14:paraId="217EFD5C">
            <w:pPr>
              <w:spacing w:line="360" w:lineRule="auto"/>
              <w:ind w:firstLine="480" w:firstLineChars="200"/>
              <w:rPr>
                <w:rFonts w:ascii="宋体" w:hAnsi="宋体" w:cs="宋体"/>
                <w:kern w:val="0"/>
              </w:rPr>
            </w:pPr>
            <w:r>
              <w:rPr>
                <w:rFonts w:hint="eastAsia"/>
              </w:rPr>
              <w:t>无机检测过程在通风橱内或</w:t>
            </w:r>
            <w:r>
              <w:rPr>
                <w:rFonts w:hint="eastAsia"/>
                <w:lang w:eastAsia="zh-CN"/>
              </w:rPr>
              <w:t>万向罩</w:t>
            </w:r>
            <w:r>
              <w:rPr>
                <w:rFonts w:hint="eastAsia"/>
              </w:rPr>
              <w:t>/吸风罩下进行，</w:t>
            </w:r>
            <w:r>
              <w:rPr>
                <w:rFonts w:hint="eastAsia" w:ascii="宋体" w:hAnsi="宋体" w:cs="宋体"/>
                <w:kern w:val="0"/>
              </w:rPr>
              <w:t>样品检验前需按照分析方法对样品进行不同的预处理操作，经过前处理的待测样品采用仪器检测，得出检测数据，并对数据进行处理。检测过程中产生废气（硫酸雾、氯化氢、氮氧化物）、废水（清洗废水、喷淋塔排水）、固废（实验废液、一次清洗废水、剩余样品、废试剂瓶、过期试剂等）和噪声。</w:t>
            </w:r>
          </w:p>
          <w:p w14:paraId="1EB0315C">
            <w:pPr>
              <w:spacing w:line="360" w:lineRule="auto"/>
              <w:ind w:firstLine="480" w:firstLineChars="200"/>
              <w:rPr>
                <w:kern w:val="0"/>
              </w:rPr>
            </w:pPr>
            <w:r>
              <w:rPr>
                <w:rFonts w:hint="eastAsia" w:ascii="宋体" w:hAnsi="宋体" w:cs="宋体"/>
                <w:kern w:val="0"/>
              </w:rPr>
              <w:t>④</w:t>
            </w:r>
            <w:r>
              <w:rPr>
                <w:rFonts w:hint="eastAsia"/>
                <w:kern w:val="0"/>
              </w:rPr>
              <w:t>微生物检测</w:t>
            </w:r>
          </w:p>
          <w:p w14:paraId="4CB009F2">
            <w:pPr>
              <w:jc w:val="center"/>
              <w:rPr>
                <w:b/>
              </w:rPr>
            </w:pPr>
            <w:r>
              <w:drawing>
                <wp:inline distT="0" distB="0" distL="114300" distR="114300">
                  <wp:extent cx="4829175" cy="1103630"/>
                  <wp:effectExtent l="0" t="0" r="1905" b="8890"/>
                  <wp:docPr id="3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9"/>
                          <pic:cNvPicPr>
                            <a:picLocks noChangeAspect="1"/>
                          </pic:cNvPicPr>
                        </pic:nvPicPr>
                        <pic:blipFill>
                          <a:blip r:embed="rId10"/>
                          <a:stretch>
                            <a:fillRect/>
                          </a:stretch>
                        </pic:blipFill>
                        <pic:spPr>
                          <a:xfrm>
                            <a:off x="0" y="0"/>
                            <a:ext cx="4829175" cy="1103630"/>
                          </a:xfrm>
                          <a:prstGeom prst="rect">
                            <a:avLst/>
                          </a:prstGeom>
                          <a:noFill/>
                          <a:ln>
                            <a:noFill/>
                          </a:ln>
                        </pic:spPr>
                      </pic:pic>
                    </a:graphicData>
                  </a:graphic>
                </wp:inline>
              </w:drawing>
            </w:r>
          </w:p>
          <w:p w14:paraId="2BBE00DF">
            <w:pPr>
              <w:jc w:val="center"/>
              <w:rPr>
                <w:b/>
                <w:sz w:val="21"/>
                <w:szCs w:val="21"/>
              </w:rPr>
            </w:pPr>
            <w:r>
              <w:rPr>
                <w:b/>
                <w:sz w:val="21"/>
                <w:szCs w:val="21"/>
              </w:rPr>
              <w:t>图</w:t>
            </w:r>
            <w:r>
              <w:rPr>
                <w:rFonts w:hint="eastAsia"/>
                <w:b/>
                <w:sz w:val="21"/>
                <w:szCs w:val="21"/>
              </w:rPr>
              <w:t>2-5</w:t>
            </w:r>
            <w:r>
              <w:rPr>
                <w:b/>
                <w:sz w:val="21"/>
                <w:szCs w:val="21"/>
              </w:rPr>
              <w:t xml:space="preserve">  </w:t>
            </w:r>
            <w:r>
              <w:rPr>
                <w:rFonts w:hint="eastAsia"/>
                <w:b/>
                <w:sz w:val="21"/>
                <w:szCs w:val="21"/>
              </w:rPr>
              <w:t>微生物检测工艺</w:t>
            </w:r>
            <w:r>
              <w:rPr>
                <w:b/>
                <w:sz w:val="21"/>
                <w:szCs w:val="21"/>
              </w:rPr>
              <w:t>流程及产污环节图</w:t>
            </w:r>
          </w:p>
          <w:p w14:paraId="20F1F316">
            <w:pPr>
              <w:spacing w:line="360" w:lineRule="auto"/>
              <w:ind w:firstLine="480" w:firstLineChars="200"/>
              <w:rPr>
                <w:kern w:val="0"/>
              </w:rPr>
            </w:pPr>
            <w:r>
              <w:rPr>
                <w:rFonts w:hint="eastAsia"/>
                <w:kern w:val="0"/>
              </w:rPr>
              <w:t>工艺流程主要为：</w:t>
            </w:r>
          </w:p>
          <w:p w14:paraId="4FEEDF4B">
            <w:pPr>
              <w:spacing w:line="360" w:lineRule="auto"/>
              <w:ind w:firstLine="480" w:firstLineChars="200"/>
              <w:rPr>
                <w:rFonts w:ascii="宋体" w:hAnsi="宋体" w:cs="宋体"/>
                <w:color w:val="auto"/>
                <w:kern w:val="0"/>
              </w:rPr>
            </w:pPr>
            <w:r>
              <w:rPr>
                <w:rFonts w:hint="eastAsia"/>
                <w:kern w:val="0"/>
              </w:rPr>
              <w:t>样本接收后根据样本类型及微生物特点，利用</w:t>
            </w:r>
            <w:r>
              <w:rPr>
                <w:rFonts w:hint="eastAsia"/>
              </w:rPr>
              <w:t>琼脂进行培养基培养；镜检（形态学观察）得出鉴定结果</w:t>
            </w:r>
            <w:r>
              <w:rPr>
                <w:rFonts w:hint="eastAsia"/>
                <w:lang w:eastAsia="zh-CN"/>
              </w:rPr>
              <w:t>。</w:t>
            </w:r>
            <w:r>
              <w:rPr>
                <w:rFonts w:hint="eastAsia"/>
                <w:color w:val="auto"/>
                <w:lang w:eastAsia="zh-CN"/>
              </w:rPr>
              <w:t>本项目微生物实验室</w:t>
            </w:r>
            <w:r>
              <w:rPr>
                <w:rFonts w:hint="eastAsia"/>
                <w:color w:val="auto"/>
                <w:lang w:val="en-US" w:eastAsia="zh-CN"/>
              </w:rPr>
              <w:t>属于</w:t>
            </w:r>
            <w:r>
              <w:rPr>
                <w:rFonts w:hint="eastAsia"/>
                <w:color w:val="auto"/>
                <w:lang w:eastAsia="zh-CN"/>
              </w:rPr>
              <w:t>P1生物</w:t>
            </w:r>
            <w:r>
              <w:rPr>
                <w:rFonts w:hint="eastAsia"/>
                <w:color w:val="auto"/>
                <w:lang w:val="en-US" w:eastAsia="zh-CN"/>
              </w:rPr>
              <w:t>安全</w:t>
            </w:r>
            <w:r>
              <w:rPr>
                <w:rFonts w:hint="eastAsia"/>
                <w:color w:val="auto"/>
                <w:lang w:eastAsia="zh-CN"/>
              </w:rPr>
              <w:t>实验室，</w:t>
            </w:r>
            <w:r>
              <w:rPr>
                <w:rFonts w:hint="eastAsia"/>
                <w:color w:val="auto"/>
                <w:lang w:val="en-US" w:eastAsia="zh-CN"/>
              </w:rPr>
              <w:t>实验对象的危害等级为一级（低个体危害、低群体危害），具体定义为“对人体、动植物或环境危害较低，不具有对健康成人、动植物致病的致病因子”，因此，</w:t>
            </w:r>
            <w:r>
              <w:rPr>
                <w:rFonts w:hint="eastAsia"/>
                <w:color w:val="auto"/>
              </w:rPr>
              <w:t>实验操作在洁净台</w:t>
            </w:r>
            <w:r>
              <w:rPr>
                <w:rFonts w:hint="eastAsia"/>
                <w:color w:val="auto"/>
                <w:lang w:val="en-US" w:eastAsia="zh-CN"/>
              </w:rPr>
              <w:t>上</w:t>
            </w:r>
            <w:r>
              <w:rPr>
                <w:rFonts w:hint="eastAsia"/>
                <w:color w:val="auto"/>
              </w:rPr>
              <w:t>进行</w:t>
            </w:r>
            <w:r>
              <w:rPr>
                <w:rFonts w:hint="eastAsia"/>
                <w:color w:val="auto"/>
                <w:lang w:eastAsia="zh-CN"/>
              </w:rPr>
              <w:t>，</w:t>
            </w:r>
            <w:r>
              <w:rPr>
                <w:rFonts w:hint="eastAsia"/>
                <w:color w:val="auto"/>
                <w:lang w:val="en-US" w:eastAsia="zh-CN"/>
              </w:rPr>
              <w:t>无废气产生，</w:t>
            </w:r>
            <w:r>
              <w:rPr>
                <w:rFonts w:hint="eastAsia" w:ascii="宋体" w:hAnsi="宋体" w:cs="宋体"/>
                <w:color w:val="auto"/>
                <w:kern w:val="0"/>
              </w:rPr>
              <w:t>检测产生固废（废培养基、剩余样品等），检测结束后产生废水（清洗废水），微</w:t>
            </w:r>
            <w:r>
              <w:rPr>
                <w:color w:val="auto"/>
                <w:kern w:val="0"/>
              </w:rPr>
              <w:t>生物实验室设置紫外线灯管每天定时进行杀菌消毒，紫外灯管按照使用寿命更换</w:t>
            </w:r>
            <w:r>
              <w:rPr>
                <w:rFonts w:hint="eastAsia"/>
                <w:color w:val="auto"/>
                <w:kern w:val="0"/>
              </w:rPr>
              <w:t>，</w:t>
            </w:r>
            <w:r>
              <w:rPr>
                <w:color w:val="auto"/>
                <w:kern w:val="0"/>
              </w:rPr>
              <w:t>会产生废紫外灯管。</w:t>
            </w:r>
          </w:p>
          <w:p w14:paraId="17226A75">
            <w:pPr>
              <w:widowControl/>
              <w:spacing w:line="360" w:lineRule="auto"/>
              <w:ind w:firstLine="480" w:firstLineChars="200"/>
              <w:rPr>
                <w:rFonts w:ascii="宋体" w:hAnsi="宋体" w:cs="宋体"/>
              </w:rPr>
            </w:pPr>
            <w:r>
              <w:rPr>
                <w:rFonts w:hint="eastAsia" w:ascii="宋体" w:hAnsi="宋体" w:cs="宋体"/>
              </w:rPr>
              <w:t>⑤固废/土壤制备</w:t>
            </w:r>
          </w:p>
          <w:p w14:paraId="66953302">
            <w:pPr>
              <w:jc w:val="center"/>
            </w:pPr>
            <w:r>
              <w:drawing>
                <wp:inline distT="0" distB="0" distL="114300" distR="114300">
                  <wp:extent cx="4211955" cy="1174115"/>
                  <wp:effectExtent l="0" t="0" r="9525" b="14605"/>
                  <wp:docPr id="3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0"/>
                          <pic:cNvPicPr>
                            <a:picLocks noChangeAspect="1"/>
                          </pic:cNvPicPr>
                        </pic:nvPicPr>
                        <pic:blipFill>
                          <a:blip r:embed="rId11"/>
                          <a:stretch>
                            <a:fillRect/>
                          </a:stretch>
                        </pic:blipFill>
                        <pic:spPr>
                          <a:xfrm>
                            <a:off x="0" y="0"/>
                            <a:ext cx="4211955" cy="1174115"/>
                          </a:xfrm>
                          <a:prstGeom prst="rect">
                            <a:avLst/>
                          </a:prstGeom>
                          <a:noFill/>
                          <a:ln>
                            <a:noFill/>
                          </a:ln>
                        </pic:spPr>
                      </pic:pic>
                    </a:graphicData>
                  </a:graphic>
                </wp:inline>
              </w:drawing>
            </w:r>
          </w:p>
          <w:p w14:paraId="5066E91D">
            <w:pPr>
              <w:jc w:val="center"/>
              <w:rPr>
                <w:b/>
                <w:sz w:val="21"/>
                <w:szCs w:val="21"/>
              </w:rPr>
            </w:pPr>
            <w:r>
              <w:rPr>
                <w:b/>
                <w:sz w:val="21"/>
                <w:szCs w:val="21"/>
              </w:rPr>
              <w:t>图</w:t>
            </w:r>
            <w:r>
              <w:rPr>
                <w:rFonts w:hint="eastAsia"/>
                <w:b/>
                <w:sz w:val="21"/>
                <w:szCs w:val="21"/>
              </w:rPr>
              <w:t>2-6</w:t>
            </w:r>
            <w:r>
              <w:rPr>
                <w:b/>
                <w:sz w:val="21"/>
                <w:szCs w:val="21"/>
              </w:rPr>
              <w:t xml:space="preserve">  </w:t>
            </w:r>
            <w:r>
              <w:rPr>
                <w:rFonts w:hint="eastAsia"/>
                <w:b/>
                <w:sz w:val="21"/>
                <w:szCs w:val="21"/>
              </w:rPr>
              <w:t>固废/土壤制备工艺</w:t>
            </w:r>
            <w:r>
              <w:rPr>
                <w:b/>
                <w:sz w:val="21"/>
                <w:szCs w:val="21"/>
              </w:rPr>
              <w:t>流程及产污环节图</w:t>
            </w:r>
          </w:p>
          <w:p w14:paraId="6CA0EF61">
            <w:pPr>
              <w:spacing w:line="360" w:lineRule="auto"/>
              <w:ind w:firstLine="480" w:firstLineChars="200"/>
              <w:rPr>
                <w:kern w:val="0"/>
              </w:rPr>
            </w:pPr>
            <w:r>
              <w:rPr>
                <w:rFonts w:hint="eastAsia"/>
                <w:kern w:val="0"/>
              </w:rPr>
              <w:t>工艺流程主要为：</w:t>
            </w:r>
          </w:p>
          <w:p w14:paraId="4A1CDBB7">
            <w:pPr>
              <w:spacing w:line="360" w:lineRule="auto"/>
              <w:ind w:firstLine="480" w:firstLineChars="200"/>
              <w:rPr>
                <w:rFonts w:ascii="宋体" w:hAnsi="宋体" w:cs="宋体"/>
                <w:kern w:val="0"/>
              </w:rPr>
            </w:pPr>
            <w:r>
              <w:rPr>
                <w:rFonts w:hint="eastAsia"/>
                <w:kern w:val="0"/>
              </w:rPr>
              <w:t>固废/土壤样品制备主要是对其进行研磨筛分处理，此过程在密闭罩下进行，产生的粉尘经下排式抽风系统送至除尘设备；样品经研磨筛分处理后再进行后续检测。制备过程中产生</w:t>
            </w:r>
            <w:r>
              <w:rPr>
                <w:rFonts w:hint="eastAsia" w:ascii="宋体" w:hAnsi="宋体" w:cs="宋体"/>
                <w:kern w:val="0"/>
              </w:rPr>
              <w:t>废气（粉尘）、固废（剩余样品）和噪声。</w:t>
            </w:r>
          </w:p>
          <w:p w14:paraId="3449E899">
            <w:pPr>
              <w:widowControl/>
              <w:spacing w:line="360" w:lineRule="auto"/>
              <w:ind w:firstLine="480" w:firstLineChars="200"/>
              <w:rPr>
                <w:b/>
                <w:bCs/>
                <w:sz w:val="21"/>
                <w:szCs w:val="18"/>
              </w:rPr>
            </w:pPr>
            <w:r>
              <w:t>综上分析，项目运营期产生的污染物详见表2-</w:t>
            </w:r>
            <w:r>
              <w:rPr>
                <w:rFonts w:hint="eastAsia"/>
              </w:rPr>
              <w:t>7</w:t>
            </w:r>
            <w:r>
              <w:t>。</w:t>
            </w:r>
          </w:p>
          <w:p w14:paraId="4A8D54DF">
            <w:pPr>
              <w:adjustRightInd w:val="0"/>
              <w:snapToGrid w:val="0"/>
              <w:jc w:val="center"/>
              <w:rPr>
                <w:bCs/>
                <w:szCs w:val="21"/>
              </w:rPr>
            </w:pPr>
            <w:r>
              <w:rPr>
                <w:b/>
                <w:bCs/>
                <w:sz w:val="21"/>
                <w:szCs w:val="18"/>
              </w:rPr>
              <w:t>表2-</w:t>
            </w:r>
            <w:r>
              <w:rPr>
                <w:rFonts w:hint="eastAsia"/>
                <w:b/>
                <w:bCs/>
                <w:sz w:val="21"/>
                <w:szCs w:val="18"/>
              </w:rPr>
              <w:t>7</w:t>
            </w:r>
            <w:r>
              <w:rPr>
                <w:b/>
                <w:bCs/>
                <w:sz w:val="21"/>
                <w:szCs w:val="18"/>
              </w:rPr>
              <w:t xml:space="preserve">  项目运营期主要污染物种类一览表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351"/>
              <w:gridCol w:w="1738"/>
              <w:gridCol w:w="4179"/>
            </w:tblGrid>
            <w:tr w14:paraId="4DB52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shd w:val="clear" w:color="auto" w:fill="auto"/>
                  <w:vAlign w:val="center"/>
                </w:tcPr>
                <w:p w14:paraId="3CD134BF">
                  <w:pPr>
                    <w:jc w:val="center"/>
                    <w:rPr>
                      <w:b/>
                      <w:bCs/>
                      <w:sz w:val="21"/>
                      <w:szCs w:val="18"/>
                    </w:rPr>
                  </w:pPr>
                  <w:r>
                    <w:rPr>
                      <w:b/>
                      <w:bCs/>
                      <w:sz w:val="21"/>
                      <w:szCs w:val="18"/>
                    </w:rPr>
                    <w:t>类别</w:t>
                  </w:r>
                </w:p>
              </w:tc>
              <w:tc>
                <w:tcPr>
                  <w:tcW w:w="851" w:type="pct"/>
                  <w:shd w:val="clear" w:color="auto" w:fill="auto"/>
                  <w:vAlign w:val="center"/>
                </w:tcPr>
                <w:p w14:paraId="214022C0">
                  <w:pPr>
                    <w:jc w:val="center"/>
                    <w:rPr>
                      <w:b/>
                      <w:bCs/>
                      <w:sz w:val="21"/>
                      <w:szCs w:val="18"/>
                    </w:rPr>
                  </w:pPr>
                  <w:r>
                    <w:rPr>
                      <w:b/>
                      <w:bCs/>
                      <w:sz w:val="21"/>
                      <w:szCs w:val="18"/>
                    </w:rPr>
                    <w:t>产污环节</w:t>
                  </w:r>
                </w:p>
              </w:tc>
              <w:tc>
                <w:tcPr>
                  <w:tcW w:w="3728" w:type="pct"/>
                  <w:gridSpan w:val="2"/>
                  <w:shd w:val="clear" w:color="auto" w:fill="auto"/>
                  <w:vAlign w:val="center"/>
                </w:tcPr>
                <w:p w14:paraId="332A0A0C">
                  <w:pPr>
                    <w:jc w:val="center"/>
                    <w:rPr>
                      <w:b/>
                      <w:bCs/>
                      <w:sz w:val="21"/>
                      <w:szCs w:val="18"/>
                    </w:rPr>
                  </w:pPr>
                  <w:r>
                    <w:rPr>
                      <w:rFonts w:hint="eastAsia"/>
                      <w:b/>
                      <w:bCs/>
                      <w:sz w:val="21"/>
                      <w:szCs w:val="18"/>
                    </w:rPr>
                    <w:t>主要</w:t>
                  </w:r>
                  <w:r>
                    <w:rPr>
                      <w:b/>
                      <w:bCs/>
                      <w:sz w:val="21"/>
                      <w:szCs w:val="18"/>
                    </w:rPr>
                    <w:t>污染物</w:t>
                  </w:r>
                </w:p>
              </w:tc>
            </w:tr>
            <w:tr w14:paraId="215FF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restart"/>
                  <w:shd w:val="clear" w:color="auto" w:fill="auto"/>
                  <w:vAlign w:val="center"/>
                </w:tcPr>
                <w:p w14:paraId="69B96CAC">
                  <w:pPr>
                    <w:jc w:val="center"/>
                    <w:rPr>
                      <w:sz w:val="21"/>
                      <w:szCs w:val="18"/>
                    </w:rPr>
                  </w:pPr>
                  <w:r>
                    <w:rPr>
                      <w:sz w:val="21"/>
                      <w:szCs w:val="18"/>
                    </w:rPr>
                    <w:t>废气</w:t>
                  </w:r>
                </w:p>
              </w:tc>
              <w:tc>
                <w:tcPr>
                  <w:tcW w:w="851" w:type="pct"/>
                  <w:vMerge w:val="restart"/>
                  <w:shd w:val="clear" w:color="auto" w:fill="auto"/>
                  <w:vAlign w:val="center"/>
                </w:tcPr>
                <w:p w14:paraId="28F35BAA">
                  <w:pPr>
                    <w:tabs>
                      <w:tab w:val="left" w:pos="3836"/>
                    </w:tabs>
                    <w:jc w:val="center"/>
                    <w:rPr>
                      <w:sz w:val="21"/>
                      <w:szCs w:val="18"/>
                    </w:rPr>
                  </w:pPr>
                  <w:r>
                    <w:rPr>
                      <w:rFonts w:hint="eastAsia" w:eastAsiaTheme="minorEastAsia"/>
                      <w:sz w:val="21"/>
                      <w:szCs w:val="21"/>
                    </w:rPr>
                    <w:t>实验检验</w:t>
                  </w:r>
                </w:p>
              </w:tc>
              <w:tc>
                <w:tcPr>
                  <w:tcW w:w="1095" w:type="pct"/>
                  <w:shd w:val="clear" w:color="auto" w:fill="auto"/>
                  <w:vAlign w:val="center"/>
                </w:tcPr>
                <w:p w14:paraId="6EAF5F31">
                  <w:pPr>
                    <w:tabs>
                      <w:tab w:val="left" w:pos="3836"/>
                    </w:tabs>
                    <w:jc w:val="center"/>
                    <w:rPr>
                      <w:sz w:val="21"/>
                      <w:szCs w:val="18"/>
                    </w:rPr>
                  </w:pPr>
                  <w:r>
                    <w:rPr>
                      <w:rFonts w:hint="eastAsia"/>
                      <w:sz w:val="21"/>
                      <w:szCs w:val="18"/>
                    </w:rPr>
                    <w:t>有机检测</w:t>
                  </w:r>
                </w:p>
              </w:tc>
              <w:tc>
                <w:tcPr>
                  <w:tcW w:w="2633" w:type="pct"/>
                  <w:shd w:val="clear" w:color="auto" w:fill="auto"/>
                  <w:vAlign w:val="center"/>
                </w:tcPr>
                <w:p w14:paraId="60300244">
                  <w:pPr>
                    <w:tabs>
                      <w:tab w:val="left" w:pos="3836"/>
                    </w:tabs>
                    <w:jc w:val="center"/>
                    <w:rPr>
                      <w:sz w:val="21"/>
                      <w:szCs w:val="21"/>
                    </w:rPr>
                  </w:pPr>
                  <w:r>
                    <w:rPr>
                      <w:sz w:val="21"/>
                      <w:szCs w:val="21"/>
                    </w:rPr>
                    <w:t>非甲烷总烃</w:t>
                  </w:r>
                </w:p>
              </w:tc>
            </w:tr>
            <w:tr w14:paraId="20C9F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1A32C5B0">
                  <w:pPr>
                    <w:jc w:val="center"/>
                    <w:rPr>
                      <w:sz w:val="21"/>
                      <w:szCs w:val="18"/>
                    </w:rPr>
                  </w:pPr>
                </w:p>
              </w:tc>
              <w:tc>
                <w:tcPr>
                  <w:tcW w:w="851" w:type="pct"/>
                  <w:vMerge w:val="continue"/>
                  <w:shd w:val="clear" w:color="auto" w:fill="auto"/>
                  <w:vAlign w:val="center"/>
                </w:tcPr>
                <w:p w14:paraId="5C7B2AAF">
                  <w:pPr>
                    <w:tabs>
                      <w:tab w:val="left" w:pos="3836"/>
                    </w:tabs>
                    <w:jc w:val="center"/>
                    <w:rPr>
                      <w:rFonts w:eastAsiaTheme="minorEastAsia"/>
                      <w:sz w:val="21"/>
                      <w:szCs w:val="21"/>
                    </w:rPr>
                  </w:pPr>
                </w:p>
              </w:tc>
              <w:tc>
                <w:tcPr>
                  <w:tcW w:w="1095" w:type="pct"/>
                  <w:shd w:val="clear" w:color="auto" w:fill="auto"/>
                  <w:vAlign w:val="center"/>
                </w:tcPr>
                <w:p w14:paraId="00693D83">
                  <w:pPr>
                    <w:tabs>
                      <w:tab w:val="left" w:pos="3836"/>
                    </w:tabs>
                    <w:jc w:val="center"/>
                    <w:rPr>
                      <w:sz w:val="21"/>
                      <w:szCs w:val="18"/>
                    </w:rPr>
                  </w:pPr>
                  <w:r>
                    <w:rPr>
                      <w:rFonts w:hint="eastAsia"/>
                      <w:sz w:val="21"/>
                      <w:szCs w:val="18"/>
                    </w:rPr>
                    <w:t>无机检测</w:t>
                  </w:r>
                </w:p>
              </w:tc>
              <w:tc>
                <w:tcPr>
                  <w:tcW w:w="2633" w:type="pct"/>
                  <w:shd w:val="clear" w:color="auto" w:fill="auto"/>
                  <w:vAlign w:val="center"/>
                </w:tcPr>
                <w:p w14:paraId="64E4614E">
                  <w:pPr>
                    <w:tabs>
                      <w:tab w:val="left" w:pos="3836"/>
                    </w:tabs>
                    <w:jc w:val="center"/>
                    <w:rPr>
                      <w:sz w:val="21"/>
                      <w:szCs w:val="21"/>
                    </w:rPr>
                  </w:pPr>
                  <w:r>
                    <w:rPr>
                      <w:rFonts w:hint="eastAsia"/>
                      <w:sz w:val="21"/>
                      <w:szCs w:val="21"/>
                    </w:rPr>
                    <w:t>硫酸雾、氯化氢、氮氧化物</w:t>
                  </w:r>
                </w:p>
              </w:tc>
            </w:tr>
            <w:tr w14:paraId="4D6F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590C8BF3">
                  <w:pPr>
                    <w:jc w:val="center"/>
                    <w:rPr>
                      <w:sz w:val="21"/>
                      <w:szCs w:val="18"/>
                    </w:rPr>
                  </w:pPr>
                </w:p>
              </w:tc>
              <w:tc>
                <w:tcPr>
                  <w:tcW w:w="851" w:type="pct"/>
                  <w:vMerge w:val="continue"/>
                  <w:shd w:val="clear" w:color="auto" w:fill="auto"/>
                  <w:vAlign w:val="center"/>
                </w:tcPr>
                <w:p w14:paraId="784BB6CE">
                  <w:pPr>
                    <w:tabs>
                      <w:tab w:val="left" w:pos="3836"/>
                    </w:tabs>
                    <w:jc w:val="center"/>
                    <w:rPr>
                      <w:rFonts w:eastAsiaTheme="minorEastAsia"/>
                      <w:sz w:val="21"/>
                      <w:szCs w:val="21"/>
                    </w:rPr>
                  </w:pPr>
                </w:p>
              </w:tc>
              <w:tc>
                <w:tcPr>
                  <w:tcW w:w="1095" w:type="pct"/>
                  <w:shd w:val="clear" w:color="auto" w:fill="auto"/>
                  <w:vAlign w:val="center"/>
                </w:tcPr>
                <w:p w14:paraId="4F228E8A">
                  <w:pPr>
                    <w:tabs>
                      <w:tab w:val="left" w:pos="3836"/>
                    </w:tabs>
                    <w:jc w:val="center"/>
                    <w:rPr>
                      <w:sz w:val="21"/>
                      <w:szCs w:val="18"/>
                    </w:rPr>
                  </w:pPr>
                  <w:r>
                    <w:rPr>
                      <w:rFonts w:hint="eastAsia"/>
                      <w:sz w:val="21"/>
                      <w:szCs w:val="18"/>
                    </w:rPr>
                    <w:t>固废/土壤制备</w:t>
                  </w:r>
                </w:p>
              </w:tc>
              <w:tc>
                <w:tcPr>
                  <w:tcW w:w="2633" w:type="pct"/>
                  <w:shd w:val="clear" w:color="auto" w:fill="auto"/>
                  <w:vAlign w:val="center"/>
                </w:tcPr>
                <w:p w14:paraId="13F64834">
                  <w:pPr>
                    <w:tabs>
                      <w:tab w:val="left" w:pos="3836"/>
                    </w:tabs>
                    <w:jc w:val="center"/>
                    <w:rPr>
                      <w:sz w:val="21"/>
                      <w:szCs w:val="21"/>
                    </w:rPr>
                  </w:pPr>
                  <w:r>
                    <w:rPr>
                      <w:rFonts w:hint="eastAsia"/>
                      <w:sz w:val="21"/>
                      <w:szCs w:val="21"/>
                    </w:rPr>
                    <w:t>粉尘（颗粒物）</w:t>
                  </w:r>
                </w:p>
              </w:tc>
            </w:tr>
            <w:tr w14:paraId="56785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restart"/>
                  <w:shd w:val="clear" w:color="auto" w:fill="auto"/>
                  <w:vAlign w:val="center"/>
                </w:tcPr>
                <w:p w14:paraId="7D4783A3">
                  <w:pPr>
                    <w:jc w:val="center"/>
                    <w:rPr>
                      <w:sz w:val="21"/>
                      <w:szCs w:val="18"/>
                    </w:rPr>
                  </w:pPr>
                  <w:r>
                    <w:rPr>
                      <w:sz w:val="21"/>
                      <w:szCs w:val="18"/>
                    </w:rPr>
                    <w:t>废水</w:t>
                  </w:r>
                </w:p>
              </w:tc>
              <w:tc>
                <w:tcPr>
                  <w:tcW w:w="851" w:type="pct"/>
                  <w:shd w:val="clear" w:color="auto" w:fill="auto"/>
                  <w:vAlign w:val="center"/>
                </w:tcPr>
                <w:p w14:paraId="412A6674">
                  <w:pPr>
                    <w:jc w:val="center"/>
                    <w:rPr>
                      <w:sz w:val="21"/>
                      <w:szCs w:val="18"/>
                    </w:rPr>
                  </w:pPr>
                  <w:r>
                    <w:rPr>
                      <w:rFonts w:hint="eastAsia"/>
                      <w:sz w:val="21"/>
                      <w:szCs w:val="18"/>
                    </w:rPr>
                    <w:t>办公生活</w:t>
                  </w:r>
                </w:p>
              </w:tc>
              <w:tc>
                <w:tcPr>
                  <w:tcW w:w="1095" w:type="pct"/>
                  <w:shd w:val="clear" w:color="auto" w:fill="auto"/>
                  <w:vAlign w:val="center"/>
                </w:tcPr>
                <w:p w14:paraId="1F2F9E74">
                  <w:pPr>
                    <w:jc w:val="center"/>
                    <w:rPr>
                      <w:sz w:val="21"/>
                      <w:szCs w:val="18"/>
                    </w:rPr>
                  </w:pPr>
                  <w:r>
                    <w:rPr>
                      <w:sz w:val="21"/>
                      <w:szCs w:val="18"/>
                    </w:rPr>
                    <w:t>生活污水</w:t>
                  </w:r>
                </w:p>
              </w:tc>
              <w:tc>
                <w:tcPr>
                  <w:tcW w:w="2633" w:type="pct"/>
                  <w:vMerge w:val="restart"/>
                  <w:shd w:val="clear" w:color="auto" w:fill="auto"/>
                  <w:vAlign w:val="center"/>
                </w:tcPr>
                <w:p w14:paraId="6449C3AD">
                  <w:pPr>
                    <w:jc w:val="center"/>
                    <w:rPr>
                      <w:sz w:val="21"/>
                      <w:szCs w:val="18"/>
                    </w:rPr>
                  </w:pPr>
                  <w:r>
                    <w:rPr>
                      <w:rFonts w:hint="eastAsia"/>
                      <w:sz w:val="21"/>
                      <w:szCs w:val="21"/>
                    </w:rPr>
                    <w:t>pH、COD、BOD</w:t>
                  </w:r>
                  <w:r>
                    <w:rPr>
                      <w:rFonts w:hint="eastAsia"/>
                      <w:sz w:val="21"/>
                      <w:szCs w:val="21"/>
                      <w:vertAlign w:val="subscript"/>
                    </w:rPr>
                    <w:t>5</w:t>
                  </w:r>
                  <w:r>
                    <w:rPr>
                      <w:rFonts w:hint="eastAsia"/>
                      <w:sz w:val="21"/>
                      <w:szCs w:val="21"/>
                    </w:rPr>
                    <w:t>、SS、NH</w:t>
                  </w:r>
                  <w:r>
                    <w:rPr>
                      <w:rFonts w:hint="eastAsia"/>
                      <w:sz w:val="21"/>
                      <w:szCs w:val="21"/>
                      <w:vertAlign w:val="subscript"/>
                    </w:rPr>
                    <w:t>3</w:t>
                  </w:r>
                  <w:r>
                    <w:rPr>
                      <w:rFonts w:hint="eastAsia"/>
                      <w:sz w:val="21"/>
                      <w:szCs w:val="21"/>
                    </w:rPr>
                    <w:t>-N、TN、TP、阴离子表面活性剂</w:t>
                  </w:r>
                </w:p>
              </w:tc>
            </w:tr>
            <w:tr w14:paraId="16784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22CAFB63">
                  <w:pPr>
                    <w:jc w:val="center"/>
                    <w:rPr>
                      <w:sz w:val="21"/>
                      <w:szCs w:val="18"/>
                    </w:rPr>
                  </w:pPr>
                </w:p>
              </w:tc>
              <w:tc>
                <w:tcPr>
                  <w:tcW w:w="851" w:type="pct"/>
                  <w:shd w:val="clear" w:color="auto" w:fill="auto"/>
                  <w:vAlign w:val="center"/>
                </w:tcPr>
                <w:p w14:paraId="611FFEF8">
                  <w:pPr>
                    <w:jc w:val="center"/>
                    <w:rPr>
                      <w:sz w:val="21"/>
                      <w:szCs w:val="18"/>
                    </w:rPr>
                  </w:pPr>
                  <w:r>
                    <w:rPr>
                      <w:rFonts w:hint="eastAsia"/>
                      <w:sz w:val="21"/>
                      <w:szCs w:val="18"/>
                    </w:rPr>
                    <w:t>地面清洁</w:t>
                  </w:r>
                </w:p>
              </w:tc>
              <w:tc>
                <w:tcPr>
                  <w:tcW w:w="1095" w:type="pct"/>
                  <w:shd w:val="clear" w:color="auto" w:fill="auto"/>
                  <w:vAlign w:val="center"/>
                </w:tcPr>
                <w:p w14:paraId="0A078A26">
                  <w:pPr>
                    <w:jc w:val="center"/>
                    <w:rPr>
                      <w:sz w:val="21"/>
                      <w:szCs w:val="18"/>
                    </w:rPr>
                  </w:pPr>
                  <w:r>
                    <w:rPr>
                      <w:rFonts w:hint="eastAsia"/>
                      <w:sz w:val="21"/>
                      <w:szCs w:val="18"/>
                    </w:rPr>
                    <w:t>地面清洁废水</w:t>
                  </w:r>
                </w:p>
              </w:tc>
              <w:tc>
                <w:tcPr>
                  <w:tcW w:w="2633" w:type="pct"/>
                  <w:vMerge w:val="continue"/>
                  <w:shd w:val="clear" w:color="auto" w:fill="auto"/>
                  <w:vAlign w:val="center"/>
                </w:tcPr>
                <w:p w14:paraId="22BB2894">
                  <w:pPr>
                    <w:jc w:val="center"/>
                    <w:rPr>
                      <w:sz w:val="21"/>
                      <w:szCs w:val="21"/>
                    </w:rPr>
                  </w:pPr>
                </w:p>
              </w:tc>
            </w:tr>
            <w:tr w14:paraId="60EC4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3F182E61">
                  <w:pPr>
                    <w:jc w:val="center"/>
                    <w:rPr>
                      <w:sz w:val="21"/>
                      <w:szCs w:val="18"/>
                    </w:rPr>
                  </w:pPr>
                </w:p>
              </w:tc>
              <w:tc>
                <w:tcPr>
                  <w:tcW w:w="851" w:type="pct"/>
                  <w:shd w:val="clear" w:color="auto" w:fill="auto"/>
                  <w:vAlign w:val="center"/>
                </w:tcPr>
                <w:p w14:paraId="6BA340EA">
                  <w:pPr>
                    <w:jc w:val="center"/>
                    <w:rPr>
                      <w:sz w:val="21"/>
                      <w:szCs w:val="18"/>
                    </w:rPr>
                  </w:pPr>
                  <w:r>
                    <w:rPr>
                      <w:rFonts w:hint="eastAsia"/>
                      <w:sz w:val="21"/>
                      <w:szCs w:val="18"/>
                    </w:rPr>
                    <w:t>工作服清洗</w:t>
                  </w:r>
                </w:p>
              </w:tc>
              <w:tc>
                <w:tcPr>
                  <w:tcW w:w="1095" w:type="pct"/>
                  <w:shd w:val="clear" w:color="auto" w:fill="auto"/>
                  <w:vAlign w:val="center"/>
                </w:tcPr>
                <w:p w14:paraId="4426513B">
                  <w:pPr>
                    <w:jc w:val="center"/>
                    <w:rPr>
                      <w:sz w:val="21"/>
                      <w:szCs w:val="18"/>
                    </w:rPr>
                  </w:pPr>
                  <w:r>
                    <w:rPr>
                      <w:rFonts w:hint="eastAsia"/>
                      <w:sz w:val="21"/>
                      <w:szCs w:val="18"/>
                    </w:rPr>
                    <w:t>工作服清洗废水</w:t>
                  </w:r>
                </w:p>
              </w:tc>
              <w:tc>
                <w:tcPr>
                  <w:tcW w:w="2633" w:type="pct"/>
                  <w:vMerge w:val="continue"/>
                  <w:shd w:val="clear" w:color="auto" w:fill="auto"/>
                  <w:vAlign w:val="center"/>
                </w:tcPr>
                <w:p w14:paraId="04A118D0">
                  <w:pPr>
                    <w:jc w:val="center"/>
                    <w:rPr>
                      <w:sz w:val="21"/>
                      <w:szCs w:val="21"/>
                    </w:rPr>
                  </w:pPr>
                </w:p>
              </w:tc>
            </w:tr>
            <w:tr w14:paraId="156F3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0F377842">
                  <w:pPr>
                    <w:jc w:val="center"/>
                    <w:rPr>
                      <w:sz w:val="21"/>
                      <w:szCs w:val="18"/>
                    </w:rPr>
                  </w:pPr>
                </w:p>
              </w:tc>
              <w:tc>
                <w:tcPr>
                  <w:tcW w:w="851" w:type="pct"/>
                  <w:shd w:val="clear" w:color="auto" w:fill="auto"/>
                  <w:vAlign w:val="center"/>
                </w:tcPr>
                <w:p w14:paraId="122C5930">
                  <w:pPr>
                    <w:jc w:val="center"/>
                    <w:rPr>
                      <w:sz w:val="21"/>
                      <w:szCs w:val="18"/>
                    </w:rPr>
                  </w:pPr>
                  <w:r>
                    <w:rPr>
                      <w:sz w:val="21"/>
                      <w:szCs w:val="18"/>
                    </w:rPr>
                    <w:t>实验检验</w:t>
                  </w:r>
                </w:p>
              </w:tc>
              <w:tc>
                <w:tcPr>
                  <w:tcW w:w="1095" w:type="pct"/>
                  <w:shd w:val="clear" w:color="auto" w:fill="auto"/>
                  <w:vAlign w:val="center"/>
                </w:tcPr>
                <w:p w14:paraId="7810F101">
                  <w:pPr>
                    <w:jc w:val="center"/>
                    <w:rPr>
                      <w:sz w:val="21"/>
                      <w:szCs w:val="18"/>
                    </w:rPr>
                  </w:pPr>
                  <w:r>
                    <w:rPr>
                      <w:sz w:val="21"/>
                      <w:szCs w:val="18"/>
                    </w:rPr>
                    <w:t>清洗废水</w:t>
                  </w:r>
                </w:p>
              </w:tc>
              <w:tc>
                <w:tcPr>
                  <w:tcW w:w="2633" w:type="pct"/>
                  <w:vMerge w:val="restart"/>
                  <w:shd w:val="clear" w:color="auto" w:fill="auto"/>
                  <w:vAlign w:val="center"/>
                </w:tcPr>
                <w:p w14:paraId="75406649">
                  <w:pPr>
                    <w:jc w:val="center"/>
                    <w:rPr>
                      <w:sz w:val="21"/>
                      <w:szCs w:val="18"/>
                    </w:rPr>
                  </w:pPr>
                  <w:r>
                    <w:rPr>
                      <w:rFonts w:hint="eastAsia"/>
                      <w:sz w:val="21"/>
                      <w:szCs w:val="21"/>
                    </w:rPr>
                    <w:t>pH、COD、BOD</w:t>
                  </w:r>
                  <w:r>
                    <w:rPr>
                      <w:rFonts w:hint="eastAsia"/>
                      <w:sz w:val="21"/>
                      <w:szCs w:val="21"/>
                      <w:vertAlign w:val="subscript"/>
                    </w:rPr>
                    <w:t>5</w:t>
                  </w:r>
                  <w:r>
                    <w:rPr>
                      <w:rFonts w:hint="eastAsia"/>
                      <w:sz w:val="21"/>
                      <w:szCs w:val="21"/>
                    </w:rPr>
                    <w:t>、SS、NH</w:t>
                  </w:r>
                  <w:r>
                    <w:rPr>
                      <w:rFonts w:hint="eastAsia"/>
                      <w:sz w:val="21"/>
                      <w:szCs w:val="21"/>
                      <w:vertAlign w:val="subscript"/>
                    </w:rPr>
                    <w:t>3</w:t>
                  </w:r>
                  <w:r>
                    <w:rPr>
                      <w:rFonts w:hint="eastAsia"/>
                      <w:sz w:val="21"/>
                      <w:szCs w:val="21"/>
                    </w:rPr>
                    <w:t>-N、TN、TP</w:t>
                  </w:r>
                </w:p>
              </w:tc>
            </w:tr>
            <w:tr w14:paraId="7033C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6D5C3B85">
                  <w:pPr>
                    <w:jc w:val="center"/>
                    <w:rPr>
                      <w:sz w:val="21"/>
                      <w:szCs w:val="18"/>
                    </w:rPr>
                  </w:pPr>
                </w:p>
              </w:tc>
              <w:tc>
                <w:tcPr>
                  <w:tcW w:w="851" w:type="pct"/>
                  <w:shd w:val="clear" w:color="auto" w:fill="auto"/>
                  <w:vAlign w:val="center"/>
                </w:tcPr>
                <w:p w14:paraId="26B15FCF">
                  <w:pPr>
                    <w:jc w:val="center"/>
                    <w:rPr>
                      <w:sz w:val="21"/>
                      <w:szCs w:val="18"/>
                    </w:rPr>
                  </w:pPr>
                  <w:r>
                    <w:rPr>
                      <w:rFonts w:hint="eastAsia"/>
                      <w:sz w:val="21"/>
                      <w:szCs w:val="18"/>
                    </w:rPr>
                    <w:t>剩余一般水样</w:t>
                  </w:r>
                </w:p>
              </w:tc>
              <w:tc>
                <w:tcPr>
                  <w:tcW w:w="1095" w:type="pct"/>
                  <w:shd w:val="clear" w:color="auto" w:fill="auto"/>
                  <w:vAlign w:val="center"/>
                </w:tcPr>
                <w:p w14:paraId="1155C1C5">
                  <w:pPr>
                    <w:jc w:val="center"/>
                    <w:rPr>
                      <w:sz w:val="21"/>
                      <w:szCs w:val="18"/>
                    </w:rPr>
                  </w:pPr>
                  <w:r>
                    <w:rPr>
                      <w:rFonts w:hint="eastAsia"/>
                      <w:sz w:val="21"/>
                      <w:szCs w:val="18"/>
                    </w:rPr>
                    <w:t>剩余一般水样</w:t>
                  </w:r>
                </w:p>
              </w:tc>
              <w:tc>
                <w:tcPr>
                  <w:tcW w:w="2633" w:type="pct"/>
                  <w:vMerge w:val="continue"/>
                  <w:shd w:val="clear" w:color="auto" w:fill="auto"/>
                  <w:vAlign w:val="center"/>
                </w:tcPr>
                <w:p w14:paraId="5B43B33E">
                  <w:pPr>
                    <w:jc w:val="center"/>
                    <w:rPr>
                      <w:sz w:val="21"/>
                      <w:szCs w:val="21"/>
                    </w:rPr>
                  </w:pPr>
                </w:p>
              </w:tc>
            </w:tr>
            <w:tr w14:paraId="747E0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0157357F">
                  <w:pPr>
                    <w:jc w:val="center"/>
                    <w:rPr>
                      <w:sz w:val="21"/>
                      <w:szCs w:val="18"/>
                    </w:rPr>
                  </w:pPr>
                </w:p>
              </w:tc>
              <w:tc>
                <w:tcPr>
                  <w:tcW w:w="851" w:type="pct"/>
                  <w:shd w:val="clear" w:color="auto" w:fill="auto"/>
                  <w:vAlign w:val="center"/>
                </w:tcPr>
                <w:p w14:paraId="2D52376A">
                  <w:pPr>
                    <w:jc w:val="center"/>
                    <w:rPr>
                      <w:sz w:val="21"/>
                      <w:szCs w:val="18"/>
                    </w:rPr>
                  </w:pPr>
                  <w:r>
                    <w:rPr>
                      <w:rFonts w:hint="eastAsia"/>
                      <w:sz w:val="21"/>
                      <w:szCs w:val="18"/>
                    </w:rPr>
                    <w:t>喷淋塔排水</w:t>
                  </w:r>
                </w:p>
              </w:tc>
              <w:tc>
                <w:tcPr>
                  <w:tcW w:w="1095" w:type="pct"/>
                  <w:shd w:val="clear" w:color="auto" w:fill="auto"/>
                  <w:vAlign w:val="center"/>
                </w:tcPr>
                <w:p w14:paraId="4AD7A84F">
                  <w:pPr>
                    <w:jc w:val="center"/>
                    <w:rPr>
                      <w:sz w:val="21"/>
                      <w:szCs w:val="18"/>
                    </w:rPr>
                  </w:pPr>
                  <w:r>
                    <w:rPr>
                      <w:rFonts w:hint="eastAsia"/>
                      <w:sz w:val="21"/>
                      <w:szCs w:val="18"/>
                    </w:rPr>
                    <w:t>喷淋塔排水</w:t>
                  </w:r>
                </w:p>
              </w:tc>
              <w:tc>
                <w:tcPr>
                  <w:tcW w:w="2633" w:type="pct"/>
                  <w:vMerge w:val="continue"/>
                  <w:shd w:val="clear" w:color="auto" w:fill="auto"/>
                  <w:vAlign w:val="center"/>
                </w:tcPr>
                <w:p w14:paraId="213C2725">
                  <w:pPr>
                    <w:jc w:val="center"/>
                    <w:rPr>
                      <w:sz w:val="21"/>
                      <w:szCs w:val="21"/>
                    </w:rPr>
                  </w:pPr>
                </w:p>
              </w:tc>
            </w:tr>
            <w:tr w14:paraId="73DE1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775235CB">
                  <w:pPr>
                    <w:jc w:val="center"/>
                    <w:rPr>
                      <w:sz w:val="21"/>
                      <w:szCs w:val="18"/>
                    </w:rPr>
                  </w:pPr>
                </w:p>
              </w:tc>
              <w:tc>
                <w:tcPr>
                  <w:tcW w:w="851" w:type="pct"/>
                  <w:shd w:val="clear" w:color="auto" w:fill="auto"/>
                  <w:vAlign w:val="center"/>
                </w:tcPr>
                <w:p w14:paraId="4F23B55D">
                  <w:pPr>
                    <w:jc w:val="center"/>
                    <w:rPr>
                      <w:sz w:val="21"/>
                      <w:szCs w:val="18"/>
                    </w:rPr>
                  </w:pPr>
                  <w:r>
                    <w:rPr>
                      <w:rFonts w:hint="eastAsia"/>
                      <w:sz w:val="21"/>
                      <w:szCs w:val="18"/>
                    </w:rPr>
                    <w:t>超纯水制备</w:t>
                  </w:r>
                </w:p>
              </w:tc>
              <w:tc>
                <w:tcPr>
                  <w:tcW w:w="1095" w:type="pct"/>
                  <w:shd w:val="clear" w:color="auto" w:fill="auto"/>
                  <w:vAlign w:val="center"/>
                </w:tcPr>
                <w:p w14:paraId="05471760">
                  <w:pPr>
                    <w:jc w:val="center"/>
                    <w:rPr>
                      <w:sz w:val="21"/>
                      <w:szCs w:val="18"/>
                    </w:rPr>
                  </w:pPr>
                  <w:r>
                    <w:rPr>
                      <w:rFonts w:hint="eastAsia"/>
                      <w:sz w:val="21"/>
                      <w:szCs w:val="18"/>
                    </w:rPr>
                    <w:t>超</w:t>
                  </w:r>
                  <w:r>
                    <w:rPr>
                      <w:sz w:val="21"/>
                      <w:szCs w:val="18"/>
                    </w:rPr>
                    <w:t>纯水制备</w:t>
                  </w:r>
                  <w:r>
                    <w:rPr>
                      <w:rFonts w:hint="eastAsia"/>
                      <w:sz w:val="21"/>
                      <w:szCs w:val="18"/>
                    </w:rPr>
                    <w:t>排放</w:t>
                  </w:r>
                  <w:r>
                    <w:rPr>
                      <w:sz w:val="21"/>
                      <w:szCs w:val="18"/>
                    </w:rPr>
                    <w:t>浓水</w:t>
                  </w:r>
                </w:p>
              </w:tc>
              <w:tc>
                <w:tcPr>
                  <w:tcW w:w="2633" w:type="pct"/>
                  <w:shd w:val="clear" w:color="auto" w:fill="auto"/>
                  <w:vAlign w:val="center"/>
                </w:tcPr>
                <w:p w14:paraId="4C28EEEC">
                  <w:pPr>
                    <w:jc w:val="center"/>
                    <w:rPr>
                      <w:sz w:val="21"/>
                      <w:szCs w:val="21"/>
                    </w:rPr>
                  </w:pPr>
                  <w:r>
                    <w:rPr>
                      <w:rFonts w:hint="eastAsia"/>
                      <w:sz w:val="21"/>
                      <w:szCs w:val="21"/>
                    </w:rPr>
                    <w:t>TDS</w:t>
                  </w:r>
                </w:p>
              </w:tc>
            </w:tr>
            <w:tr w14:paraId="066A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shd w:val="clear" w:color="auto" w:fill="auto"/>
                  <w:vAlign w:val="center"/>
                </w:tcPr>
                <w:p w14:paraId="41467DAF">
                  <w:pPr>
                    <w:jc w:val="center"/>
                    <w:rPr>
                      <w:sz w:val="21"/>
                      <w:szCs w:val="18"/>
                    </w:rPr>
                  </w:pPr>
                  <w:r>
                    <w:rPr>
                      <w:sz w:val="21"/>
                      <w:szCs w:val="18"/>
                    </w:rPr>
                    <w:t>噪声</w:t>
                  </w:r>
                </w:p>
              </w:tc>
              <w:tc>
                <w:tcPr>
                  <w:tcW w:w="851" w:type="pct"/>
                  <w:shd w:val="clear" w:color="auto" w:fill="auto"/>
                  <w:vAlign w:val="center"/>
                </w:tcPr>
                <w:p w14:paraId="012F2557">
                  <w:pPr>
                    <w:jc w:val="center"/>
                    <w:rPr>
                      <w:sz w:val="21"/>
                      <w:szCs w:val="18"/>
                    </w:rPr>
                  </w:pPr>
                  <w:r>
                    <w:rPr>
                      <w:sz w:val="21"/>
                      <w:szCs w:val="18"/>
                    </w:rPr>
                    <w:t>实验检验</w:t>
                  </w:r>
                </w:p>
              </w:tc>
              <w:tc>
                <w:tcPr>
                  <w:tcW w:w="3728" w:type="pct"/>
                  <w:gridSpan w:val="2"/>
                  <w:shd w:val="clear" w:color="auto" w:fill="auto"/>
                  <w:vAlign w:val="center"/>
                </w:tcPr>
                <w:p w14:paraId="2B57F0B2">
                  <w:pPr>
                    <w:jc w:val="center"/>
                    <w:rPr>
                      <w:sz w:val="21"/>
                      <w:szCs w:val="18"/>
                    </w:rPr>
                  </w:pPr>
                  <w:r>
                    <w:rPr>
                      <w:sz w:val="21"/>
                      <w:szCs w:val="18"/>
                    </w:rPr>
                    <w:t>Leq（A）</w:t>
                  </w:r>
                </w:p>
              </w:tc>
            </w:tr>
            <w:tr w14:paraId="6167A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restart"/>
                  <w:shd w:val="clear" w:color="auto" w:fill="auto"/>
                  <w:vAlign w:val="center"/>
                </w:tcPr>
                <w:p w14:paraId="478B25F0">
                  <w:pPr>
                    <w:jc w:val="center"/>
                    <w:rPr>
                      <w:sz w:val="21"/>
                      <w:szCs w:val="18"/>
                    </w:rPr>
                  </w:pPr>
                  <w:r>
                    <w:rPr>
                      <w:sz w:val="21"/>
                      <w:szCs w:val="18"/>
                    </w:rPr>
                    <w:t>固废</w:t>
                  </w:r>
                </w:p>
              </w:tc>
              <w:tc>
                <w:tcPr>
                  <w:tcW w:w="851" w:type="pct"/>
                  <w:shd w:val="clear" w:color="auto" w:fill="auto"/>
                  <w:vAlign w:val="center"/>
                </w:tcPr>
                <w:p w14:paraId="6CE1CD6A">
                  <w:pPr>
                    <w:jc w:val="center"/>
                    <w:rPr>
                      <w:sz w:val="21"/>
                      <w:szCs w:val="18"/>
                    </w:rPr>
                  </w:pPr>
                  <w:r>
                    <w:rPr>
                      <w:rFonts w:hint="eastAsia"/>
                      <w:sz w:val="21"/>
                      <w:szCs w:val="18"/>
                    </w:rPr>
                    <w:t>办公生活</w:t>
                  </w:r>
                </w:p>
              </w:tc>
              <w:tc>
                <w:tcPr>
                  <w:tcW w:w="3728" w:type="pct"/>
                  <w:gridSpan w:val="2"/>
                  <w:shd w:val="clear" w:color="auto" w:fill="auto"/>
                  <w:vAlign w:val="center"/>
                </w:tcPr>
                <w:p w14:paraId="19095C64">
                  <w:pPr>
                    <w:jc w:val="center"/>
                    <w:rPr>
                      <w:sz w:val="21"/>
                      <w:szCs w:val="18"/>
                    </w:rPr>
                  </w:pPr>
                  <w:r>
                    <w:rPr>
                      <w:sz w:val="21"/>
                      <w:szCs w:val="18"/>
                    </w:rPr>
                    <w:t>生活垃圾</w:t>
                  </w:r>
                </w:p>
              </w:tc>
            </w:tr>
            <w:tr w14:paraId="63900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44F45DC3">
                  <w:pPr>
                    <w:jc w:val="center"/>
                    <w:rPr>
                      <w:sz w:val="21"/>
                      <w:szCs w:val="18"/>
                    </w:rPr>
                  </w:pPr>
                </w:p>
              </w:tc>
              <w:tc>
                <w:tcPr>
                  <w:tcW w:w="851" w:type="pct"/>
                  <w:shd w:val="clear" w:color="auto" w:fill="auto"/>
                  <w:vAlign w:val="center"/>
                </w:tcPr>
                <w:p w14:paraId="5551CBF1">
                  <w:pPr>
                    <w:jc w:val="center"/>
                    <w:rPr>
                      <w:rFonts w:hint="default" w:eastAsia="宋体"/>
                      <w:sz w:val="21"/>
                      <w:szCs w:val="18"/>
                      <w:lang w:val="en-US" w:eastAsia="zh-CN"/>
                    </w:rPr>
                  </w:pPr>
                  <w:r>
                    <w:rPr>
                      <w:rFonts w:hint="eastAsia"/>
                      <w:sz w:val="21"/>
                      <w:szCs w:val="18"/>
                      <w:lang w:val="en-US" w:eastAsia="zh-CN"/>
                    </w:rPr>
                    <w:t>超纯水制备</w:t>
                  </w:r>
                </w:p>
              </w:tc>
              <w:tc>
                <w:tcPr>
                  <w:tcW w:w="1095" w:type="pct"/>
                  <w:vMerge w:val="restart"/>
                  <w:shd w:val="clear" w:color="auto" w:fill="auto"/>
                  <w:vAlign w:val="center"/>
                </w:tcPr>
                <w:p w14:paraId="688A1B97">
                  <w:pPr>
                    <w:jc w:val="center"/>
                    <w:rPr>
                      <w:sz w:val="21"/>
                      <w:szCs w:val="18"/>
                    </w:rPr>
                  </w:pPr>
                  <w:r>
                    <w:rPr>
                      <w:sz w:val="21"/>
                      <w:szCs w:val="18"/>
                    </w:rPr>
                    <w:t>一般固废</w:t>
                  </w:r>
                </w:p>
              </w:tc>
              <w:tc>
                <w:tcPr>
                  <w:tcW w:w="2633" w:type="pct"/>
                  <w:shd w:val="clear" w:color="auto" w:fill="auto"/>
                  <w:vAlign w:val="center"/>
                </w:tcPr>
                <w:p w14:paraId="592ABA6E">
                  <w:pPr>
                    <w:jc w:val="center"/>
                    <w:rPr>
                      <w:sz w:val="21"/>
                      <w:szCs w:val="18"/>
                    </w:rPr>
                  </w:pPr>
                  <w:r>
                    <w:rPr>
                      <w:rFonts w:hint="eastAsia"/>
                      <w:sz w:val="21"/>
                      <w:szCs w:val="18"/>
                    </w:rPr>
                    <w:t>废滤芯</w:t>
                  </w:r>
                </w:p>
              </w:tc>
            </w:tr>
            <w:tr w14:paraId="4BD83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0119CA5C">
                  <w:pPr>
                    <w:jc w:val="center"/>
                    <w:rPr>
                      <w:sz w:val="21"/>
                      <w:szCs w:val="18"/>
                    </w:rPr>
                  </w:pPr>
                </w:p>
              </w:tc>
              <w:tc>
                <w:tcPr>
                  <w:tcW w:w="851" w:type="pct"/>
                  <w:vMerge w:val="restart"/>
                  <w:shd w:val="clear" w:color="auto" w:fill="auto"/>
                  <w:vAlign w:val="center"/>
                </w:tcPr>
                <w:p w14:paraId="28EE424D">
                  <w:pPr>
                    <w:jc w:val="center"/>
                    <w:rPr>
                      <w:sz w:val="21"/>
                      <w:szCs w:val="18"/>
                    </w:rPr>
                  </w:pPr>
                  <w:r>
                    <w:rPr>
                      <w:sz w:val="21"/>
                      <w:szCs w:val="18"/>
                    </w:rPr>
                    <w:t>实验检验</w:t>
                  </w:r>
                </w:p>
              </w:tc>
              <w:tc>
                <w:tcPr>
                  <w:tcW w:w="1095" w:type="pct"/>
                  <w:vMerge w:val="continue"/>
                  <w:shd w:val="clear" w:color="auto" w:fill="auto"/>
                  <w:vAlign w:val="center"/>
                </w:tcPr>
                <w:p w14:paraId="0F43152C">
                  <w:pPr>
                    <w:jc w:val="center"/>
                    <w:rPr>
                      <w:sz w:val="21"/>
                      <w:szCs w:val="18"/>
                    </w:rPr>
                  </w:pPr>
                </w:p>
              </w:tc>
              <w:tc>
                <w:tcPr>
                  <w:tcW w:w="2633" w:type="pct"/>
                  <w:shd w:val="clear" w:color="auto" w:fill="auto"/>
                  <w:vAlign w:val="center"/>
                </w:tcPr>
                <w:p w14:paraId="41E57785">
                  <w:pPr>
                    <w:jc w:val="center"/>
                    <w:rPr>
                      <w:sz w:val="21"/>
                      <w:szCs w:val="18"/>
                    </w:rPr>
                  </w:pPr>
                  <w:r>
                    <w:rPr>
                      <w:sz w:val="21"/>
                      <w:szCs w:val="18"/>
                    </w:rPr>
                    <w:t>废包装</w:t>
                  </w:r>
                </w:p>
              </w:tc>
            </w:tr>
            <w:tr w14:paraId="2879F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13A8129C">
                  <w:pPr>
                    <w:jc w:val="center"/>
                    <w:rPr>
                      <w:sz w:val="21"/>
                      <w:szCs w:val="18"/>
                    </w:rPr>
                  </w:pPr>
                </w:p>
              </w:tc>
              <w:tc>
                <w:tcPr>
                  <w:tcW w:w="851" w:type="pct"/>
                  <w:vMerge w:val="continue"/>
                  <w:shd w:val="clear" w:color="auto" w:fill="auto"/>
                  <w:vAlign w:val="center"/>
                </w:tcPr>
                <w:p w14:paraId="3C7FE65C">
                  <w:pPr>
                    <w:jc w:val="center"/>
                    <w:rPr>
                      <w:sz w:val="21"/>
                      <w:szCs w:val="18"/>
                    </w:rPr>
                  </w:pPr>
                </w:p>
              </w:tc>
              <w:tc>
                <w:tcPr>
                  <w:tcW w:w="1095" w:type="pct"/>
                  <w:vMerge w:val="continue"/>
                  <w:shd w:val="clear" w:color="auto" w:fill="auto"/>
                  <w:vAlign w:val="center"/>
                </w:tcPr>
                <w:p w14:paraId="6A44D93E">
                  <w:pPr>
                    <w:jc w:val="center"/>
                    <w:rPr>
                      <w:sz w:val="21"/>
                      <w:szCs w:val="18"/>
                    </w:rPr>
                  </w:pPr>
                </w:p>
              </w:tc>
              <w:tc>
                <w:tcPr>
                  <w:tcW w:w="2633" w:type="pct"/>
                  <w:shd w:val="clear" w:color="auto" w:fill="auto"/>
                  <w:vAlign w:val="center"/>
                </w:tcPr>
                <w:p w14:paraId="7AD88010">
                  <w:pPr>
                    <w:jc w:val="center"/>
                    <w:rPr>
                      <w:sz w:val="21"/>
                      <w:szCs w:val="18"/>
                    </w:rPr>
                  </w:pPr>
                  <w:r>
                    <w:rPr>
                      <w:rFonts w:hint="eastAsia"/>
                      <w:sz w:val="21"/>
                      <w:szCs w:val="18"/>
                    </w:rPr>
                    <w:t>剩余一般样品</w:t>
                  </w:r>
                </w:p>
              </w:tc>
            </w:tr>
            <w:tr w14:paraId="507F1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47016081">
                  <w:pPr>
                    <w:jc w:val="center"/>
                    <w:rPr>
                      <w:sz w:val="21"/>
                      <w:szCs w:val="18"/>
                    </w:rPr>
                  </w:pPr>
                </w:p>
              </w:tc>
              <w:tc>
                <w:tcPr>
                  <w:tcW w:w="851" w:type="pct"/>
                  <w:vMerge w:val="continue"/>
                  <w:shd w:val="clear" w:color="auto" w:fill="auto"/>
                  <w:vAlign w:val="center"/>
                </w:tcPr>
                <w:p w14:paraId="50FFD30A">
                  <w:pPr>
                    <w:jc w:val="center"/>
                    <w:rPr>
                      <w:sz w:val="21"/>
                      <w:szCs w:val="18"/>
                    </w:rPr>
                  </w:pPr>
                </w:p>
              </w:tc>
              <w:tc>
                <w:tcPr>
                  <w:tcW w:w="1095" w:type="pct"/>
                  <w:vMerge w:val="continue"/>
                  <w:shd w:val="clear" w:color="auto" w:fill="auto"/>
                  <w:vAlign w:val="center"/>
                </w:tcPr>
                <w:p w14:paraId="53CC225B">
                  <w:pPr>
                    <w:jc w:val="center"/>
                    <w:rPr>
                      <w:sz w:val="21"/>
                      <w:szCs w:val="18"/>
                    </w:rPr>
                  </w:pPr>
                </w:p>
              </w:tc>
              <w:tc>
                <w:tcPr>
                  <w:tcW w:w="2633" w:type="pct"/>
                  <w:shd w:val="clear" w:color="auto" w:fill="auto"/>
                  <w:vAlign w:val="center"/>
                </w:tcPr>
                <w:p w14:paraId="34C77A3A">
                  <w:pPr>
                    <w:jc w:val="center"/>
                    <w:rPr>
                      <w:sz w:val="21"/>
                      <w:szCs w:val="18"/>
                    </w:rPr>
                  </w:pPr>
                  <w:r>
                    <w:rPr>
                      <w:rFonts w:hint="eastAsia"/>
                      <w:sz w:val="21"/>
                      <w:szCs w:val="18"/>
                    </w:rPr>
                    <w:t>剩余超标样品</w:t>
                  </w:r>
                </w:p>
              </w:tc>
            </w:tr>
            <w:tr w14:paraId="2D54B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5E68DB4F">
                  <w:pPr>
                    <w:jc w:val="center"/>
                    <w:rPr>
                      <w:sz w:val="21"/>
                      <w:szCs w:val="18"/>
                    </w:rPr>
                  </w:pPr>
                </w:p>
              </w:tc>
              <w:tc>
                <w:tcPr>
                  <w:tcW w:w="851" w:type="pct"/>
                  <w:vMerge w:val="continue"/>
                  <w:shd w:val="clear" w:color="auto" w:fill="auto"/>
                  <w:vAlign w:val="center"/>
                </w:tcPr>
                <w:p w14:paraId="7EB4A57D">
                  <w:pPr>
                    <w:jc w:val="center"/>
                    <w:rPr>
                      <w:sz w:val="21"/>
                      <w:szCs w:val="18"/>
                    </w:rPr>
                  </w:pPr>
                </w:p>
              </w:tc>
              <w:tc>
                <w:tcPr>
                  <w:tcW w:w="1095" w:type="pct"/>
                  <w:vMerge w:val="continue"/>
                  <w:shd w:val="clear" w:color="auto" w:fill="auto"/>
                  <w:vAlign w:val="center"/>
                </w:tcPr>
                <w:p w14:paraId="008F723C">
                  <w:pPr>
                    <w:jc w:val="center"/>
                    <w:rPr>
                      <w:sz w:val="21"/>
                      <w:szCs w:val="18"/>
                    </w:rPr>
                  </w:pPr>
                </w:p>
              </w:tc>
              <w:tc>
                <w:tcPr>
                  <w:tcW w:w="2633" w:type="pct"/>
                  <w:shd w:val="clear" w:color="auto" w:fill="auto"/>
                  <w:vAlign w:val="center"/>
                </w:tcPr>
                <w:p w14:paraId="06058B0A">
                  <w:pPr>
                    <w:jc w:val="center"/>
                    <w:rPr>
                      <w:sz w:val="21"/>
                      <w:szCs w:val="18"/>
                    </w:rPr>
                  </w:pPr>
                  <w:r>
                    <w:rPr>
                      <w:rFonts w:hint="eastAsia"/>
                      <w:sz w:val="21"/>
                      <w:szCs w:val="18"/>
                    </w:rPr>
                    <w:t>废培养基</w:t>
                  </w:r>
                </w:p>
              </w:tc>
            </w:tr>
            <w:tr w14:paraId="1591B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7A1DF2F1">
                  <w:pPr>
                    <w:jc w:val="center"/>
                    <w:rPr>
                      <w:sz w:val="21"/>
                      <w:szCs w:val="18"/>
                    </w:rPr>
                  </w:pPr>
                </w:p>
              </w:tc>
              <w:tc>
                <w:tcPr>
                  <w:tcW w:w="851" w:type="pct"/>
                  <w:vMerge w:val="continue"/>
                  <w:shd w:val="clear" w:color="auto" w:fill="auto"/>
                  <w:vAlign w:val="center"/>
                </w:tcPr>
                <w:p w14:paraId="4534C0F8">
                  <w:pPr>
                    <w:jc w:val="center"/>
                    <w:rPr>
                      <w:sz w:val="21"/>
                      <w:szCs w:val="18"/>
                    </w:rPr>
                  </w:pPr>
                </w:p>
              </w:tc>
              <w:tc>
                <w:tcPr>
                  <w:tcW w:w="1095" w:type="pct"/>
                  <w:vMerge w:val="restart"/>
                  <w:shd w:val="clear" w:color="auto" w:fill="auto"/>
                  <w:vAlign w:val="center"/>
                </w:tcPr>
                <w:p w14:paraId="6F085243">
                  <w:pPr>
                    <w:jc w:val="center"/>
                    <w:rPr>
                      <w:sz w:val="21"/>
                      <w:szCs w:val="18"/>
                    </w:rPr>
                  </w:pPr>
                  <w:r>
                    <w:rPr>
                      <w:sz w:val="21"/>
                      <w:szCs w:val="18"/>
                    </w:rPr>
                    <w:t>危险废物</w:t>
                  </w:r>
                </w:p>
              </w:tc>
              <w:tc>
                <w:tcPr>
                  <w:tcW w:w="2633" w:type="pct"/>
                  <w:shd w:val="clear" w:color="auto" w:fill="auto"/>
                  <w:vAlign w:val="center"/>
                </w:tcPr>
                <w:p w14:paraId="0DDC9F10">
                  <w:pPr>
                    <w:jc w:val="center"/>
                    <w:rPr>
                      <w:sz w:val="21"/>
                      <w:szCs w:val="18"/>
                    </w:rPr>
                  </w:pPr>
                  <w:r>
                    <w:rPr>
                      <w:rFonts w:hint="eastAsia"/>
                      <w:sz w:val="21"/>
                      <w:szCs w:val="18"/>
                    </w:rPr>
                    <w:t>实验废液</w:t>
                  </w:r>
                </w:p>
              </w:tc>
            </w:tr>
            <w:tr w14:paraId="1837C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71D1DBDF">
                  <w:pPr>
                    <w:jc w:val="center"/>
                    <w:rPr>
                      <w:sz w:val="21"/>
                      <w:szCs w:val="18"/>
                    </w:rPr>
                  </w:pPr>
                </w:p>
              </w:tc>
              <w:tc>
                <w:tcPr>
                  <w:tcW w:w="851" w:type="pct"/>
                  <w:vMerge w:val="continue"/>
                  <w:shd w:val="clear" w:color="auto" w:fill="auto"/>
                  <w:vAlign w:val="center"/>
                </w:tcPr>
                <w:p w14:paraId="77443090">
                  <w:pPr>
                    <w:jc w:val="center"/>
                    <w:rPr>
                      <w:sz w:val="21"/>
                      <w:szCs w:val="18"/>
                    </w:rPr>
                  </w:pPr>
                </w:p>
              </w:tc>
              <w:tc>
                <w:tcPr>
                  <w:tcW w:w="1095" w:type="pct"/>
                  <w:vMerge w:val="continue"/>
                  <w:shd w:val="clear" w:color="auto" w:fill="auto"/>
                  <w:vAlign w:val="center"/>
                </w:tcPr>
                <w:p w14:paraId="1CCA96E5">
                  <w:pPr>
                    <w:jc w:val="center"/>
                    <w:rPr>
                      <w:sz w:val="21"/>
                      <w:szCs w:val="18"/>
                    </w:rPr>
                  </w:pPr>
                </w:p>
              </w:tc>
              <w:tc>
                <w:tcPr>
                  <w:tcW w:w="2633" w:type="pct"/>
                  <w:shd w:val="clear" w:color="auto" w:fill="auto"/>
                  <w:vAlign w:val="center"/>
                </w:tcPr>
                <w:p w14:paraId="34AF631C">
                  <w:pPr>
                    <w:jc w:val="center"/>
                    <w:rPr>
                      <w:sz w:val="21"/>
                      <w:szCs w:val="18"/>
                    </w:rPr>
                  </w:pPr>
                  <w:r>
                    <w:rPr>
                      <w:rFonts w:hint="eastAsia"/>
                      <w:sz w:val="21"/>
                      <w:szCs w:val="18"/>
                    </w:rPr>
                    <w:t>一次清洗废水</w:t>
                  </w:r>
                </w:p>
              </w:tc>
            </w:tr>
            <w:tr w14:paraId="23D73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13B6A613">
                  <w:pPr>
                    <w:jc w:val="center"/>
                    <w:rPr>
                      <w:sz w:val="21"/>
                      <w:szCs w:val="18"/>
                    </w:rPr>
                  </w:pPr>
                </w:p>
              </w:tc>
              <w:tc>
                <w:tcPr>
                  <w:tcW w:w="851" w:type="pct"/>
                  <w:vMerge w:val="continue"/>
                  <w:shd w:val="clear" w:color="auto" w:fill="auto"/>
                  <w:vAlign w:val="center"/>
                </w:tcPr>
                <w:p w14:paraId="5BF940F2">
                  <w:pPr>
                    <w:jc w:val="center"/>
                    <w:rPr>
                      <w:sz w:val="21"/>
                      <w:szCs w:val="18"/>
                    </w:rPr>
                  </w:pPr>
                </w:p>
              </w:tc>
              <w:tc>
                <w:tcPr>
                  <w:tcW w:w="1095" w:type="pct"/>
                  <w:vMerge w:val="continue"/>
                  <w:shd w:val="clear" w:color="auto" w:fill="auto"/>
                  <w:vAlign w:val="center"/>
                </w:tcPr>
                <w:p w14:paraId="07FE8533">
                  <w:pPr>
                    <w:jc w:val="center"/>
                    <w:rPr>
                      <w:sz w:val="21"/>
                      <w:szCs w:val="18"/>
                    </w:rPr>
                  </w:pPr>
                </w:p>
              </w:tc>
              <w:tc>
                <w:tcPr>
                  <w:tcW w:w="2633" w:type="pct"/>
                  <w:shd w:val="clear" w:color="auto" w:fill="auto"/>
                  <w:vAlign w:val="center"/>
                </w:tcPr>
                <w:p w14:paraId="6C0B1BB6">
                  <w:pPr>
                    <w:jc w:val="center"/>
                    <w:rPr>
                      <w:sz w:val="21"/>
                      <w:szCs w:val="18"/>
                    </w:rPr>
                  </w:pPr>
                  <w:r>
                    <w:rPr>
                      <w:sz w:val="21"/>
                      <w:szCs w:val="18"/>
                    </w:rPr>
                    <w:t>废试剂瓶</w:t>
                  </w:r>
                </w:p>
              </w:tc>
            </w:tr>
            <w:tr w14:paraId="114A8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2EC45E10">
                  <w:pPr>
                    <w:jc w:val="center"/>
                    <w:rPr>
                      <w:sz w:val="21"/>
                      <w:szCs w:val="18"/>
                    </w:rPr>
                  </w:pPr>
                </w:p>
              </w:tc>
              <w:tc>
                <w:tcPr>
                  <w:tcW w:w="851" w:type="pct"/>
                  <w:vMerge w:val="continue"/>
                  <w:shd w:val="clear" w:color="auto" w:fill="auto"/>
                  <w:vAlign w:val="center"/>
                </w:tcPr>
                <w:p w14:paraId="4DD6D962">
                  <w:pPr>
                    <w:jc w:val="center"/>
                    <w:rPr>
                      <w:sz w:val="21"/>
                      <w:szCs w:val="18"/>
                    </w:rPr>
                  </w:pPr>
                </w:p>
              </w:tc>
              <w:tc>
                <w:tcPr>
                  <w:tcW w:w="1095" w:type="pct"/>
                  <w:vMerge w:val="continue"/>
                  <w:shd w:val="clear" w:color="auto" w:fill="auto"/>
                  <w:vAlign w:val="center"/>
                </w:tcPr>
                <w:p w14:paraId="4A41887F">
                  <w:pPr>
                    <w:jc w:val="center"/>
                    <w:rPr>
                      <w:sz w:val="21"/>
                      <w:szCs w:val="18"/>
                    </w:rPr>
                  </w:pPr>
                </w:p>
              </w:tc>
              <w:tc>
                <w:tcPr>
                  <w:tcW w:w="2633" w:type="pct"/>
                  <w:shd w:val="clear" w:color="auto" w:fill="auto"/>
                  <w:vAlign w:val="center"/>
                </w:tcPr>
                <w:p w14:paraId="65794B28">
                  <w:pPr>
                    <w:jc w:val="center"/>
                    <w:rPr>
                      <w:sz w:val="21"/>
                      <w:szCs w:val="18"/>
                    </w:rPr>
                  </w:pPr>
                  <w:r>
                    <w:rPr>
                      <w:rFonts w:hint="eastAsia"/>
                      <w:sz w:val="21"/>
                      <w:szCs w:val="18"/>
                    </w:rPr>
                    <w:t>过期试剂</w:t>
                  </w:r>
                </w:p>
              </w:tc>
            </w:tr>
            <w:tr w14:paraId="000B6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04B42A0E">
                  <w:pPr>
                    <w:jc w:val="center"/>
                    <w:rPr>
                      <w:sz w:val="21"/>
                      <w:szCs w:val="18"/>
                    </w:rPr>
                  </w:pPr>
                </w:p>
              </w:tc>
              <w:tc>
                <w:tcPr>
                  <w:tcW w:w="851" w:type="pct"/>
                  <w:vMerge w:val="continue"/>
                  <w:shd w:val="clear" w:color="auto" w:fill="auto"/>
                  <w:vAlign w:val="center"/>
                </w:tcPr>
                <w:p w14:paraId="40E9B055">
                  <w:pPr>
                    <w:jc w:val="center"/>
                    <w:rPr>
                      <w:sz w:val="21"/>
                      <w:szCs w:val="18"/>
                    </w:rPr>
                  </w:pPr>
                </w:p>
              </w:tc>
              <w:tc>
                <w:tcPr>
                  <w:tcW w:w="1095" w:type="pct"/>
                  <w:vMerge w:val="continue"/>
                  <w:shd w:val="clear" w:color="auto" w:fill="auto"/>
                  <w:vAlign w:val="center"/>
                </w:tcPr>
                <w:p w14:paraId="00F00024">
                  <w:pPr>
                    <w:jc w:val="center"/>
                    <w:rPr>
                      <w:sz w:val="21"/>
                      <w:szCs w:val="18"/>
                    </w:rPr>
                  </w:pPr>
                </w:p>
              </w:tc>
              <w:tc>
                <w:tcPr>
                  <w:tcW w:w="2633" w:type="pct"/>
                  <w:shd w:val="clear" w:color="auto" w:fill="auto"/>
                  <w:vAlign w:val="center"/>
                </w:tcPr>
                <w:p w14:paraId="5AC9E0AE">
                  <w:pPr>
                    <w:jc w:val="center"/>
                    <w:rPr>
                      <w:sz w:val="21"/>
                      <w:szCs w:val="18"/>
                    </w:rPr>
                  </w:pPr>
                  <w:r>
                    <w:rPr>
                      <w:rFonts w:hint="eastAsia"/>
                      <w:sz w:val="21"/>
                      <w:szCs w:val="18"/>
                    </w:rPr>
                    <w:t>废紫外灯管</w:t>
                  </w:r>
                </w:p>
              </w:tc>
            </w:tr>
            <w:tr w14:paraId="12CF3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0" w:type="pct"/>
                  <w:vMerge w:val="continue"/>
                  <w:shd w:val="clear" w:color="auto" w:fill="auto"/>
                  <w:vAlign w:val="center"/>
                </w:tcPr>
                <w:p w14:paraId="5FEFC11F">
                  <w:pPr>
                    <w:jc w:val="center"/>
                    <w:rPr>
                      <w:sz w:val="21"/>
                      <w:szCs w:val="18"/>
                    </w:rPr>
                  </w:pPr>
                </w:p>
              </w:tc>
              <w:tc>
                <w:tcPr>
                  <w:tcW w:w="851" w:type="pct"/>
                  <w:shd w:val="clear" w:color="auto" w:fill="auto"/>
                  <w:vAlign w:val="center"/>
                </w:tcPr>
                <w:p w14:paraId="03BFE07D">
                  <w:pPr>
                    <w:jc w:val="center"/>
                    <w:rPr>
                      <w:rFonts w:hint="default" w:eastAsia="宋体"/>
                      <w:sz w:val="21"/>
                      <w:szCs w:val="18"/>
                      <w:lang w:val="en-US" w:eastAsia="zh-CN"/>
                    </w:rPr>
                  </w:pPr>
                  <w:r>
                    <w:rPr>
                      <w:rFonts w:hint="eastAsia"/>
                      <w:sz w:val="21"/>
                      <w:szCs w:val="18"/>
                      <w:lang w:val="en-US" w:eastAsia="zh-CN"/>
                    </w:rPr>
                    <w:t>废气处理</w:t>
                  </w:r>
                </w:p>
              </w:tc>
              <w:tc>
                <w:tcPr>
                  <w:tcW w:w="1095" w:type="pct"/>
                  <w:vMerge w:val="continue"/>
                  <w:shd w:val="clear" w:color="auto" w:fill="auto"/>
                  <w:vAlign w:val="center"/>
                </w:tcPr>
                <w:p w14:paraId="26DB0245">
                  <w:pPr>
                    <w:jc w:val="center"/>
                    <w:rPr>
                      <w:sz w:val="21"/>
                      <w:szCs w:val="18"/>
                    </w:rPr>
                  </w:pPr>
                </w:p>
              </w:tc>
              <w:tc>
                <w:tcPr>
                  <w:tcW w:w="2633" w:type="pct"/>
                  <w:shd w:val="clear" w:color="auto" w:fill="auto"/>
                  <w:vAlign w:val="center"/>
                </w:tcPr>
                <w:p w14:paraId="570651EC">
                  <w:pPr>
                    <w:jc w:val="center"/>
                    <w:rPr>
                      <w:sz w:val="21"/>
                      <w:szCs w:val="18"/>
                    </w:rPr>
                  </w:pPr>
                  <w:r>
                    <w:rPr>
                      <w:rFonts w:hint="eastAsia"/>
                      <w:sz w:val="21"/>
                      <w:szCs w:val="18"/>
                    </w:rPr>
                    <w:t>废活性炭</w:t>
                  </w:r>
                </w:p>
              </w:tc>
            </w:tr>
          </w:tbl>
          <w:p w14:paraId="2276ABFD">
            <w:pPr>
              <w:tabs>
                <w:tab w:val="left" w:pos="3126"/>
              </w:tabs>
              <w:adjustRightInd w:val="0"/>
              <w:snapToGrid w:val="0"/>
              <w:spacing w:line="360" w:lineRule="auto"/>
            </w:pPr>
          </w:p>
        </w:tc>
      </w:tr>
      <w:tr w14:paraId="66932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823" w:type="dxa"/>
            <w:shd w:val="clear" w:color="auto" w:fill="auto"/>
            <w:vAlign w:val="center"/>
          </w:tcPr>
          <w:p w14:paraId="57C2344F">
            <w:pPr>
              <w:pStyle w:val="18"/>
              <w:adjustRightInd w:val="0"/>
              <w:snapToGrid w:val="0"/>
              <w:spacing w:before="0" w:beforeAutospacing="0" w:after="0" w:afterAutospacing="0"/>
              <w:jc w:val="center"/>
              <w:rPr>
                <w:rFonts w:ascii="Times New Roman" w:hAnsi="Times New Roman" w:eastAsia="宋体" w:cs="Times New Roman"/>
                <w:szCs w:val="24"/>
              </w:rPr>
            </w:pPr>
            <w:r>
              <w:rPr>
                <w:rFonts w:hint="eastAsia" w:ascii="Times New Roman" w:hAnsi="Times New Roman" w:eastAsia="宋体" w:cs="Times New Roman"/>
                <w:szCs w:val="24"/>
              </w:rPr>
              <w:t>与项目有关的原有环境污染问题</w:t>
            </w:r>
          </w:p>
        </w:tc>
        <w:tc>
          <w:tcPr>
            <w:tcW w:w="8161" w:type="dxa"/>
            <w:shd w:val="clear" w:color="auto" w:fill="auto"/>
          </w:tcPr>
          <w:p w14:paraId="615D4282">
            <w:pPr>
              <w:widowControl/>
              <w:spacing w:line="360" w:lineRule="auto"/>
              <w:ind w:firstLine="480" w:firstLineChars="200"/>
              <w:rPr>
                <w:bCs/>
                <w:color w:val="auto"/>
              </w:rPr>
            </w:pPr>
            <w:r>
              <w:rPr>
                <w:bCs/>
                <w:color w:val="auto"/>
              </w:rPr>
              <w:t>本项目</w:t>
            </w:r>
            <w:r>
              <w:rPr>
                <w:rFonts w:hint="eastAsia"/>
                <w:bCs/>
                <w:color w:val="auto"/>
              </w:rPr>
              <w:t>为迁建项目，对现有项目的实验室检测设备、采样设备及部分环保设备（废水处理设备、废水收集桶）进行整体搬迁，现有危废贮存点清空后清理，剩余环保设备（通风橱、活性炭吸附装置+风机+排气筒、喷淋塔装置+风机+排气筒）及场地污染物清理。</w:t>
            </w:r>
            <w:r>
              <w:rPr>
                <w:rFonts w:hint="eastAsia"/>
                <w:color w:val="auto"/>
              </w:rPr>
              <w:t>项目搬迁后的建筑原为工业厂房，交还给中国通信建设西安产业园，</w:t>
            </w:r>
            <w:r>
              <w:rPr>
                <w:rFonts w:hint="eastAsia"/>
                <w:bCs/>
                <w:color w:val="auto"/>
              </w:rPr>
              <w:t>剩余环保设备（通风橱、活性炭吸附装置+风机+排气筒、喷淋塔装置+风机+排气筒）清理后根据出租方要求保留或拆除。现有项目完成搬迁后，现有污染将不再产生。</w:t>
            </w:r>
          </w:p>
          <w:p w14:paraId="2ED709F6">
            <w:pPr>
              <w:widowControl/>
              <w:spacing w:line="360" w:lineRule="auto"/>
              <w:ind w:firstLine="482" w:firstLineChars="200"/>
            </w:pPr>
            <w:r>
              <w:rPr>
                <w:b/>
                <w:bCs/>
                <w:kern w:val="0"/>
                <w:lang w:bidi="ar"/>
              </w:rPr>
              <w:t>1、现有项目</w:t>
            </w:r>
            <w:r>
              <w:rPr>
                <w:rFonts w:hint="eastAsia"/>
                <w:b/>
                <w:bCs/>
                <w:kern w:val="0"/>
                <w:lang w:bidi="ar"/>
              </w:rPr>
              <w:t>基本情况</w:t>
            </w:r>
          </w:p>
          <w:p w14:paraId="3841FB31">
            <w:pPr>
              <w:widowControl/>
              <w:spacing w:line="360" w:lineRule="auto"/>
              <w:ind w:firstLine="480" w:firstLineChars="200"/>
              <w:rPr>
                <w:bCs/>
              </w:rPr>
            </w:pPr>
            <w:r>
              <w:rPr>
                <w:rFonts w:hint="eastAsia"/>
                <w:bCs/>
              </w:rPr>
              <w:t>公司原注册地址为西安高新区新型工业园学士路21号井上生产大楼8层B号，2015年8月，西安京诚检测有限公司委托西安建筑科技大学编制了《西安京诚检测技术有限公司项目环境影响报告表》；2016年5月12日，西安市环境保护局高新分局以“高新环评批复〔2016〕031号”对该项目进行了环评批复（见附件4）；2018年11月，因业务发展需要、原有场地偏小等因素，西安京诚检测技术有限公司环境检测实验室拟全部搬迁到租赁的西安高新区新型工业园发展大道26号中国通信建设西安产业园内8幢的3~4层进行建设，并委托西安建筑科技大学对编制完成了《西安京诚检测技术有限公司搬迁项目环境影响报告表》；2018年12月27日，西安高新区行政审批服务局对其进行了环评批复（高新环评批复〔2018〕098号）；2019年5月，公司自主组织竣工验收。企业各项环保手续齐全，目前该项目正常生产运营。</w:t>
            </w:r>
          </w:p>
          <w:p w14:paraId="366FE8B0">
            <w:pPr>
              <w:widowControl/>
              <w:spacing w:line="360" w:lineRule="auto"/>
              <w:ind w:firstLine="482" w:firstLineChars="200"/>
              <w:jc w:val="left"/>
              <w:rPr>
                <w:b/>
                <w:bCs/>
                <w:kern w:val="0"/>
                <w:lang w:bidi="ar"/>
              </w:rPr>
            </w:pPr>
            <w:r>
              <w:rPr>
                <w:b/>
                <w:bCs/>
                <w:kern w:val="0"/>
                <w:lang w:bidi="ar"/>
              </w:rPr>
              <w:t>2、现有</w:t>
            </w:r>
            <w:r>
              <w:rPr>
                <w:rFonts w:hint="eastAsia"/>
                <w:b/>
                <w:bCs/>
                <w:kern w:val="0"/>
                <w:lang w:bidi="ar"/>
              </w:rPr>
              <w:t>项目建设内容</w:t>
            </w:r>
          </w:p>
          <w:p w14:paraId="277590A7">
            <w:pPr>
              <w:spacing w:line="360" w:lineRule="auto"/>
              <w:ind w:firstLine="480" w:firstLineChars="200"/>
              <w:rPr>
                <w:rFonts w:hAnsi="宋体"/>
                <w:szCs w:val="32"/>
              </w:rPr>
            </w:pPr>
            <w:r>
              <w:rPr>
                <w:rFonts w:hint="eastAsia" w:hAnsi="宋体"/>
                <w:szCs w:val="32"/>
              </w:rPr>
              <w:t>现有项目建筑面积1757.04m</w:t>
            </w:r>
            <w:r>
              <w:rPr>
                <w:rFonts w:hint="eastAsia" w:hAnsi="宋体"/>
                <w:szCs w:val="32"/>
                <w:vertAlign w:val="superscript"/>
              </w:rPr>
              <w:t>2</w:t>
            </w:r>
            <w:r>
              <w:rPr>
                <w:rFonts w:hint="eastAsia" w:hAnsi="宋体"/>
                <w:szCs w:val="32"/>
              </w:rPr>
              <w:t>，其中环境检测实验室区域建筑面积1141.8m</w:t>
            </w:r>
            <w:r>
              <w:rPr>
                <w:rFonts w:hint="eastAsia" w:hAnsi="宋体"/>
                <w:szCs w:val="32"/>
                <w:vertAlign w:val="superscript"/>
              </w:rPr>
              <w:t>2</w:t>
            </w:r>
            <w:r>
              <w:rPr>
                <w:rFonts w:hint="eastAsia" w:hAnsi="宋体"/>
                <w:szCs w:val="32"/>
              </w:rPr>
              <w:t>，办公区域建筑面积615.24m</w:t>
            </w:r>
            <w:r>
              <w:rPr>
                <w:rFonts w:hint="eastAsia" w:hAnsi="宋体"/>
                <w:szCs w:val="32"/>
                <w:vertAlign w:val="superscript"/>
              </w:rPr>
              <w:t>2</w:t>
            </w:r>
            <w:r>
              <w:rPr>
                <w:rFonts w:hint="eastAsia" w:hAnsi="宋体"/>
                <w:szCs w:val="32"/>
              </w:rPr>
              <w:t>。现有项目建设内容见表</w:t>
            </w:r>
            <w:r>
              <w:rPr>
                <w:rFonts w:hAnsi="宋体"/>
                <w:szCs w:val="32"/>
              </w:rPr>
              <w:t>2-</w:t>
            </w:r>
            <w:r>
              <w:rPr>
                <w:rFonts w:hint="eastAsia" w:hAnsi="宋体"/>
                <w:szCs w:val="32"/>
              </w:rPr>
              <w:t>8。</w:t>
            </w:r>
          </w:p>
          <w:p w14:paraId="639B8C89">
            <w:pPr>
              <w:adjustRightInd w:val="0"/>
              <w:snapToGrid w:val="0"/>
              <w:jc w:val="center"/>
              <w:rPr>
                <w:b/>
                <w:sz w:val="21"/>
                <w:szCs w:val="21"/>
                <w:lang w:val="zh-CN"/>
              </w:rPr>
            </w:pPr>
          </w:p>
          <w:p w14:paraId="1F076BE9">
            <w:pPr>
              <w:adjustRightInd w:val="0"/>
              <w:snapToGrid w:val="0"/>
              <w:jc w:val="center"/>
              <w:rPr>
                <w:bCs/>
              </w:rPr>
            </w:pPr>
            <w:r>
              <w:rPr>
                <w:b/>
                <w:sz w:val="21"/>
                <w:szCs w:val="21"/>
                <w:lang w:val="zh-CN"/>
              </w:rPr>
              <w:t>表</w:t>
            </w:r>
            <w:r>
              <w:rPr>
                <w:rFonts w:hint="eastAsia"/>
                <w:b/>
                <w:sz w:val="21"/>
                <w:szCs w:val="21"/>
              </w:rPr>
              <w:t>2</w:t>
            </w:r>
            <w:r>
              <w:rPr>
                <w:b/>
                <w:sz w:val="21"/>
                <w:szCs w:val="21"/>
                <w:lang w:val="zh-CN"/>
              </w:rPr>
              <w:t>-</w:t>
            </w:r>
            <w:r>
              <w:rPr>
                <w:rFonts w:hint="eastAsia"/>
                <w:b/>
                <w:sz w:val="21"/>
                <w:szCs w:val="21"/>
              </w:rPr>
              <w:t>8</w:t>
            </w:r>
            <w:r>
              <w:rPr>
                <w:b/>
                <w:sz w:val="21"/>
                <w:szCs w:val="21"/>
                <w:lang w:val="zh-CN"/>
              </w:rPr>
              <w:t xml:space="preserve">  </w:t>
            </w:r>
            <w:r>
              <w:rPr>
                <w:rFonts w:hint="eastAsia"/>
                <w:b/>
                <w:sz w:val="21"/>
                <w:szCs w:val="21"/>
              </w:rPr>
              <w:t>现有</w:t>
            </w:r>
            <w:r>
              <w:rPr>
                <w:b/>
                <w:sz w:val="21"/>
                <w:szCs w:val="21"/>
              </w:rPr>
              <w:t>项目建设内容</w:t>
            </w:r>
            <w:r>
              <w:rPr>
                <w:rFonts w:hint="eastAsia"/>
                <w:b/>
                <w:sz w:val="21"/>
                <w:szCs w:val="21"/>
              </w:rPr>
              <w:t>一览表</w:t>
            </w:r>
          </w:p>
          <w:tbl>
            <w:tblPr>
              <w:tblStyle w:val="23"/>
              <w:tblW w:w="7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146"/>
              <w:gridCol w:w="5789"/>
            </w:tblGrid>
            <w:tr w14:paraId="4928E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Align w:val="center"/>
                </w:tcPr>
                <w:p w14:paraId="307F900C">
                  <w:pPr>
                    <w:jc w:val="center"/>
                    <w:rPr>
                      <w:b/>
                      <w:sz w:val="21"/>
                      <w:szCs w:val="21"/>
                    </w:rPr>
                  </w:pPr>
                  <w:r>
                    <w:rPr>
                      <w:b/>
                      <w:sz w:val="21"/>
                      <w:szCs w:val="21"/>
                    </w:rPr>
                    <w:t>工程类别</w:t>
                  </w:r>
                </w:p>
              </w:tc>
              <w:tc>
                <w:tcPr>
                  <w:tcW w:w="1146" w:type="dxa"/>
                  <w:vAlign w:val="center"/>
                </w:tcPr>
                <w:p w14:paraId="550C486D">
                  <w:pPr>
                    <w:jc w:val="center"/>
                    <w:rPr>
                      <w:b/>
                      <w:sz w:val="21"/>
                      <w:szCs w:val="21"/>
                    </w:rPr>
                  </w:pPr>
                  <w:r>
                    <w:rPr>
                      <w:b/>
                      <w:sz w:val="21"/>
                      <w:szCs w:val="21"/>
                    </w:rPr>
                    <w:t>工程名称</w:t>
                  </w:r>
                </w:p>
              </w:tc>
              <w:tc>
                <w:tcPr>
                  <w:tcW w:w="5789" w:type="dxa"/>
                  <w:vAlign w:val="center"/>
                </w:tcPr>
                <w:p w14:paraId="5A20E500">
                  <w:pPr>
                    <w:jc w:val="center"/>
                    <w:rPr>
                      <w:b/>
                      <w:sz w:val="21"/>
                      <w:szCs w:val="21"/>
                    </w:rPr>
                  </w:pPr>
                  <w:r>
                    <w:rPr>
                      <w:rFonts w:hint="eastAsia"/>
                      <w:b/>
                      <w:sz w:val="21"/>
                      <w:szCs w:val="21"/>
                    </w:rPr>
                    <w:t>主要建设内容</w:t>
                  </w:r>
                </w:p>
              </w:tc>
            </w:tr>
            <w:tr w14:paraId="746F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restart"/>
                  <w:vAlign w:val="center"/>
                </w:tcPr>
                <w:p w14:paraId="1001CA59">
                  <w:pPr>
                    <w:jc w:val="center"/>
                    <w:rPr>
                      <w:rFonts w:hAnsi="宋体"/>
                      <w:sz w:val="21"/>
                    </w:rPr>
                  </w:pPr>
                  <w:r>
                    <w:rPr>
                      <w:rFonts w:hint="eastAsia" w:hAnsi="宋体"/>
                      <w:sz w:val="21"/>
                    </w:rPr>
                    <w:t>主体工程</w:t>
                  </w:r>
                </w:p>
              </w:tc>
              <w:tc>
                <w:tcPr>
                  <w:tcW w:w="1146" w:type="dxa"/>
                  <w:vMerge w:val="restart"/>
                  <w:vAlign w:val="center"/>
                </w:tcPr>
                <w:p w14:paraId="04FEA3B2">
                  <w:pPr>
                    <w:jc w:val="center"/>
                    <w:rPr>
                      <w:rFonts w:hAnsi="宋体"/>
                      <w:sz w:val="21"/>
                    </w:rPr>
                  </w:pPr>
                  <w:r>
                    <w:rPr>
                      <w:rFonts w:hint="eastAsia" w:hAnsi="宋体"/>
                      <w:sz w:val="21"/>
                    </w:rPr>
                    <w:t>环境检测实验室1141.8m</w:t>
                  </w:r>
                  <w:r>
                    <w:rPr>
                      <w:rFonts w:hint="eastAsia" w:hAnsi="宋体"/>
                      <w:sz w:val="21"/>
                      <w:vertAlign w:val="superscript"/>
                    </w:rPr>
                    <w:t>2</w:t>
                  </w:r>
                </w:p>
              </w:tc>
              <w:tc>
                <w:tcPr>
                  <w:tcW w:w="5789" w:type="dxa"/>
                  <w:vAlign w:val="center"/>
                </w:tcPr>
                <w:p w14:paraId="09654159">
                  <w:pPr>
                    <w:rPr>
                      <w:rFonts w:hAnsi="宋体"/>
                      <w:sz w:val="21"/>
                    </w:rPr>
                  </w:pPr>
                  <w:r>
                    <w:rPr>
                      <w:rFonts w:hint="eastAsia" w:hAnsi="宋体"/>
                      <w:sz w:val="21"/>
                    </w:rPr>
                    <w:t>3层：包括现场仪器室、仓库、采测分离室、试剂室、标品室等。</w:t>
                  </w:r>
                </w:p>
              </w:tc>
            </w:tr>
            <w:tr w14:paraId="06AD3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vAlign w:val="center"/>
                </w:tcPr>
                <w:p w14:paraId="3F0E30FD">
                  <w:pPr>
                    <w:jc w:val="center"/>
                    <w:rPr>
                      <w:rFonts w:hAnsi="宋体"/>
                      <w:sz w:val="21"/>
                    </w:rPr>
                  </w:pPr>
                </w:p>
              </w:tc>
              <w:tc>
                <w:tcPr>
                  <w:tcW w:w="1146" w:type="dxa"/>
                  <w:vMerge w:val="continue"/>
                  <w:vAlign w:val="center"/>
                </w:tcPr>
                <w:p w14:paraId="3E452A54">
                  <w:pPr>
                    <w:jc w:val="center"/>
                    <w:rPr>
                      <w:rFonts w:hAnsi="宋体"/>
                      <w:sz w:val="21"/>
                    </w:rPr>
                  </w:pPr>
                </w:p>
              </w:tc>
              <w:tc>
                <w:tcPr>
                  <w:tcW w:w="5789" w:type="dxa"/>
                  <w:vAlign w:val="center"/>
                </w:tcPr>
                <w:p w14:paraId="342F91A6">
                  <w:pPr>
                    <w:rPr>
                      <w:rFonts w:hAnsi="宋体"/>
                      <w:sz w:val="21"/>
                    </w:rPr>
                  </w:pPr>
                  <w:r>
                    <w:rPr>
                      <w:rFonts w:hint="eastAsia" w:hAnsi="宋体"/>
                      <w:sz w:val="21"/>
                    </w:rPr>
                    <w:t>4层：包括UPS室、液相色谱室、气相色谱室、光谱室、仪器室、样品室、无氧油类分析室、天平室、纯水室、微生物室、荧光室、嗅辨室、有机微处理室、无机微处理室、洗瓶间、高温室、危废贮存点等。</w:t>
                  </w:r>
                </w:p>
              </w:tc>
            </w:tr>
            <w:tr w14:paraId="0A3AC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Align w:val="center"/>
                </w:tcPr>
                <w:p w14:paraId="504EE084">
                  <w:pPr>
                    <w:jc w:val="center"/>
                    <w:rPr>
                      <w:rFonts w:hAnsi="宋体"/>
                      <w:sz w:val="21"/>
                    </w:rPr>
                  </w:pPr>
                  <w:r>
                    <w:rPr>
                      <w:rFonts w:hint="eastAsia" w:hAnsi="宋体"/>
                      <w:sz w:val="21"/>
                    </w:rPr>
                    <w:t>辅助工程</w:t>
                  </w:r>
                </w:p>
              </w:tc>
              <w:tc>
                <w:tcPr>
                  <w:tcW w:w="1146" w:type="dxa"/>
                  <w:vAlign w:val="center"/>
                </w:tcPr>
                <w:p w14:paraId="159E54D9">
                  <w:pPr>
                    <w:jc w:val="center"/>
                    <w:rPr>
                      <w:rFonts w:hAnsi="宋体"/>
                      <w:sz w:val="21"/>
                    </w:rPr>
                  </w:pPr>
                  <w:r>
                    <w:rPr>
                      <w:rFonts w:hint="eastAsia" w:hAnsi="宋体"/>
                      <w:sz w:val="21"/>
                    </w:rPr>
                    <w:t>办公室</w:t>
                  </w:r>
                </w:p>
              </w:tc>
              <w:tc>
                <w:tcPr>
                  <w:tcW w:w="5789" w:type="dxa"/>
                  <w:vAlign w:val="center"/>
                </w:tcPr>
                <w:p w14:paraId="4B88B4F0">
                  <w:pPr>
                    <w:rPr>
                      <w:rFonts w:hAnsi="宋体"/>
                      <w:sz w:val="21"/>
                    </w:rPr>
                  </w:pPr>
                  <w:r>
                    <w:rPr>
                      <w:rFonts w:hint="eastAsia" w:hAnsi="宋体"/>
                      <w:sz w:val="21"/>
                    </w:rPr>
                    <w:t>3层：办公区面积建筑面积约615.24m</w:t>
                  </w:r>
                  <w:r>
                    <w:rPr>
                      <w:rFonts w:hint="eastAsia" w:hAnsi="宋体"/>
                      <w:sz w:val="21"/>
                      <w:vertAlign w:val="superscript"/>
                    </w:rPr>
                    <w:t>2</w:t>
                  </w:r>
                  <w:r>
                    <w:rPr>
                      <w:rFonts w:hint="eastAsia" w:hAnsi="宋体"/>
                      <w:sz w:val="21"/>
                    </w:rPr>
                    <w:t>，包括综合部、会议室、财务室、质量部、市场部、档案室等。</w:t>
                  </w:r>
                </w:p>
              </w:tc>
            </w:tr>
            <w:tr w14:paraId="1AC7F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restart"/>
                  <w:vAlign w:val="center"/>
                </w:tcPr>
                <w:p w14:paraId="706628D7">
                  <w:pPr>
                    <w:jc w:val="center"/>
                    <w:rPr>
                      <w:rFonts w:hAnsi="宋体"/>
                      <w:sz w:val="21"/>
                    </w:rPr>
                  </w:pPr>
                  <w:r>
                    <w:rPr>
                      <w:rFonts w:hint="eastAsia" w:hAnsi="宋体"/>
                      <w:sz w:val="21"/>
                    </w:rPr>
                    <w:t>公用工程</w:t>
                  </w:r>
                </w:p>
              </w:tc>
              <w:tc>
                <w:tcPr>
                  <w:tcW w:w="1146" w:type="dxa"/>
                  <w:vAlign w:val="center"/>
                </w:tcPr>
                <w:p w14:paraId="4F49349C">
                  <w:pPr>
                    <w:jc w:val="center"/>
                    <w:rPr>
                      <w:sz w:val="21"/>
                      <w:szCs w:val="21"/>
                    </w:rPr>
                  </w:pPr>
                  <w:r>
                    <w:rPr>
                      <w:sz w:val="21"/>
                      <w:szCs w:val="21"/>
                    </w:rPr>
                    <w:t>给水</w:t>
                  </w:r>
                </w:p>
              </w:tc>
              <w:tc>
                <w:tcPr>
                  <w:tcW w:w="5789" w:type="dxa"/>
                  <w:vAlign w:val="center"/>
                </w:tcPr>
                <w:p w14:paraId="399D4120">
                  <w:pPr>
                    <w:rPr>
                      <w:sz w:val="21"/>
                      <w:szCs w:val="21"/>
                    </w:rPr>
                  </w:pPr>
                  <w:r>
                    <w:rPr>
                      <w:rFonts w:hint="eastAsia"/>
                      <w:sz w:val="21"/>
                      <w:szCs w:val="21"/>
                    </w:rPr>
                    <w:t>依托中国通信建设西安产业园8幢原有供水管网供给</w:t>
                  </w:r>
                </w:p>
              </w:tc>
            </w:tr>
            <w:tr w14:paraId="3FE2D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vAlign w:val="center"/>
                </w:tcPr>
                <w:p w14:paraId="0C0E37C8">
                  <w:pPr>
                    <w:jc w:val="center"/>
                    <w:rPr>
                      <w:rFonts w:hAnsi="宋体"/>
                      <w:sz w:val="21"/>
                    </w:rPr>
                  </w:pPr>
                </w:p>
              </w:tc>
              <w:tc>
                <w:tcPr>
                  <w:tcW w:w="1146" w:type="dxa"/>
                  <w:vAlign w:val="center"/>
                </w:tcPr>
                <w:p w14:paraId="28FF95C4">
                  <w:pPr>
                    <w:jc w:val="center"/>
                    <w:rPr>
                      <w:sz w:val="21"/>
                      <w:szCs w:val="21"/>
                    </w:rPr>
                  </w:pPr>
                  <w:r>
                    <w:rPr>
                      <w:sz w:val="21"/>
                      <w:szCs w:val="21"/>
                    </w:rPr>
                    <w:t>排水</w:t>
                  </w:r>
                </w:p>
              </w:tc>
              <w:tc>
                <w:tcPr>
                  <w:tcW w:w="5789" w:type="dxa"/>
                  <w:vAlign w:val="center"/>
                </w:tcPr>
                <w:p w14:paraId="7BFD2582">
                  <w:pPr>
                    <w:rPr>
                      <w:sz w:val="21"/>
                      <w:szCs w:val="21"/>
                    </w:rPr>
                  </w:pPr>
                  <w:r>
                    <w:rPr>
                      <w:rFonts w:hint="eastAsia"/>
                      <w:sz w:val="21"/>
                      <w:szCs w:val="21"/>
                    </w:rPr>
                    <w:t>依托中国通信建设西安产业园8幢原有雨水、污水管网</w:t>
                  </w:r>
                </w:p>
              </w:tc>
            </w:tr>
            <w:tr w14:paraId="31F5F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vAlign w:val="center"/>
                </w:tcPr>
                <w:p w14:paraId="2A0B7A5A">
                  <w:pPr>
                    <w:jc w:val="center"/>
                    <w:rPr>
                      <w:rFonts w:hAnsi="宋体"/>
                      <w:sz w:val="21"/>
                    </w:rPr>
                  </w:pPr>
                </w:p>
              </w:tc>
              <w:tc>
                <w:tcPr>
                  <w:tcW w:w="1146" w:type="dxa"/>
                  <w:vAlign w:val="center"/>
                </w:tcPr>
                <w:p w14:paraId="0C89F09B">
                  <w:pPr>
                    <w:contextualSpacing/>
                    <w:jc w:val="center"/>
                    <w:rPr>
                      <w:kern w:val="0"/>
                      <w:sz w:val="21"/>
                      <w:szCs w:val="21"/>
                    </w:rPr>
                  </w:pPr>
                  <w:r>
                    <w:rPr>
                      <w:kern w:val="0"/>
                      <w:sz w:val="21"/>
                      <w:szCs w:val="21"/>
                    </w:rPr>
                    <w:t>供电</w:t>
                  </w:r>
                </w:p>
              </w:tc>
              <w:tc>
                <w:tcPr>
                  <w:tcW w:w="5789" w:type="dxa"/>
                  <w:vAlign w:val="center"/>
                </w:tcPr>
                <w:p w14:paraId="5EE023A5">
                  <w:pPr>
                    <w:contextualSpacing/>
                    <w:rPr>
                      <w:kern w:val="0"/>
                      <w:sz w:val="21"/>
                      <w:szCs w:val="21"/>
                    </w:rPr>
                  </w:pPr>
                  <w:r>
                    <w:rPr>
                      <w:rFonts w:hint="eastAsia"/>
                      <w:kern w:val="0"/>
                      <w:sz w:val="21"/>
                      <w:szCs w:val="21"/>
                    </w:rPr>
                    <w:t>由</w:t>
                  </w:r>
                  <w:r>
                    <w:rPr>
                      <w:kern w:val="0"/>
                      <w:sz w:val="21"/>
                      <w:szCs w:val="21"/>
                    </w:rPr>
                    <w:t>中国通信建设西安产业园8幢</w:t>
                  </w:r>
                  <w:r>
                    <w:rPr>
                      <w:rFonts w:hint="eastAsia"/>
                      <w:kern w:val="0"/>
                      <w:sz w:val="21"/>
                      <w:szCs w:val="21"/>
                    </w:rPr>
                    <w:t>电网接入</w:t>
                  </w:r>
                </w:p>
              </w:tc>
            </w:tr>
            <w:tr w14:paraId="4235D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vAlign w:val="center"/>
                </w:tcPr>
                <w:p w14:paraId="1CAF8CA2">
                  <w:pPr>
                    <w:jc w:val="center"/>
                    <w:rPr>
                      <w:rFonts w:hAnsi="宋体"/>
                      <w:sz w:val="21"/>
                    </w:rPr>
                  </w:pPr>
                </w:p>
              </w:tc>
              <w:tc>
                <w:tcPr>
                  <w:tcW w:w="1146" w:type="dxa"/>
                  <w:vAlign w:val="center"/>
                </w:tcPr>
                <w:p w14:paraId="7DDBDD96">
                  <w:pPr>
                    <w:jc w:val="center"/>
                    <w:rPr>
                      <w:sz w:val="21"/>
                      <w:szCs w:val="21"/>
                    </w:rPr>
                  </w:pPr>
                  <w:r>
                    <w:rPr>
                      <w:rFonts w:hint="eastAsia"/>
                      <w:sz w:val="21"/>
                      <w:szCs w:val="21"/>
                    </w:rPr>
                    <w:t>采暖</w:t>
                  </w:r>
                  <w:r>
                    <w:rPr>
                      <w:sz w:val="21"/>
                      <w:szCs w:val="21"/>
                    </w:rPr>
                    <w:t>制冷</w:t>
                  </w:r>
                </w:p>
              </w:tc>
              <w:tc>
                <w:tcPr>
                  <w:tcW w:w="5789" w:type="dxa"/>
                  <w:vAlign w:val="center"/>
                </w:tcPr>
                <w:p w14:paraId="65ED2D61">
                  <w:pPr>
                    <w:rPr>
                      <w:sz w:val="21"/>
                      <w:szCs w:val="21"/>
                    </w:rPr>
                  </w:pPr>
                  <w:r>
                    <w:rPr>
                      <w:rFonts w:hint="eastAsia"/>
                      <w:sz w:val="21"/>
                      <w:szCs w:val="21"/>
                    </w:rPr>
                    <w:t>均采用空调</w:t>
                  </w:r>
                </w:p>
              </w:tc>
            </w:tr>
            <w:tr w14:paraId="2183B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restart"/>
                  <w:vAlign w:val="center"/>
                </w:tcPr>
                <w:p w14:paraId="297822F4">
                  <w:pPr>
                    <w:jc w:val="center"/>
                    <w:rPr>
                      <w:rFonts w:hAnsi="宋体"/>
                      <w:sz w:val="21"/>
                    </w:rPr>
                  </w:pPr>
                  <w:r>
                    <w:rPr>
                      <w:rFonts w:hint="eastAsia" w:hAnsi="宋体"/>
                      <w:sz w:val="21"/>
                    </w:rPr>
                    <w:t>环保工程</w:t>
                  </w:r>
                </w:p>
              </w:tc>
              <w:tc>
                <w:tcPr>
                  <w:tcW w:w="1146" w:type="dxa"/>
                  <w:vAlign w:val="center"/>
                </w:tcPr>
                <w:p w14:paraId="309660A5">
                  <w:pPr>
                    <w:jc w:val="center"/>
                    <w:rPr>
                      <w:rFonts w:hAnsi="宋体"/>
                      <w:sz w:val="21"/>
                      <w:highlight w:val="cyan"/>
                    </w:rPr>
                  </w:pPr>
                  <w:r>
                    <w:rPr>
                      <w:rFonts w:hint="eastAsia" w:hAnsi="宋体"/>
                      <w:sz w:val="21"/>
                    </w:rPr>
                    <w:t>废气</w:t>
                  </w:r>
                </w:p>
              </w:tc>
              <w:tc>
                <w:tcPr>
                  <w:tcW w:w="5789" w:type="dxa"/>
                  <w:vAlign w:val="center"/>
                </w:tcPr>
                <w:p w14:paraId="278DDD7C">
                  <w:pPr>
                    <w:rPr>
                      <w:rFonts w:hAnsi="宋体"/>
                      <w:sz w:val="21"/>
                      <w:highlight w:val="cyan"/>
                    </w:rPr>
                  </w:pPr>
                  <w:r>
                    <w:rPr>
                      <w:rFonts w:hint="eastAsia" w:hAnsi="宋体"/>
                      <w:sz w:val="21"/>
                    </w:rPr>
                    <w:t>实验室共设置15个通风橱用来收集实验产生的废气。有机前处理、分析、ICP分析时产生的挥发性有机物经通风橱收集后，引至楼顶活性炭吸附装置处理后通过15m高排气筒（DA001）排放；理化分析、原子吸收分析、气相色谱分析、GC-MS分析、原子荧光分析产生的废气经通风橱收集后，引至楼顶活性炭吸附装置处理后通过15m高排气筒（DA002）排放；无机前处理时所产生的酸雾经通风橱收集后，引至楼顶喷淋塔处理后通过15m高排气筒（DA003）排放。</w:t>
                  </w:r>
                </w:p>
              </w:tc>
            </w:tr>
            <w:tr w14:paraId="4FD80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vAlign w:val="center"/>
                </w:tcPr>
                <w:p w14:paraId="5D23B390">
                  <w:pPr>
                    <w:jc w:val="center"/>
                    <w:rPr>
                      <w:rFonts w:hAnsi="宋体"/>
                      <w:sz w:val="21"/>
                    </w:rPr>
                  </w:pPr>
                </w:p>
              </w:tc>
              <w:tc>
                <w:tcPr>
                  <w:tcW w:w="1146" w:type="dxa"/>
                  <w:vAlign w:val="center"/>
                </w:tcPr>
                <w:p w14:paraId="53F57A46">
                  <w:pPr>
                    <w:jc w:val="center"/>
                    <w:rPr>
                      <w:rFonts w:hAnsi="宋体"/>
                      <w:sz w:val="21"/>
                    </w:rPr>
                  </w:pPr>
                  <w:r>
                    <w:rPr>
                      <w:rFonts w:hint="eastAsia" w:hAnsi="宋体"/>
                      <w:sz w:val="21"/>
                    </w:rPr>
                    <w:t>废水</w:t>
                  </w:r>
                </w:p>
              </w:tc>
              <w:tc>
                <w:tcPr>
                  <w:tcW w:w="5789" w:type="dxa"/>
                  <w:vAlign w:val="center"/>
                </w:tcPr>
                <w:p w14:paraId="30A9F3A3">
                  <w:pPr>
                    <w:rPr>
                      <w:rFonts w:hAnsi="宋体"/>
                      <w:sz w:val="21"/>
                    </w:rPr>
                  </w:pPr>
                  <w:r>
                    <w:rPr>
                      <w:rFonts w:hint="eastAsia" w:hAnsi="宋体"/>
                      <w:sz w:val="21"/>
                    </w:rPr>
                    <w:t>实验清洗废水和剩余一般水样经废水处理设备（1t/d，酸碱中和）处理后排入</w:t>
                  </w:r>
                  <w:r>
                    <w:rPr>
                      <w:rFonts w:hint="eastAsia"/>
                      <w:sz w:val="21"/>
                      <w:szCs w:val="21"/>
                    </w:rPr>
                    <w:t>园区</w:t>
                  </w:r>
                  <w:r>
                    <w:rPr>
                      <w:rFonts w:hint="eastAsia" w:hAnsi="宋体"/>
                      <w:sz w:val="21"/>
                    </w:rPr>
                    <w:t>化粪池；</w:t>
                  </w:r>
                  <w:r>
                    <w:rPr>
                      <w:rFonts w:hint="eastAsia"/>
                      <w:sz w:val="21"/>
                      <w:szCs w:val="21"/>
                    </w:rPr>
                    <w:t>喷淋塔排水采用专用桶收集后转入废水处理设备，经处理后排入园区化粪池；</w:t>
                  </w:r>
                  <w:r>
                    <w:rPr>
                      <w:rFonts w:hint="eastAsia" w:hAnsi="宋体"/>
                      <w:sz w:val="21"/>
                    </w:rPr>
                    <w:t>生活污水、地面清洁废水、超纯水制备浓水等排入化粪池处理（依托</w:t>
                  </w:r>
                  <w:r>
                    <w:rPr>
                      <w:rFonts w:hint="eastAsia"/>
                      <w:sz w:val="21"/>
                      <w:szCs w:val="21"/>
                    </w:rPr>
                    <w:t>中国通信建设西安产业园8幢北侧，60m</w:t>
                  </w:r>
                  <w:r>
                    <w:rPr>
                      <w:rFonts w:hint="eastAsia"/>
                      <w:sz w:val="21"/>
                      <w:szCs w:val="21"/>
                      <w:vertAlign w:val="superscript"/>
                    </w:rPr>
                    <w:t>3</w:t>
                  </w:r>
                  <w:r>
                    <w:rPr>
                      <w:rFonts w:hint="eastAsia" w:hAnsi="宋体"/>
                      <w:sz w:val="21"/>
                    </w:rPr>
                    <w:t>），最终经市政污水管网排入西安市第七污水处理厂。</w:t>
                  </w:r>
                </w:p>
              </w:tc>
            </w:tr>
            <w:tr w14:paraId="605D5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vAlign w:val="center"/>
                </w:tcPr>
                <w:p w14:paraId="1801EB39">
                  <w:pPr>
                    <w:jc w:val="center"/>
                    <w:rPr>
                      <w:rFonts w:hAnsi="宋体"/>
                      <w:sz w:val="21"/>
                    </w:rPr>
                  </w:pPr>
                </w:p>
              </w:tc>
              <w:tc>
                <w:tcPr>
                  <w:tcW w:w="1146" w:type="dxa"/>
                  <w:vMerge w:val="restart"/>
                  <w:vAlign w:val="center"/>
                </w:tcPr>
                <w:p w14:paraId="04F9D6F1">
                  <w:pPr>
                    <w:jc w:val="center"/>
                    <w:rPr>
                      <w:rFonts w:hAnsi="宋体"/>
                      <w:sz w:val="21"/>
                    </w:rPr>
                  </w:pPr>
                  <w:r>
                    <w:rPr>
                      <w:rFonts w:hint="eastAsia" w:hAnsi="宋体"/>
                      <w:sz w:val="21"/>
                    </w:rPr>
                    <w:t>固废</w:t>
                  </w:r>
                </w:p>
              </w:tc>
              <w:tc>
                <w:tcPr>
                  <w:tcW w:w="5789" w:type="dxa"/>
                  <w:vAlign w:val="center"/>
                </w:tcPr>
                <w:p w14:paraId="2E47B924">
                  <w:pPr>
                    <w:rPr>
                      <w:sz w:val="21"/>
                      <w:szCs w:val="21"/>
                    </w:rPr>
                  </w:pPr>
                  <w:r>
                    <w:rPr>
                      <w:rFonts w:hint="eastAsia"/>
                      <w:sz w:val="21"/>
                      <w:szCs w:val="21"/>
                    </w:rPr>
                    <w:t>设置垃圾桶若干，</w:t>
                  </w:r>
                  <w:r>
                    <w:rPr>
                      <w:sz w:val="21"/>
                      <w:szCs w:val="21"/>
                    </w:rPr>
                    <w:t>生活垃圾</w:t>
                  </w:r>
                  <w:r>
                    <w:rPr>
                      <w:rFonts w:hint="eastAsia"/>
                      <w:sz w:val="21"/>
                      <w:szCs w:val="21"/>
                    </w:rPr>
                    <w:t>分类</w:t>
                  </w:r>
                  <w:r>
                    <w:rPr>
                      <w:sz w:val="21"/>
                      <w:szCs w:val="21"/>
                    </w:rPr>
                    <w:t>收集</w:t>
                  </w:r>
                  <w:r>
                    <w:rPr>
                      <w:kern w:val="0"/>
                      <w:sz w:val="21"/>
                      <w:szCs w:val="21"/>
                    </w:rPr>
                    <w:t>后运至园区指定地点</w:t>
                  </w:r>
                  <w:r>
                    <w:rPr>
                      <w:rFonts w:hint="eastAsia"/>
                      <w:kern w:val="0"/>
                      <w:sz w:val="21"/>
                      <w:szCs w:val="21"/>
                    </w:rPr>
                    <w:t>，</w:t>
                  </w:r>
                  <w:r>
                    <w:rPr>
                      <w:kern w:val="0"/>
                      <w:sz w:val="21"/>
                      <w:szCs w:val="21"/>
                    </w:rPr>
                    <w:t>由环卫</w:t>
                  </w:r>
                  <w:r>
                    <w:rPr>
                      <w:rFonts w:hint="eastAsia"/>
                      <w:kern w:val="0"/>
                      <w:sz w:val="21"/>
                      <w:szCs w:val="21"/>
                    </w:rPr>
                    <w:t>部门统一</w:t>
                  </w:r>
                  <w:r>
                    <w:rPr>
                      <w:kern w:val="0"/>
                      <w:sz w:val="21"/>
                      <w:szCs w:val="21"/>
                    </w:rPr>
                    <w:t>清运</w:t>
                  </w:r>
                  <w:r>
                    <w:rPr>
                      <w:rFonts w:hint="eastAsia"/>
                      <w:kern w:val="0"/>
                      <w:sz w:val="21"/>
                      <w:szCs w:val="21"/>
                    </w:rPr>
                    <w:t>。</w:t>
                  </w:r>
                </w:p>
              </w:tc>
            </w:tr>
            <w:tr w14:paraId="11AEA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vAlign w:val="center"/>
                </w:tcPr>
                <w:p w14:paraId="79D09BC8">
                  <w:pPr>
                    <w:jc w:val="center"/>
                    <w:rPr>
                      <w:rFonts w:hAnsi="宋体"/>
                      <w:sz w:val="21"/>
                    </w:rPr>
                  </w:pPr>
                </w:p>
              </w:tc>
              <w:tc>
                <w:tcPr>
                  <w:tcW w:w="1146" w:type="dxa"/>
                  <w:vMerge w:val="continue"/>
                  <w:vAlign w:val="center"/>
                </w:tcPr>
                <w:p w14:paraId="541ED95E">
                  <w:pPr>
                    <w:jc w:val="center"/>
                    <w:rPr>
                      <w:rFonts w:hAnsi="宋体"/>
                      <w:sz w:val="21"/>
                    </w:rPr>
                  </w:pPr>
                </w:p>
              </w:tc>
              <w:tc>
                <w:tcPr>
                  <w:tcW w:w="5789" w:type="dxa"/>
                  <w:vAlign w:val="center"/>
                </w:tcPr>
                <w:p w14:paraId="1E0EE87D">
                  <w:pPr>
                    <w:rPr>
                      <w:sz w:val="21"/>
                      <w:szCs w:val="21"/>
                    </w:rPr>
                  </w:pPr>
                  <w:r>
                    <w:rPr>
                      <w:rFonts w:hint="eastAsia"/>
                      <w:kern w:val="0"/>
                      <w:sz w:val="21"/>
                      <w:szCs w:val="21"/>
                    </w:rPr>
                    <w:t>废滤芯由超纯水机厂家更换后带走处置；</w:t>
                  </w:r>
                  <w:r>
                    <w:rPr>
                      <w:kern w:val="0"/>
                      <w:sz w:val="21"/>
                      <w:szCs w:val="21"/>
                    </w:rPr>
                    <w:t>办公过程</w:t>
                  </w:r>
                  <w:r>
                    <w:rPr>
                      <w:rFonts w:hint="eastAsia"/>
                      <w:kern w:val="0"/>
                      <w:sz w:val="21"/>
                      <w:szCs w:val="21"/>
                    </w:rPr>
                    <w:t>中</w:t>
                  </w:r>
                  <w:r>
                    <w:rPr>
                      <w:kern w:val="0"/>
                      <w:sz w:val="21"/>
                      <w:szCs w:val="21"/>
                    </w:rPr>
                    <w:t>产生的废包装收集后外售</w:t>
                  </w:r>
                  <w:r>
                    <w:rPr>
                      <w:rFonts w:hint="eastAsia"/>
                      <w:kern w:val="0"/>
                      <w:sz w:val="21"/>
                      <w:szCs w:val="21"/>
                    </w:rPr>
                    <w:t>利用；剩余一般样品和废培养基（灭菌锅灭菌）收集后作为一般固废</w:t>
                  </w:r>
                  <w:r>
                    <w:rPr>
                      <w:kern w:val="0"/>
                      <w:sz w:val="21"/>
                      <w:szCs w:val="21"/>
                    </w:rPr>
                    <w:t>处置</w:t>
                  </w:r>
                  <w:r>
                    <w:rPr>
                      <w:rFonts w:hint="eastAsia"/>
                      <w:kern w:val="0"/>
                      <w:sz w:val="21"/>
                      <w:szCs w:val="21"/>
                    </w:rPr>
                    <w:t>，剩余超标样品</w:t>
                  </w:r>
                  <w:r>
                    <w:rPr>
                      <w:rFonts w:hint="eastAsia"/>
                      <w:sz w:val="21"/>
                      <w:szCs w:val="21"/>
                    </w:rPr>
                    <w:t>待出具检测报告后退回送检单位。</w:t>
                  </w:r>
                </w:p>
              </w:tc>
            </w:tr>
            <w:tr w14:paraId="12C4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tcPr>
                <w:p w14:paraId="39DCB3F8">
                  <w:pPr>
                    <w:jc w:val="center"/>
                    <w:rPr>
                      <w:rFonts w:hAnsi="宋体"/>
                      <w:sz w:val="21"/>
                    </w:rPr>
                  </w:pPr>
                </w:p>
              </w:tc>
              <w:tc>
                <w:tcPr>
                  <w:tcW w:w="1146" w:type="dxa"/>
                  <w:vMerge w:val="continue"/>
                </w:tcPr>
                <w:p w14:paraId="019C6462">
                  <w:pPr>
                    <w:jc w:val="center"/>
                    <w:rPr>
                      <w:rFonts w:hAnsi="宋体"/>
                      <w:sz w:val="21"/>
                    </w:rPr>
                  </w:pPr>
                </w:p>
              </w:tc>
              <w:tc>
                <w:tcPr>
                  <w:tcW w:w="5789" w:type="dxa"/>
                  <w:vAlign w:val="center"/>
                </w:tcPr>
                <w:p w14:paraId="5F6EF86A">
                  <w:pPr>
                    <w:rPr>
                      <w:sz w:val="21"/>
                      <w:szCs w:val="21"/>
                    </w:rPr>
                  </w:pPr>
                  <w:r>
                    <w:rPr>
                      <w:rFonts w:hint="eastAsia"/>
                      <w:sz w:val="21"/>
                      <w:szCs w:val="21"/>
                    </w:rPr>
                    <w:t>设危废贮存点1处（</w:t>
                  </w:r>
                  <w:r>
                    <w:rPr>
                      <w:sz w:val="21"/>
                      <w:szCs w:val="21"/>
                    </w:rPr>
                    <w:t>环氧地面防渗，标识清晰，危废分类存放，内设托盘</w:t>
                  </w:r>
                  <w:r>
                    <w:rPr>
                      <w:rFonts w:hint="eastAsia"/>
                      <w:sz w:val="21"/>
                      <w:szCs w:val="21"/>
                    </w:rPr>
                    <w:t>），用于贮存实验检测产生的实验废液、一次清洗废水、废试剂瓶、过期试剂、废紫外灯管、废活性炭等，</w:t>
                  </w:r>
                  <w:r>
                    <w:rPr>
                      <w:sz w:val="21"/>
                      <w:szCs w:val="21"/>
                    </w:rPr>
                    <w:t>定期交</w:t>
                  </w:r>
                  <w:r>
                    <w:rPr>
                      <w:rFonts w:hint="eastAsia"/>
                      <w:sz w:val="21"/>
                      <w:szCs w:val="21"/>
                    </w:rPr>
                    <w:t>由陕西宏恩等离子技术有限责任公司</w:t>
                  </w:r>
                  <w:r>
                    <w:rPr>
                      <w:sz w:val="21"/>
                      <w:szCs w:val="21"/>
                    </w:rPr>
                    <w:t>处置</w:t>
                  </w:r>
                  <w:r>
                    <w:rPr>
                      <w:rFonts w:hint="eastAsia"/>
                      <w:sz w:val="21"/>
                      <w:szCs w:val="21"/>
                    </w:rPr>
                    <w:t>。</w:t>
                  </w:r>
                </w:p>
              </w:tc>
            </w:tr>
            <w:tr w14:paraId="0F872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2" w:type="dxa"/>
                  <w:vMerge w:val="continue"/>
                </w:tcPr>
                <w:p w14:paraId="391E1E30">
                  <w:pPr>
                    <w:jc w:val="center"/>
                    <w:rPr>
                      <w:rFonts w:hAnsi="宋体"/>
                      <w:sz w:val="21"/>
                    </w:rPr>
                  </w:pPr>
                </w:p>
              </w:tc>
              <w:tc>
                <w:tcPr>
                  <w:tcW w:w="1146" w:type="dxa"/>
                </w:tcPr>
                <w:p w14:paraId="7AD27B2B">
                  <w:pPr>
                    <w:jc w:val="center"/>
                    <w:rPr>
                      <w:rFonts w:hAnsi="宋体"/>
                      <w:sz w:val="21"/>
                    </w:rPr>
                  </w:pPr>
                  <w:r>
                    <w:rPr>
                      <w:rFonts w:hint="eastAsia" w:hAnsi="宋体"/>
                      <w:sz w:val="21"/>
                    </w:rPr>
                    <w:t>噪声</w:t>
                  </w:r>
                </w:p>
              </w:tc>
              <w:tc>
                <w:tcPr>
                  <w:tcW w:w="5789" w:type="dxa"/>
                  <w:vAlign w:val="center"/>
                </w:tcPr>
                <w:p w14:paraId="2F76D7E4">
                  <w:pPr>
                    <w:autoSpaceDE w:val="0"/>
                    <w:autoSpaceDN w:val="0"/>
                    <w:adjustRightInd w:val="0"/>
                    <w:snapToGrid w:val="0"/>
                    <w:rPr>
                      <w:sz w:val="21"/>
                      <w:szCs w:val="21"/>
                    </w:rPr>
                  </w:pPr>
                  <w:r>
                    <w:rPr>
                      <w:sz w:val="21"/>
                      <w:szCs w:val="21"/>
                    </w:rPr>
                    <w:t>选用低噪声设备，加装减振基座，管道设柔性连接</w:t>
                  </w:r>
                  <w:r>
                    <w:rPr>
                      <w:rFonts w:hint="eastAsia"/>
                      <w:sz w:val="21"/>
                      <w:szCs w:val="21"/>
                    </w:rPr>
                    <w:t>，厂房隔声等措施。</w:t>
                  </w:r>
                </w:p>
              </w:tc>
            </w:tr>
          </w:tbl>
          <w:p w14:paraId="3DF4921F">
            <w:pPr>
              <w:widowControl/>
              <w:spacing w:line="360" w:lineRule="auto"/>
              <w:ind w:firstLine="482" w:firstLineChars="200"/>
              <w:jc w:val="left"/>
              <w:rPr>
                <w:b/>
                <w:bCs/>
                <w:kern w:val="0"/>
                <w:lang w:bidi="ar"/>
              </w:rPr>
            </w:pPr>
            <w:r>
              <w:rPr>
                <w:rFonts w:hint="eastAsia"/>
                <w:b/>
                <w:bCs/>
                <w:kern w:val="0"/>
                <w:lang w:bidi="ar"/>
              </w:rPr>
              <w:t>3</w:t>
            </w:r>
            <w:r>
              <w:rPr>
                <w:b/>
                <w:bCs/>
                <w:kern w:val="0"/>
                <w:lang w:bidi="ar"/>
              </w:rPr>
              <w:t>、</w:t>
            </w:r>
            <w:r>
              <w:rPr>
                <w:rFonts w:hint="eastAsia"/>
                <w:b/>
                <w:bCs/>
                <w:kern w:val="0"/>
                <w:lang w:bidi="ar"/>
              </w:rPr>
              <w:t>现有项目污染物排放情况</w:t>
            </w:r>
          </w:p>
          <w:p w14:paraId="3CAB2EA5">
            <w:pPr>
              <w:spacing w:line="360" w:lineRule="auto"/>
              <w:ind w:firstLine="480" w:firstLineChars="200"/>
              <w:rPr>
                <w:szCs w:val="32"/>
              </w:rPr>
            </w:pPr>
            <w:r>
              <w:rPr>
                <w:rFonts w:hint="eastAsia"/>
                <w:szCs w:val="32"/>
              </w:rPr>
              <w:t>根据企业提供的2024年例行监测报告（报告编号：2024-LB-001）（附件7），现有项目污染情况及污染治理措施如下：</w:t>
            </w:r>
          </w:p>
          <w:p w14:paraId="348F1FA9">
            <w:pPr>
              <w:spacing w:line="360" w:lineRule="auto"/>
              <w:ind w:firstLine="480" w:firstLineChars="200"/>
              <w:rPr>
                <w:szCs w:val="32"/>
              </w:rPr>
            </w:pPr>
            <w:r>
              <w:rPr>
                <w:szCs w:val="32"/>
              </w:rPr>
              <w:t>（1）废气</w:t>
            </w:r>
          </w:p>
          <w:p w14:paraId="0593BC26">
            <w:pPr>
              <w:spacing w:line="360" w:lineRule="auto"/>
              <w:ind w:firstLine="480" w:firstLineChars="200"/>
              <w:rPr>
                <w:szCs w:val="32"/>
              </w:rPr>
            </w:pPr>
            <w:r>
              <w:rPr>
                <w:szCs w:val="32"/>
              </w:rPr>
              <w:t>现有项目</w:t>
            </w:r>
            <w:r>
              <w:rPr>
                <w:rFonts w:hint="eastAsia"/>
                <w:szCs w:val="32"/>
              </w:rPr>
              <w:t>废气主要包括</w:t>
            </w:r>
            <w:r>
              <w:rPr>
                <w:szCs w:val="32"/>
              </w:rPr>
              <w:t>理化分析、原子吸收分析、气相色谱分析、GC-MS分析、原子荧光分析产生的</w:t>
            </w:r>
            <w:r>
              <w:rPr>
                <w:rFonts w:hint="eastAsia"/>
                <w:szCs w:val="32"/>
              </w:rPr>
              <w:t>挥发性有机</w:t>
            </w:r>
            <w:r>
              <w:rPr>
                <w:szCs w:val="32"/>
              </w:rPr>
              <w:t>废气</w:t>
            </w:r>
            <w:r>
              <w:rPr>
                <w:rFonts w:hint="eastAsia"/>
                <w:szCs w:val="32"/>
              </w:rPr>
              <w:t>（以非甲烷总烃计），有</w:t>
            </w:r>
            <w:r>
              <w:rPr>
                <w:szCs w:val="32"/>
              </w:rPr>
              <w:t>机前处理、分析、ICP分析时产生的挥发性有机物废气</w:t>
            </w:r>
            <w:r>
              <w:rPr>
                <w:rFonts w:hint="eastAsia"/>
                <w:szCs w:val="32"/>
              </w:rPr>
              <w:t>（以非甲烷总烃计），</w:t>
            </w:r>
            <w:r>
              <w:rPr>
                <w:szCs w:val="32"/>
              </w:rPr>
              <w:t>无机前处理时所产生的酸雾</w:t>
            </w:r>
            <w:r>
              <w:rPr>
                <w:rFonts w:hint="eastAsia"/>
                <w:szCs w:val="32"/>
              </w:rPr>
              <w:t>（氯化氢、硫酸雾），其中，</w:t>
            </w:r>
            <w:r>
              <w:rPr>
                <w:szCs w:val="32"/>
              </w:rPr>
              <w:t>挥发性有机物经通风橱收集后</w:t>
            </w:r>
            <w:r>
              <w:rPr>
                <w:rFonts w:hint="eastAsia"/>
                <w:szCs w:val="32"/>
              </w:rPr>
              <w:t>分别</w:t>
            </w:r>
            <w:r>
              <w:rPr>
                <w:szCs w:val="32"/>
              </w:rPr>
              <w:t>引至楼顶</w:t>
            </w:r>
            <w:r>
              <w:rPr>
                <w:rFonts w:hint="eastAsia"/>
                <w:szCs w:val="32"/>
              </w:rPr>
              <w:t>2套</w:t>
            </w:r>
            <w:r>
              <w:rPr>
                <w:szCs w:val="32"/>
              </w:rPr>
              <w:t>活性炭吸附装置处理后通过15m高排气筒</w:t>
            </w:r>
            <w:r>
              <w:rPr>
                <w:rFonts w:hint="eastAsia"/>
                <w:szCs w:val="32"/>
              </w:rPr>
              <w:t>（1#排气筒：楼顶南侧，2#排气筒：楼顶西北侧）</w:t>
            </w:r>
            <w:r>
              <w:rPr>
                <w:szCs w:val="32"/>
              </w:rPr>
              <w:t>排放</w:t>
            </w:r>
            <w:r>
              <w:rPr>
                <w:rFonts w:hint="eastAsia"/>
                <w:szCs w:val="32"/>
              </w:rPr>
              <w:t>，酸雾</w:t>
            </w:r>
            <w:r>
              <w:rPr>
                <w:szCs w:val="32"/>
              </w:rPr>
              <w:t>经通风橱收集后引至楼顶喷淋塔处理后通过15m高排气筒</w:t>
            </w:r>
            <w:r>
              <w:rPr>
                <w:rFonts w:hint="eastAsia"/>
                <w:szCs w:val="32"/>
              </w:rPr>
              <w:t>（3#排气筒：楼顶东北侧）</w:t>
            </w:r>
            <w:r>
              <w:rPr>
                <w:szCs w:val="32"/>
              </w:rPr>
              <w:t>排放</w:t>
            </w:r>
            <w:r>
              <w:rPr>
                <w:rFonts w:hint="eastAsia"/>
                <w:szCs w:val="32"/>
              </w:rPr>
              <w:t>。</w:t>
            </w:r>
            <w:r>
              <w:rPr>
                <w:rFonts w:hint="eastAsia"/>
                <w:color w:val="FF0000"/>
                <w:szCs w:val="32"/>
                <w:lang w:val="en-US" w:eastAsia="zh-CN"/>
              </w:rPr>
              <w:t>有机试剂年使用时间</w:t>
            </w:r>
            <w:r>
              <w:rPr>
                <w:rFonts w:hint="eastAsia"/>
                <w:color w:val="FF0000"/>
                <w:szCs w:val="32"/>
                <w:lang w:val="en-US" w:eastAsia="zh-CN"/>
              </w:rPr>
              <w:t>为250h，盐酸、硫酸年使用时间为500h。</w:t>
            </w:r>
            <w:r>
              <w:rPr>
                <w:szCs w:val="32"/>
              </w:rPr>
              <w:t>根据</w:t>
            </w:r>
            <w:r>
              <w:rPr>
                <w:rFonts w:hint="eastAsia"/>
                <w:szCs w:val="32"/>
              </w:rPr>
              <w:t>企业于2024年3月15日对废气排口污染物的监测，监测结果见表2-9。</w:t>
            </w:r>
          </w:p>
          <w:p w14:paraId="3E0D63C4">
            <w:pPr>
              <w:jc w:val="center"/>
              <w:rPr>
                <w:b/>
                <w:sz w:val="21"/>
                <w:szCs w:val="21"/>
              </w:rPr>
            </w:pPr>
            <w:r>
              <w:rPr>
                <w:rFonts w:hint="eastAsia"/>
                <w:b/>
                <w:sz w:val="21"/>
                <w:szCs w:val="21"/>
              </w:rPr>
              <w:t>表2-9</w:t>
            </w:r>
            <w:r>
              <w:rPr>
                <w:b/>
                <w:sz w:val="21"/>
                <w:szCs w:val="21"/>
              </w:rPr>
              <w:t xml:space="preserve">  </w:t>
            </w:r>
            <w:r>
              <w:rPr>
                <w:rFonts w:hint="eastAsia"/>
                <w:b/>
                <w:sz w:val="21"/>
                <w:szCs w:val="21"/>
              </w:rPr>
              <w:t>现有项目实验室废气排放情况一览表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668"/>
              <w:gridCol w:w="1322"/>
              <w:gridCol w:w="1147"/>
              <w:gridCol w:w="960"/>
              <w:gridCol w:w="1133"/>
              <w:gridCol w:w="974"/>
              <w:gridCol w:w="640"/>
              <w:gridCol w:w="657"/>
            </w:tblGrid>
            <w:tr w14:paraId="57ACE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1" w:type="pct"/>
                  <w:vMerge w:val="restart"/>
                  <w:vAlign w:val="center"/>
                </w:tcPr>
                <w:p w14:paraId="0DBF2D15">
                  <w:pPr>
                    <w:jc w:val="center"/>
                    <w:rPr>
                      <w:b/>
                      <w:bCs/>
                      <w:sz w:val="21"/>
                      <w:szCs w:val="21"/>
                    </w:rPr>
                  </w:pPr>
                  <w:r>
                    <w:rPr>
                      <w:b/>
                      <w:bCs/>
                      <w:sz w:val="21"/>
                      <w:szCs w:val="21"/>
                    </w:rPr>
                    <w:t>废气类别</w:t>
                  </w:r>
                </w:p>
              </w:tc>
              <w:tc>
                <w:tcPr>
                  <w:tcW w:w="421" w:type="pct"/>
                  <w:vMerge w:val="restart"/>
                  <w:vAlign w:val="center"/>
                </w:tcPr>
                <w:p w14:paraId="20D737E8">
                  <w:pPr>
                    <w:jc w:val="center"/>
                    <w:rPr>
                      <w:b/>
                      <w:bCs/>
                      <w:sz w:val="21"/>
                      <w:szCs w:val="21"/>
                    </w:rPr>
                  </w:pPr>
                  <w:r>
                    <w:rPr>
                      <w:b/>
                      <w:bCs/>
                      <w:sz w:val="21"/>
                      <w:szCs w:val="21"/>
                    </w:rPr>
                    <w:t>污染因子</w:t>
                  </w:r>
                </w:p>
              </w:tc>
              <w:tc>
                <w:tcPr>
                  <w:tcW w:w="833" w:type="pct"/>
                  <w:vMerge w:val="restart"/>
                  <w:vAlign w:val="center"/>
                </w:tcPr>
                <w:p w14:paraId="46255022">
                  <w:pPr>
                    <w:jc w:val="center"/>
                    <w:rPr>
                      <w:b/>
                      <w:bCs/>
                      <w:sz w:val="21"/>
                      <w:szCs w:val="21"/>
                    </w:rPr>
                  </w:pPr>
                  <w:r>
                    <w:rPr>
                      <w:b/>
                      <w:bCs/>
                      <w:sz w:val="21"/>
                      <w:szCs w:val="21"/>
                    </w:rPr>
                    <w:t>处置措施</w:t>
                  </w:r>
                </w:p>
              </w:tc>
              <w:tc>
                <w:tcPr>
                  <w:tcW w:w="3473" w:type="pct"/>
                  <w:gridSpan w:val="6"/>
                  <w:vAlign w:val="center"/>
                </w:tcPr>
                <w:p w14:paraId="57F89BFD">
                  <w:pPr>
                    <w:jc w:val="center"/>
                    <w:rPr>
                      <w:b/>
                      <w:bCs/>
                      <w:sz w:val="21"/>
                      <w:szCs w:val="21"/>
                    </w:rPr>
                  </w:pPr>
                  <w:r>
                    <w:rPr>
                      <w:b/>
                      <w:bCs/>
                      <w:sz w:val="21"/>
                      <w:szCs w:val="21"/>
                    </w:rPr>
                    <w:t>排放源强</w:t>
                  </w:r>
                </w:p>
              </w:tc>
            </w:tr>
            <w:tr w14:paraId="64CAA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1" w:type="pct"/>
                  <w:vMerge w:val="continue"/>
                  <w:vAlign w:val="center"/>
                </w:tcPr>
                <w:p w14:paraId="607DF695">
                  <w:pPr>
                    <w:jc w:val="center"/>
                    <w:rPr>
                      <w:b/>
                      <w:bCs/>
                      <w:sz w:val="21"/>
                      <w:szCs w:val="21"/>
                    </w:rPr>
                  </w:pPr>
                </w:p>
              </w:tc>
              <w:tc>
                <w:tcPr>
                  <w:tcW w:w="421" w:type="pct"/>
                  <w:vMerge w:val="continue"/>
                  <w:vAlign w:val="center"/>
                </w:tcPr>
                <w:p w14:paraId="359B1DC7">
                  <w:pPr>
                    <w:jc w:val="center"/>
                    <w:rPr>
                      <w:b/>
                      <w:bCs/>
                      <w:sz w:val="21"/>
                      <w:szCs w:val="21"/>
                    </w:rPr>
                  </w:pPr>
                </w:p>
              </w:tc>
              <w:tc>
                <w:tcPr>
                  <w:tcW w:w="833" w:type="pct"/>
                  <w:vMerge w:val="continue"/>
                  <w:vAlign w:val="center"/>
                </w:tcPr>
                <w:p w14:paraId="3A043BB7">
                  <w:pPr>
                    <w:jc w:val="center"/>
                    <w:rPr>
                      <w:b/>
                      <w:bCs/>
                      <w:sz w:val="21"/>
                      <w:szCs w:val="21"/>
                    </w:rPr>
                  </w:pPr>
                </w:p>
              </w:tc>
              <w:tc>
                <w:tcPr>
                  <w:tcW w:w="723" w:type="pct"/>
                  <w:vAlign w:val="center"/>
                </w:tcPr>
                <w:p w14:paraId="6FD2A2DB">
                  <w:pPr>
                    <w:jc w:val="center"/>
                    <w:rPr>
                      <w:b/>
                      <w:bCs/>
                      <w:sz w:val="21"/>
                      <w:szCs w:val="21"/>
                    </w:rPr>
                  </w:pPr>
                  <w:r>
                    <w:rPr>
                      <w:rFonts w:hint="eastAsia"/>
                      <w:b/>
                      <w:bCs/>
                      <w:sz w:val="21"/>
                      <w:szCs w:val="21"/>
                    </w:rPr>
                    <w:t>最大</w:t>
                  </w:r>
                  <w:r>
                    <w:rPr>
                      <w:b/>
                      <w:bCs/>
                      <w:sz w:val="21"/>
                      <w:szCs w:val="21"/>
                    </w:rPr>
                    <w:t>排放浓度</w:t>
                  </w:r>
                  <w:r>
                    <w:rPr>
                      <w:rFonts w:hint="eastAsia"/>
                      <w:b/>
                      <w:bCs/>
                      <w:sz w:val="21"/>
                      <w:szCs w:val="21"/>
                    </w:rPr>
                    <w:t>（mg/m</w:t>
                  </w:r>
                  <w:r>
                    <w:rPr>
                      <w:rFonts w:hint="eastAsia"/>
                      <w:b/>
                      <w:bCs/>
                      <w:sz w:val="21"/>
                      <w:szCs w:val="21"/>
                      <w:vertAlign w:val="superscript"/>
                    </w:rPr>
                    <w:t>3</w:t>
                  </w:r>
                  <w:r>
                    <w:rPr>
                      <w:rFonts w:hint="eastAsia"/>
                      <w:b/>
                      <w:bCs/>
                      <w:sz w:val="21"/>
                      <w:szCs w:val="21"/>
                    </w:rPr>
                    <w:t>）</w:t>
                  </w:r>
                </w:p>
              </w:tc>
              <w:tc>
                <w:tcPr>
                  <w:tcW w:w="605" w:type="pct"/>
                  <w:vAlign w:val="center"/>
                </w:tcPr>
                <w:p w14:paraId="2840CC83">
                  <w:pPr>
                    <w:jc w:val="center"/>
                    <w:rPr>
                      <w:b/>
                      <w:bCs/>
                      <w:sz w:val="21"/>
                      <w:szCs w:val="21"/>
                    </w:rPr>
                  </w:pPr>
                  <w:r>
                    <w:rPr>
                      <w:b/>
                      <w:bCs/>
                      <w:sz w:val="21"/>
                      <w:szCs w:val="21"/>
                    </w:rPr>
                    <w:t>最大排放速率</w:t>
                  </w:r>
                  <w:r>
                    <w:rPr>
                      <w:rFonts w:hint="eastAsia"/>
                      <w:b/>
                      <w:bCs/>
                      <w:sz w:val="21"/>
                      <w:szCs w:val="21"/>
                    </w:rPr>
                    <w:t>（</w:t>
                  </w:r>
                  <w:r>
                    <w:rPr>
                      <w:b/>
                      <w:bCs/>
                      <w:sz w:val="21"/>
                      <w:szCs w:val="21"/>
                    </w:rPr>
                    <w:t>kg/h</w:t>
                  </w:r>
                  <w:r>
                    <w:rPr>
                      <w:rFonts w:hint="eastAsia"/>
                      <w:b/>
                      <w:bCs/>
                      <w:sz w:val="21"/>
                      <w:szCs w:val="21"/>
                    </w:rPr>
                    <w:t>）</w:t>
                  </w:r>
                </w:p>
              </w:tc>
              <w:tc>
                <w:tcPr>
                  <w:tcW w:w="714" w:type="pct"/>
                  <w:vAlign w:val="center"/>
                </w:tcPr>
                <w:p w14:paraId="34450611">
                  <w:pPr>
                    <w:jc w:val="center"/>
                    <w:rPr>
                      <w:b/>
                      <w:bCs/>
                      <w:sz w:val="21"/>
                      <w:szCs w:val="21"/>
                    </w:rPr>
                  </w:pPr>
                  <w:r>
                    <w:rPr>
                      <w:b/>
                      <w:bCs/>
                      <w:sz w:val="21"/>
                      <w:szCs w:val="21"/>
                    </w:rPr>
                    <w:t>排放</w:t>
                  </w:r>
                  <w:r>
                    <w:rPr>
                      <w:rFonts w:hint="eastAsia"/>
                      <w:b/>
                      <w:bCs/>
                      <w:sz w:val="21"/>
                      <w:szCs w:val="21"/>
                    </w:rPr>
                    <w:t>浓度</w:t>
                  </w:r>
                  <w:r>
                    <w:rPr>
                      <w:b/>
                      <w:bCs/>
                      <w:sz w:val="21"/>
                      <w:szCs w:val="21"/>
                    </w:rPr>
                    <w:t>标准值</w:t>
                  </w:r>
                  <w:r>
                    <w:rPr>
                      <w:rFonts w:hint="eastAsia"/>
                      <w:b/>
                      <w:bCs/>
                      <w:sz w:val="21"/>
                      <w:szCs w:val="21"/>
                    </w:rPr>
                    <w:t>（</w:t>
                  </w:r>
                  <w:r>
                    <w:rPr>
                      <w:b/>
                      <w:bCs/>
                      <w:sz w:val="21"/>
                      <w:szCs w:val="21"/>
                    </w:rPr>
                    <w:t>mg/m</w:t>
                  </w:r>
                  <w:r>
                    <w:rPr>
                      <w:b/>
                      <w:bCs/>
                      <w:sz w:val="21"/>
                      <w:szCs w:val="21"/>
                      <w:vertAlign w:val="superscript"/>
                    </w:rPr>
                    <w:t>3</w:t>
                  </w:r>
                  <w:r>
                    <w:rPr>
                      <w:rFonts w:hint="eastAsia"/>
                      <w:b/>
                      <w:bCs/>
                      <w:sz w:val="21"/>
                      <w:szCs w:val="21"/>
                    </w:rPr>
                    <w:t>）</w:t>
                  </w:r>
                </w:p>
              </w:tc>
              <w:tc>
                <w:tcPr>
                  <w:tcW w:w="613" w:type="pct"/>
                  <w:vAlign w:val="center"/>
                </w:tcPr>
                <w:p w14:paraId="0374DADE">
                  <w:pPr>
                    <w:jc w:val="center"/>
                    <w:rPr>
                      <w:b/>
                      <w:bCs/>
                      <w:sz w:val="21"/>
                      <w:szCs w:val="21"/>
                    </w:rPr>
                  </w:pPr>
                  <w:r>
                    <w:rPr>
                      <w:b/>
                      <w:bCs/>
                      <w:sz w:val="21"/>
                      <w:szCs w:val="21"/>
                    </w:rPr>
                    <w:t>排放</w:t>
                  </w:r>
                  <w:r>
                    <w:rPr>
                      <w:rFonts w:hint="eastAsia"/>
                      <w:b/>
                      <w:bCs/>
                      <w:sz w:val="21"/>
                      <w:szCs w:val="21"/>
                    </w:rPr>
                    <w:t>速率</w:t>
                  </w:r>
                  <w:r>
                    <w:rPr>
                      <w:b/>
                      <w:bCs/>
                      <w:sz w:val="21"/>
                      <w:szCs w:val="21"/>
                    </w:rPr>
                    <w:t>标准值</w:t>
                  </w:r>
                  <w:r>
                    <w:rPr>
                      <w:rFonts w:hint="eastAsia"/>
                      <w:b/>
                      <w:bCs/>
                      <w:sz w:val="21"/>
                      <w:szCs w:val="21"/>
                    </w:rPr>
                    <w:t>（kg/h）</w:t>
                  </w:r>
                </w:p>
              </w:tc>
              <w:tc>
                <w:tcPr>
                  <w:tcW w:w="403" w:type="pct"/>
                  <w:vAlign w:val="center"/>
                </w:tcPr>
                <w:p w14:paraId="692E652F">
                  <w:pPr>
                    <w:jc w:val="center"/>
                    <w:rPr>
                      <w:b/>
                      <w:bCs/>
                      <w:sz w:val="21"/>
                      <w:szCs w:val="21"/>
                    </w:rPr>
                  </w:pPr>
                  <w:r>
                    <w:rPr>
                      <w:b/>
                      <w:bCs/>
                      <w:sz w:val="21"/>
                      <w:szCs w:val="21"/>
                    </w:rPr>
                    <w:t>达标情况</w:t>
                  </w:r>
                </w:p>
              </w:tc>
              <w:tc>
                <w:tcPr>
                  <w:tcW w:w="414" w:type="pct"/>
                  <w:vAlign w:val="center"/>
                </w:tcPr>
                <w:p w14:paraId="43314C23">
                  <w:pPr>
                    <w:jc w:val="center"/>
                    <w:rPr>
                      <w:b/>
                      <w:bCs/>
                      <w:color w:val="FF0000"/>
                      <w:sz w:val="21"/>
                      <w:szCs w:val="21"/>
                    </w:rPr>
                  </w:pPr>
                  <w:r>
                    <w:rPr>
                      <w:b/>
                      <w:bCs/>
                      <w:color w:val="FF0000"/>
                      <w:sz w:val="21"/>
                      <w:szCs w:val="21"/>
                    </w:rPr>
                    <w:t>排放量</w:t>
                  </w:r>
                  <w:r>
                    <w:rPr>
                      <w:rFonts w:hint="eastAsia"/>
                      <w:b/>
                      <w:bCs/>
                      <w:color w:val="FF0000"/>
                      <w:sz w:val="21"/>
                      <w:szCs w:val="21"/>
                    </w:rPr>
                    <w:t>（</w:t>
                  </w:r>
                  <w:r>
                    <w:rPr>
                      <w:rFonts w:hint="eastAsia"/>
                      <w:b/>
                      <w:bCs/>
                      <w:color w:val="FF0000"/>
                      <w:sz w:val="21"/>
                      <w:szCs w:val="21"/>
                      <w:lang w:val="en-US" w:eastAsia="zh-CN"/>
                    </w:rPr>
                    <w:t>kg</w:t>
                  </w:r>
                  <w:r>
                    <w:rPr>
                      <w:b/>
                      <w:bCs/>
                      <w:color w:val="FF0000"/>
                      <w:sz w:val="21"/>
                      <w:szCs w:val="21"/>
                    </w:rPr>
                    <w:t>/a</w:t>
                  </w:r>
                  <w:r>
                    <w:rPr>
                      <w:rFonts w:hint="eastAsia"/>
                      <w:b/>
                      <w:bCs/>
                      <w:color w:val="FF0000"/>
                      <w:sz w:val="21"/>
                      <w:szCs w:val="21"/>
                    </w:rPr>
                    <w:t>）</w:t>
                  </w:r>
                </w:p>
              </w:tc>
            </w:tr>
            <w:tr w14:paraId="6E271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1" w:type="pct"/>
                  <w:vMerge w:val="restart"/>
                  <w:vAlign w:val="center"/>
                </w:tcPr>
                <w:p w14:paraId="66B83D43">
                  <w:pPr>
                    <w:rPr>
                      <w:sz w:val="21"/>
                      <w:szCs w:val="21"/>
                    </w:rPr>
                  </w:pPr>
                  <w:r>
                    <w:rPr>
                      <w:rFonts w:hint="eastAsia"/>
                      <w:sz w:val="21"/>
                      <w:szCs w:val="21"/>
                    </w:rPr>
                    <w:t>实验室废气</w:t>
                  </w:r>
                </w:p>
              </w:tc>
              <w:tc>
                <w:tcPr>
                  <w:tcW w:w="421" w:type="pct"/>
                  <w:vAlign w:val="center"/>
                </w:tcPr>
                <w:p w14:paraId="36C91E4C">
                  <w:pPr>
                    <w:jc w:val="center"/>
                    <w:rPr>
                      <w:sz w:val="21"/>
                      <w:szCs w:val="21"/>
                    </w:rPr>
                  </w:pPr>
                  <w:r>
                    <w:rPr>
                      <w:rFonts w:hint="eastAsia"/>
                      <w:sz w:val="21"/>
                      <w:szCs w:val="21"/>
                    </w:rPr>
                    <w:t>非甲烷总烃</w:t>
                  </w:r>
                </w:p>
              </w:tc>
              <w:tc>
                <w:tcPr>
                  <w:tcW w:w="833" w:type="pct"/>
                  <w:vAlign w:val="center"/>
                </w:tcPr>
                <w:p w14:paraId="0F5466DA">
                  <w:pPr>
                    <w:jc w:val="center"/>
                    <w:rPr>
                      <w:b/>
                      <w:bCs/>
                      <w:sz w:val="21"/>
                      <w:szCs w:val="21"/>
                    </w:rPr>
                  </w:pPr>
                  <w:r>
                    <w:rPr>
                      <w:rFonts w:hint="eastAsia"/>
                      <w:sz w:val="21"/>
                      <w:szCs w:val="21"/>
                    </w:rPr>
                    <w:t>活性炭吸附装置+15m高排气筒（DA001）</w:t>
                  </w:r>
                </w:p>
              </w:tc>
              <w:tc>
                <w:tcPr>
                  <w:tcW w:w="723" w:type="pct"/>
                  <w:vAlign w:val="center"/>
                </w:tcPr>
                <w:p w14:paraId="5B2B13E6">
                  <w:pPr>
                    <w:jc w:val="center"/>
                    <w:rPr>
                      <w:sz w:val="21"/>
                      <w:szCs w:val="21"/>
                    </w:rPr>
                  </w:pPr>
                  <w:r>
                    <w:rPr>
                      <w:rFonts w:hint="eastAsia"/>
                      <w:sz w:val="21"/>
                      <w:szCs w:val="21"/>
                    </w:rPr>
                    <w:t>51.0</w:t>
                  </w:r>
                </w:p>
              </w:tc>
              <w:tc>
                <w:tcPr>
                  <w:tcW w:w="605" w:type="pct"/>
                  <w:vAlign w:val="center"/>
                </w:tcPr>
                <w:p w14:paraId="06F7B8DB">
                  <w:pPr>
                    <w:jc w:val="center"/>
                    <w:rPr>
                      <w:sz w:val="21"/>
                      <w:szCs w:val="21"/>
                    </w:rPr>
                  </w:pPr>
                  <w:r>
                    <w:rPr>
                      <w:rFonts w:hint="eastAsia"/>
                      <w:sz w:val="21"/>
                      <w:szCs w:val="21"/>
                    </w:rPr>
                    <w:t>0.213</w:t>
                  </w:r>
                </w:p>
              </w:tc>
              <w:tc>
                <w:tcPr>
                  <w:tcW w:w="714" w:type="pct"/>
                  <w:vAlign w:val="center"/>
                </w:tcPr>
                <w:p w14:paraId="044ABB87">
                  <w:pPr>
                    <w:jc w:val="center"/>
                    <w:rPr>
                      <w:sz w:val="21"/>
                      <w:szCs w:val="21"/>
                    </w:rPr>
                  </w:pPr>
                  <w:r>
                    <w:rPr>
                      <w:rFonts w:hint="eastAsia"/>
                      <w:sz w:val="21"/>
                      <w:szCs w:val="21"/>
                    </w:rPr>
                    <w:t>120</w:t>
                  </w:r>
                </w:p>
              </w:tc>
              <w:tc>
                <w:tcPr>
                  <w:tcW w:w="613" w:type="pct"/>
                  <w:vAlign w:val="center"/>
                </w:tcPr>
                <w:p w14:paraId="7696A912">
                  <w:pPr>
                    <w:jc w:val="center"/>
                    <w:rPr>
                      <w:sz w:val="21"/>
                      <w:szCs w:val="21"/>
                    </w:rPr>
                  </w:pPr>
                  <w:r>
                    <w:rPr>
                      <w:rFonts w:hint="eastAsia"/>
                      <w:sz w:val="21"/>
                      <w:szCs w:val="21"/>
                    </w:rPr>
                    <w:t>10</w:t>
                  </w:r>
                </w:p>
              </w:tc>
              <w:tc>
                <w:tcPr>
                  <w:tcW w:w="403" w:type="pct"/>
                  <w:vAlign w:val="center"/>
                </w:tcPr>
                <w:p w14:paraId="2A688919">
                  <w:pPr>
                    <w:jc w:val="center"/>
                    <w:rPr>
                      <w:sz w:val="21"/>
                      <w:szCs w:val="21"/>
                    </w:rPr>
                  </w:pPr>
                  <w:r>
                    <w:rPr>
                      <w:sz w:val="21"/>
                      <w:szCs w:val="21"/>
                    </w:rPr>
                    <w:t>达标</w:t>
                  </w:r>
                </w:p>
              </w:tc>
              <w:tc>
                <w:tcPr>
                  <w:tcW w:w="414" w:type="pct"/>
                  <w:vAlign w:val="center"/>
                </w:tcPr>
                <w:p w14:paraId="01A0F71A">
                  <w:pPr>
                    <w:jc w:val="center"/>
                    <w:rPr>
                      <w:rFonts w:hint="default" w:eastAsia="宋体"/>
                      <w:color w:val="FF0000"/>
                      <w:sz w:val="21"/>
                      <w:szCs w:val="21"/>
                      <w:lang w:val="en-US" w:eastAsia="zh-CN"/>
                    </w:rPr>
                  </w:pPr>
                  <w:r>
                    <w:rPr>
                      <w:rFonts w:hint="eastAsia"/>
                      <w:color w:val="FF0000"/>
                      <w:sz w:val="21"/>
                      <w:szCs w:val="21"/>
                      <w:lang w:val="en-US" w:eastAsia="zh-CN"/>
                    </w:rPr>
                    <w:t>53.25</w:t>
                  </w:r>
                </w:p>
              </w:tc>
            </w:tr>
            <w:tr w14:paraId="26F74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1" w:type="pct"/>
                  <w:vMerge w:val="continue"/>
                  <w:vAlign w:val="center"/>
                </w:tcPr>
                <w:p w14:paraId="641A52B3">
                  <w:pPr>
                    <w:jc w:val="center"/>
                    <w:rPr>
                      <w:b/>
                      <w:bCs/>
                      <w:sz w:val="21"/>
                      <w:szCs w:val="21"/>
                    </w:rPr>
                  </w:pPr>
                </w:p>
              </w:tc>
              <w:tc>
                <w:tcPr>
                  <w:tcW w:w="421" w:type="pct"/>
                  <w:vAlign w:val="center"/>
                </w:tcPr>
                <w:p w14:paraId="46706E0E">
                  <w:pPr>
                    <w:jc w:val="center"/>
                    <w:rPr>
                      <w:sz w:val="21"/>
                      <w:szCs w:val="21"/>
                    </w:rPr>
                  </w:pPr>
                  <w:r>
                    <w:rPr>
                      <w:rFonts w:hint="eastAsia"/>
                      <w:sz w:val="21"/>
                      <w:szCs w:val="21"/>
                    </w:rPr>
                    <w:t>非甲烷总烃</w:t>
                  </w:r>
                </w:p>
              </w:tc>
              <w:tc>
                <w:tcPr>
                  <w:tcW w:w="833" w:type="pct"/>
                  <w:vAlign w:val="center"/>
                </w:tcPr>
                <w:p w14:paraId="3B35ED0F">
                  <w:pPr>
                    <w:jc w:val="center"/>
                    <w:rPr>
                      <w:b/>
                      <w:bCs/>
                      <w:sz w:val="21"/>
                      <w:szCs w:val="21"/>
                    </w:rPr>
                  </w:pPr>
                  <w:r>
                    <w:rPr>
                      <w:rFonts w:hint="eastAsia"/>
                      <w:sz w:val="21"/>
                      <w:szCs w:val="21"/>
                    </w:rPr>
                    <w:t>活性炭吸附装置+15m高排气筒（DA002）</w:t>
                  </w:r>
                </w:p>
              </w:tc>
              <w:tc>
                <w:tcPr>
                  <w:tcW w:w="723" w:type="pct"/>
                  <w:vAlign w:val="center"/>
                </w:tcPr>
                <w:p w14:paraId="7FE447D1">
                  <w:pPr>
                    <w:jc w:val="center"/>
                    <w:rPr>
                      <w:sz w:val="21"/>
                      <w:szCs w:val="21"/>
                    </w:rPr>
                  </w:pPr>
                  <w:r>
                    <w:rPr>
                      <w:rFonts w:hint="eastAsia"/>
                      <w:sz w:val="21"/>
                      <w:szCs w:val="21"/>
                    </w:rPr>
                    <w:t>2.42</w:t>
                  </w:r>
                </w:p>
              </w:tc>
              <w:tc>
                <w:tcPr>
                  <w:tcW w:w="605" w:type="pct"/>
                  <w:vAlign w:val="center"/>
                </w:tcPr>
                <w:p w14:paraId="72473B6F">
                  <w:pPr>
                    <w:jc w:val="center"/>
                    <w:rPr>
                      <w:sz w:val="21"/>
                      <w:szCs w:val="21"/>
                    </w:rPr>
                  </w:pPr>
                  <w:r>
                    <w:rPr>
                      <w:sz w:val="21"/>
                      <w:szCs w:val="21"/>
                    </w:rPr>
                    <w:t>8.87×10</w:t>
                  </w:r>
                  <w:r>
                    <w:rPr>
                      <w:sz w:val="21"/>
                      <w:szCs w:val="21"/>
                      <w:vertAlign w:val="superscript"/>
                    </w:rPr>
                    <w:t>-3</w:t>
                  </w:r>
                </w:p>
              </w:tc>
              <w:tc>
                <w:tcPr>
                  <w:tcW w:w="714" w:type="pct"/>
                  <w:vAlign w:val="center"/>
                </w:tcPr>
                <w:p w14:paraId="42AC369E">
                  <w:pPr>
                    <w:jc w:val="center"/>
                    <w:rPr>
                      <w:sz w:val="21"/>
                      <w:szCs w:val="21"/>
                    </w:rPr>
                  </w:pPr>
                  <w:r>
                    <w:rPr>
                      <w:rFonts w:hint="eastAsia"/>
                      <w:sz w:val="21"/>
                      <w:szCs w:val="21"/>
                    </w:rPr>
                    <w:t>120</w:t>
                  </w:r>
                </w:p>
              </w:tc>
              <w:tc>
                <w:tcPr>
                  <w:tcW w:w="613" w:type="pct"/>
                  <w:vAlign w:val="center"/>
                </w:tcPr>
                <w:p w14:paraId="43F86E72">
                  <w:pPr>
                    <w:jc w:val="center"/>
                    <w:rPr>
                      <w:sz w:val="21"/>
                      <w:szCs w:val="21"/>
                    </w:rPr>
                  </w:pPr>
                  <w:r>
                    <w:rPr>
                      <w:rFonts w:hint="eastAsia"/>
                      <w:sz w:val="21"/>
                      <w:szCs w:val="21"/>
                    </w:rPr>
                    <w:t>10</w:t>
                  </w:r>
                </w:p>
              </w:tc>
              <w:tc>
                <w:tcPr>
                  <w:tcW w:w="403" w:type="pct"/>
                  <w:vAlign w:val="center"/>
                </w:tcPr>
                <w:p w14:paraId="6A193619">
                  <w:pPr>
                    <w:jc w:val="center"/>
                    <w:rPr>
                      <w:sz w:val="21"/>
                      <w:szCs w:val="21"/>
                    </w:rPr>
                  </w:pPr>
                  <w:r>
                    <w:rPr>
                      <w:sz w:val="21"/>
                      <w:szCs w:val="21"/>
                    </w:rPr>
                    <w:t>达标</w:t>
                  </w:r>
                </w:p>
              </w:tc>
              <w:tc>
                <w:tcPr>
                  <w:tcW w:w="414" w:type="pct"/>
                  <w:vAlign w:val="center"/>
                </w:tcPr>
                <w:p w14:paraId="5E410280">
                  <w:pPr>
                    <w:jc w:val="center"/>
                    <w:rPr>
                      <w:rFonts w:hint="default" w:eastAsia="宋体"/>
                      <w:color w:val="FF0000"/>
                      <w:sz w:val="21"/>
                      <w:szCs w:val="21"/>
                      <w:lang w:val="en-US" w:eastAsia="zh-CN"/>
                    </w:rPr>
                  </w:pPr>
                  <w:r>
                    <w:rPr>
                      <w:rFonts w:hint="eastAsia"/>
                      <w:color w:val="FF0000"/>
                      <w:sz w:val="21"/>
                      <w:szCs w:val="21"/>
                      <w:lang w:val="en-US" w:eastAsia="zh-CN"/>
                    </w:rPr>
                    <w:t>2.22</w:t>
                  </w:r>
                </w:p>
              </w:tc>
            </w:tr>
            <w:tr w14:paraId="3E664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1" w:type="pct"/>
                  <w:vMerge w:val="continue"/>
                  <w:vAlign w:val="center"/>
                </w:tcPr>
                <w:p w14:paraId="42C7F043">
                  <w:pPr>
                    <w:jc w:val="center"/>
                    <w:rPr>
                      <w:b/>
                      <w:bCs/>
                      <w:sz w:val="21"/>
                      <w:szCs w:val="21"/>
                    </w:rPr>
                  </w:pPr>
                </w:p>
              </w:tc>
              <w:tc>
                <w:tcPr>
                  <w:tcW w:w="421" w:type="pct"/>
                  <w:vAlign w:val="center"/>
                </w:tcPr>
                <w:p w14:paraId="2EEFB2D1">
                  <w:pPr>
                    <w:jc w:val="center"/>
                    <w:rPr>
                      <w:sz w:val="21"/>
                      <w:szCs w:val="21"/>
                    </w:rPr>
                  </w:pPr>
                  <w:r>
                    <w:rPr>
                      <w:rFonts w:hint="eastAsia"/>
                      <w:sz w:val="21"/>
                      <w:szCs w:val="21"/>
                    </w:rPr>
                    <w:t>氯化氢</w:t>
                  </w:r>
                </w:p>
              </w:tc>
              <w:tc>
                <w:tcPr>
                  <w:tcW w:w="833" w:type="pct"/>
                  <w:vMerge w:val="restart"/>
                  <w:vAlign w:val="center"/>
                </w:tcPr>
                <w:p w14:paraId="5D53F226">
                  <w:pPr>
                    <w:jc w:val="center"/>
                    <w:rPr>
                      <w:b/>
                      <w:bCs/>
                      <w:sz w:val="21"/>
                      <w:szCs w:val="21"/>
                    </w:rPr>
                  </w:pPr>
                  <w:r>
                    <w:rPr>
                      <w:rFonts w:hint="eastAsia"/>
                      <w:sz w:val="21"/>
                      <w:szCs w:val="21"/>
                    </w:rPr>
                    <w:t>喷淋塔装置+15m高排气筒（DA003）</w:t>
                  </w:r>
                </w:p>
              </w:tc>
              <w:tc>
                <w:tcPr>
                  <w:tcW w:w="723" w:type="pct"/>
                  <w:vAlign w:val="center"/>
                </w:tcPr>
                <w:p w14:paraId="6C816DE0">
                  <w:pPr>
                    <w:jc w:val="center"/>
                    <w:rPr>
                      <w:sz w:val="21"/>
                      <w:szCs w:val="21"/>
                    </w:rPr>
                  </w:pPr>
                  <w:r>
                    <w:rPr>
                      <w:rFonts w:hint="eastAsia"/>
                      <w:sz w:val="21"/>
                      <w:szCs w:val="21"/>
                    </w:rPr>
                    <w:t>2.34</w:t>
                  </w:r>
                </w:p>
              </w:tc>
              <w:tc>
                <w:tcPr>
                  <w:tcW w:w="605" w:type="pct"/>
                  <w:vAlign w:val="center"/>
                </w:tcPr>
                <w:p w14:paraId="1197E10E">
                  <w:pPr>
                    <w:jc w:val="center"/>
                    <w:rPr>
                      <w:sz w:val="21"/>
                      <w:szCs w:val="21"/>
                    </w:rPr>
                  </w:pPr>
                  <w:r>
                    <w:rPr>
                      <w:rFonts w:hint="eastAsia"/>
                      <w:sz w:val="21"/>
                      <w:szCs w:val="21"/>
                    </w:rPr>
                    <w:t>0.012</w:t>
                  </w:r>
                </w:p>
              </w:tc>
              <w:tc>
                <w:tcPr>
                  <w:tcW w:w="714" w:type="pct"/>
                  <w:vAlign w:val="center"/>
                </w:tcPr>
                <w:p w14:paraId="61F8F2C6">
                  <w:pPr>
                    <w:jc w:val="center"/>
                    <w:rPr>
                      <w:sz w:val="21"/>
                      <w:szCs w:val="21"/>
                    </w:rPr>
                  </w:pPr>
                  <w:r>
                    <w:rPr>
                      <w:rFonts w:hint="eastAsia"/>
                      <w:sz w:val="21"/>
                      <w:szCs w:val="21"/>
                    </w:rPr>
                    <w:t>100</w:t>
                  </w:r>
                </w:p>
              </w:tc>
              <w:tc>
                <w:tcPr>
                  <w:tcW w:w="613" w:type="pct"/>
                  <w:vAlign w:val="center"/>
                </w:tcPr>
                <w:p w14:paraId="53865483">
                  <w:pPr>
                    <w:jc w:val="center"/>
                    <w:rPr>
                      <w:sz w:val="21"/>
                      <w:szCs w:val="21"/>
                    </w:rPr>
                  </w:pPr>
                  <w:r>
                    <w:rPr>
                      <w:rFonts w:hint="eastAsia"/>
                      <w:sz w:val="21"/>
                      <w:szCs w:val="21"/>
                    </w:rPr>
                    <w:t>0.26</w:t>
                  </w:r>
                </w:p>
              </w:tc>
              <w:tc>
                <w:tcPr>
                  <w:tcW w:w="403" w:type="pct"/>
                  <w:vAlign w:val="center"/>
                </w:tcPr>
                <w:p w14:paraId="2483A7E3">
                  <w:pPr>
                    <w:jc w:val="center"/>
                    <w:rPr>
                      <w:sz w:val="21"/>
                      <w:szCs w:val="21"/>
                    </w:rPr>
                  </w:pPr>
                  <w:r>
                    <w:rPr>
                      <w:sz w:val="21"/>
                      <w:szCs w:val="21"/>
                    </w:rPr>
                    <w:t>达标</w:t>
                  </w:r>
                </w:p>
              </w:tc>
              <w:tc>
                <w:tcPr>
                  <w:tcW w:w="414" w:type="pct"/>
                  <w:vAlign w:val="center"/>
                </w:tcPr>
                <w:p w14:paraId="2F564686">
                  <w:pPr>
                    <w:jc w:val="center"/>
                    <w:rPr>
                      <w:rFonts w:hint="default" w:eastAsia="宋体"/>
                      <w:color w:val="FF0000"/>
                      <w:sz w:val="21"/>
                      <w:szCs w:val="21"/>
                      <w:lang w:val="en-US" w:eastAsia="zh-CN"/>
                    </w:rPr>
                  </w:pPr>
                  <w:r>
                    <w:rPr>
                      <w:rFonts w:hint="eastAsia"/>
                      <w:color w:val="FF0000"/>
                      <w:sz w:val="21"/>
                      <w:szCs w:val="21"/>
                      <w:lang w:val="en-US" w:eastAsia="zh-CN"/>
                    </w:rPr>
                    <w:t>6</w:t>
                  </w:r>
                </w:p>
              </w:tc>
            </w:tr>
            <w:tr w14:paraId="62D7A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1" w:type="pct"/>
                  <w:vMerge w:val="continue"/>
                  <w:vAlign w:val="center"/>
                </w:tcPr>
                <w:p w14:paraId="4017B207">
                  <w:pPr>
                    <w:jc w:val="center"/>
                    <w:rPr>
                      <w:b/>
                      <w:bCs/>
                      <w:sz w:val="21"/>
                      <w:szCs w:val="21"/>
                    </w:rPr>
                  </w:pPr>
                </w:p>
              </w:tc>
              <w:tc>
                <w:tcPr>
                  <w:tcW w:w="421" w:type="pct"/>
                  <w:vAlign w:val="center"/>
                </w:tcPr>
                <w:p w14:paraId="7929FE21">
                  <w:pPr>
                    <w:jc w:val="center"/>
                    <w:rPr>
                      <w:sz w:val="21"/>
                      <w:szCs w:val="21"/>
                    </w:rPr>
                  </w:pPr>
                  <w:r>
                    <w:rPr>
                      <w:rFonts w:hint="eastAsia"/>
                      <w:sz w:val="21"/>
                      <w:szCs w:val="21"/>
                    </w:rPr>
                    <w:t>硫酸雾</w:t>
                  </w:r>
                </w:p>
              </w:tc>
              <w:tc>
                <w:tcPr>
                  <w:tcW w:w="833" w:type="pct"/>
                  <w:vMerge w:val="continue"/>
                  <w:vAlign w:val="center"/>
                </w:tcPr>
                <w:p w14:paraId="45821C84">
                  <w:pPr>
                    <w:jc w:val="center"/>
                    <w:rPr>
                      <w:b/>
                      <w:bCs/>
                      <w:sz w:val="21"/>
                      <w:szCs w:val="21"/>
                    </w:rPr>
                  </w:pPr>
                </w:p>
              </w:tc>
              <w:tc>
                <w:tcPr>
                  <w:tcW w:w="723" w:type="pct"/>
                  <w:vAlign w:val="center"/>
                </w:tcPr>
                <w:p w14:paraId="1C765FCE">
                  <w:pPr>
                    <w:jc w:val="center"/>
                    <w:rPr>
                      <w:sz w:val="21"/>
                      <w:szCs w:val="21"/>
                    </w:rPr>
                  </w:pPr>
                  <w:r>
                    <w:rPr>
                      <w:rFonts w:hint="eastAsia"/>
                      <w:sz w:val="21"/>
                      <w:szCs w:val="21"/>
                    </w:rPr>
                    <w:t>0.2</w:t>
                  </w:r>
                </w:p>
              </w:tc>
              <w:tc>
                <w:tcPr>
                  <w:tcW w:w="605" w:type="pct"/>
                  <w:vAlign w:val="center"/>
                </w:tcPr>
                <w:p w14:paraId="6A0D4BE4">
                  <w:pPr>
                    <w:jc w:val="center"/>
                    <w:rPr>
                      <w:sz w:val="21"/>
                      <w:szCs w:val="21"/>
                    </w:rPr>
                  </w:pPr>
                  <w:r>
                    <w:rPr>
                      <w:rFonts w:hint="eastAsia"/>
                      <w:sz w:val="21"/>
                      <w:szCs w:val="21"/>
                    </w:rPr>
                    <w:t>1.02</w:t>
                  </w:r>
                  <w:r>
                    <w:rPr>
                      <w:sz w:val="21"/>
                      <w:szCs w:val="21"/>
                    </w:rPr>
                    <w:t>×10</w:t>
                  </w:r>
                  <w:r>
                    <w:rPr>
                      <w:sz w:val="21"/>
                      <w:szCs w:val="21"/>
                      <w:vertAlign w:val="superscript"/>
                    </w:rPr>
                    <w:t>-3</w:t>
                  </w:r>
                </w:p>
              </w:tc>
              <w:tc>
                <w:tcPr>
                  <w:tcW w:w="714" w:type="pct"/>
                  <w:vAlign w:val="center"/>
                </w:tcPr>
                <w:p w14:paraId="0D7DCEE2">
                  <w:pPr>
                    <w:jc w:val="center"/>
                    <w:rPr>
                      <w:sz w:val="21"/>
                      <w:szCs w:val="21"/>
                    </w:rPr>
                  </w:pPr>
                  <w:r>
                    <w:rPr>
                      <w:rFonts w:hint="eastAsia"/>
                      <w:sz w:val="21"/>
                      <w:szCs w:val="21"/>
                    </w:rPr>
                    <w:t>45</w:t>
                  </w:r>
                </w:p>
              </w:tc>
              <w:tc>
                <w:tcPr>
                  <w:tcW w:w="613" w:type="pct"/>
                  <w:vAlign w:val="center"/>
                </w:tcPr>
                <w:p w14:paraId="37583DA7">
                  <w:pPr>
                    <w:jc w:val="center"/>
                    <w:rPr>
                      <w:sz w:val="21"/>
                      <w:szCs w:val="21"/>
                    </w:rPr>
                  </w:pPr>
                  <w:r>
                    <w:rPr>
                      <w:rFonts w:hint="eastAsia"/>
                      <w:sz w:val="21"/>
                      <w:szCs w:val="21"/>
                    </w:rPr>
                    <w:t>1.5</w:t>
                  </w:r>
                </w:p>
              </w:tc>
              <w:tc>
                <w:tcPr>
                  <w:tcW w:w="403" w:type="pct"/>
                  <w:vAlign w:val="center"/>
                </w:tcPr>
                <w:p w14:paraId="3BF26AB4">
                  <w:pPr>
                    <w:jc w:val="center"/>
                    <w:rPr>
                      <w:sz w:val="21"/>
                      <w:szCs w:val="21"/>
                    </w:rPr>
                  </w:pPr>
                  <w:r>
                    <w:rPr>
                      <w:sz w:val="21"/>
                      <w:szCs w:val="21"/>
                    </w:rPr>
                    <w:t>达标</w:t>
                  </w:r>
                </w:p>
              </w:tc>
              <w:tc>
                <w:tcPr>
                  <w:tcW w:w="414" w:type="pct"/>
                  <w:vAlign w:val="center"/>
                </w:tcPr>
                <w:p w14:paraId="6D1417B2">
                  <w:pPr>
                    <w:jc w:val="center"/>
                    <w:rPr>
                      <w:rFonts w:hint="default" w:eastAsia="宋体"/>
                      <w:color w:val="FF0000"/>
                      <w:sz w:val="21"/>
                      <w:szCs w:val="21"/>
                      <w:lang w:val="en-US" w:eastAsia="zh-CN"/>
                    </w:rPr>
                  </w:pPr>
                  <w:r>
                    <w:rPr>
                      <w:rFonts w:hint="eastAsia"/>
                      <w:color w:val="FF0000"/>
                      <w:sz w:val="21"/>
                      <w:szCs w:val="21"/>
                      <w:lang w:val="en-US" w:eastAsia="zh-CN"/>
                    </w:rPr>
                    <w:t>0.51</w:t>
                  </w:r>
                </w:p>
              </w:tc>
            </w:tr>
          </w:tbl>
          <w:p w14:paraId="5F99F9D5">
            <w:pPr>
              <w:spacing w:line="360" w:lineRule="auto"/>
              <w:ind w:firstLine="480" w:firstLineChars="200"/>
              <w:rPr>
                <w:szCs w:val="32"/>
              </w:rPr>
            </w:pPr>
            <w:r>
              <w:rPr>
                <w:rFonts w:hint="eastAsia"/>
                <w:szCs w:val="32"/>
              </w:rPr>
              <w:t>由上表可知，现有项目实验室废气排口非甲烷总烃、氯化氢和硫酸雾的排放浓度、排放速率均满足《大气污染物综合排放标准》（GB 16297-1996）表2二级标准限值要求。</w:t>
            </w:r>
          </w:p>
          <w:p w14:paraId="1F4A386F">
            <w:pPr>
              <w:spacing w:line="360" w:lineRule="auto"/>
              <w:ind w:firstLine="480" w:firstLineChars="200"/>
            </w:pPr>
            <w:r>
              <w:rPr>
                <w:rFonts w:hint="eastAsia"/>
              </w:rPr>
              <w:t>（2）废水</w:t>
            </w:r>
          </w:p>
          <w:p w14:paraId="64ED3D6C">
            <w:pPr>
              <w:spacing w:line="360" w:lineRule="auto"/>
              <w:ind w:firstLine="480" w:firstLineChars="200"/>
            </w:pPr>
            <w:r>
              <w:rPr>
                <w:rFonts w:hint="eastAsia"/>
              </w:rPr>
              <w:t>现有项目废水主要包括员工生活污水、地面清洁废水、实验器皿清洗废水、喷淋塔排水、职工工作服清洗废水和超纯水制备排放浓水等。实验清洗废水和剩余一般水样经废水处理设备（1t/d，酸碱中和）处理后排入园区化粪池；喷淋塔排水采用专用桶收集后转入废水处理设备，经处理后排入园区化粪池；生活污水和其余废水（地面清洁废水、职工工作服清洗废水、超纯水制备浓水等）排入化粪池处理（依托中国通信建设西安产业园8幢北侧，60m</w:t>
            </w:r>
            <w:r>
              <w:rPr>
                <w:rFonts w:hint="eastAsia"/>
                <w:vertAlign w:val="superscript"/>
              </w:rPr>
              <w:t>3</w:t>
            </w:r>
            <w:r>
              <w:rPr>
                <w:rFonts w:hint="eastAsia"/>
              </w:rPr>
              <w:t>），最终经市政污水管网排入西安市第七污水处理厂。</w:t>
            </w:r>
          </w:p>
          <w:p w14:paraId="067C2235">
            <w:pPr>
              <w:spacing w:line="360" w:lineRule="auto"/>
              <w:ind w:firstLine="480" w:firstLineChars="200"/>
              <w:rPr>
                <w:color w:val="auto"/>
                <w:szCs w:val="32"/>
              </w:rPr>
            </w:pPr>
            <w:r>
              <w:rPr>
                <w:rFonts w:hint="eastAsia"/>
              </w:rPr>
              <w:t>根据建设单位提供资料，现有项目实验器皿清洗废水和剩余一般水样、喷淋塔排水量约123.5m</w:t>
            </w:r>
            <w:r>
              <w:rPr>
                <w:rFonts w:hint="eastAsia"/>
                <w:vertAlign w:val="superscript"/>
              </w:rPr>
              <w:t>3</w:t>
            </w:r>
            <w:r>
              <w:rPr>
                <w:rFonts w:hint="eastAsia"/>
              </w:rPr>
              <w:t>/a，员工生活污水、地面清洁废水、职工工作服清洗废水和超纯水制备排放浓水量</w:t>
            </w:r>
            <w:r>
              <w:rPr>
                <w:rFonts w:hint="eastAsia"/>
                <w:color w:val="auto"/>
              </w:rPr>
              <w:t>约684.9m</w:t>
            </w:r>
            <w:r>
              <w:rPr>
                <w:rFonts w:hint="eastAsia"/>
                <w:color w:val="auto"/>
                <w:vertAlign w:val="superscript"/>
              </w:rPr>
              <w:t>3</w:t>
            </w:r>
            <w:r>
              <w:rPr>
                <w:rFonts w:hint="eastAsia"/>
                <w:color w:val="auto"/>
              </w:rPr>
              <w:t>/a，综合废水产生量约808.4m</w:t>
            </w:r>
            <w:r>
              <w:rPr>
                <w:rFonts w:hint="eastAsia"/>
                <w:color w:val="auto"/>
                <w:vertAlign w:val="superscript"/>
              </w:rPr>
              <w:t>3</w:t>
            </w:r>
            <w:r>
              <w:rPr>
                <w:rFonts w:hint="eastAsia"/>
                <w:color w:val="auto"/>
              </w:rPr>
              <w:t>/a（3.01m</w:t>
            </w:r>
            <w:r>
              <w:rPr>
                <w:rFonts w:hint="eastAsia"/>
                <w:color w:val="auto"/>
                <w:vertAlign w:val="superscript"/>
              </w:rPr>
              <w:t>3</w:t>
            </w:r>
            <w:r>
              <w:rPr>
                <w:rFonts w:hint="eastAsia"/>
                <w:color w:val="auto"/>
              </w:rPr>
              <w:t>/d），废水排放情况</w:t>
            </w:r>
            <w:r>
              <w:rPr>
                <w:color w:val="auto"/>
                <w:szCs w:val="32"/>
              </w:rPr>
              <w:t>见表2-1</w:t>
            </w:r>
            <w:r>
              <w:rPr>
                <w:rFonts w:hint="eastAsia"/>
                <w:color w:val="auto"/>
                <w:szCs w:val="32"/>
              </w:rPr>
              <w:t>0</w:t>
            </w:r>
            <w:r>
              <w:rPr>
                <w:color w:val="auto"/>
                <w:szCs w:val="32"/>
              </w:rPr>
              <w:t>。</w:t>
            </w:r>
          </w:p>
          <w:p w14:paraId="123A7E75">
            <w:pPr>
              <w:jc w:val="center"/>
              <w:rPr>
                <w:b/>
                <w:color w:val="auto"/>
                <w:sz w:val="21"/>
                <w:szCs w:val="21"/>
              </w:rPr>
            </w:pPr>
            <w:r>
              <w:rPr>
                <w:rFonts w:hint="eastAsia"/>
                <w:b/>
                <w:color w:val="auto"/>
                <w:sz w:val="21"/>
                <w:szCs w:val="21"/>
              </w:rPr>
              <w:t>表2-10  现有项目污水排放情况一览表</w:t>
            </w:r>
          </w:p>
          <w:tbl>
            <w:tblPr>
              <w:tblStyle w:val="23"/>
              <w:tblW w:w="79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7"/>
              <w:gridCol w:w="1027"/>
              <w:gridCol w:w="1133"/>
              <w:gridCol w:w="1173"/>
              <w:gridCol w:w="747"/>
              <w:gridCol w:w="1032"/>
            </w:tblGrid>
            <w:tr w14:paraId="60993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restart"/>
                  <w:vAlign w:val="center"/>
                </w:tcPr>
                <w:p w14:paraId="3EFA60D2">
                  <w:pPr>
                    <w:jc w:val="center"/>
                    <w:rPr>
                      <w:b/>
                      <w:bCs/>
                      <w:color w:val="auto"/>
                      <w:sz w:val="21"/>
                      <w:szCs w:val="21"/>
                    </w:rPr>
                  </w:pPr>
                  <w:r>
                    <w:rPr>
                      <w:rFonts w:hint="eastAsia"/>
                      <w:b/>
                      <w:bCs/>
                      <w:color w:val="auto"/>
                      <w:sz w:val="21"/>
                      <w:szCs w:val="21"/>
                    </w:rPr>
                    <w:t>废水类别</w:t>
                  </w:r>
                </w:p>
              </w:tc>
              <w:tc>
                <w:tcPr>
                  <w:tcW w:w="1987" w:type="dxa"/>
                  <w:vMerge w:val="restart"/>
                  <w:vAlign w:val="center"/>
                </w:tcPr>
                <w:p w14:paraId="6FA17027">
                  <w:pPr>
                    <w:jc w:val="center"/>
                    <w:rPr>
                      <w:b/>
                      <w:bCs/>
                      <w:color w:val="auto"/>
                      <w:sz w:val="21"/>
                      <w:szCs w:val="21"/>
                    </w:rPr>
                  </w:pPr>
                  <w:r>
                    <w:rPr>
                      <w:rFonts w:hint="eastAsia"/>
                      <w:b/>
                      <w:bCs/>
                      <w:color w:val="auto"/>
                      <w:sz w:val="21"/>
                      <w:szCs w:val="21"/>
                    </w:rPr>
                    <w:t>污染因子</w:t>
                  </w:r>
                </w:p>
              </w:tc>
              <w:tc>
                <w:tcPr>
                  <w:tcW w:w="1027" w:type="dxa"/>
                  <w:vMerge w:val="restart"/>
                  <w:vAlign w:val="center"/>
                </w:tcPr>
                <w:p w14:paraId="0D5257F4">
                  <w:pPr>
                    <w:jc w:val="center"/>
                    <w:rPr>
                      <w:rFonts w:hint="eastAsia"/>
                      <w:b/>
                      <w:bCs/>
                      <w:color w:val="auto"/>
                      <w:sz w:val="21"/>
                      <w:szCs w:val="21"/>
                    </w:rPr>
                  </w:pPr>
                  <w:r>
                    <w:rPr>
                      <w:rFonts w:hint="eastAsia"/>
                      <w:b/>
                      <w:bCs/>
                      <w:color w:val="auto"/>
                      <w:sz w:val="21"/>
                      <w:szCs w:val="21"/>
                    </w:rPr>
                    <w:t>处置</w:t>
                  </w:r>
                </w:p>
                <w:p w14:paraId="237FCFCA">
                  <w:pPr>
                    <w:jc w:val="center"/>
                    <w:rPr>
                      <w:b/>
                      <w:bCs/>
                      <w:color w:val="auto"/>
                      <w:sz w:val="21"/>
                      <w:szCs w:val="21"/>
                    </w:rPr>
                  </w:pPr>
                  <w:r>
                    <w:rPr>
                      <w:rFonts w:hint="eastAsia"/>
                      <w:b/>
                      <w:bCs/>
                      <w:color w:val="auto"/>
                      <w:sz w:val="21"/>
                      <w:szCs w:val="21"/>
                    </w:rPr>
                    <w:t>措施</w:t>
                  </w:r>
                </w:p>
              </w:tc>
              <w:tc>
                <w:tcPr>
                  <w:tcW w:w="4085" w:type="dxa"/>
                  <w:gridSpan w:val="4"/>
                  <w:vAlign w:val="center"/>
                </w:tcPr>
                <w:p w14:paraId="759ACEE7">
                  <w:pPr>
                    <w:jc w:val="center"/>
                    <w:rPr>
                      <w:b/>
                      <w:bCs/>
                      <w:color w:val="auto"/>
                      <w:sz w:val="21"/>
                      <w:szCs w:val="21"/>
                    </w:rPr>
                  </w:pPr>
                  <w:r>
                    <w:rPr>
                      <w:rFonts w:hint="eastAsia"/>
                      <w:b/>
                      <w:bCs/>
                      <w:color w:val="auto"/>
                      <w:sz w:val="21"/>
                      <w:szCs w:val="21"/>
                    </w:rPr>
                    <w:t>排放源强</w:t>
                  </w:r>
                </w:p>
              </w:tc>
            </w:tr>
            <w:tr w14:paraId="24337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4CA558EA">
                  <w:pPr>
                    <w:jc w:val="center"/>
                    <w:rPr>
                      <w:b/>
                      <w:bCs/>
                      <w:color w:val="auto"/>
                      <w:sz w:val="21"/>
                      <w:szCs w:val="21"/>
                    </w:rPr>
                  </w:pPr>
                </w:p>
              </w:tc>
              <w:tc>
                <w:tcPr>
                  <w:tcW w:w="1987" w:type="dxa"/>
                  <w:vMerge w:val="continue"/>
                  <w:vAlign w:val="center"/>
                </w:tcPr>
                <w:p w14:paraId="6337D6CC">
                  <w:pPr>
                    <w:jc w:val="center"/>
                    <w:rPr>
                      <w:b/>
                      <w:bCs/>
                      <w:color w:val="auto"/>
                      <w:sz w:val="21"/>
                      <w:szCs w:val="21"/>
                    </w:rPr>
                  </w:pPr>
                </w:p>
              </w:tc>
              <w:tc>
                <w:tcPr>
                  <w:tcW w:w="1027" w:type="dxa"/>
                  <w:vMerge w:val="continue"/>
                  <w:vAlign w:val="center"/>
                </w:tcPr>
                <w:p w14:paraId="0A39C4DA">
                  <w:pPr>
                    <w:jc w:val="center"/>
                    <w:rPr>
                      <w:b/>
                      <w:bCs/>
                      <w:color w:val="auto"/>
                      <w:sz w:val="21"/>
                      <w:szCs w:val="21"/>
                    </w:rPr>
                  </w:pPr>
                </w:p>
              </w:tc>
              <w:tc>
                <w:tcPr>
                  <w:tcW w:w="1133" w:type="dxa"/>
                  <w:vAlign w:val="center"/>
                </w:tcPr>
                <w:p w14:paraId="5D37D9AA">
                  <w:pPr>
                    <w:jc w:val="center"/>
                    <w:rPr>
                      <w:b/>
                      <w:bCs/>
                      <w:color w:val="auto"/>
                      <w:sz w:val="21"/>
                      <w:szCs w:val="21"/>
                    </w:rPr>
                  </w:pPr>
                  <w:r>
                    <w:rPr>
                      <w:rFonts w:hint="eastAsia"/>
                      <w:b/>
                      <w:bCs/>
                      <w:color w:val="auto"/>
                      <w:sz w:val="21"/>
                      <w:szCs w:val="21"/>
                    </w:rPr>
                    <w:t>排放浓度（mg/L）</w:t>
                  </w:r>
                </w:p>
              </w:tc>
              <w:tc>
                <w:tcPr>
                  <w:tcW w:w="1173" w:type="dxa"/>
                  <w:vAlign w:val="center"/>
                </w:tcPr>
                <w:p w14:paraId="414153F4">
                  <w:pPr>
                    <w:jc w:val="center"/>
                    <w:rPr>
                      <w:b/>
                      <w:bCs/>
                      <w:color w:val="auto"/>
                      <w:sz w:val="21"/>
                      <w:szCs w:val="21"/>
                    </w:rPr>
                  </w:pPr>
                  <w:r>
                    <w:rPr>
                      <w:rFonts w:hint="eastAsia"/>
                      <w:b/>
                      <w:bCs/>
                      <w:color w:val="auto"/>
                      <w:sz w:val="21"/>
                      <w:szCs w:val="21"/>
                    </w:rPr>
                    <w:t>标准限值（mg/L）</w:t>
                  </w:r>
                </w:p>
              </w:tc>
              <w:tc>
                <w:tcPr>
                  <w:tcW w:w="747" w:type="dxa"/>
                  <w:vAlign w:val="center"/>
                </w:tcPr>
                <w:p w14:paraId="0D648D83">
                  <w:pPr>
                    <w:jc w:val="center"/>
                    <w:rPr>
                      <w:b/>
                      <w:bCs/>
                      <w:color w:val="auto"/>
                      <w:sz w:val="21"/>
                      <w:szCs w:val="21"/>
                    </w:rPr>
                  </w:pPr>
                  <w:r>
                    <w:rPr>
                      <w:rFonts w:hint="eastAsia"/>
                      <w:b/>
                      <w:bCs/>
                      <w:color w:val="auto"/>
                      <w:sz w:val="21"/>
                      <w:szCs w:val="21"/>
                    </w:rPr>
                    <w:t>达标情况</w:t>
                  </w:r>
                </w:p>
              </w:tc>
              <w:tc>
                <w:tcPr>
                  <w:tcW w:w="1032" w:type="dxa"/>
                  <w:vAlign w:val="center"/>
                </w:tcPr>
                <w:p w14:paraId="5506B74A">
                  <w:pPr>
                    <w:jc w:val="center"/>
                    <w:rPr>
                      <w:b/>
                      <w:bCs/>
                      <w:color w:val="auto"/>
                      <w:sz w:val="21"/>
                      <w:szCs w:val="21"/>
                    </w:rPr>
                  </w:pPr>
                  <w:r>
                    <w:rPr>
                      <w:rFonts w:hint="eastAsia"/>
                      <w:b/>
                      <w:bCs/>
                      <w:color w:val="auto"/>
                      <w:sz w:val="21"/>
                      <w:szCs w:val="21"/>
                    </w:rPr>
                    <w:t>排放量（t/a）</w:t>
                  </w:r>
                </w:p>
              </w:tc>
            </w:tr>
            <w:tr w14:paraId="06BF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restart"/>
                  <w:vAlign w:val="center"/>
                </w:tcPr>
                <w:p w14:paraId="1A423290">
                  <w:pPr>
                    <w:jc w:val="center"/>
                    <w:rPr>
                      <w:color w:val="auto"/>
                      <w:sz w:val="21"/>
                      <w:szCs w:val="21"/>
                    </w:rPr>
                  </w:pPr>
                  <w:r>
                    <w:rPr>
                      <w:rFonts w:hint="eastAsia"/>
                      <w:color w:val="auto"/>
                      <w:sz w:val="21"/>
                      <w:szCs w:val="21"/>
                    </w:rPr>
                    <w:t>综合废水（808.4m</w:t>
                  </w:r>
                  <w:r>
                    <w:rPr>
                      <w:rFonts w:hint="eastAsia"/>
                      <w:color w:val="auto"/>
                      <w:sz w:val="21"/>
                      <w:szCs w:val="21"/>
                      <w:vertAlign w:val="superscript"/>
                    </w:rPr>
                    <w:t>3</w:t>
                  </w:r>
                  <w:r>
                    <w:rPr>
                      <w:rFonts w:hint="eastAsia"/>
                      <w:color w:val="auto"/>
                      <w:sz w:val="21"/>
                      <w:szCs w:val="21"/>
                    </w:rPr>
                    <w:t>/a）</w:t>
                  </w:r>
                </w:p>
              </w:tc>
              <w:tc>
                <w:tcPr>
                  <w:tcW w:w="1987" w:type="dxa"/>
                  <w:vAlign w:val="center"/>
                </w:tcPr>
                <w:p w14:paraId="007160E2">
                  <w:pPr>
                    <w:jc w:val="center"/>
                    <w:rPr>
                      <w:color w:val="auto"/>
                      <w:sz w:val="21"/>
                      <w:szCs w:val="21"/>
                    </w:rPr>
                  </w:pPr>
                  <w:r>
                    <w:rPr>
                      <w:rFonts w:hint="eastAsia"/>
                      <w:color w:val="auto"/>
                      <w:sz w:val="21"/>
                      <w:szCs w:val="21"/>
                    </w:rPr>
                    <w:t>pH值</w:t>
                  </w:r>
                </w:p>
              </w:tc>
              <w:tc>
                <w:tcPr>
                  <w:tcW w:w="1027" w:type="dxa"/>
                  <w:vMerge w:val="restart"/>
                  <w:vAlign w:val="center"/>
                </w:tcPr>
                <w:p w14:paraId="184E22A0">
                  <w:pPr>
                    <w:jc w:val="center"/>
                    <w:rPr>
                      <w:color w:val="auto"/>
                      <w:sz w:val="21"/>
                      <w:szCs w:val="21"/>
                    </w:rPr>
                  </w:pPr>
                  <w:r>
                    <w:rPr>
                      <w:rFonts w:hint="eastAsia"/>
                      <w:color w:val="auto"/>
                      <w:sz w:val="21"/>
                      <w:szCs w:val="21"/>
                    </w:rPr>
                    <w:t>（</w:t>
                  </w:r>
                  <w:r>
                    <w:rPr>
                      <w:rFonts w:hint="eastAsia"/>
                      <w:color w:val="auto"/>
                      <w:sz w:val="21"/>
                      <w:szCs w:val="21"/>
                      <w:lang w:val="en-US" w:eastAsia="zh-CN"/>
                    </w:rPr>
                    <w:t>酸碱中和</w:t>
                  </w:r>
                  <w:r>
                    <w:rPr>
                      <w:rFonts w:hint="eastAsia"/>
                      <w:color w:val="auto"/>
                      <w:sz w:val="21"/>
                      <w:szCs w:val="21"/>
                    </w:rPr>
                    <w:t>+）化粪池</w:t>
                  </w:r>
                </w:p>
              </w:tc>
              <w:tc>
                <w:tcPr>
                  <w:tcW w:w="1133" w:type="dxa"/>
                  <w:vAlign w:val="center"/>
                </w:tcPr>
                <w:p w14:paraId="64D20DB6">
                  <w:pPr>
                    <w:jc w:val="center"/>
                    <w:rPr>
                      <w:color w:val="auto"/>
                      <w:sz w:val="21"/>
                      <w:szCs w:val="21"/>
                    </w:rPr>
                  </w:pPr>
                  <w:r>
                    <w:rPr>
                      <w:rFonts w:hint="eastAsia"/>
                      <w:color w:val="auto"/>
                      <w:sz w:val="21"/>
                      <w:szCs w:val="21"/>
                      <w:lang w:val="en-US" w:eastAsia="zh-CN"/>
                    </w:rPr>
                    <w:t>/</w:t>
                  </w:r>
                </w:p>
              </w:tc>
              <w:tc>
                <w:tcPr>
                  <w:tcW w:w="1173" w:type="dxa"/>
                  <w:vAlign w:val="center"/>
                </w:tcPr>
                <w:p w14:paraId="713C5B63">
                  <w:pPr>
                    <w:jc w:val="center"/>
                    <w:rPr>
                      <w:color w:val="auto"/>
                      <w:sz w:val="21"/>
                      <w:szCs w:val="21"/>
                    </w:rPr>
                  </w:pPr>
                  <w:r>
                    <w:rPr>
                      <w:rFonts w:hint="eastAsia"/>
                      <w:color w:val="auto"/>
                      <w:sz w:val="21"/>
                      <w:szCs w:val="21"/>
                    </w:rPr>
                    <w:t>6-9</w:t>
                  </w:r>
                </w:p>
                <w:p w14:paraId="25743935">
                  <w:pPr>
                    <w:jc w:val="center"/>
                    <w:rPr>
                      <w:color w:val="auto"/>
                      <w:sz w:val="21"/>
                      <w:szCs w:val="21"/>
                    </w:rPr>
                  </w:pPr>
                  <w:r>
                    <w:rPr>
                      <w:rFonts w:hint="eastAsia"/>
                      <w:color w:val="auto"/>
                      <w:sz w:val="21"/>
                      <w:szCs w:val="21"/>
                    </w:rPr>
                    <w:t>（无量纲）</w:t>
                  </w:r>
                </w:p>
              </w:tc>
              <w:tc>
                <w:tcPr>
                  <w:tcW w:w="747" w:type="dxa"/>
                  <w:vAlign w:val="center"/>
                </w:tcPr>
                <w:p w14:paraId="5E124FD0">
                  <w:pPr>
                    <w:jc w:val="center"/>
                    <w:rPr>
                      <w:color w:val="auto"/>
                      <w:sz w:val="21"/>
                      <w:szCs w:val="21"/>
                    </w:rPr>
                  </w:pPr>
                  <w:r>
                    <w:rPr>
                      <w:rFonts w:hint="eastAsia"/>
                      <w:color w:val="auto"/>
                      <w:sz w:val="21"/>
                      <w:szCs w:val="21"/>
                    </w:rPr>
                    <w:t>达标</w:t>
                  </w:r>
                </w:p>
              </w:tc>
              <w:tc>
                <w:tcPr>
                  <w:tcW w:w="1032" w:type="dxa"/>
                  <w:vAlign w:val="center"/>
                </w:tcPr>
                <w:p w14:paraId="42D449D0">
                  <w:pPr>
                    <w:jc w:val="center"/>
                    <w:rPr>
                      <w:color w:val="auto"/>
                      <w:sz w:val="21"/>
                      <w:szCs w:val="21"/>
                    </w:rPr>
                  </w:pPr>
                  <w:r>
                    <w:rPr>
                      <w:rFonts w:hint="eastAsia"/>
                      <w:color w:val="auto"/>
                      <w:sz w:val="21"/>
                      <w:szCs w:val="21"/>
                    </w:rPr>
                    <w:t>/</w:t>
                  </w:r>
                </w:p>
              </w:tc>
            </w:tr>
            <w:tr w14:paraId="3521F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7E1F57B0">
                  <w:pPr>
                    <w:jc w:val="center"/>
                    <w:rPr>
                      <w:color w:val="auto"/>
                      <w:sz w:val="21"/>
                      <w:szCs w:val="21"/>
                    </w:rPr>
                  </w:pPr>
                </w:p>
              </w:tc>
              <w:tc>
                <w:tcPr>
                  <w:tcW w:w="1987" w:type="dxa"/>
                  <w:vAlign w:val="center"/>
                </w:tcPr>
                <w:p w14:paraId="449BB59C">
                  <w:pPr>
                    <w:jc w:val="center"/>
                    <w:rPr>
                      <w:color w:val="auto"/>
                      <w:sz w:val="21"/>
                      <w:szCs w:val="21"/>
                    </w:rPr>
                  </w:pPr>
                  <w:r>
                    <w:rPr>
                      <w:rFonts w:hint="eastAsia"/>
                      <w:color w:val="auto"/>
                      <w:sz w:val="21"/>
                      <w:szCs w:val="21"/>
                    </w:rPr>
                    <w:t>COD</w:t>
                  </w:r>
                </w:p>
              </w:tc>
              <w:tc>
                <w:tcPr>
                  <w:tcW w:w="1027" w:type="dxa"/>
                  <w:vMerge w:val="continue"/>
                  <w:vAlign w:val="center"/>
                </w:tcPr>
                <w:p w14:paraId="045837B4">
                  <w:pPr>
                    <w:jc w:val="center"/>
                    <w:rPr>
                      <w:color w:val="auto"/>
                      <w:sz w:val="21"/>
                      <w:szCs w:val="21"/>
                    </w:rPr>
                  </w:pPr>
                </w:p>
              </w:tc>
              <w:tc>
                <w:tcPr>
                  <w:tcW w:w="1133" w:type="dxa"/>
                  <w:vAlign w:val="center"/>
                </w:tcPr>
                <w:p w14:paraId="59272BD6">
                  <w:pPr>
                    <w:jc w:val="center"/>
                    <w:rPr>
                      <w:rFonts w:hint="default" w:eastAsia="宋体"/>
                      <w:color w:val="FF0000"/>
                      <w:sz w:val="21"/>
                      <w:szCs w:val="21"/>
                      <w:lang w:val="en-US" w:eastAsia="zh-CN"/>
                    </w:rPr>
                  </w:pPr>
                  <w:r>
                    <w:rPr>
                      <w:rFonts w:hint="eastAsia"/>
                      <w:color w:val="FF0000"/>
                      <w:sz w:val="21"/>
                      <w:szCs w:val="21"/>
                      <w:lang w:val="en-US" w:eastAsia="zh-CN"/>
                    </w:rPr>
                    <w:t>246.65</w:t>
                  </w:r>
                </w:p>
              </w:tc>
              <w:tc>
                <w:tcPr>
                  <w:tcW w:w="1173" w:type="dxa"/>
                  <w:vAlign w:val="center"/>
                </w:tcPr>
                <w:p w14:paraId="522FB582">
                  <w:pPr>
                    <w:jc w:val="center"/>
                    <w:rPr>
                      <w:color w:val="auto"/>
                      <w:sz w:val="21"/>
                      <w:szCs w:val="21"/>
                    </w:rPr>
                  </w:pPr>
                  <w:r>
                    <w:rPr>
                      <w:rFonts w:hint="eastAsia"/>
                      <w:color w:val="auto"/>
                      <w:sz w:val="21"/>
                      <w:szCs w:val="21"/>
                    </w:rPr>
                    <w:t>500</w:t>
                  </w:r>
                </w:p>
              </w:tc>
              <w:tc>
                <w:tcPr>
                  <w:tcW w:w="747" w:type="dxa"/>
                  <w:vAlign w:val="center"/>
                </w:tcPr>
                <w:p w14:paraId="2C108626">
                  <w:pPr>
                    <w:jc w:val="center"/>
                    <w:rPr>
                      <w:color w:val="auto"/>
                      <w:sz w:val="21"/>
                      <w:szCs w:val="21"/>
                    </w:rPr>
                  </w:pPr>
                  <w:r>
                    <w:rPr>
                      <w:rFonts w:hint="eastAsia"/>
                      <w:color w:val="auto"/>
                      <w:sz w:val="21"/>
                      <w:szCs w:val="21"/>
                    </w:rPr>
                    <w:t>达标</w:t>
                  </w:r>
                </w:p>
              </w:tc>
              <w:tc>
                <w:tcPr>
                  <w:tcW w:w="1032" w:type="dxa"/>
                  <w:vAlign w:val="center"/>
                </w:tcPr>
                <w:p w14:paraId="300308DD">
                  <w:pPr>
                    <w:jc w:val="center"/>
                    <w:rPr>
                      <w:rFonts w:hint="default" w:eastAsia="宋体"/>
                      <w:color w:val="FF0000"/>
                      <w:sz w:val="21"/>
                      <w:szCs w:val="21"/>
                      <w:lang w:val="en-US" w:eastAsia="zh-CN"/>
                    </w:rPr>
                  </w:pPr>
                  <w:r>
                    <w:rPr>
                      <w:rFonts w:hint="eastAsia"/>
                      <w:color w:val="FF0000"/>
                      <w:sz w:val="21"/>
                      <w:szCs w:val="21"/>
                    </w:rPr>
                    <w:t>0.</w:t>
                  </w:r>
                  <w:r>
                    <w:rPr>
                      <w:rFonts w:hint="eastAsia"/>
                      <w:color w:val="FF0000"/>
                      <w:sz w:val="21"/>
                      <w:szCs w:val="21"/>
                      <w:lang w:val="en-US" w:eastAsia="zh-CN"/>
                    </w:rPr>
                    <w:t>20</w:t>
                  </w:r>
                </w:p>
              </w:tc>
            </w:tr>
            <w:tr w14:paraId="7CB73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533F51B5">
                  <w:pPr>
                    <w:jc w:val="center"/>
                    <w:rPr>
                      <w:color w:val="auto"/>
                      <w:sz w:val="21"/>
                      <w:szCs w:val="21"/>
                    </w:rPr>
                  </w:pPr>
                </w:p>
              </w:tc>
              <w:tc>
                <w:tcPr>
                  <w:tcW w:w="1987" w:type="dxa"/>
                  <w:vAlign w:val="center"/>
                </w:tcPr>
                <w:p w14:paraId="431B4A3C">
                  <w:pPr>
                    <w:jc w:val="center"/>
                    <w:rPr>
                      <w:color w:val="auto"/>
                      <w:sz w:val="21"/>
                      <w:szCs w:val="21"/>
                    </w:rPr>
                  </w:pPr>
                  <w:r>
                    <w:rPr>
                      <w:rFonts w:hint="eastAsia"/>
                      <w:color w:val="auto"/>
                      <w:sz w:val="21"/>
                      <w:szCs w:val="21"/>
                    </w:rPr>
                    <w:t>BOD</w:t>
                  </w:r>
                  <w:r>
                    <w:rPr>
                      <w:rFonts w:hint="eastAsia"/>
                      <w:color w:val="auto"/>
                      <w:sz w:val="21"/>
                      <w:szCs w:val="21"/>
                      <w:vertAlign w:val="subscript"/>
                    </w:rPr>
                    <w:t>5</w:t>
                  </w:r>
                </w:p>
              </w:tc>
              <w:tc>
                <w:tcPr>
                  <w:tcW w:w="1027" w:type="dxa"/>
                  <w:vMerge w:val="continue"/>
                  <w:vAlign w:val="center"/>
                </w:tcPr>
                <w:p w14:paraId="2618E8C7">
                  <w:pPr>
                    <w:jc w:val="center"/>
                    <w:rPr>
                      <w:color w:val="auto"/>
                      <w:sz w:val="21"/>
                      <w:szCs w:val="21"/>
                    </w:rPr>
                  </w:pPr>
                </w:p>
              </w:tc>
              <w:tc>
                <w:tcPr>
                  <w:tcW w:w="1133" w:type="dxa"/>
                  <w:vAlign w:val="center"/>
                </w:tcPr>
                <w:p w14:paraId="5854D86B">
                  <w:pPr>
                    <w:jc w:val="center"/>
                    <w:rPr>
                      <w:rFonts w:hint="default" w:eastAsia="宋体"/>
                      <w:color w:val="FF0000"/>
                      <w:sz w:val="21"/>
                      <w:szCs w:val="21"/>
                      <w:lang w:val="en-US" w:eastAsia="zh-CN"/>
                    </w:rPr>
                  </w:pPr>
                  <w:r>
                    <w:rPr>
                      <w:rFonts w:hint="eastAsia"/>
                      <w:color w:val="FF0000"/>
                      <w:sz w:val="21"/>
                      <w:szCs w:val="21"/>
                      <w:lang w:val="en-US" w:eastAsia="zh-CN"/>
                    </w:rPr>
                    <w:t>79.92</w:t>
                  </w:r>
                </w:p>
              </w:tc>
              <w:tc>
                <w:tcPr>
                  <w:tcW w:w="1173" w:type="dxa"/>
                  <w:vAlign w:val="center"/>
                </w:tcPr>
                <w:p w14:paraId="1F8131F6">
                  <w:pPr>
                    <w:jc w:val="center"/>
                    <w:rPr>
                      <w:color w:val="auto"/>
                      <w:sz w:val="21"/>
                      <w:szCs w:val="21"/>
                    </w:rPr>
                  </w:pPr>
                  <w:r>
                    <w:rPr>
                      <w:rFonts w:hint="eastAsia"/>
                      <w:color w:val="auto"/>
                      <w:sz w:val="21"/>
                      <w:szCs w:val="21"/>
                    </w:rPr>
                    <w:t>300</w:t>
                  </w:r>
                </w:p>
              </w:tc>
              <w:tc>
                <w:tcPr>
                  <w:tcW w:w="747" w:type="dxa"/>
                  <w:vAlign w:val="center"/>
                </w:tcPr>
                <w:p w14:paraId="73E10273">
                  <w:pPr>
                    <w:jc w:val="center"/>
                    <w:rPr>
                      <w:color w:val="auto"/>
                      <w:sz w:val="21"/>
                      <w:szCs w:val="21"/>
                    </w:rPr>
                  </w:pPr>
                  <w:r>
                    <w:rPr>
                      <w:rFonts w:hint="eastAsia"/>
                      <w:color w:val="auto"/>
                      <w:sz w:val="21"/>
                      <w:szCs w:val="21"/>
                    </w:rPr>
                    <w:t>达标</w:t>
                  </w:r>
                </w:p>
              </w:tc>
              <w:tc>
                <w:tcPr>
                  <w:tcW w:w="1032" w:type="dxa"/>
                  <w:vAlign w:val="center"/>
                </w:tcPr>
                <w:p w14:paraId="617CADA8">
                  <w:pPr>
                    <w:jc w:val="center"/>
                    <w:rPr>
                      <w:rFonts w:hint="default" w:eastAsia="宋体"/>
                      <w:color w:val="FF0000"/>
                      <w:sz w:val="21"/>
                      <w:szCs w:val="21"/>
                      <w:lang w:val="en-US" w:eastAsia="zh-CN"/>
                    </w:rPr>
                  </w:pPr>
                  <w:r>
                    <w:rPr>
                      <w:rFonts w:hint="eastAsia"/>
                      <w:color w:val="FF0000"/>
                      <w:sz w:val="21"/>
                      <w:szCs w:val="21"/>
                      <w:lang w:val="en-US" w:eastAsia="zh-CN"/>
                    </w:rPr>
                    <w:t>0.065</w:t>
                  </w:r>
                </w:p>
              </w:tc>
            </w:tr>
            <w:tr w14:paraId="5F750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67A3BBA9">
                  <w:pPr>
                    <w:jc w:val="center"/>
                    <w:rPr>
                      <w:color w:val="auto"/>
                      <w:sz w:val="21"/>
                      <w:szCs w:val="21"/>
                    </w:rPr>
                  </w:pPr>
                </w:p>
              </w:tc>
              <w:tc>
                <w:tcPr>
                  <w:tcW w:w="1987" w:type="dxa"/>
                  <w:vAlign w:val="center"/>
                </w:tcPr>
                <w:p w14:paraId="03BA8FC6">
                  <w:pPr>
                    <w:jc w:val="center"/>
                    <w:rPr>
                      <w:color w:val="auto"/>
                      <w:sz w:val="21"/>
                      <w:szCs w:val="21"/>
                    </w:rPr>
                  </w:pPr>
                  <w:r>
                    <w:rPr>
                      <w:rFonts w:hint="eastAsia"/>
                      <w:color w:val="auto"/>
                      <w:sz w:val="21"/>
                      <w:szCs w:val="21"/>
                    </w:rPr>
                    <w:t>SS</w:t>
                  </w:r>
                </w:p>
              </w:tc>
              <w:tc>
                <w:tcPr>
                  <w:tcW w:w="1027" w:type="dxa"/>
                  <w:vMerge w:val="continue"/>
                  <w:vAlign w:val="center"/>
                </w:tcPr>
                <w:p w14:paraId="413D3F00">
                  <w:pPr>
                    <w:jc w:val="center"/>
                    <w:rPr>
                      <w:color w:val="auto"/>
                      <w:sz w:val="21"/>
                      <w:szCs w:val="21"/>
                    </w:rPr>
                  </w:pPr>
                </w:p>
              </w:tc>
              <w:tc>
                <w:tcPr>
                  <w:tcW w:w="1133" w:type="dxa"/>
                  <w:vAlign w:val="center"/>
                </w:tcPr>
                <w:p w14:paraId="68D92B40">
                  <w:pPr>
                    <w:jc w:val="center"/>
                    <w:rPr>
                      <w:rFonts w:hint="default" w:eastAsia="宋体"/>
                      <w:color w:val="FF0000"/>
                      <w:sz w:val="21"/>
                      <w:szCs w:val="21"/>
                      <w:lang w:val="en-US" w:eastAsia="zh-CN"/>
                    </w:rPr>
                  </w:pPr>
                  <w:r>
                    <w:rPr>
                      <w:rFonts w:hint="eastAsia"/>
                      <w:color w:val="FF0000"/>
                      <w:sz w:val="21"/>
                      <w:szCs w:val="21"/>
                      <w:lang w:val="en-US" w:eastAsia="zh-CN"/>
                    </w:rPr>
                    <w:t>68.17</w:t>
                  </w:r>
                </w:p>
              </w:tc>
              <w:tc>
                <w:tcPr>
                  <w:tcW w:w="1173" w:type="dxa"/>
                  <w:vAlign w:val="center"/>
                </w:tcPr>
                <w:p w14:paraId="13AC5FAF">
                  <w:pPr>
                    <w:jc w:val="center"/>
                    <w:rPr>
                      <w:color w:val="auto"/>
                      <w:sz w:val="21"/>
                      <w:szCs w:val="21"/>
                    </w:rPr>
                  </w:pPr>
                  <w:r>
                    <w:rPr>
                      <w:rFonts w:hint="eastAsia"/>
                      <w:color w:val="auto"/>
                      <w:sz w:val="21"/>
                      <w:szCs w:val="21"/>
                    </w:rPr>
                    <w:t>400</w:t>
                  </w:r>
                </w:p>
              </w:tc>
              <w:tc>
                <w:tcPr>
                  <w:tcW w:w="747" w:type="dxa"/>
                  <w:vAlign w:val="center"/>
                </w:tcPr>
                <w:p w14:paraId="7A34D8B4">
                  <w:pPr>
                    <w:jc w:val="center"/>
                    <w:rPr>
                      <w:color w:val="auto"/>
                      <w:sz w:val="21"/>
                      <w:szCs w:val="21"/>
                    </w:rPr>
                  </w:pPr>
                  <w:r>
                    <w:rPr>
                      <w:rFonts w:hint="eastAsia"/>
                      <w:color w:val="auto"/>
                      <w:sz w:val="21"/>
                      <w:szCs w:val="21"/>
                    </w:rPr>
                    <w:t>达标</w:t>
                  </w:r>
                </w:p>
              </w:tc>
              <w:tc>
                <w:tcPr>
                  <w:tcW w:w="1032" w:type="dxa"/>
                  <w:vAlign w:val="center"/>
                </w:tcPr>
                <w:p w14:paraId="0B09BD71">
                  <w:pPr>
                    <w:jc w:val="center"/>
                    <w:rPr>
                      <w:rFonts w:hint="default" w:eastAsia="宋体"/>
                      <w:color w:val="FF0000"/>
                      <w:sz w:val="21"/>
                      <w:szCs w:val="21"/>
                      <w:lang w:val="en-US" w:eastAsia="zh-CN"/>
                    </w:rPr>
                  </w:pPr>
                  <w:r>
                    <w:rPr>
                      <w:rFonts w:hint="eastAsia"/>
                      <w:color w:val="FF0000"/>
                      <w:sz w:val="21"/>
                      <w:szCs w:val="21"/>
                      <w:lang w:val="en-US" w:eastAsia="zh-CN"/>
                    </w:rPr>
                    <w:t>0.055</w:t>
                  </w:r>
                </w:p>
              </w:tc>
            </w:tr>
            <w:tr w14:paraId="7345A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17CD454C">
                  <w:pPr>
                    <w:jc w:val="center"/>
                    <w:rPr>
                      <w:color w:val="auto"/>
                      <w:sz w:val="21"/>
                      <w:szCs w:val="21"/>
                    </w:rPr>
                  </w:pPr>
                </w:p>
              </w:tc>
              <w:tc>
                <w:tcPr>
                  <w:tcW w:w="1987" w:type="dxa"/>
                  <w:vAlign w:val="center"/>
                </w:tcPr>
                <w:p w14:paraId="5A1B4DD3">
                  <w:pPr>
                    <w:jc w:val="center"/>
                    <w:rPr>
                      <w:color w:val="auto"/>
                      <w:sz w:val="21"/>
                      <w:szCs w:val="21"/>
                    </w:rPr>
                  </w:pPr>
                  <w:r>
                    <w:rPr>
                      <w:rFonts w:hint="eastAsia"/>
                      <w:color w:val="auto"/>
                      <w:sz w:val="21"/>
                      <w:szCs w:val="21"/>
                    </w:rPr>
                    <w:t>NH</w:t>
                  </w:r>
                  <w:r>
                    <w:rPr>
                      <w:rFonts w:hint="eastAsia"/>
                      <w:color w:val="auto"/>
                      <w:sz w:val="21"/>
                      <w:szCs w:val="21"/>
                      <w:vertAlign w:val="subscript"/>
                    </w:rPr>
                    <w:t>3</w:t>
                  </w:r>
                  <w:r>
                    <w:rPr>
                      <w:rFonts w:hint="eastAsia"/>
                      <w:color w:val="auto"/>
                      <w:sz w:val="21"/>
                      <w:szCs w:val="21"/>
                    </w:rPr>
                    <w:t>-N</w:t>
                  </w:r>
                </w:p>
              </w:tc>
              <w:tc>
                <w:tcPr>
                  <w:tcW w:w="1027" w:type="dxa"/>
                  <w:vMerge w:val="continue"/>
                  <w:vAlign w:val="center"/>
                </w:tcPr>
                <w:p w14:paraId="09E077FB">
                  <w:pPr>
                    <w:jc w:val="center"/>
                    <w:rPr>
                      <w:color w:val="auto"/>
                      <w:sz w:val="21"/>
                      <w:szCs w:val="21"/>
                    </w:rPr>
                  </w:pPr>
                </w:p>
              </w:tc>
              <w:tc>
                <w:tcPr>
                  <w:tcW w:w="1133" w:type="dxa"/>
                  <w:vAlign w:val="center"/>
                </w:tcPr>
                <w:p w14:paraId="69CC6FF6">
                  <w:pPr>
                    <w:jc w:val="center"/>
                    <w:rPr>
                      <w:rFonts w:hint="default" w:eastAsia="宋体"/>
                      <w:color w:val="FF0000"/>
                      <w:sz w:val="21"/>
                      <w:szCs w:val="21"/>
                      <w:lang w:val="en-US" w:eastAsia="zh-CN"/>
                    </w:rPr>
                  </w:pPr>
                  <w:r>
                    <w:rPr>
                      <w:rFonts w:hint="eastAsia"/>
                      <w:color w:val="FF0000"/>
                      <w:sz w:val="21"/>
                      <w:szCs w:val="21"/>
                      <w:lang w:val="en-US" w:eastAsia="zh-CN"/>
                    </w:rPr>
                    <w:t>38.25</w:t>
                  </w:r>
                </w:p>
              </w:tc>
              <w:tc>
                <w:tcPr>
                  <w:tcW w:w="1173" w:type="dxa"/>
                  <w:vAlign w:val="center"/>
                </w:tcPr>
                <w:p w14:paraId="5667C8F2">
                  <w:pPr>
                    <w:jc w:val="center"/>
                    <w:rPr>
                      <w:color w:val="auto"/>
                      <w:sz w:val="21"/>
                      <w:szCs w:val="21"/>
                    </w:rPr>
                  </w:pPr>
                  <w:r>
                    <w:rPr>
                      <w:rFonts w:hint="eastAsia"/>
                      <w:color w:val="auto"/>
                      <w:sz w:val="21"/>
                      <w:szCs w:val="21"/>
                    </w:rPr>
                    <w:t>45</w:t>
                  </w:r>
                </w:p>
              </w:tc>
              <w:tc>
                <w:tcPr>
                  <w:tcW w:w="747" w:type="dxa"/>
                  <w:vAlign w:val="center"/>
                </w:tcPr>
                <w:p w14:paraId="3E88982C">
                  <w:pPr>
                    <w:jc w:val="center"/>
                    <w:rPr>
                      <w:color w:val="auto"/>
                      <w:sz w:val="21"/>
                      <w:szCs w:val="21"/>
                    </w:rPr>
                  </w:pPr>
                  <w:r>
                    <w:rPr>
                      <w:rFonts w:hint="eastAsia"/>
                      <w:color w:val="auto"/>
                      <w:sz w:val="21"/>
                      <w:szCs w:val="21"/>
                    </w:rPr>
                    <w:t>达标</w:t>
                  </w:r>
                </w:p>
              </w:tc>
              <w:tc>
                <w:tcPr>
                  <w:tcW w:w="1032" w:type="dxa"/>
                  <w:vAlign w:val="center"/>
                </w:tcPr>
                <w:p w14:paraId="23F9597C">
                  <w:pPr>
                    <w:jc w:val="center"/>
                    <w:rPr>
                      <w:rFonts w:hint="default" w:eastAsia="宋体"/>
                      <w:color w:val="FF0000"/>
                      <w:sz w:val="21"/>
                      <w:szCs w:val="21"/>
                      <w:lang w:val="en-US" w:eastAsia="zh-CN"/>
                    </w:rPr>
                  </w:pPr>
                  <w:r>
                    <w:rPr>
                      <w:rFonts w:hint="eastAsia"/>
                      <w:color w:val="FF0000"/>
                      <w:sz w:val="21"/>
                      <w:szCs w:val="21"/>
                    </w:rPr>
                    <w:t>0.0</w:t>
                  </w:r>
                  <w:r>
                    <w:rPr>
                      <w:rFonts w:hint="eastAsia"/>
                      <w:color w:val="FF0000"/>
                      <w:sz w:val="21"/>
                      <w:szCs w:val="21"/>
                      <w:lang w:val="en-US" w:eastAsia="zh-CN"/>
                    </w:rPr>
                    <w:t>31</w:t>
                  </w:r>
                </w:p>
              </w:tc>
            </w:tr>
            <w:tr w14:paraId="38314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2DA03A17">
                  <w:pPr>
                    <w:jc w:val="center"/>
                    <w:rPr>
                      <w:color w:val="auto"/>
                      <w:sz w:val="21"/>
                      <w:szCs w:val="21"/>
                    </w:rPr>
                  </w:pPr>
                </w:p>
              </w:tc>
              <w:tc>
                <w:tcPr>
                  <w:tcW w:w="1987" w:type="dxa"/>
                  <w:vAlign w:val="center"/>
                </w:tcPr>
                <w:p w14:paraId="7610CC57">
                  <w:pPr>
                    <w:jc w:val="center"/>
                    <w:rPr>
                      <w:color w:val="auto"/>
                      <w:sz w:val="21"/>
                      <w:szCs w:val="21"/>
                    </w:rPr>
                  </w:pPr>
                  <w:r>
                    <w:rPr>
                      <w:rFonts w:hint="eastAsia"/>
                      <w:color w:val="auto"/>
                      <w:sz w:val="21"/>
                      <w:szCs w:val="21"/>
                    </w:rPr>
                    <w:t>TP</w:t>
                  </w:r>
                </w:p>
              </w:tc>
              <w:tc>
                <w:tcPr>
                  <w:tcW w:w="1027" w:type="dxa"/>
                  <w:vMerge w:val="continue"/>
                  <w:vAlign w:val="center"/>
                </w:tcPr>
                <w:p w14:paraId="2FEFEA17">
                  <w:pPr>
                    <w:jc w:val="center"/>
                    <w:rPr>
                      <w:color w:val="auto"/>
                      <w:sz w:val="21"/>
                      <w:szCs w:val="21"/>
                    </w:rPr>
                  </w:pPr>
                </w:p>
              </w:tc>
              <w:tc>
                <w:tcPr>
                  <w:tcW w:w="1133" w:type="dxa"/>
                  <w:vAlign w:val="center"/>
                </w:tcPr>
                <w:p w14:paraId="7E68842E">
                  <w:pPr>
                    <w:jc w:val="center"/>
                    <w:rPr>
                      <w:rFonts w:hint="default" w:eastAsia="宋体"/>
                      <w:color w:val="FF0000"/>
                      <w:sz w:val="21"/>
                      <w:szCs w:val="21"/>
                      <w:lang w:val="en-US" w:eastAsia="zh-CN"/>
                    </w:rPr>
                  </w:pPr>
                  <w:r>
                    <w:rPr>
                      <w:rFonts w:hint="eastAsia"/>
                      <w:color w:val="FF0000"/>
                      <w:sz w:val="21"/>
                      <w:szCs w:val="21"/>
                      <w:lang w:val="en-US" w:eastAsia="zh-CN"/>
                    </w:rPr>
                    <w:t>7.25</w:t>
                  </w:r>
                </w:p>
              </w:tc>
              <w:tc>
                <w:tcPr>
                  <w:tcW w:w="1173" w:type="dxa"/>
                  <w:vAlign w:val="center"/>
                </w:tcPr>
                <w:p w14:paraId="53FF8EB0">
                  <w:pPr>
                    <w:jc w:val="center"/>
                    <w:rPr>
                      <w:color w:val="auto"/>
                      <w:sz w:val="21"/>
                      <w:szCs w:val="21"/>
                    </w:rPr>
                  </w:pPr>
                  <w:r>
                    <w:rPr>
                      <w:rFonts w:hint="eastAsia"/>
                      <w:color w:val="auto"/>
                      <w:sz w:val="21"/>
                      <w:szCs w:val="21"/>
                    </w:rPr>
                    <w:t>8</w:t>
                  </w:r>
                </w:p>
              </w:tc>
              <w:tc>
                <w:tcPr>
                  <w:tcW w:w="747" w:type="dxa"/>
                  <w:shd w:val="clear" w:color="auto" w:fill="auto"/>
                  <w:vAlign w:val="center"/>
                </w:tcPr>
                <w:p w14:paraId="341FB335">
                  <w:pPr>
                    <w:jc w:val="center"/>
                    <w:rPr>
                      <w:color w:val="auto"/>
                      <w:sz w:val="21"/>
                      <w:szCs w:val="21"/>
                    </w:rPr>
                  </w:pPr>
                  <w:r>
                    <w:rPr>
                      <w:rFonts w:hint="eastAsia"/>
                      <w:color w:val="auto"/>
                      <w:sz w:val="21"/>
                      <w:szCs w:val="21"/>
                    </w:rPr>
                    <w:t>达标</w:t>
                  </w:r>
                </w:p>
              </w:tc>
              <w:tc>
                <w:tcPr>
                  <w:tcW w:w="1032" w:type="dxa"/>
                  <w:vAlign w:val="center"/>
                </w:tcPr>
                <w:p w14:paraId="229B2A47">
                  <w:pPr>
                    <w:jc w:val="center"/>
                    <w:rPr>
                      <w:rFonts w:hint="default" w:eastAsia="宋体"/>
                      <w:color w:val="FF0000"/>
                      <w:sz w:val="21"/>
                      <w:szCs w:val="21"/>
                      <w:lang w:val="en-US" w:eastAsia="zh-CN"/>
                    </w:rPr>
                  </w:pPr>
                  <w:r>
                    <w:rPr>
                      <w:rFonts w:hint="eastAsia"/>
                      <w:color w:val="FF0000"/>
                      <w:sz w:val="21"/>
                      <w:szCs w:val="21"/>
                    </w:rPr>
                    <w:t>0.00</w:t>
                  </w:r>
                  <w:r>
                    <w:rPr>
                      <w:rFonts w:hint="eastAsia"/>
                      <w:color w:val="FF0000"/>
                      <w:sz w:val="21"/>
                      <w:szCs w:val="21"/>
                      <w:lang w:val="en-US" w:eastAsia="zh-CN"/>
                    </w:rPr>
                    <w:t>59</w:t>
                  </w:r>
                </w:p>
              </w:tc>
            </w:tr>
            <w:tr w14:paraId="4013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5F706B6A">
                  <w:pPr>
                    <w:jc w:val="center"/>
                    <w:rPr>
                      <w:color w:val="auto"/>
                      <w:sz w:val="21"/>
                      <w:szCs w:val="21"/>
                    </w:rPr>
                  </w:pPr>
                </w:p>
              </w:tc>
              <w:tc>
                <w:tcPr>
                  <w:tcW w:w="1987" w:type="dxa"/>
                  <w:vAlign w:val="center"/>
                </w:tcPr>
                <w:p w14:paraId="356E8C4A">
                  <w:pPr>
                    <w:jc w:val="center"/>
                    <w:rPr>
                      <w:color w:val="auto"/>
                      <w:sz w:val="21"/>
                      <w:szCs w:val="21"/>
                    </w:rPr>
                  </w:pPr>
                  <w:r>
                    <w:rPr>
                      <w:rFonts w:hint="eastAsia"/>
                      <w:color w:val="auto"/>
                      <w:sz w:val="21"/>
                      <w:szCs w:val="21"/>
                    </w:rPr>
                    <w:t>TN</w:t>
                  </w:r>
                </w:p>
              </w:tc>
              <w:tc>
                <w:tcPr>
                  <w:tcW w:w="1027" w:type="dxa"/>
                  <w:vMerge w:val="continue"/>
                  <w:vAlign w:val="center"/>
                </w:tcPr>
                <w:p w14:paraId="24E3FC2C">
                  <w:pPr>
                    <w:jc w:val="center"/>
                    <w:rPr>
                      <w:color w:val="auto"/>
                      <w:sz w:val="21"/>
                      <w:szCs w:val="21"/>
                    </w:rPr>
                  </w:pPr>
                </w:p>
              </w:tc>
              <w:tc>
                <w:tcPr>
                  <w:tcW w:w="1133" w:type="dxa"/>
                  <w:vAlign w:val="center"/>
                </w:tcPr>
                <w:p w14:paraId="645B8244">
                  <w:pPr>
                    <w:jc w:val="center"/>
                    <w:rPr>
                      <w:rFonts w:hint="default" w:eastAsia="宋体"/>
                      <w:color w:val="FF0000"/>
                      <w:sz w:val="21"/>
                      <w:szCs w:val="21"/>
                      <w:lang w:val="en-US" w:eastAsia="zh-CN"/>
                    </w:rPr>
                  </w:pPr>
                  <w:r>
                    <w:rPr>
                      <w:rFonts w:hint="eastAsia"/>
                      <w:color w:val="FF0000"/>
                      <w:sz w:val="21"/>
                      <w:szCs w:val="21"/>
                      <w:lang w:val="en-US" w:eastAsia="zh-CN"/>
                    </w:rPr>
                    <w:t>52.80</w:t>
                  </w:r>
                </w:p>
              </w:tc>
              <w:tc>
                <w:tcPr>
                  <w:tcW w:w="1173" w:type="dxa"/>
                  <w:vAlign w:val="center"/>
                </w:tcPr>
                <w:p w14:paraId="64900990">
                  <w:pPr>
                    <w:jc w:val="center"/>
                    <w:rPr>
                      <w:color w:val="auto"/>
                      <w:sz w:val="21"/>
                      <w:szCs w:val="21"/>
                    </w:rPr>
                  </w:pPr>
                  <w:r>
                    <w:rPr>
                      <w:rFonts w:hint="eastAsia"/>
                      <w:color w:val="auto"/>
                      <w:sz w:val="21"/>
                      <w:szCs w:val="21"/>
                    </w:rPr>
                    <w:t>70</w:t>
                  </w:r>
                </w:p>
              </w:tc>
              <w:tc>
                <w:tcPr>
                  <w:tcW w:w="747" w:type="dxa"/>
                  <w:shd w:val="clear" w:color="auto" w:fill="auto"/>
                  <w:vAlign w:val="center"/>
                </w:tcPr>
                <w:p w14:paraId="4DB7AFAE">
                  <w:pPr>
                    <w:jc w:val="center"/>
                    <w:rPr>
                      <w:color w:val="auto"/>
                      <w:sz w:val="21"/>
                      <w:szCs w:val="21"/>
                    </w:rPr>
                  </w:pPr>
                  <w:r>
                    <w:rPr>
                      <w:rFonts w:hint="eastAsia"/>
                      <w:color w:val="auto"/>
                      <w:sz w:val="21"/>
                      <w:szCs w:val="21"/>
                    </w:rPr>
                    <w:t>达标</w:t>
                  </w:r>
                </w:p>
              </w:tc>
              <w:tc>
                <w:tcPr>
                  <w:tcW w:w="1032" w:type="dxa"/>
                  <w:vAlign w:val="center"/>
                </w:tcPr>
                <w:p w14:paraId="24E8D73C">
                  <w:pPr>
                    <w:jc w:val="center"/>
                    <w:rPr>
                      <w:rFonts w:hint="eastAsia" w:eastAsia="宋体"/>
                      <w:color w:val="FF0000"/>
                      <w:sz w:val="21"/>
                      <w:szCs w:val="21"/>
                      <w:lang w:eastAsia="zh-CN"/>
                    </w:rPr>
                  </w:pPr>
                  <w:r>
                    <w:rPr>
                      <w:rFonts w:hint="eastAsia"/>
                      <w:color w:val="FF0000"/>
                      <w:sz w:val="21"/>
                      <w:szCs w:val="21"/>
                    </w:rPr>
                    <w:t>0.04</w:t>
                  </w:r>
                  <w:r>
                    <w:rPr>
                      <w:rFonts w:hint="eastAsia"/>
                      <w:color w:val="FF0000"/>
                      <w:sz w:val="21"/>
                      <w:szCs w:val="21"/>
                      <w:lang w:val="en-US" w:eastAsia="zh-CN"/>
                    </w:rPr>
                    <w:t>3</w:t>
                  </w:r>
                </w:p>
              </w:tc>
            </w:tr>
            <w:tr w14:paraId="105F3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5EF748C0">
                  <w:pPr>
                    <w:jc w:val="center"/>
                    <w:rPr>
                      <w:color w:val="auto"/>
                      <w:sz w:val="21"/>
                      <w:szCs w:val="21"/>
                    </w:rPr>
                  </w:pPr>
                </w:p>
              </w:tc>
              <w:tc>
                <w:tcPr>
                  <w:tcW w:w="1987" w:type="dxa"/>
                  <w:vAlign w:val="center"/>
                </w:tcPr>
                <w:p w14:paraId="66FEBF4B">
                  <w:pPr>
                    <w:jc w:val="center"/>
                    <w:rPr>
                      <w:color w:val="auto"/>
                      <w:sz w:val="21"/>
                      <w:szCs w:val="21"/>
                    </w:rPr>
                  </w:pPr>
                  <w:r>
                    <w:rPr>
                      <w:rFonts w:hint="eastAsia"/>
                      <w:color w:val="auto"/>
                      <w:sz w:val="21"/>
                      <w:szCs w:val="21"/>
                    </w:rPr>
                    <w:t>阴离子表面活性剂</w:t>
                  </w:r>
                </w:p>
              </w:tc>
              <w:tc>
                <w:tcPr>
                  <w:tcW w:w="1027" w:type="dxa"/>
                  <w:vMerge w:val="continue"/>
                  <w:vAlign w:val="center"/>
                </w:tcPr>
                <w:p w14:paraId="6FA34BF8">
                  <w:pPr>
                    <w:jc w:val="center"/>
                    <w:rPr>
                      <w:color w:val="auto"/>
                      <w:sz w:val="21"/>
                      <w:szCs w:val="21"/>
                    </w:rPr>
                  </w:pPr>
                </w:p>
              </w:tc>
              <w:tc>
                <w:tcPr>
                  <w:tcW w:w="1133" w:type="dxa"/>
                  <w:vAlign w:val="center"/>
                </w:tcPr>
                <w:p w14:paraId="6E6BBDCD">
                  <w:pPr>
                    <w:jc w:val="center"/>
                    <w:rPr>
                      <w:rFonts w:hint="default" w:eastAsia="宋体"/>
                      <w:color w:val="FF0000"/>
                      <w:sz w:val="21"/>
                      <w:szCs w:val="21"/>
                      <w:lang w:val="en-US" w:eastAsia="zh-CN"/>
                    </w:rPr>
                  </w:pPr>
                  <w:r>
                    <w:rPr>
                      <w:rFonts w:hint="eastAsia"/>
                      <w:color w:val="FF0000"/>
                      <w:sz w:val="21"/>
                      <w:szCs w:val="21"/>
                      <w:lang w:val="en-US" w:eastAsia="zh-CN"/>
                    </w:rPr>
                    <w:t>0.29</w:t>
                  </w:r>
                </w:p>
              </w:tc>
              <w:tc>
                <w:tcPr>
                  <w:tcW w:w="1173" w:type="dxa"/>
                  <w:vAlign w:val="center"/>
                </w:tcPr>
                <w:p w14:paraId="5A47D6C8">
                  <w:pPr>
                    <w:jc w:val="center"/>
                    <w:rPr>
                      <w:color w:val="auto"/>
                      <w:sz w:val="21"/>
                      <w:szCs w:val="21"/>
                    </w:rPr>
                  </w:pPr>
                  <w:r>
                    <w:rPr>
                      <w:rFonts w:hint="eastAsia"/>
                      <w:color w:val="auto"/>
                      <w:sz w:val="21"/>
                      <w:szCs w:val="21"/>
                    </w:rPr>
                    <w:t>20</w:t>
                  </w:r>
                </w:p>
              </w:tc>
              <w:tc>
                <w:tcPr>
                  <w:tcW w:w="747" w:type="dxa"/>
                  <w:vAlign w:val="center"/>
                </w:tcPr>
                <w:p w14:paraId="280B3250">
                  <w:pPr>
                    <w:jc w:val="center"/>
                    <w:rPr>
                      <w:color w:val="auto"/>
                      <w:sz w:val="21"/>
                      <w:szCs w:val="21"/>
                    </w:rPr>
                  </w:pPr>
                  <w:r>
                    <w:rPr>
                      <w:rFonts w:hint="eastAsia"/>
                      <w:color w:val="auto"/>
                      <w:sz w:val="21"/>
                      <w:szCs w:val="21"/>
                    </w:rPr>
                    <w:t>达标</w:t>
                  </w:r>
                </w:p>
              </w:tc>
              <w:tc>
                <w:tcPr>
                  <w:tcW w:w="1032" w:type="dxa"/>
                  <w:vAlign w:val="center"/>
                </w:tcPr>
                <w:p w14:paraId="67B498A1">
                  <w:pPr>
                    <w:jc w:val="center"/>
                    <w:rPr>
                      <w:rFonts w:hint="default" w:eastAsia="宋体"/>
                      <w:color w:val="FF0000"/>
                      <w:sz w:val="21"/>
                      <w:szCs w:val="21"/>
                      <w:lang w:val="en-US" w:eastAsia="zh-CN"/>
                    </w:rPr>
                  </w:pPr>
                  <w:r>
                    <w:rPr>
                      <w:rFonts w:hint="eastAsia"/>
                      <w:color w:val="FF0000"/>
                      <w:sz w:val="21"/>
                      <w:szCs w:val="21"/>
                    </w:rPr>
                    <w:t>0.00</w:t>
                  </w:r>
                  <w:r>
                    <w:rPr>
                      <w:rFonts w:hint="eastAsia"/>
                      <w:color w:val="FF0000"/>
                      <w:sz w:val="21"/>
                      <w:szCs w:val="21"/>
                      <w:lang w:val="en-US" w:eastAsia="zh-CN"/>
                    </w:rPr>
                    <w:t>23</w:t>
                  </w:r>
                </w:p>
              </w:tc>
            </w:tr>
            <w:tr w14:paraId="5187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75238034">
                  <w:pPr>
                    <w:jc w:val="center"/>
                    <w:rPr>
                      <w:color w:val="auto"/>
                      <w:sz w:val="21"/>
                      <w:szCs w:val="21"/>
                    </w:rPr>
                  </w:pPr>
                </w:p>
              </w:tc>
              <w:tc>
                <w:tcPr>
                  <w:tcW w:w="1987" w:type="dxa"/>
                  <w:vAlign w:val="center"/>
                </w:tcPr>
                <w:p w14:paraId="00022D06">
                  <w:pPr>
                    <w:jc w:val="center"/>
                    <w:rPr>
                      <w:color w:val="auto"/>
                      <w:sz w:val="21"/>
                      <w:szCs w:val="21"/>
                    </w:rPr>
                  </w:pPr>
                  <w:r>
                    <w:rPr>
                      <w:rFonts w:hint="eastAsia"/>
                      <w:color w:val="auto"/>
                      <w:sz w:val="21"/>
                      <w:szCs w:val="21"/>
                    </w:rPr>
                    <w:t>石油类</w:t>
                  </w:r>
                </w:p>
              </w:tc>
              <w:tc>
                <w:tcPr>
                  <w:tcW w:w="1027" w:type="dxa"/>
                  <w:vMerge w:val="continue"/>
                  <w:vAlign w:val="center"/>
                </w:tcPr>
                <w:p w14:paraId="0BF08116">
                  <w:pPr>
                    <w:jc w:val="center"/>
                    <w:rPr>
                      <w:color w:val="auto"/>
                      <w:sz w:val="21"/>
                      <w:szCs w:val="21"/>
                    </w:rPr>
                  </w:pPr>
                </w:p>
              </w:tc>
              <w:tc>
                <w:tcPr>
                  <w:tcW w:w="1133" w:type="dxa"/>
                  <w:vAlign w:val="center"/>
                </w:tcPr>
                <w:p w14:paraId="5A95D6A8">
                  <w:pPr>
                    <w:jc w:val="center"/>
                    <w:rPr>
                      <w:rFonts w:hint="eastAsia" w:eastAsia="宋体"/>
                      <w:color w:val="FF0000"/>
                      <w:sz w:val="21"/>
                      <w:szCs w:val="21"/>
                      <w:lang w:val="en-US" w:eastAsia="zh-CN"/>
                    </w:rPr>
                  </w:pPr>
                  <w:r>
                    <w:rPr>
                      <w:rFonts w:hint="eastAsia"/>
                      <w:color w:val="FF0000"/>
                      <w:sz w:val="21"/>
                      <w:szCs w:val="21"/>
                    </w:rPr>
                    <w:t>0.09</w:t>
                  </w:r>
                  <w:r>
                    <w:rPr>
                      <w:rFonts w:hint="eastAsia"/>
                      <w:color w:val="FF0000"/>
                      <w:sz w:val="21"/>
                      <w:szCs w:val="21"/>
                      <w:lang w:val="en-US" w:eastAsia="zh-CN"/>
                    </w:rPr>
                    <w:t>2</w:t>
                  </w:r>
                </w:p>
              </w:tc>
              <w:tc>
                <w:tcPr>
                  <w:tcW w:w="1173" w:type="dxa"/>
                  <w:vAlign w:val="center"/>
                </w:tcPr>
                <w:p w14:paraId="35D5E72E">
                  <w:pPr>
                    <w:jc w:val="center"/>
                    <w:rPr>
                      <w:color w:val="auto"/>
                      <w:sz w:val="21"/>
                      <w:szCs w:val="21"/>
                    </w:rPr>
                  </w:pPr>
                  <w:r>
                    <w:rPr>
                      <w:rFonts w:hint="eastAsia"/>
                      <w:color w:val="auto"/>
                      <w:sz w:val="21"/>
                      <w:szCs w:val="21"/>
                    </w:rPr>
                    <w:t>15</w:t>
                  </w:r>
                </w:p>
              </w:tc>
              <w:tc>
                <w:tcPr>
                  <w:tcW w:w="747" w:type="dxa"/>
                  <w:vAlign w:val="center"/>
                </w:tcPr>
                <w:p w14:paraId="009577D9">
                  <w:pPr>
                    <w:jc w:val="center"/>
                    <w:rPr>
                      <w:color w:val="auto"/>
                      <w:sz w:val="21"/>
                      <w:szCs w:val="21"/>
                    </w:rPr>
                  </w:pPr>
                  <w:r>
                    <w:rPr>
                      <w:rFonts w:hint="eastAsia"/>
                      <w:color w:val="auto"/>
                      <w:sz w:val="21"/>
                      <w:szCs w:val="21"/>
                    </w:rPr>
                    <w:t>达标</w:t>
                  </w:r>
                </w:p>
              </w:tc>
              <w:tc>
                <w:tcPr>
                  <w:tcW w:w="1032" w:type="dxa"/>
                  <w:vAlign w:val="center"/>
                </w:tcPr>
                <w:p w14:paraId="2C1AD44C">
                  <w:pPr>
                    <w:jc w:val="center"/>
                    <w:rPr>
                      <w:rFonts w:hint="eastAsia" w:eastAsia="宋体"/>
                      <w:color w:val="FF0000"/>
                      <w:sz w:val="21"/>
                      <w:szCs w:val="21"/>
                      <w:lang w:val="en-US" w:eastAsia="zh-CN"/>
                    </w:rPr>
                  </w:pPr>
                  <w:r>
                    <w:rPr>
                      <w:rFonts w:hint="eastAsia"/>
                      <w:color w:val="FF0000"/>
                      <w:sz w:val="21"/>
                      <w:szCs w:val="21"/>
                    </w:rPr>
                    <w:t>0.00007</w:t>
                  </w:r>
                  <w:r>
                    <w:rPr>
                      <w:rFonts w:hint="eastAsia"/>
                      <w:color w:val="FF0000"/>
                      <w:sz w:val="21"/>
                      <w:szCs w:val="21"/>
                      <w:lang w:val="en-US" w:eastAsia="zh-CN"/>
                    </w:rPr>
                    <w:t>4</w:t>
                  </w:r>
                </w:p>
              </w:tc>
            </w:tr>
            <w:tr w14:paraId="571F5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dxa"/>
                  <w:vMerge w:val="continue"/>
                  <w:vAlign w:val="center"/>
                </w:tcPr>
                <w:p w14:paraId="1B7A68C6">
                  <w:pPr>
                    <w:jc w:val="center"/>
                    <w:rPr>
                      <w:color w:val="auto"/>
                      <w:sz w:val="21"/>
                      <w:szCs w:val="21"/>
                    </w:rPr>
                  </w:pPr>
                </w:p>
              </w:tc>
              <w:tc>
                <w:tcPr>
                  <w:tcW w:w="1987" w:type="dxa"/>
                  <w:vAlign w:val="center"/>
                </w:tcPr>
                <w:p w14:paraId="169232F0">
                  <w:pPr>
                    <w:jc w:val="center"/>
                    <w:rPr>
                      <w:color w:val="auto"/>
                      <w:sz w:val="21"/>
                      <w:szCs w:val="21"/>
                    </w:rPr>
                  </w:pPr>
                  <w:r>
                    <w:rPr>
                      <w:rFonts w:hint="eastAsia"/>
                      <w:color w:val="auto"/>
                      <w:sz w:val="21"/>
                      <w:szCs w:val="21"/>
                    </w:rPr>
                    <w:t>TDS</w:t>
                  </w:r>
                </w:p>
              </w:tc>
              <w:tc>
                <w:tcPr>
                  <w:tcW w:w="1027" w:type="dxa"/>
                  <w:vMerge w:val="continue"/>
                  <w:vAlign w:val="center"/>
                </w:tcPr>
                <w:p w14:paraId="0E141884">
                  <w:pPr>
                    <w:jc w:val="center"/>
                    <w:rPr>
                      <w:color w:val="auto"/>
                      <w:sz w:val="21"/>
                      <w:szCs w:val="21"/>
                    </w:rPr>
                  </w:pPr>
                </w:p>
              </w:tc>
              <w:tc>
                <w:tcPr>
                  <w:tcW w:w="1133" w:type="dxa"/>
                  <w:vAlign w:val="center"/>
                </w:tcPr>
                <w:p w14:paraId="6E7EDEC9">
                  <w:pPr>
                    <w:jc w:val="center"/>
                    <w:rPr>
                      <w:color w:val="FF0000"/>
                      <w:sz w:val="21"/>
                      <w:szCs w:val="21"/>
                    </w:rPr>
                  </w:pPr>
                  <w:r>
                    <w:rPr>
                      <w:rFonts w:hint="eastAsia"/>
                      <w:color w:val="FF0000"/>
                      <w:sz w:val="21"/>
                      <w:szCs w:val="21"/>
                    </w:rPr>
                    <w:t>5.52</w:t>
                  </w:r>
                </w:p>
              </w:tc>
              <w:tc>
                <w:tcPr>
                  <w:tcW w:w="1173" w:type="dxa"/>
                  <w:vAlign w:val="center"/>
                </w:tcPr>
                <w:p w14:paraId="539717A6">
                  <w:pPr>
                    <w:jc w:val="center"/>
                    <w:rPr>
                      <w:color w:val="auto"/>
                      <w:sz w:val="21"/>
                      <w:szCs w:val="21"/>
                    </w:rPr>
                  </w:pPr>
                  <w:r>
                    <w:rPr>
                      <w:rFonts w:hint="eastAsia"/>
                      <w:color w:val="auto"/>
                      <w:sz w:val="21"/>
                      <w:szCs w:val="21"/>
                    </w:rPr>
                    <w:t>1500</w:t>
                  </w:r>
                </w:p>
              </w:tc>
              <w:tc>
                <w:tcPr>
                  <w:tcW w:w="747" w:type="dxa"/>
                  <w:shd w:val="clear" w:color="auto" w:fill="auto"/>
                  <w:vAlign w:val="center"/>
                </w:tcPr>
                <w:p w14:paraId="4A06D576">
                  <w:pPr>
                    <w:jc w:val="center"/>
                    <w:rPr>
                      <w:color w:val="auto"/>
                      <w:sz w:val="21"/>
                      <w:szCs w:val="21"/>
                    </w:rPr>
                  </w:pPr>
                  <w:r>
                    <w:rPr>
                      <w:rFonts w:hint="eastAsia"/>
                      <w:color w:val="auto"/>
                      <w:sz w:val="21"/>
                      <w:szCs w:val="21"/>
                    </w:rPr>
                    <w:t>达标</w:t>
                  </w:r>
                </w:p>
              </w:tc>
              <w:tc>
                <w:tcPr>
                  <w:tcW w:w="1032" w:type="dxa"/>
                  <w:vAlign w:val="center"/>
                </w:tcPr>
                <w:p w14:paraId="7D7BD8F0">
                  <w:pPr>
                    <w:jc w:val="center"/>
                    <w:rPr>
                      <w:color w:val="FF0000"/>
                      <w:sz w:val="21"/>
                      <w:szCs w:val="21"/>
                    </w:rPr>
                  </w:pPr>
                  <w:r>
                    <w:rPr>
                      <w:rFonts w:hint="eastAsia"/>
                      <w:color w:val="FF0000"/>
                      <w:sz w:val="21"/>
                      <w:szCs w:val="21"/>
                    </w:rPr>
                    <w:t>0.0045</w:t>
                  </w:r>
                </w:p>
              </w:tc>
            </w:tr>
          </w:tbl>
          <w:p w14:paraId="7C6D1EFB">
            <w:pPr>
              <w:spacing w:line="360" w:lineRule="auto"/>
              <w:ind w:firstLine="480" w:firstLineChars="200"/>
            </w:pPr>
            <w:r>
              <w:rPr>
                <w:rFonts w:hint="eastAsia"/>
              </w:rPr>
              <w:t>由上表可知，现有项目园区化粪池出口</w:t>
            </w:r>
            <w:r>
              <w:t>pH</w:t>
            </w:r>
            <w:r>
              <w:rPr>
                <w:rFonts w:hint="eastAsia"/>
              </w:rPr>
              <w:t>值、COD、BOD</w:t>
            </w:r>
            <w:r>
              <w:rPr>
                <w:rFonts w:hint="eastAsia"/>
                <w:vertAlign w:val="subscript"/>
              </w:rPr>
              <w:t>5</w:t>
            </w:r>
            <w:r>
              <w:rPr>
                <w:rFonts w:hint="eastAsia"/>
              </w:rPr>
              <w:t>、SS、阴离子表面活性剂的排放浓度均满足《污水综合排放标准》（GB 8978-1996）表2中三级标准限值要求，NH</w:t>
            </w:r>
            <w:r>
              <w:rPr>
                <w:rFonts w:hint="eastAsia"/>
                <w:vertAlign w:val="subscript"/>
              </w:rPr>
              <w:t>3</w:t>
            </w:r>
            <w:r>
              <w:rPr>
                <w:rFonts w:hint="eastAsia"/>
              </w:rPr>
              <w:t>-N、TP、TN、石油类、溶解性总固体的排放浓度均满足《污水排入城镇下水道水质标准》（GB/T 31962-2015）表1中A级标准限值要求。</w:t>
            </w:r>
          </w:p>
          <w:p w14:paraId="3259CCD5">
            <w:pPr>
              <w:spacing w:line="360" w:lineRule="auto"/>
              <w:ind w:firstLine="480" w:firstLineChars="200"/>
            </w:pPr>
            <w:r>
              <w:rPr>
                <w:rFonts w:hint="eastAsia"/>
              </w:rPr>
              <w:t>（3）噪声</w:t>
            </w:r>
          </w:p>
          <w:p w14:paraId="6B57F4FD">
            <w:pPr>
              <w:spacing w:line="360" w:lineRule="auto"/>
              <w:ind w:firstLine="480" w:firstLineChars="200"/>
              <w:rPr>
                <w:rFonts w:hint="eastAsia"/>
                <w:b/>
                <w:sz w:val="21"/>
                <w:szCs w:val="21"/>
              </w:rPr>
            </w:pPr>
            <w:r>
              <w:rPr>
                <w:rFonts w:hint="eastAsia"/>
              </w:rPr>
              <w:t>现有项目噪声源主要为实验室检测设备和废气处理设备噪声。现有工程在设备选型上选用低噪声设备，同时采用隔声减振、厂房屏蔽、绿化降噪等措施，减轻对周围环境的影响。根据</w:t>
            </w:r>
            <w:r>
              <w:rPr>
                <w:rFonts w:hint="eastAsia"/>
                <w:szCs w:val="32"/>
              </w:rPr>
              <w:t>企业于2024年3月12日对</w:t>
            </w:r>
            <w:r>
              <w:rPr>
                <w:rFonts w:hint="eastAsia"/>
              </w:rPr>
              <w:t>厂界昼间噪声的监测，噪声监测结果见表2-11。</w:t>
            </w:r>
          </w:p>
          <w:p w14:paraId="15CC46F4">
            <w:pPr>
              <w:keepNext w:val="0"/>
              <w:keepLines w:val="0"/>
              <w:pageBreakBefore w:val="0"/>
              <w:widowControl w:val="0"/>
              <w:kinsoku/>
              <w:wordWrap/>
              <w:overflowPunct/>
              <w:topLinePunct w:val="0"/>
              <w:autoSpaceDE/>
              <w:autoSpaceDN/>
              <w:bidi w:val="0"/>
              <w:adjustRightInd/>
              <w:snapToGrid/>
              <w:jc w:val="center"/>
              <w:textAlignment w:val="auto"/>
              <w:rPr>
                <w:b/>
                <w:sz w:val="21"/>
                <w:szCs w:val="21"/>
              </w:rPr>
            </w:pPr>
            <w:r>
              <w:rPr>
                <w:rFonts w:hint="eastAsia"/>
                <w:b/>
                <w:sz w:val="21"/>
                <w:szCs w:val="21"/>
              </w:rPr>
              <w:t>表2-11  现有项目厂界噪声现状  单位：</w:t>
            </w:r>
            <w:r>
              <w:rPr>
                <w:rFonts w:hint="eastAsia"/>
                <w:b/>
                <w:bCs/>
                <w:sz w:val="21"/>
                <w:szCs w:val="21"/>
              </w:rPr>
              <w:t>dB（A）</w:t>
            </w:r>
          </w:p>
          <w:tbl>
            <w:tblPr>
              <w:tblStyle w:val="23"/>
              <w:tblW w:w="7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425"/>
              <w:gridCol w:w="1133"/>
              <w:gridCol w:w="1133"/>
              <w:gridCol w:w="1133"/>
              <w:gridCol w:w="1134"/>
              <w:gridCol w:w="760"/>
            </w:tblGrid>
            <w:tr w14:paraId="3B3C9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30" w:type="dxa"/>
                  <w:vMerge w:val="restart"/>
                  <w:vAlign w:val="center"/>
                </w:tcPr>
                <w:p w14:paraId="0DBDD1F9">
                  <w:pPr>
                    <w:jc w:val="center"/>
                    <w:rPr>
                      <w:b/>
                      <w:bCs/>
                      <w:sz w:val="21"/>
                      <w:szCs w:val="21"/>
                    </w:rPr>
                  </w:pPr>
                  <w:r>
                    <w:rPr>
                      <w:rFonts w:hint="eastAsia"/>
                      <w:b/>
                      <w:bCs/>
                      <w:sz w:val="21"/>
                      <w:szCs w:val="21"/>
                    </w:rPr>
                    <w:t>监测时间</w:t>
                  </w:r>
                </w:p>
              </w:tc>
              <w:tc>
                <w:tcPr>
                  <w:tcW w:w="1425" w:type="dxa"/>
                  <w:vMerge w:val="restart"/>
                  <w:vAlign w:val="center"/>
                </w:tcPr>
                <w:p w14:paraId="005F854D">
                  <w:pPr>
                    <w:jc w:val="center"/>
                    <w:rPr>
                      <w:b/>
                      <w:bCs/>
                      <w:sz w:val="21"/>
                      <w:szCs w:val="21"/>
                    </w:rPr>
                  </w:pPr>
                  <w:r>
                    <w:rPr>
                      <w:rFonts w:hint="eastAsia"/>
                      <w:b/>
                      <w:bCs/>
                      <w:sz w:val="21"/>
                      <w:szCs w:val="21"/>
                    </w:rPr>
                    <w:t>监测点位</w:t>
                  </w:r>
                </w:p>
              </w:tc>
              <w:tc>
                <w:tcPr>
                  <w:tcW w:w="1133" w:type="dxa"/>
                  <w:vAlign w:val="center"/>
                </w:tcPr>
                <w:p w14:paraId="36976E94">
                  <w:pPr>
                    <w:jc w:val="center"/>
                    <w:rPr>
                      <w:b/>
                      <w:bCs/>
                      <w:sz w:val="21"/>
                      <w:szCs w:val="21"/>
                    </w:rPr>
                  </w:pPr>
                  <w:r>
                    <w:rPr>
                      <w:rFonts w:hint="eastAsia"/>
                      <w:b/>
                      <w:bCs/>
                      <w:sz w:val="21"/>
                      <w:szCs w:val="21"/>
                    </w:rPr>
                    <w:t>实测值</w:t>
                  </w:r>
                </w:p>
              </w:tc>
              <w:tc>
                <w:tcPr>
                  <w:tcW w:w="1133" w:type="dxa"/>
                  <w:vAlign w:val="center"/>
                </w:tcPr>
                <w:p w14:paraId="0AFA27DF">
                  <w:pPr>
                    <w:jc w:val="center"/>
                    <w:rPr>
                      <w:b/>
                      <w:bCs/>
                      <w:sz w:val="21"/>
                      <w:szCs w:val="21"/>
                    </w:rPr>
                  </w:pPr>
                  <w:r>
                    <w:rPr>
                      <w:rFonts w:hint="eastAsia"/>
                      <w:b/>
                      <w:bCs/>
                      <w:sz w:val="21"/>
                      <w:szCs w:val="21"/>
                    </w:rPr>
                    <w:t>背景值</w:t>
                  </w:r>
                </w:p>
              </w:tc>
              <w:tc>
                <w:tcPr>
                  <w:tcW w:w="1133" w:type="dxa"/>
                  <w:vAlign w:val="center"/>
                </w:tcPr>
                <w:p w14:paraId="2D2B4586">
                  <w:pPr>
                    <w:jc w:val="center"/>
                    <w:rPr>
                      <w:b/>
                      <w:bCs/>
                      <w:sz w:val="21"/>
                      <w:szCs w:val="21"/>
                    </w:rPr>
                  </w:pPr>
                  <w:r>
                    <w:rPr>
                      <w:rFonts w:hint="eastAsia"/>
                      <w:b/>
                      <w:bCs/>
                      <w:sz w:val="21"/>
                      <w:szCs w:val="21"/>
                    </w:rPr>
                    <w:t>噪声结果</w:t>
                  </w:r>
                </w:p>
              </w:tc>
              <w:tc>
                <w:tcPr>
                  <w:tcW w:w="1134" w:type="dxa"/>
                  <w:vAlign w:val="center"/>
                </w:tcPr>
                <w:p w14:paraId="6FACFF38">
                  <w:pPr>
                    <w:jc w:val="center"/>
                    <w:rPr>
                      <w:b/>
                      <w:bCs/>
                      <w:sz w:val="21"/>
                      <w:szCs w:val="21"/>
                    </w:rPr>
                  </w:pPr>
                  <w:r>
                    <w:rPr>
                      <w:rFonts w:hint="eastAsia"/>
                      <w:b/>
                      <w:bCs/>
                      <w:sz w:val="21"/>
                      <w:szCs w:val="21"/>
                    </w:rPr>
                    <w:t>标准限值</w:t>
                  </w:r>
                </w:p>
              </w:tc>
              <w:tc>
                <w:tcPr>
                  <w:tcW w:w="760" w:type="dxa"/>
                  <w:vMerge w:val="restart"/>
                  <w:vAlign w:val="center"/>
                </w:tcPr>
                <w:p w14:paraId="491AEB69">
                  <w:pPr>
                    <w:jc w:val="center"/>
                    <w:rPr>
                      <w:sz w:val="21"/>
                      <w:szCs w:val="21"/>
                    </w:rPr>
                  </w:pPr>
                  <w:r>
                    <w:rPr>
                      <w:rFonts w:hint="eastAsia"/>
                      <w:b/>
                      <w:bCs/>
                      <w:sz w:val="21"/>
                      <w:szCs w:val="21"/>
                    </w:rPr>
                    <w:t>达标情况</w:t>
                  </w:r>
                </w:p>
              </w:tc>
            </w:tr>
            <w:tr w14:paraId="733E4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30" w:type="dxa"/>
                  <w:vMerge w:val="continue"/>
                  <w:vAlign w:val="center"/>
                </w:tcPr>
                <w:p w14:paraId="3CB9209D">
                  <w:pPr>
                    <w:jc w:val="center"/>
                    <w:rPr>
                      <w:b/>
                      <w:bCs/>
                      <w:sz w:val="21"/>
                      <w:szCs w:val="21"/>
                    </w:rPr>
                  </w:pPr>
                </w:p>
              </w:tc>
              <w:tc>
                <w:tcPr>
                  <w:tcW w:w="1425" w:type="dxa"/>
                  <w:vMerge w:val="continue"/>
                  <w:vAlign w:val="center"/>
                </w:tcPr>
                <w:p w14:paraId="2F64BC03">
                  <w:pPr>
                    <w:jc w:val="center"/>
                    <w:rPr>
                      <w:b/>
                      <w:bCs/>
                      <w:sz w:val="21"/>
                      <w:szCs w:val="21"/>
                    </w:rPr>
                  </w:pPr>
                </w:p>
              </w:tc>
              <w:tc>
                <w:tcPr>
                  <w:tcW w:w="4533" w:type="dxa"/>
                  <w:gridSpan w:val="4"/>
                  <w:vAlign w:val="center"/>
                </w:tcPr>
                <w:p w14:paraId="05A0E0F2">
                  <w:pPr>
                    <w:jc w:val="center"/>
                    <w:rPr>
                      <w:b/>
                      <w:bCs/>
                      <w:sz w:val="21"/>
                      <w:szCs w:val="21"/>
                    </w:rPr>
                  </w:pPr>
                  <w:r>
                    <w:rPr>
                      <w:rFonts w:hint="eastAsia"/>
                      <w:b/>
                      <w:bCs/>
                      <w:sz w:val="21"/>
                      <w:szCs w:val="21"/>
                    </w:rPr>
                    <w:t>昼间</w:t>
                  </w:r>
                </w:p>
              </w:tc>
              <w:tc>
                <w:tcPr>
                  <w:tcW w:w="760" w:type="dxa"/>
                  <w:vMerge w:val="continue"/>
                  <w:vAlign w:val="center"/>
                </w:tcPr>
                <w:p w14:paraId="0A7CC3DB">
                  <w:pPr>
                    <w:jc w:val="center"/>
                    <w:rPr>
                      <w:sz w:val="21"/>
                      <w:szCs w:val="21"/>
                    </w:rPr>
                  </w:pPr>
                </w:p>
              </w:tc>
            </w:tr>
            <w:tr w14:paraId="40F08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30" w:type="dxa"/>
                  <w:vMerge w:val="restart"/>
                  <w:vAlign w:val="center"/>
                </w:tcPr>
                <w:p w14:paraId="7C0179AC">
                  <w:pPr>
                    <w:jc w:val="center"/>
                    <w:rPr>
                      <w:sz w:val="21"/>
                      <w:szCs w:val="21"/>
                    </w:rPr>
                  </w:pPr>
                  <w:r>
                    <w:rPr>
                      <w:rFonts w:hint="eastAsia"/>
                      <w:sz w:val="21"/>
                      <w:szCs w:val="21"/>
                    </w:rPr>
                    <w:t>2024.3.12</w:t>
                  </w:r>
                </w:p>
              </w:tc>
              <w:tc>
                <w:tcPr>
                  <w:tcW w:w="1425" w:type="dxa"/>
                  <w:vAlign w:val="center"/>
                </w:tcPr>
                <w:p w14:paraId="22BC778D">
                  <w:pPr>
                    <w:jc w:val="center"/>
                    <w:rPr>
                      <w:sz w:val="21"/>
                      <w:szCs w:val="21"/>
                    </w:rPr>
                  </w:pPr>
                  <w:r>
                    <w:rPr>
                      <w:rFonts w:hint="eastAsia"/>
                      <w:sz w:val="21"/>
                      <w:szCs w:val="21"/>
                    </w:rPr>
                    <w:t>1#4楼实验室东厂界</w:t>
                  </w:r>
                </w:p>
              </w:tc>
              <w:tc>
                <w:tcPr>
                  <w:tcW w:w="1133" w:type="dxa"/>
                  <w:vAlign w:val="center"/>
                </w:tcPr>
                <w:p w14:paraId="1243AD6D">
                  <w:pPr>
                    <w:jc w:val="center"/>
                    <w:rPr>
                      <w:sz w:val="21"/>
                      <w:szCs w:val="21"/>
                    </w:rPr>
                  </w:pPr>
                  <w:r>
                    <w:rPr>
                      <w:rFonts w:hint="eastAsia"/>
                      <w:sz w:val="21"/>
                      <w:szCs w:val="21"/>
                    </w:rPr>
                    <w:t>56.9</w:t>
                  </w:r>
                </w:p>
              </w:tc>
              <w:tc>
                <w:tcPr>
                  <w:tcW w:w="1133" w:type="dxa"/>
                  <w:vAlign w:val="center"/>
                </w:tcPr>
                <w:p w14:paraId="5722A51E">
                  <w:pPr>
                    <w:jc w:val="center"/>
                    <w:rPr>
                      <w:sz w:val="21"/>
                      <w:szCs w:val="21"/>
                    </w:rPr>
                  </w:pPr>
                  <w:r>
                    <w:rPr>
                      <w:rFonts w:hint="eastAsia"/>
                      <w:sz w:val="21"/>
                      <w:szCs w:val="21"/>
                    </w:rPr>
                    <w:t>55.4</w:t>
                  </w:r>
                </w:p>
              </w:tc>
              <w:tc>
                <w:tcPr>
                  <w:tcW w:w="1133" w:type="dxa"/>
                  <w:vAlign w:val="center"/>
                </w:tcPr>
                <w:p w14:paraId="7A4E642B">
                  <w:pPr>
                    <w:autoSpaceDE w:val="0"/>
                    <w:autoSpaceDN w:val="0"/>
                    <w:adjustRightInd w:val="0"/>
                    <w:jc w:val="center"/>
                    <w:rPr>
                      <w:kern w:val="0"/>
                      <w:sz w:val="21"/>
                      <w:szCs w:val="21"/>
                    </w:rPr>
                  </w:pPr>
                  <w:r>
                    <w:rPr>
                      <w:rFonts w:hint="eastAsia"/>
                      <w:kern w:val="0"/>
                      <w:sz w:val="21"/>
                      <w:szCs w:val="21"/>
                    </w:rPr>
                    <w:t>57</w:t>
                  </w:r>
                </w:p>
              </w:tc>
              <w:tc>
                <w:tcPr>
                  <w:tcW w:w="1134" w:type="dxa"/>
                  <w:vAlign w:val="center"/>
                </w:tcPr>
                <w:p w14:paraId="3DFEF056">
                  <w:pPr>
                    <w:autoSpaceDE w:val="0"/>
                    <w:autoSpaceDN w:val="0"/>
                    <w:adjustRightInd w:val="0"/>
                    <w:jc w:val="center"/>
                    <w:rPr>
                      <w:kern w:val="0"/>
                      <w:sz w:val="21"/>
                      <w:szCs w:val="21"/>
                    </w:rPr>
                  </w:pPr>
                  <w:r>
                    <w:rPr>
                      <w:rFonts w:hint="eastAsia"/>
                      <w:kern w:val="0"/>
                      <w:sz w:val="21"/>
                      <w:szCs w:val="21"/>
                    </w:rPr>
                    <w:t>60</w:t>
                  </w:r>
                </w:p>
              </w:tc>
              <w:tc>
                <w:tcPr>
                  <w:tcW w:w="760" w:type="dxa"/>
                  <w:vAlign w:val="center"/>
                </w:tcPr>
                <w:p w14:paraId="5F68AA12">
                  <w:pPr>
                    <w:jc w:val="center"/>
                    <w:rPr>
                      <w:sz w:val="21"/>
                      <w:szCs w:val="21"/>
                    </w:rPr>
                  </w:pPr>
                  <w:r>
                    <w:rPr>
                      <w:rFonts w:hint="eastAsia"/>
                      <w:sz w:val="21"/>
                      <w:szCs w:val="21"/>
                    </w:rPr>
                    <w:t>达标</w:t>
                  </w:r>
                </w:p>
              </w:tc>
            </w:tr>
            <w:tr w14:paraId="3148A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30" w:type="dxa"/>
                  <w:vMerge w:val="continue"/>
                  <w:vAlign w:val="center"/>
                </w:tcPr>
                <w:p w14:paraId="142CCA0A">
                  <w:pPr>
                    <w:jc w:val="center"/>
                    <w:rPr>
                      <w:sz w:val="21"/>
                      <w:szCs w:val="21"/>
                    </w:rPr>
                  </w:pPr>
                </w:p>
              </w:tc>
              <w:tc>
                <w:tcPr>
                  <w:tcW w:w="1425" w:type="dxa"/>
                  <w:vAlign w:val="center"/>
                </w:tcPr>
                <w:p w14:paraId="706D3E9C">
                  <w:pPr>
                    <w:jc w:val="center"/>
                    <w:rPr>
                      <w:sz w:val="21"/>
                      <w:szCs w:val="21"/>
                    </w:rPr>
                  </w:pPr>
                  <w:r>
                    <w:rPr>
                      <w:rFonts w:hint="eastAsia"/>
                      <w:sz w:val="21"/>
                      <w:szCs w:val="21"/>
                    </w:rPr>
                    <w:t>2#4楼实验室南厂界</w:t>
                  </w:r>
                </w:p>
              </w:tc>
              <w:tc>
                <w:tcPr>
                  <w:tcW w:w="1133" w:type="dxa"/>
                  <w:vAlign w:val="center"/>
                </w:tcPr>
                <w:p w14:paraId="61966F5C">
                  <w:pPr>
                    <w:jc w:val="center"/>
                    <w:rPr>
                      <w:sz w:val="21"/>
                      <w:szCs w:val="21"/>
                    </w:rPr>
                  </w:pPr>
                  <w:r>
                    <w:rPr>
                      <w:rFonts w:hint="eastAsia"/>
                      <w:sz w:val="21"/>
                      <w:szCs w:val="21"/>
                    </w:rPr>
                    <w:t>61.3</w:t>
                  </w:r>
                </w:p>
              </w:tc>
              <w:tc>
                <w:tcPr>
                  <w:tcW w:w="1133" w:type="dxa"/>
                  <w:vAlign w:val="center"/>
                </w:tcPr>
                <w:p w14:paraId="45FEF746">
                  <w:pPr>
                    <w:jc w:val="center"/>
                    <w:rPr>
                      <w:sz w:val="21"/>
                      <w:szCs w:val="21"/>
                    </w:rPr>
                  </w:pPr>
                  <w:r>
                    <w:rPr>
                      <w:rFonts w:hint="eastAsia"/>
                      <w:sz w:val="21"/>
                      <w:szCs w:val="21"/>
                    </w:rPr>
                    <w:t>60.2</w:t>
                  </w:r>
                </w:p>
              </w:tc>
              <w:tc>
                <w:tcPr>
                  <w:tcW w:w="1133" w:type="dxa"/>
                  <w:vAlign w:val="center"/>
                </w:tcPr>
                <w:p w14:paraId="54BE853E">
                  <w:pPr>
                    <w:autoSpaceDE w:val="0"/>
                    <w:autoSpaceDN w:val="0"/>
                    <w:adjustRightInd w:val="0"/>
                    <w:jc w:val="center"/>
                    <w:rPr>
                      <w:kern w:val="0"/>
                      <w:sz w:val="21"/>
                      <w:szCs w:val="21"/>
                    </w:rPr>
                  </w:pPr>
                  <w:r>
                    <w:rPr>
                      <w:rFonts w:hint="eastAsia"/>
                      <w:kern w:val="0"/>
                      <w:sz w:val="21"/>
                      <w:szCs w:val="21"/>
                    </w:rPr>
                    <w:t>&lt;60</w:t>
                  </w:r>
                </w:p>
              </w:tc>
              <w:tc>
                <w:tcPr>
                  <w:tcW w:w="1134" w:type="dxa"/>
                  <w:vAlign w:val="center"/>
                </w:tcPr>
                <w:p w14:paraId="68598E4E">
                  <w:pPr>
                    <w:autoSpaceDE w:val="0"/>
                    <w:autoSpaceDN w:val="0"/>
                    <w:adjustRightInd w:val="0"/>
                    <w:jc w:val="center"/>
                    <w:rPr>
                      <w:kern w:val="0"/>
                      <w:sz w:val="21"/>
                      <w:szCs w:val="21"/>
                    </w:rPr>
                  </w:pPr>
                  <w:r>
                    <w:rPr>
                      <w:rFonts w:hint="eastAsia"/>
                      <w:kern w:val="0"/>
                      <w:sz w:val="21"/>
                      <w:szCs w:val="21"/>
                    </w:rPr>
                    <w:t>60</w:t>
                  </w:r>
                </w:p>
              </w:tc>
              <w:tc>
                <w:tcPr>
                  <w:tcW w:w="760" w:type="dxa"/>
                  <w:vAlign w:val="center"/>
                </w:tcPr>
                <w:p w14:paraId="3F88EAC4">
                  <w:pPr>
                    <w:jc w:val="center"/>
                    <w:rPr>
                      <w:sz w:val="21"/>
                      <w:szCs w:val="21"/>
                    </w:rPr>
                  </w:pPr>
                  <w:r>
                    <w:rPr>
                      <w:rFonts w:hint="eastAsia"/>
                      <w:sz w:val="21"/>
                      <w:szCs w:val="21"/>
                    </w:rPr>
                    <w:t>达标</w:t>
                  </w:r>
                </w:p>
              </w:tc>
            </w:tr>
            <w:tr w14:paraId="6EDD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30" w:type="dxa"/>
                  <w:vMerge w:val="continue"/>
                  <w:vAlign w:val="center"/>
                </w:tcPr>
                <w:p w14:paraId="065D897B">
                  <w:pPr>
                    <w:jc w:val="center"/>
                    <w:rPr>
                      <w:sz w:val="21"/>
                      <w:szCs w:val="21"/>
                    </w:rPr>
                  </w:pPr>
                </w:p>
              </w:tc>
              <w:tc>
                <w:tcPr>
                  <w:tcW w:w="1425" w:type="dxa"/>
                  <w:vAlign w:val="center"/>
                </w:tcPr>
                <w:p w14:paraId="756DE6A1">
                  <w:pPr>
                    <w:jc w:val="center"/>
                    <w:rPr>
                      <w:sz w:val="21"/>
                      <w:szCs w:val="21"/>
                    </w:rPr>
                  </w:pPr>
                  <w:r>
                    <w:rPr>
                      <w:rFonts w:hint="eastAsia"/>
                      <w:sz w:val="21"/>
                      <w:szCs w:val="21"/>
                    </w:rPr>
                    <w:t>3#4楼实验室西厂界</w:t>
                  </w:r>
                </w:p>
              </w:tc>
              <w:tc>
                <w:tcPr>
                  <w:tcW w:w="1133" w:type="dxa"/>
                  <w:vAlign w:val="center"/>
                </w:tcPr>
                <w:p w14:paraId="6967B6B2">
                  <w:pPr>
                    <w:jc w:val="center"/>
                    <w:rPr>
                      <w:sz w:val="21"/>
                      <w:szCs w:val="21"/>
                    </w:rPr>
                  </w:pPr>
                  <w:r>
                    <w:rPr>
                      <w:rFonts w:hint="eastAsia"/>
                      <w:sz w:val="21"/>
                      <w:szCs w:val="21"/>
                    </w:rPr>
                    <w:t>61.0</w:t>
                  </w:r>
                </w:p>
              </w:tc>
              <w:tc>
                <w:tcPr>
                  <w:tcW w:w="1133" w:type="dxa"/>
                  <w:vAlign w:val="center"/>
                </w:tcPr>
                <w:p w14:paraId="3D22D498">
                  <w:pPr>
                    <w:jc w:val="center"/>
                    <w:rPr>
                      <w:sz w:val="21"/>
                      <w:szCs w:val="21"/>
                    </w:rPr>
                  </w:pPr>
                  <w:r>
                    <w:rPr>
                      <w:rFonts w:hint="eastAsia"/>
                      <w:sz w:val="21"/>
                      <w:szCs w:val="21"/>
                    </w:rPr>
                    <w:t>60.2</w:t>
                  </w:r>
                </w:p>
              </w:tc>
              <w:tc>
                <w:tcPr>
                  <w:tcW w:w="1133" w:type="dxa"/>
                  <w:vAlign w:val="center"/>
                </w:tcPr>
                <w:p w14:paraId="24D462F0">
                  <w:pPr>
                    <w:autoSpaceDE w:val="0"/>
                    <w:autoSpaceDN w:val="0"/>
                    <w:adjustRightInd w:val="0"/>
                    <w:jc w:val="center"/>
                    <w:rPr>
                      <w:kern w:val="0"/>
                      <w:sz w:val="21"/>
                      <w:szCs w:val="21"/>
                    </w:rPr>
                  </w:pPr>
                  <w:r>
                    <w:rPr>
                      <w:rFonts w:hint="eastAsia"/>
                      <w:kern w:val="0"/>
                      <w:sz w:val="21"/>
                      <w:szCs w:val="21"/>
                    </w:rPr>
                    <w:t>&lt;60</w:t>
                  </w:r>
                </w:p>
              </w:tc>
              <w:tc>
                <w:tcPr>
                  <w:tcW w:w="1134" w:type="dxa"/>
                  <w:vAlign w:val="center"/>
                </w:tcPr>
                <w:p w14:paraId="06E52D9C">
                  <w:pPr>
                    <w:autoSpaceDE w:val="0"/>
                    <w:autoSpaceDN w:val="0"/>
                    <w:adjustRightInd w:val="0"/>
                    <w:jc w:val="center"/>
                    <w:rPr>
                      <w:kern w:val="0"/>
                      <w:sz w:val="21"/>
                      <w:szCs w:val="21"/>
                    </w:rPr>
                  </w:pPr>
                  <w:r>
                    <w:rPr>
                      <w:rFonts w:hint="eastAsia"/>
                      <w:kern w:val="0"/>
                      <w:sz w:val="21"/>
                      <w:szCs w:val="21"/>
                    </w:rPr>
                    <w:t>60</w:t>
                  </w:r>
                </w:p>
              </w:tc>
              <w:tc>
                <w:tcPr>
                  <w:tcW w:w="760" w:type="dxa"/>
                  <w:vAlign w:val="center"/>
                </w:tcPr>
                <w:p w14:paraId="7FE11235">
                  <w:pPr>
                    <w:jc w:val="center"/>
                    <w:rPr>
                      <w:sz w:val="21"/>
                      <w:szCs w:val="21"/>
                    </w:rPr>
                  </w:pPr>
                  <w:r>
                    <w:rPr>
                      <w:rFonts w:hint="eastAsia"/>
                      <w:sz w:val="21"/>
                      <w:szCs w:val="21"/>
                    </w:rPr>
                    <w:t>达标</w:t>
                  </w:r>
                </w:p>
              </w:tc>
            </w:tr>
            <w:tr w14:paraId="3B726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230" w:type="dxa"/>
                  <w:vMerge w:val="continue"/>
                  <w:vAlign w:val="center"/>
                </w:tcPr>
                <w:p w14:paraId="53EF82A8">
                  <w:pPr>
                    <w:jc w:val="center"/>
                    <w:rPr>
                      <w:sz w:val="21"/>
                      <w:szCs w:val="21"/>
                    </w:rPr>
                  </w:pPr>
                </w:p>
              </w:tc>
              <w:tc>
                <w:tcPr>
                  <w:tcW w:w="1425" w:type="dxa"/>
                  <w:vAlign w:val="center"/>
                </w:tcPr>
                <w:p w14:paraId="37446702">
                  <w:pPr>
                    <w:jc w:val="center"/>
                    <w:rPr>
                      <w:sz w:val="21"/>
                      <w:szCs w:val="21"/>
                    </w:rPr>
                  </w:pPr>
                  <w:r>
                    <w:rPr>
                      <w:rFonts w:hint="eastAsia"/>
                      <w:sz w:val="21"/>
                      <w:szCs w:val="21"/>
                    </w:rPr>
                    <w:t>4#4楼实验室北厂界</w:t>
                  </w:r>
                </w:p>
              </w:tc>
              <w:tc>
                <w:tcPr>
                  <w:tcW w:w="1133" w:type="dxa"/>
                  <w:vAlign w:val="center"/>
                </w:tcPr>
                <w:p w14:paraId="1B77EFBB">
                  <w:pPr>
                    <w:jc w:val="center"/>
                    <w:rPr>
                      <w:sz w:val="21"/>
                      <w:szCs w:val="21"/>
                    </w:rPr>
                  </w:pPr>
                  <w:r>
                    <w:rPr>
                      <w:rFonts w:hint="eastAsia"/>
                      <w:sz w:val="21"/>
                      <w:szCs w:val="21"/>
                    </w:rPr>
                    <w:t>56.4</w:t>
                  </w:r>
                </w:p>
              </w:tc>
              <w:tc>
                <w:tcPr>
                  <w:tcW w:w="1133" w:type="dxa"/>
                  <w:vAlign w:val="center"/>
                </w:tcPr>
                <w:p w14:paraId="3317D0BD">
                  <w:pPr>
                    <w:jc w:val="center"/>
                    <w:rPr>
                      <w:sz w:val="21"/>
                      <w:szCs w:val="21"/>
                    </w:rPr>
                  </w:pPr>
                  <w:r>
                    <w:rPr>
                      <w:rFonts w:hint="eastAsia"/>
                      <w:sz w:val="21"/>
                      <w:szCs w:val="21"/>
                    </w:rPr>
                    <w:t>52.3</w:t>
                  </w:r>
                </w:p>
              </w:tc>
              <w:tc>
                <w:tcPr>
                  <w:tcW w:w="1133" w:type="dxa"/>
                  <w:vAlign w:val="center"/>
                </w:tcPr>
                <w:p w14:paraId="573BA207">
                  <w:pPr>
                    <w:autoSpaceDE w:val="0"/>
                    <w:autoSpaceDN w:val="0"/>
                    <w:adjustRightInd w:val="0"/>
                    <w:jc w:val="center"/>
                    <w:rPr>
                      <w:kern w:val="0"/>
                      <w:sz w:val="21"/>
                      <w:szCs w:val="21"/>
                    </w:rPr>
                  </w:pPr>
                  <w:r>
                    <w:rPr>
                      <w:rFonts w:hint="eastAsia"/>
                      <w:kern w:val="0"/>
                      <w:sz w:val="21"/>
                      <w:szCs w:val="21"/>
                    </w:rPr>
                    <w:t>54</w:t>
                  </w:r>
                </w:p>
              </w:tc>
              <w:tc>
                <w:tcPr>
                  <w:tcW w:w="1134" w:type="dxa"/>
                  <w:vAlign w:val="center"/>
                </w:tcPr>
                <w:p w14:paraId="4BF46337">
                  <w:pPr>
                    <w:autoSpaceDE w:val="0"/>
                    <w:autoSpaceDN w:val="0"/>
                    <w:adjustRightInd w:val="0"/>
                    <w:jc w:val="center"/>
                    <w:rPr>
                      <w:kern w:val="0"/>
                      <w:sz w:val="21"/>
                      <w:szCs w:val="21"/>
                    </w:rPr>
                  </w:pPr>
                  <w:r>
                    <w:rPr>
                      <w:rFonts w:hint="eastAsia"/>
                      <w:kern w:val="0"/>
                      <w:sz w:val="21"/>
                      <w:szCs w:val="21"/>
                    </w:rPr>
                    <w:t>60</w:t>
                  </w:r>
                </w:p>
              </w:tc>
              <w:tc>
                <w:tcPr>
                  <w:tcW w:w="760" w:type="dxa"/>
                  <w:vAlign w:val="center"/>
                </w:tcPr>
                <w:p w14:paraId="39F40097">
                  <w:pPr>
                    <w:jc w:val="center"/>
                    <w:rPr>
                      <w:sz w:val="21"/>
                      <w:szCs w:val="21"/>
                    </w:rPr>
                  </w:pPr>
                  <w:r>
                    <w:rPr>
                      <w:rFonts w:hint="eastAsia"/>
                      <w:sz w:val="21"/>
                      <w:szCs w:val="21"/>
                    </w:rPr>
                    <w:t>达标</w:t>
                  </w:r>
                </w:p>
              </w:tc>
            </w:tr>
            <w:tr w14:paraId="2CFCE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948" w:type="dxa"/>
                  <w:gridSpan w:val="7"/>
                  <w:vAlign w:val="center"/>
                </w:tcPr>
                <w:p w14:paraId="2D8BC4FF">
                  <w:pPr>
                    <w:rPr>
                      <w:sz w:val="21"/>
                      <w:szCs w:val="21"/>
                    </w:rPr>
                  </w:pPr>
                  <w:r>
                    <w:rPr>
                      <w:rFonts w:hint="eastAsia"/>
                      <w:sz w:val="21"/>
                      <w:szCs w:val="21"/>
                    </w:rPr>
                    <w:t>注：根据《环境噪声监测技术规范  噪声测量值修正》（HJ 706-2014）中6.2的要求，噪声测量值与被测噪声源排放限值的差值小于等于4dB时，修正结果标识为&lt;排放限值。</w:t>
                  </w:r>
                </w:p>
              </w:tc>
            </w:tr>
          </w:tbl>
          <w:p w14:paraId="3CDAC054">
            <w:pPr>
              <w:tabs>
                <w:tab w:val="left" w:pos="3836"/>
              </w:tabs>
              <w:spacing w:line="360" w:lineRule="auto"/>
              <w:ind w:firstLine="480" w:firstLineChars="200"/>
              <w:rPr>
                <w:szCs w:val="32"/>
              </w:rPr>
            </w:pPr>
            <w:r>
              <w:rPr>
                <w:rFonts w:hint="eastAsia"/>
              </w:rPr>
              <w:t>由上表可知，现有项目正常运营时，</w:t>
            </w:r>
            <w:r>
              <w:rPr>
                <w:rFonts w:hint="eastAsia"/>
                <w:szCs w:val="32"/>
              </w:rPr>
              <w:t>各</w:t>
            </w:r>
            <w:r>
              <w:rPr>
                <w:szCs w:val="32"/>
              </w:rPr>
              <w:t>厂界</w:t>
            </w:r>
            <w:r>
              <w:rPr>
                <w:rFonts w:hint="eastAsia"/>
                <w:szCs w:val="32"/>
              </w:rPr>
              <w:t>昼</w:t>
            </w:r>
            <w:r>
              <w:rPr>
                <w:szCs w:val="32"/>
              </w:rPr>
              <w:t>间噪声</w:t>
            </w:r>
            <w:r>
              <w:rPr>
                <w:rFonts w:hint="eastAsia"/>
                <w:szCs w:val="32"/>
              </w:rPr>
              <w:t>监测结果均符合</w:t>
            </w:r>
            <w:r>
              <w:rPr>
                <w:szCs w:val="32"/>
              </w:rPr>
              <w:t>《工业企业厂界环境噪声排放标准》（GB</w:t>
            </w:r>
            <w:r>
              <w:rPr>
                <w:rFonts w:hint="eastAsia"/>
                <w:szCs w:val="32"/>
              </w:rPr>
              <w:t xml:space="preserve"> </w:t>
            </w:r>
            <w:r>
              <w:rPr>
                <w:szCs w:val="32"/>
              </w:rPr>
              <w:t>12348-2008）的</w:t>
            </w:r>
            <w:r>
              <w:rPr>
                <w:rFonts w:hint="eastAsia"/>
                <w:szCs w:val="32"/>
              </w:rPr>
              <w:t>2</w:t>
            </w:r>
            <w:r>
              <w:rPr>
                <w:szCs w:val="32"/>
              </w:rPr>
              <w:t>类标准要求</w:t>
            </w:r>
            <w:r>
              <w:rPr>
                <w:rFonts w:hint="eastAsia"/>
                <w:szCs w:val="32"/>
              </w:rPr>
              <w:t>。</w:t>
            </w:r>
          </w:p>
          <w:p w14:paraId="2F27D66A">
            <w:pPr>
              <w:spacing w:line="360" w:lineRule="auto"/>
              <w:ind w:left="480" w:leftChars="200"/>
            </w:pPr>
            <w:r>
              <w:rPr>
                <w:rFonts w:hint="eastAsia"/>
              </w:rPr>
              <w:t>（4）固废</w:t>
            </w:r>
          </w:p>
          <w:p w14:paraId="1AA5D592">
            <w:pPr>
              <w:spacing w:line="360" w:lineRule="auto"/>
              <w:ind w:firstLine="480" w:firstLineChars="200"/>
            </w:pPr>
            <w:r>
              <w:rPr>
                <w:rFonts w:hint="eastAsia"/>
              </w:rPr>
              <w:t>现有项目产生的固体废物主要包括生活垃圾、一般固废（废滤芯、废包装、剩余样品、废培养基）和危险废物（实验废液、一次清洗废水、废试剂瓶、过期试剂、废紫外灯管、废活性炭等）。根据建设单位提供资料，现有项目固体废物种类、属性、产污环节、产生量及处置去向见表2-12。</w:t>
            </w:r>
          </w:p>
          <w:p w14:paraId="0868BA31">
            <w:pPr>
              <w:jc w:val="center"/>
              <w:rPr>
                <w:b/>
                <w:sz w:val="21"/>
                <w:szCs w:val="21"/>
              </w:rPr>
            </w:pPr>
            <w:r>
              <w:rPr>
                <w:rFonts w:hint="eastAsia"/>
                <w:b/>
                <w:sz w:val="21"/>
                <w:szCs w:val="21"/>
              </w:rPr>
              <w:t>表2-12  现有项目固废产生与处置现状</w:t>
            </w:r>
          </w:p>
          <w:tbl>
            <w:tblPr>
              <w:tblStyle w:val="2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1559"/>
              <w:gridCol w:w="723"/>
              <w:gridCol w:w="1380"/>
              <w:gridCol w:w="891"/>
              <w:gridCol w:w="2027"/>
            </w:tblGrid>
            <w:tr w14:paraId="4B6F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Align w:val="center"/>
                </w:tcPr>
                <w:p w14:paraId="649E636F">
                  <w:pPr>
                    <w:jc w:val="center"/>
                    <w:rPr>
                      <w:b/>
                      <w:bCs/>
                      <w:sz w:val="21"/>
                      <w:szCs w:val="21"/>
                    </w:rPr>
                  </w:pPr>
                  <w:r>
                    <w:rPr>
                      <w:rFonts w:hint="eastAsia"/>
                      <w:b/>
                      <w:bCs/>
                      <w:sz w:val="21"/>
                      <w:szCs w:val="21"/>
                    </w:rPr>
                    <w:t>产污环节</w:t>
                  </w:r>
                </w:p>
              </w:tc>
              <w:tc>
                <w:tcPr>
                  <w:tcW w:w="983" w:type="pct"/>
                  <w:vAlign w:val="center"/>
                </w:tcPr>
                <w:p w14:paraId="0DC2F727">
                  <w:pPr>
                    <w:jc w:val="center"/>
                    <w:rPr>
                      <w:b/>
                      <w:bCs/>
                      <w:sz w:val="21"/>
                      <w:szCs w:val="21"/>
                    </w:rPr>
                  </w:pPr>
                  <w:r>
                    <w:rPr>
                      <w:rFonts w:hint="eastAsia"/>
                      <w:b/>
                      <w:bCs/>
                      <w:sz w:val="21"/>
                      <w:szCs w:val="21"/>
                    </w:rPr>
                    <w:t>固废名称</w:t>
                  </w:r>
                </w:p>
              </w:tc>
              <w:tc>
                <w:tcPr>
                  <w:tcW w:w="456" w:type="pct"/>
                  <w:vAlign w:val="center"/>
                </w:tcPr>
                <w:p w14:paraId="54697696">
                  <w:pPr>
                    <w:jc w:val="center"/>
                    <w:rPr>
                      <w:b/>
                      <w:bCs/>
                      <w:sz w:val="21"/>
                      <w:szCs w:val="21"/>
                    </w:rPr>
                  </w:pPr>
                  <w:r>
                    <w:rPr>
                      <w:rFonts w:hint="eastAsia"/>
                      <w:b/>
                      <w:bCs/>
                      <w:sz w:val="21"/>
                      <w:szCs w:val="21"/>
                    </w:rPr>
                    <w:t>固废属性</w:t>
                  </w:r>
                </w:p>
              </w:tc>
              <w:tc>
                <w:tcPr>
                  <w:tcW w:w="869" w:type="pct"/>
                  <w:vAlign w:val="center"/>
                </w:tcPr>
                <w:p w14:paraId="3C3AB105">
                  <w:pPr>
                    <w:jc w:val="center"/>
                    <w:rPr>
                      <w:b/>
                      <w:bCs/>
                      <w:sz w:val="21"/>
                      <w:szCs w:val="21"/>
                    </w:rPr>
                  </w:pPr>
                  <w:r>
                    <w:rPr>
                      <w:rFonts w:hint="eastAsia"/>
                      <w:b/>
                      <w:bCs/>
                      <w:sz w:val="21"/>
                      <w:szCs w:val="21"/>
                    </w:rPr>
                    <w:t>废物代码</w:t>
                  </w:r>
                </w:p>
              </w:tc>
              <w:tc>
                <w:tcPr>
                  <w:tcW w:w="562" w:type="pct"/>
                  <w:vAlign w:val="center"/>
                </w:tcPr>
                <w:p w14:paraId="58DE2DA0">
                  <w:pPr>
                    <w:jc w:val="center"/>
                    <w:rPr>
                      <w:b/>
                      <w:bCs/>
                      <w:sz w:val="21"/>
                      <w:szCs w:val="21"/>
                    </w:rPr>
                  </w:pPr>
                  <w:r>
                    <w:rPr>
                      <w:rFonts w:hint="eastAsia"/>
                      <w:b/>
                      <w:bCs/>
                      <w:sz w:val="21"/>
                      <w:szCs w:val="21"/>
                    </w:rPr>
                    <w:t>产生量（t/a）</w:t>
                  </w:r>
                </w:p>
              </w:tc>
              <w:tc>
                <w:tcPr>
                  <w:tcW w:w="1277" w:type="pct"/>
                  <w:vAlign w:val="center"/>
                </w:tcPr>
                <w:p w14:paraId="2C811D29">
                  <w:pPr>
                    <w:jc w:val="center"/>
                    <w:rPr>
                      <w:b/>
                      <w:bCs/>
                      <w:sz w:val="21"/>
                      <w:szCs w:val="21"/>
                    </w:rPr>
                  </w:pPr>
                  <w:r>
                    <w:rPr>
                      <w:rFonts w:hint="eastAsia"/>
                      <w:b/>
                      <w:bCs/>
                      <w:sz w:val="21"/>
                      <w:szCs w:val="21"/>
                    </w:rPr>
                    <w:t>处置去向</w:t>
                  </w:r>
                </w:p>
              </w:tc>
            </w:tr>
            <w:tr w14:paraId="4992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Align w:val="center"/>
                </w:tcPr>
                <w:p w14:paraId="00326326">
                  <w:pPr>
                    <w:jc w:val="center"/>
                    <w:rPr>
                      <w:sz w:val="21"/>
                      <w:szCs w:val="21"/>
                    </w:rPr>
                  </w:pPr>
                  <w:r>
                    <w:rPr>
                      <w:rFonts w:hint="eastAsia"/>
                      <w:sz w:val="21"/>
                      <w:szCs w:val="21"/>
                    </w:rPr>
                    <w:t>办公生活</w:t>
                  </w:r>
                </w:p>
              </w:tc>
              <w:tc>
                <w:tcPr>
                  <w:tcW w:w="983" w:type="pct"/>
                  <w:vAlign w:val="center"/>
                </w:tcPr>
                <w:p w14:paraId="40ED3536">
                  <w:pPr>
                    <w:jc w:val="center"/>
                    <w:rPr>
                      <w:sz w:val="21"/>
                      <w:szCs w:val="21"/>
                    </w:rPr>
                  </w:pPr>
                  <w:r>
                    <w:rPr>
                      <w:rFonts w:hint="eastAsia"/>
                      <w:sz w:val="21"/>
                      <w:szCs w:val="21"/>
                    </w:rPr>
                    <w:t>生活垃圾</w:t>
                  </w:r>
                </w:p>
              </w:tc>
              <w:tc>
                <w:tcPr>
                  <w:tcW w:w="456" w:type="pct"/>
                  <w:vAlign w:val="center"/>
                </w:tcPr>
                <w:p w14:paraId="770F0326">
                  <w:pPr>
                    <w:jc w:val="center"/>
                    <w:rPr>
                      <w:sz w:val="21"/>
                      <w:szCs w:val="21"/>
                    </w:rPr>
                  </w:pPr>
                  <w:r>
                    <w:rPr>
                      <w:rFonts w:hint="eastAsia"/>
                      <w:sz w:val="21"/>
                      <w:szCs w:val="21"/>
                    </w:rPr>
                    <w:t>生活垃圾</w:t>
                  </w:r>
                </w:p>
              </w:tc>
              <w:tc>
                <w:tcPr>
                  <w:tcW w:w="869" w:type="pct"/>
                  <w:vAlign w:val="center"/>
                </w:tcPr>
                <w:p w14:paraId="0A67805A">
                  <w:pPr>
                    <w:jc w:val="center"/>
                    <w:rPr>
                      <w:sz w:val="21"/>
                      <w:szCs w:val="21"/>
                    </w:rPr>
                  </w:pPr>
                  <w:r>
                    <w:rPr>
                      <w:rFonts w:hint="eastAsia"/>
                      <w:sz w:val="21"/>
                      <w:szCs w:val="21"/>
                    </w:rPr>
                    <w:t>900-001-S62</w:t>
                  </w:r>
                </w:p>
                <w:p w14:paraId="6C753287">
                  <w:pPr>
                    <w:jc w:val="center"/>
                    <w:rPr>
                      <w:sz w:val="21"/>
                      <w:szCs w:val="21"/>
                    </w:rPr>
                  </w:pPr>
                  <w:r>
                    <w:rPr>
                      <w:rFonts w:hint="eastAsia"/>
                      <w:sz w:val="21"/>
                      <w:szCs w:val="21"/>
                    </w:rPr>
                    <w:t>900-099-S64</w:t>
                  </w:r>
                </w:p>
              </w:tc>
              <w:tc>
                <w:tcPr>
                  <w:tcW w:w="562" w:type="pct"/>
                  <w:vAlign w:val="center"/>
                </w:tcPr>
                <w:p w14:paraId="21F40076">
                  <w:pPr>
                    <w:jc w:val="center"/>
                    <w:rPr>
                      <w:sz w:val="21"/>
                      <w:szCs w:val="21"/>
                    </w:rPr>
                  </w:pPr>
                  <w:r>
                    <w:rPr>
                      <w:rFonts w:hint="eastAsia"/>
                      <w:sz w:val="21"/>
                      <w:szCs w:val="21"/>
                    </w:rPr>
                    <w:t>10.95</w:t>
                  </w:r>
                </w:p>
              </w:tc>
              <w:tc>
                <w:tcPr>
                  <w:tcW w:w="1277" w:type="pct"/>
                  <w:vAlign w:val="center"/>
                </w:tcPr>
                <w:p w14:paraId="16DC465E">
                  <w:pPr>
                    <w:jc w:val="center"/>
                    <w:rPr>
                      <w:sz w:val="21"/>
                      <w:szCs w:val="21"/>
                    </w:rPr>
                  </w:pPr>
                  <w:r>
                    <w:rPr>
                      <w:rFonts w:hint="eastAsia"/>
                      <w:sz w:val="21"/>
                      <w:szCs w:val="21"/>
                    </w:rPr>
                    <w:t>分类收集，交由环卫部门统一清运</w:t>
                  </w:r>
                </w:p>
              </w:tc>
            </w:tr>
            <w:tr w14:paraId="4013D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Align w:val="center"/>
                </w:tcPr>
                <w:p w14:paraId="12FD96C2">
                  <w:pPr>
                    <w:jc w:val="center"/>
                    <w:rPr>
                      <w:sz w:val="21"/>
                      <w:szCs w:val="21"/>
                    </w:rPr>
                  </w:pPr>
                  <w:r>
                    <w:rPr>
                      <w:rFonts w:hint="eastAsia"/>
                      <w:sz w:val="21"/>
                      <w:szCs w:val="21"/>
                    </w:rPr>
                    <w:t>超纯水制备</w:t>
                  </w:r>
                </w:p>
              </w:tc>
              <w:tc>
                <w:tcPr>
                  <w:tcW w:w="983" w:type="pct"/>
                  <w:vAlign w:val="center"/>
                </w:tcPr>
                <w:p w14:paraId="2FB03D75">
                  <w:pPr>
                    <w:jc w:val="center"/>
                    <w:rPr>
                      <w:sz w:val="21"/>
                      <w:szCs w:val="21"/>
                    </w:rPr>
                  </w:pPr>
                  <w:r>
                    <w:rPr>
                      <w:rFonts w:hint="eastAsia"/>
                      <w:sz w:val="21"/>
                      <w:szCs w:val="21"/>
                    </w:rPr>
                    <w:t>废滤芯</w:t>
                  </w:r>
                </w:p>
              </w:tc>
              <w:tc>
                <w:tcPr>
                  <w:tcW w:w="456" w:type="pct"/>
                  <w:vMerge w:val="restart"/>
                  <w:vAlign w:val="center"/>
                </w:tcPr>
                <w:p w14:paraId="035F4350">
                  <w:pPr>
                    <w:jc w:val="center"/>
                    <w:rPr>
                      <w:sz w:val="21"/>
                      <w:szCs w:val="21"/>
                    </w:rPr>
                  </w:pPr>
                  <w:r>
                    <w:rPr>
                      <w:sz w:val="21"/>
                      <w:szCs w:val="21"/>
                    </w:rPr>
                    <w:t>一般</w:t>
                  </w:r>
                </w:p>
                <w:p w14:paraId="48FC4471">
                  <w:pPr>
                    <w:jc w:val="center"/>
                    <w:rPr>
                      <w:sz w:val="21"/>
                      <w:szCs w:val="21"/>
                    </w:rPr>
                  </w:pPr>
                  <w:r>
                    <w:rPr>
                      <w:sz w:val="21"/>
                      <w:szCs w:val="21"/>
                    </w:rPr>
                    <w:t>固废</w:t>
                  </w:r>
                </w:p>
              </w:tc>
              <w:tc>
                <w:tcPr>
                  <w:tcW w:w="869" w:type="pct"/>
                  <w:vAlign w:val="center"/>
                </w:tcPr>
                <w:p w14:paraId="04DD3DF0">
                  <w:pPr>
                    <w:jc w:val="center"/>
                    <w:rPr>
                      <w:sz w:val="21"/>
                      <w:szCs w:val="21"/>
                    </w:rPr>
                  </w:pPr>
                  <w:r>
                    <w:rPr>
                      <w:rFonts w:hint="eastAsia"/>
                      <w:sz w:val="21"/>
                      <w:szCs w:val="21"/>
                    </w:rPr>
                    <w:t>900-099-S59</w:t>
                  </w:r>
                </w:p>
              </w:tc>
              <w:tc>
                <w:tcPr>
                  <w:tcW w:w="562" w:type="pct"/>
                  <w:vAlign w:val="center"/>
                </w:tcPr>
                <w:p w14:paraId="02F673C2">
                  <w:pPr>
                    <w:jc w:val="center"/>
                    <w:rPr>
                      <w:sz w:val="21"/>
                      <w:szCs w:val="21"/>
                    </w:rPr>
                  </w:pPr>
                  <w:r>
                    <w:rPr>
                      <w:rFonts w:hint="eastAsia"/>
                      <w:sz w:val="21"/>
                      <w:szCs w:val="21"/>
                    </w:rPr>
                    <w:t>0.02</w:t>
                  </w:r>
                </w:p>
              </w:tc>
              <w:tc>
                <w:tcPr>
                  <w:tcW w:w="1277" w:type="pct"/>
                  <w:vAlign w:val="center"/>
                </w:tcPr>
                <w:p w14:paraId="12F02A07">
                  <w:pPr>
                    <w:jc w:val="center"/>
                    <w:rPr>
                      <w:sz w:val="21"/>
                      <w:szCs w:val="21"/>
                    </w:rPr>
                  </w:pPr>
                  <w:r>
                    <w:rPr>
                      <w:rFonts w:hint="eastAsia"/>
                      <w:sz w:val="21"/>
                      <w:szCs w:val="21"/>
                    </w:rPr>
                    <w:t>厂家回收</w:t>
                  </w:r>
                </w:p>
              </w:tc>
            </w:tr>
            <w:tr w14:paraId="7B98C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restart"/>
                  <w:vAlign w:val="center"/>
                </w:tcPr>
                <w:p w14:paraId="1A056A24">
                  <w:pPr>
                    <w:jc w:val="center"/>
                    <w:rPr>
                      <w:sz w:val="21"/>
                      <w:szCs w:val="21"/>
                    </w:rPr>
                  </w:pPr>
                  <w:r>
                    <w:rPr>
                      <w:rFonts w:hint="eastAsia"/>
                      <w:sz w:val="21"/>
                      <w:szCs w:val="21"/>
                    </w:rPr>
                    <w:t>实验检验</w:t>
                  </w:r>
                </w:p>
              </w:tc>
              <w:tc>
                <w:tcPr>
                  <w:tcW w:w="983" w:type="pct"/>
                  <w:vAlign w:val="center"/>
                </w:tcPr>
                <w:p w14:paraId="16D8E45E">
                  <w:pPr>
                    <w:jc w:val="center"/>
                    <w:rPr>
                      <w:sz w:val="21"/>
                      <w:szCs w:val="21"/>
                    </w:rPr>
                  </w:pPr>
                  <w:r>
                    <w:rPr>
                      <w:rFonts w:hint="eastAsia"/>
                      <w:sz w:val="21"/>
                      <w:szCs w:val="21"/>
                    </w:rPr>
                    <w:t>废包装</w:t>
                  </w:r>
                </w:p>
              </w:tc>
              <w:tc>
                <w:tcPr>
                  <w:tcW w:w="456" w:type="pct"/>
                  <w:vMerge w:val="continue"/>
                  <w:vAlign w:val="center"/>
                </w:tcPr>
                <w:p w14:paraId="75F1CF50">
                  <w:pPr>
                    <w:jc w:val="center"/>
                    <w:rPr>
                      <w:sz w:val="21"/>
                      <w:szCs w:val="21"/>
                    </w:rPr>
                  </w:pPr>
                </w:p>
              </w:tc>
              <w:tc>
                <w:tcPr>
                  <w:tcW w:w="869" w:type="pct"/>
                  <w:vAlign w:val="center"/>
                </w:tcPr>
                <w:p w14:paraId="2040F30F">
                  <w:pPr>
                    <w:jc w:val="center"/>
                    <w:rPr>
                      <w:sz w:val="21"/>
                      <w:szCs w:val="21"/>
                    </w:rPr>
                  </w:pPr>
                  <w:r>
                    <w:rPr>
                      <w:rFonts w:hint="eastAsia"/>
                      <w:sz w:val="21"/>
                      <w:szCs w:val="21"/>
                    </w:rPr>
                    <w:t>900-005-S17</w:t>
                  </w:r>
                </w:p>
              </w:tc>
              <w:tc>
                <w:tcPr>
                  <w:tcW w:w="562" w:type="pct"/>
                  <w:vAlign w:val="center"/>
                </w:tcPr>
                <w:p w14:paraId="4D58BCAC">
                  <w:pPr>
                    <w:jc w:val="center"/>
                    <w:rPr>
                      <w:sz w:val="21"/>
                      <w:szCs w:val="21"/>
                    </w:rPr>
                  </w:pPr>
                  <w:r>
                    <w:rPr>
                      <w:rFonts w:hint="eastAsia"/>
                      <w:sz w:val="21"/>
                      <w:szCs w:val="21"/>
                    </w:rPr>
                    <w:t>0.05</w:t>
                  </w:r>
                </w:p>
              </w:tc>
              <w:tc>
                <w:tcPr>
                  <w:tcW w:w="1277" w:type="pct"/>
                  <w:vAlign w:val="center"/>
                </w:tcPr>
                <w:p w14:paraId="023184FE">
                  <w:pPr>
                    <w:jc w:val="center"/>
                    <w:rPr>
                      <w:sz w:val="21"/>
                      <w:szCs w:val="21"/>
                    </w:rPr>
                  </w:pPr>
                  <w:r>
                    <w:rPr>
                      <w:rFonts w:hint="eastAsia"/>
                      <w:sz w:val="21"/>
                      <w:szCs w:val="21"/>
                    </w:rPr>
                    <w:t>收集后外售利用</w:t>
                  </w:r>
                </w:p>
              </w:tc>
            </w:tr>
            <w:tr w14:paraId="4B57E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395D1017">
                  <w:pPr>
                    <w:jc w:val="center"/>
                    <w:rPr>
                      <w:sz w:val="21"/>
                      <w:szCs w:val="21"/>
                    </w:rPr>
                  </w:pPr>
                </w:p>
              </w:tc>
              <w:tc>
                <w:tcPr>
                  <w:tcW w:w="983" w:type="pct"/>
                  <w:vAlign w:val="center"/>
                </w:tcPr>
                <w:p w14:paraId="062C9DD8">
                  <w:pPr>
                    <w:jc w:val="center"/>
                    <w:rPr>
                      <w:sz w:val="21"/>
                      <w:szCs w:val="21"/>
                    </w:rPr>
                  </w:pPr>
                  <w:r>
                    <w:rPr>
                      <w:rFonts w:hint="eastAsia"/>
                      <w:sz w:val="21"/>
                      <w:szCs w:val="21"/>
                    </w:rPr>
                    <w:t>剩余一般样品</w:t>
                  </w:r>
                </w:p>
              </w:tc>
              <w:tc>
                <w:tcPr>
                  <w:tcW w:w="456" w:type="pct"/>
                  <w:vMerge w:val="continue"/>
                  <w:vAlign w:val="center"/>
                </w:tcPr>
                <w:p w14:paraId="432D4031">
                  <w:pPr>
                    <w:jc w:val="center"/>
                    <w:rPr>
                      <w:sz w:val="21"/>
                      <w:szCs w:val="21"/>
                    </w:rPr>
                  </w:pPr>
                </w:p>
              </w:tc>
              <w:tc>
                <w:tcPr>
                  <w:tcW w:w="869" w:type="pct"/>
                  <w:vAlign w:val="center"/>
                </w:tcPr>
                <w:p w14:paraId="084DEF47">
                  <w:pPr>
                    <w:jc w:val="center"/>
                    <w:rPr>
                      <w:rFonts w:eastAsiaTheme="minorEastAsia"/>
                      <w:sz w:val="21"/>
                      <w:szCs w:val="21"/>
                    </w:rPr>
                  </w:pPr>
                  <w:r>
                    <w:rPr>
                      <w:rFonts w:hint="eastAsia" w:eastAsiaTheme="minorEastAsia"/>
                      <w:sz w:val="21"/>
                      <w:szCs w:val="21"/>
                    </w:rPr>
                    <w:t>900-001-S92</w:t>
                  </w:r>
                </w:p>
              </w:tc>
              <w:tc>
                <w:tcPr>
                  <w:tcW w:w="562" w:type="pct"/>
                  <w:vAlign w:val="center"/>
                </w:tcPr>
                <w:p w14:paraId="54AB5867">
                  <w:pPr>
                    <w:jc w:val="center"/>
                    <w:rPr>
                      <w:sz w:val="21"/>
                      <w:szCs w:val="21"/>
                    </w:rPr>
                  </w:pPr>
                  <w:r>
                    <w:rPr>
                      <w:rFonts w:hint="eastAsia"/>
                      <w:sz w:val="21"/>
                      <w:szCs w:val="21"/>
                    </w:rPr>
                    <w:t>0.2</w:t>
                  </w:r>
                </w:p>
              </w:tc>
              <w:tc>
                <w:tcPr>
                  <w:tcW w:w="1277" w:type="pct"/>
                  <w:vAlign w:val="center"/>
                </w:tcPr>
                <w:p w14:paraId="318F73E3">
                  <w:pPr>
                    <w:jc w:val="center"/>
                    <w:rPr>
                      <w:sz w:val="21"/>
                      <w:szCs w:val="21"/>
                    </w:rPr>
                  </w:pPr>
                  <w:r>
                    <w:rPr>
                      <w:rFonts w:hint="eastAsia"/>
                      <w:sz w:val="21"/>
                      <w:szCs w:val="21"/>
                    </w:rPr>
                    <w:t>作为一般固废处置</w:t>
                  </w:r>
                </w:p>
              </w:tc>
            </w:tr>
            <w:tr w14:paraId="35ED7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1C8A411C">
                  <w:pPr>
                    <w:jc w:val="center"/>
                    <w:rPr>
                      <w:sz w:val="21"/>
                      <w:szCs w:val="21"/>
                    </w:rPr>
                  </w:pPr>
                </w:p>
              </w:tc>
              <w:tc>
                <w:tcPr>
                  <w:tcW w:w="983" w:type="pct"/>
                  <w:vAlign w:val="center"/>
                </w:tcPr>
                <w:p w14:paraId="64E0E5B7">
                  <w:pPr>
                    <w:jc w:val="center"/>
                    <w:rPr>
                      <w:sz w:val="21"/>
                      <w:szCs w:val="21"/>
                    </w:rPr>
                  </w:pPr>
                  <w:r>
                    <w:rPr>
                      <w:rFonts w:hint="eastAsia"/>
                      <w:sz w:val="21"/>
                      <w:szCs w:val="21"/>
                    </w:rPr>
                    <w:t>剩余超标样品</w:t>
                  </w:r>
                </w:p>
              </w:tc>
              <w:tc>
                <w:tcPr>
                  <w:tcW w:w="456" w:type="pct"/>
                  <w:vMerge w:val="continue"/>
                  <w:vAlign w:val="center"/>
                </w:tcPr>
                <w:p w14:paraId="15537A60">
                  <w:pPr>
                    <w:jc w:val="center"/>
                    <w:rPr>
                      <w:sz w:val="21"/>
                      <w:szCs w:val="21"/>
                    </w:rPr>
                  </w:pPr>
                </w:p>
              </w:tc>
              <w:tc>
                <w:tcPr>
                  <w:tcW w:w="869" w:type="pct"/>
                  <w:vAlign w:val="center"/>
                </w:tcPr>
                <w:p w14:paraId="2D0EF82C">
                  <w:pPr>
                    <w:jc w:val="center"/>
                    <w:rPr>
                      <w:rFonts w:eastAsiaTheme="minorEastAsia"/>
                      <w:sz w:val="21"/>
                      <w:szCs w:val="21"/>
                    </w:rPr>
                  </w:pPr>
                  <w:r>
                    <w:rPr>
                      <w:rFonts w:hint="eastAsia" w:eastAsiaTheme="minorEastAsia"/>
                      <w:sz w:val="21"/>
                      <w:szCs w:val="21"/>
                    </w:rPr>
                    <w:t>900-001-S92</w:t>
                  </w:r>
                </w:p>
              </w:tc>
              <w:tc>
                <w:tcPr>
                  <w:tcW w:w="562" w:type="pct"/>
                  <w:vAlign w:val="center"/>
                </w:tcPr>
                <w:p w14:paraId="3E959F5F">
                  <w:pPr>
                    <w:jc w:val="center"/>
                    <w:rPr>
                      <w:sz w:val="21"/>
                      <w:szCs w:val="21"/>
                    </w:rPr>
                  </w:pPr>
                  <w:r>
                    <w:rPr>
                      <w:rFonts w:hint="eastAsia"/>
                      <w:sz w:val="21"/>
                      <w:szCs w:val="21"/>
                    </w:rPr>
                    <w:t>0.01</w:t>
                  </w:r>
                </w:p>
              </w:tc>
              <w:tc>
                <w:tcPr>
                  <w:tcW w:w="1277" w:type="pct"/>
                  <w:vAlign w:val="center"/>
                </w:tcPr>
                <w:p w14:paraId="6193DEDE">
                  <w:pPr>
                    <w:jc w:val="center"/>
                    <w:rPr>
                      <w:sz w:val="21"/>
                      <w:szCs w:val="21"/>
                    </w:rPr>
                  </w:pPr>
                  <w:r>
                    <w:rPr>
                      <w:rFonts w:hint="eastAsia"/>
                      <w:sz w:val="21"/>
                      <w:szCs w:val="21"/>
                    </w:rPr>
                    <w:t>待出具检测报告后退回送检单位</w:t>
                  </w:r>
                </w:p>
              </w:tc>
            </w:tr>
            <w:tr w14:paraId="3E042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61018990">
                  <w:pPr>
                    <w:jc w:val="center"/>
                    <w:rPr>
                      <w:sz w:val="21"/>
                      <w:szCs w:val="21"/>
                    </w:rPr>
                  </w:pPr>
                </w:p>
              </w:tc>
              <w:tc>
                <w:tcPr>
                  <w:tcW w:w="983" w:type="pct"/>
                  <w:vAlign w:val="center"/>
                </w:tcPr>
                <w:p w14:paraId="5832CFAB">
                  <w:pPr>
                    <w:jc w:val="center"/>
                    <w:rPr>
                      <w:sz w:val="21"/>
                      <w:szCs w:val="21"/>
                    </w:rPr>
                  </w:pPr>
                  <w:r>
                    <w:rPr>
                      <w:rFonts w:hint="eastAsia"/>
                      <w:sz w:val="21"/>
                      <w:szCs w:val="21"/>
                    </w:rPr>
                    <w:t>废培养基</w:t>
                  </w:r>
                </w:p>
              </w:tc>
              <w:tc>
                <w:tcPr>
                  <w:tcW w:w="456" w:type="pct"/>
                  <w:vMerge w:val="continue"/>
                  <w:vAlign w:val="center"/>
                </w:tcPr>
                <w:p w14:paraId="05667582">
                  <w:pPr>
                    <w:jc w:val="center"/>
                    <w:rPr>
                      <w:sz w:val="21"/>
                      <w:szCs w:val="21"/>
                    </w:rPr>
                  </w:pPr>
                </w:p>
              </w:tc>
              <w:tc>
                <w:tcPr>
                  <w:tcW w:w="869" w:type="pct"/>
                  <w:vAlign w:val="center"/>
                </w:tcPr>
                <w:p w14:paraId="67B30541">
                  <w:pPr>
                    <w:jc w:val="center"/>
                    <w:rPr>
                      <w:rFonts w:eastAsiaTheme="minorEastAsia"/>
                      <w:sz w:val="21"/>
                      <w:szCs w:val="21"/>
                    </w:rPr>
                  </w:pPr>
                  <w:r>
                    <w:rPr>
                      <w:rFonts w:hint="eastAsia" w:eastAsiaTheme="minorEastAsia"/>
                      <w:sz w:val="21"/>
                      <w:szCs w:val="21"/>
                    </w:rPr>
                    <w:t>900-001-S92</w:t>
                  </w:r>
                </w:p>
              </w:tc>
              <w:tc>
                <w:tcPr>
                  <w:tcW w:w="562" w:type="pct"/>
                  <w:vAlign w:val="center"/>
                </w:tcPr>
                <w:p w14:paraId="4451994C">
                  <w:pPr>
                    <w:jc w:val="center"/>
                    <w:rPr>
                      <w:sz w:val="21"/>
                      <w:szCs w:val="21"/>
                    </w:rPr>
                  </w:pPr>
                  <w:r>
                    <w:rPr>
                      <w:rFonts w:hint="eastAsia"/>
                      <w:sz w:val="21"/>
                      <w:szCs w:val="21"/>
                    </w:rPr>
                    <w:t>0.05</w:t>
                  </w:r>
                </w:p>
              </w:tc>
              <w:tc>
                <w:tcPr>
                  <w:tcW w:w="1277" w:type="pct"/>
                  <w:vAlign w:val="center"/>
                </w:tcPr>
                <w:p w14:paraId="44388542">
                  <w:pPr>
                    <w:jc w:val="center"/>
                    <w:rPr>
                      <w:sz w:val="21"/>
                      <w:szCs w:val="21"/>
                    </w:rPr>
                  </w:pPr>
                  <w:r>
                    <w:rPr>
                      <w:rFonts w:hint="eastAsia"/>
                      <w:sz w:val="21"/>
                      <w:szCs w:val="21"/>
                    </w:rPr>
                    <w:t>作为一般固废处置</w:t>
                  </w:r>
                </w:p>
              </w:tc>
            </w:tr>
            <w:tr w14:paraId="15B4E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034566A6">
                  <w:pPr>
                    <w:jc w:val="center"/>
                    <w:rPr>
                      <w:sz w:val="21"/>
                      <w:szCs w:val="21"/>
                    </w:rPr>
                  </w:pPr>
                </w:p>
              </w:tc>
              <w:tc>
                <w:tcPr>
                  <w:tcW w:w="983" w:type="pct"/>
                  <w:vAlign w:val="center"/>
                </w:tcPr>
                <w:p w14:paraId="6F0A99F8">
                  <w:pPr>
                    <w:jc w:val="center"/>
                    <w:rPr>
                      <w:sz w:val="21"/>
                      <w:szCs w:val="21"/>
                    </w:rPr>
                  </w:pPr>
                  <w:r>
                    <w:rPr>
                      <w:rFonts w:hint="eastAsia"/>
                      <w:sz w:val="21"/>
                      <w:szCs w:val="21"/>
                    </w:rPr>
                    <w:t>实验废液</w:t>
                  </w:r>
                </w:p>
              </w:tc>
              <w:tc>
                <w:tcPr>
                  <w:tcW w:w="456" w:type="pct"/>
                  <w:vMerge w:val="restart"/>
                  <w:vAlign w:val="center"/>
                </w:tcPr>
                <w:p w14:paraId="629DEDF0">
                  <w:pPr>
                    <w:jc w:val="center"/>
                    <w:rPr>
                      <w:sz w:val="21"/>
                      <w:szCs w:val="21"/>
                    </w:rPr>
                  </w:pPr>
                  <w:r>
                    <w:rPr>
                      <w:sz w:val="21"/>
                      <w:szCs w:val="21"/>
                    </w:rPr>
                    <w:t>危险</w:t>
                  </w:r>
                </w:p>
                <w:p w14:paraId="37D2BB1F">
                  <w:pPr>
                    <w:jc w:val="center"/>
                    <w:rPr>
                      <w:sz w:val="21"/>
                      <w:szCs w:val="21"/>
                    </w:rPr>
                  </w:pPr>
                  <w:r>
                    <w:rPr>
                      <w:sz w:val="21"/>
                      <w:szCs w:val="21"/>
                    </w:rPr>
                    <w:t>废物</w:t>
                  </w:r>
                </w:p>
              </w:tc>
              <w:tc>
                <w:tcPr>
                  <w:tcW w:w="869" w:type="pct"/>
                  <w:vAlign w:val="center"/>
                </w:tcPr>
                <w:p w14:paraId="1E619C3B">
                  <w:pPr>
                    <w:jc w:val="center"/>
                    <w:rPr>
                      <w:sz w:val="21"/>
                      <w:szCs w:val="21"/>
                    </w:rPr>
                  </w:pPr>
                  <w:r>
                    <w:rPr>
                      <w:rFonts w:hint="eastAsia"/>
                      <w:sz w:val="21"/>
                      <w:szCs w:val="21"/>
                    </w:rPr>
                    <w:t>HW49</w:t>
                  </w:r>
                </w:p>
                <w:p w14:paraId="47F96B36">
                  <w:pPr>
                    <w:jc w:val="center"/>
                    <w:rPr>
                      <w:sz w:val="21"/>
                      <w:szCs w:val="21"/>
                    </w:rPr>
                  </w:pPr>
                  <w:r>
                    <w:rPr>
                      <w:rFonts w:hint="eastAsia"/>
                      <w:sz w:val="21"/>
                      <w:szCs w:val="21"/>
                    </w:rPr>
                    <w:t>900-047-49</w:t>
                  </w:r>
                </w:p>
              </w:tc>
              <w:tc>
                <w:tcPr>
                  <w:tcW w:w="562" w:type="pct"/>
                  <w:vAlign w:val="center"/>
                </w:tcPr>
                <w:p w14:paraId="755CB5C9">
                  <w:pPr>
                    <w:jc w:val="center"/>
                    <w:rPr>
                      <w:sz w:val="21"/>
                      <w:szCs w:val="21"/>
                    </w:rPr>
                  </w:pPr>
                  <w:r>
                    <w:rPr>
                      <w:rFonts w:hint="eastAsia"/>
                      <w:sz w:val="21"/>
                      <w:szCs w:val="21"/>
                    </w:rPr>
                    <w:t>0.8</w:t>
                  </w:r>
                </w:p>
              </w:tc>
              <w:tc>
                <w:tcPr>
                  <w:tcW w:w="1277" w:type="pct"/>
                  <w:vMerge w:val="restart"/>
                  <w:vAlign w:val="center"/>
                </w:tcPr>
                <w:p w14:paraId="20C798BA">
                  <w:pPr>
                    <w:jc w:val="center"/>
                    <w:rPr>
                      <w:sz w:val="21"/>
                      <w:szCs w:val="21"/>
                    </w:rPr>
                  </w:pPr>
                  <w:r>
                    <w:rPr>
                      <w:rFonts w:hint="eastAsia"/>
                      <w:sz w:val="21"/>
                      <w:szCs w:val="21"/>
                    </w:rPr>
                    <w:t>定期交由陕西宏恩等离子技术有限责任公司</w:t>
                  </w:r>
                  <w:r>
                    <w:rPr>
                      <w:sz w:val="21"/>
                      <w:szCs w:val="21"/>
                    </w:rPr>
                    <w:t>处置</w:t>
                  </w:r>
                </w:p>
              </w:tc>
            </w:tr>
            <w:tr w14:paraId="27CCF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36DC4AAD">
                  <w:pPr>
                    <w:jc w:val="center"/>
                    <w:rPr>
                      <w:sz w:val="21"/>
                      <w:szCs w:val="21"/>
                    </w:rPr>
                  </w:pPr>
                </w:p>
              </w:tc>
              <w:tc>
                <w:tcPr>
                  <w:tcW w:w="983" w:type="pct"/>
                  <w:vAlign w:val="center"/>
                </w:tcPr>
                <w:p w14:paraId="136D15B9">
                  <w:pPr>
                    <w:jc w:val="center"/>
                    <w:rPr>
                      <w:sz w:val="21"/>
                      <w:szCs w:val="21"/>
                    </w:rPr>
                  </w:pPr>
                  <w:r>
                    <w:rPr>
                      <w:rFonts w:hint="eastAsia"/>
                      <w:sz w:val="21"/>
                      <w:szCs w:val="21"/>
                    </w:rPr>
                    <w:t>一次清洗废水</w:t>
                  </w:r>
                </w:p>
              </w:tc>
              <w:tc>
                <w:tcPr>
                  <w:tcW w:w="456" w:type="pct"/>
                  <w:vMerge w:val="continue"/>
                  <w:vAlign w:val="center"/>
                </w:tcPr>
                <w:p w14:paraId="437C93F3">
                  <w:pPr>
                    <w:jc w:val="center"/>
                    <w:rPr>
                      <w:sz w:val="21"/>
                      <w:szCs w:val="21"/>
                    </w:rPr>
                  </w:pPr>
                </w:p>
              </w:tc>
              <w:tc>
                <w:tcPr>
                  <w:tcW w:w="869" w:type="pct"/>
                  <w:vAlign w:val="center"/>
                </w:tcPr>
                <w:p w14:paraId="2FCEAB62">
                  <w:pPr>
                    <w:jc w:val="center"/>
                    <w:rPr>
                      <w:sz w:val="21"/>
                      <w:szCs w:val="21"/>
                    </w:rPr>
                  </w:pPr>
                  <w:r>
                    <w:rPr>
                      <w:rFonts w:hint="eastAsia"/>
                      <w:sz w:val="21"/>
                      <w:szCs w:val="21"/>
                    </w:rPr>
                    <w:t>HW49</w:t>
                  </w:r>
                </w:p>
                <w:p w14:paraId="416E1C2B">
                  <w:pPr>
                    <w:jc w:val="center"/>
                    <w:rPr>
                      <w:sz w:val="21"/>
                      <w:szCs w:val="21"/>
                    </w:rPr>
                  </w:pPr>
                  <w:r>
                    <w:rPr>
                      <w:rFonts w:hint="eastAsia"/>
                      <w:sz w:val="21"/>
                      <w:szCs w:val="21"/>
                    </w:rPr>
                    <w:t>900-041-49</w:t>
                  </w:r>
                </w:p>
              </w:tc>
              <w:tc>
                <w:tcPr>
                  <w:tcW w:w="562" w:type="pct"/>
                  <w:vAlign w:val="center"/>
                </w:tcPr>
                <w:p w14:paraId="0D7CB765">
                  <w:pPr>
                    <w:jc w:val="center"/>
                    <w:rPr>
                      <w:sz w:val="21"/>
                      <w:szCs w:val="21"/>
                    </w:rPr>
                  </w:pPr>
                  <w:r>
                    <w:rPr>
                      <w:rFonts w:hint="eastAsia"/>
                      <w:sz w:val="21"/>
                      <w:szCs w:val="21"/>
                    </w:rPr>
                    <w:t>0.12</w:t>
                  </w:r>
                </w:p>
              </w:tc>
              <w:tc>
                <w:tcPr>
                  <w:tcW w:w="1277" w:type="pct"/>
                  <w:vMerge w:val="continue"/>
                  <w:vAlign w:val="center"/>
                </w:tcPr>
                <w:p w14:paraId="657991AB">
                  <w:pPr>
                    <w:jc w:val="center"/>
                    <w:rPr>
                      <w:sz w:val="21"/>
                      <w:szCs w:val="21"/>
                    </w:rPr>
                  </w:pPr>
                </w:p>
              </w:tc>
            </w:tr>
            <w:tr w14:paraId="2E68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179195D8">
                  <w:pPr>
                    <w:jc w:val="center"/>
                    <w:rPr>
                      <w:sz w:val="21"/>
                      <w:szCs w:val="21"/>
                    </w:rPr>
                  </w:pPr>
                </w:p>
              </w:tc>
              <w:tc>
                <w:tcPr>
                  <w:tcW w:w="983" w:type="pct"/>
                  <w:vAlign w:val="center"/>
                </w:tcPr>
                <w:p w14:paraId="52831F54">
                  <w:pPr>
                    <w:jc w:val="center"/>
                    <w:rPr>
                      <w:sz w:val="21"/>
                      <w:szCs w:val="21"/>
                    </w:rPr>
                  </w:pPr>
                  <w:r>
                    <w:rPr>
                      <w:rFonts w:hint="eastAsia"/>
                      <w:sz w:val="21"/>
                      <w:szCs w:val="21"/>
                    </w:rPr>
                    <w:t>废试剂瓶</w:t>
                  </w:r>
                </w:p>
              </w:tc>
              <w:tc>
                <w:tcPr>
                  <w:tcW w:w="456" w:type="pct"/>
                  <w:vMerge w:val="continue"/>
                  <w:vAlign w:val="center"/>
                </w:tcPr>
                <w:p w14:paraId="17B980E1">
                  <w:pPr>
                    <w:jc w:val="center"/>
                    <w:rPr>
                      <w:sz w:val="21"/>
                      <w:szCs w:val="21"/>
                    </w:rPr>
                  </w:pPr>
                </w:p>
              </w:tc>
              <w:tc>
                <w:tcPr>
                  <w:tcW w:w="869" w:type="pct"/>
                  <w:vAlign w:val="center"/>
                </w:tcPr>
                <w:p w14:paraId="424C3BFB">
                  <w:pPr>
                    <w:jc w:val="center"/>
                    <w:rPr>
                      <w:sz w:val="21"/>
                      <w:szCs w:val="21"/>
                    </w:rPr>
                  </w:pPr>
                  <w:r>
                    <w:rPr>
                      <w:rFonts w:hint="eastAsia"/>
                      <w:sz w:val="21"/>
                      <w:szCs w:val="21"/>
                    </w:rPr>
                    <w:t>HW49</w:t>
                  </w:r>
                </w:p>
                <w:p w14:paraId="0F5AA10F">
                  <w:pPr>
                    <w:jc w:val="center"/>
                    <w:rPr>
                      <w:sz w:val="21"/>
                      <w:szCs w:val="21"/>
                    </w:rPr>
                  </w:pPr>
                  <w:r>
                    <w:rPr>
                      <w:rFonts w:hint="eastAsia"/>
                      <w:sz w:val="21"/>
                      <w:szCs w:val="21"/>
                    </w:rPr>
                    <w:t>900-041-49</w:t>
                  </w:r>
                </w:p>
              </w:tc>
              <w:tc>
                <w:tcPr>
                  <w:tcW w:w="562" w:type="pct"/>
                  <w:vAlign w:val="center"/>
                </w:tcPr>
                <w:p w14:paraId="169FD3E5">
                  <w:pPr>
                    <w:jc w:val="center"/>
                    <w:rPr>
                      <w:sz w:val="21"/>
                      <w:szCs w:val="21"/>
                    </w:rPr>
                  </w:pPr>
                  <w:r>
                    <w:rPr>
                      <w:rFonts w:hint="eastAsia"/>
                      <w:sz w:val="21"/>
                      <w:szCs w:val="21"/>
                    </w:rPr>
                    <w:t>0.03</w:t>
                  </w:r>
                </w:p>
              </w:tc>
              <w:tc>
                <w:tcPr>
                  <w:tcW w:w="1277" w:type="pct"/>
                  <w:vMerge w:val="continue"/>
                  <w:vAlign w:val="center"/>
                </w:tcPr>
                <w:p w14:paraId="3EDB9C71">
                  <w:pPr>
                    <w:jc w:val="center"/>
                    <w:rPr>
                      <w:sz w:val="21"/>
                      <w:szCs w:val="21"/>
                    </w:rPr>
                  </w:pPr>
                </w:p>
              </w:tc>
            </w:tr>
            <w:tr w14:paraId="7A48D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31601F8A">
                  <w:pPr>
                    <w:jc w:val="center"/>
                    <w:rPr>
                      <w:sz w:val="21"/>
                      <w:szCs w:val="21"/>
                    </w:rPr>
                  </w:pPr>
                </w:p>
              </w:tc>
              <w:tc>
                <w:tcPr>
                  <w:tcW w:w="983" w:type="pct"/>
                  <w:vAlign w:val="center"/>
                </w:tcPr>
                <w:p w14:paraId="408D36FF">
                  <w:pPr>
                    <w:jc w:val="center"/>
                    <w:rPr>
                      <w:sz w:val="21"/>
                      <w:szCs w:val="21"/>
                    </w:rPr>
                  </w:pPr>
                  <w:r>
                    <w:rPr>
                      <w:rFonts w:hint="eastAsia"/>
                      <w:sz w:val="21"/>
                      <w:szCs w:val="21"/>
                    </w:rPr>
                    <w:t>过期试剂</w:t>
                  </w:r>
                </w:p>
              </w:tc>
              <w:tc>
                <w:tcPr>
                  <w:tcW w:w="456" w:type="pct"/>
                  <w:vMerge w:val="continue"/>
                  <w:vAlign w:val="center"/>
                </w:tcPr>
                <w:p w14:paraId="1A50CC33">
                  <w:pPr>
                    <w:jc w:val="center"/>
                    <w:rPr>
                      <w:sz w:val="21"/>
                      <w:szCs w:val="21"/>
                    </w:rPr>
                  </w:pPr>
                </w:p>
              </w:tc>
              <w:tc>
                <w:tcPr>
                  <w:tcW w:w="869" w:type="pct"/>
                  <w:vAlign w:val="center"/>
                </w:tcPr>
                <w:p w14:paraId="62031B0A">
                  <w:pPr>
                    <w:jc w:val="center"/>
                    <w:rPr>
                      <w:sz w:val="21"/>
                      <w:szCs w:val="21"/>
                    </w:rPr>
                  </w:pPr>
                  <w:r>
                    <w:rPr>
                      <w:rFonts w:hint="eastAsia"/>
                      <w:sz w:val="21"/>
                      <w:szCs w:val="21"/>
                    </w:rPr>
                    <w:t>HW03</w:t>
                  </w:r>
                </w:p>
                <w:p w14:paraId="555E0AC4">
                  <w:pPr>
                    <w:jc w:val="center"/>
                    <w:rPr>
                      <w:sz w:val="21"/>
                      <w:szCs w:val="21"/>
                    </w:rPr>
                  </w:pPr>
                  <w:r>
                    <w:rPr>
                      <w:rFonts w:hint="eastAsia"/>
                      <w:sz w:val="21"/>
                      <w:szCs w:val="21"/>
                    </w:rPr>
                    <w:t>900-002-03</w:t>
                  </w:r>
                </w:p>
              </w:tc>
              <w:tc>
                <w:tcPr>
                  <w:tcW w:w="562" w:type="pct"/>
                  <w:vAlign w:val="center"/>
                </w:tcPr>
                <w:p w14:paraId="23730620">
                  <w:pPr>
                    <w:jc w:val="center"/>
                    <w:rPr>
                      <w:sz w:val="21"/>
                      <w:szCs w:val="21"/>
                    </w:rPr>
                  </w:pPr>
                  <w:r>
                    <w:rPr>
                      <w:rFonts w:hint="eastAsia"/>
                      <w:sz w:val="21"/>
                      <w:szCs w:val="21"/>
                    </w:rPr>
                    <w:t>0.01</w:t>
                  </w:r>
                </w:p>
              </w:tc>
              <w:tc>
                <w:tcPr>
                  <w:tcW w:w="1277" w:type="pct"/>
                  <w:vMerge w:val="continue"/>
                  <w:vAlign w:val="center"/>
                </w:tcPr>
                <w:p w14:paraId="3AF710A6">
                  <w:pPr>
                    <w:jc w:val="center"/>
                    <w:rPr>
                      <w:sz w:val="21"/>
                      <w:szCs w:val="21"/>
                    </w:rPr>
                  </w:pPr>
                </w:p>
              </w:tc>
            </w:tr>
            <w:tr w14:paraId="321A5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Merge w:val="continue"/>
                  <w:vAlign w:val="center"/>
                </w:tcPr>
                <w:p w14:paraId="5F2F5CC5">
                  <w:pPr>
                    <w:jc w:val="center"/>
                    <w:rPr>
                      <w:sz w:val="21"/>
                      <w:szCs w:val="21"/>
                    </w:rPr>
                  </w:pPr>
                </w:p>
              </w:tc>
              <w:tc>
                <w:tcPr>
                  <w:tcW w:w="983" w:type="pct"/>
                  <w:vAlign w:val="center"/>
                </w:tcPr>
                <w:p w14:paraId="42F7BF0C">
                  <w:pPr>
                    <w:jc w:val="center"/>
                    <w:rPr>
                      <w:sz w:val="21"/>
                      <w:szCs w:val="21"/>
                    </w:rPr>
                  </w:pPr>
                  <w:r>
                    <w:rPr>
                      <w:rFonts w:hint="eastAsia"/>
                      <w:sz w:val="21"/>
                      <w:szCs w:val="21"/>
                    </w:rPr>
                    <w:t>废紫外灯管</w:t>
                  </w:r>
                </w:p>
              </w:tc>
              <w:tc>
                <w:tcPr>
                  <w:tcW w:w="456" w:type="pct"/>
                  <w:vMerge w:val="continue"/>
                  <w:vAlign w:val="center"/>
                </w:tcPr>
                <w:p w14:paraId="14C23B53">
                  <w:pPr>
                    <w:jc w:val="center"/>
                    <w:rPr>
                      <w:sz w:val="21"/>
                      <w:szCs w:val="21"/>
                    </w:rPr>
                  </w:pPr>
                </w:p>
              </w:tc>
              <w:tc>
                <w:tcPr>
                  <w:tcW w:w="869" w:type="pct"/>
                  <w:vAlign w:val="center"/>
                </w:tcPr>
                <w:p w14:paraId="3AA93203">
                  <w:pPr>
                    <w:jc w:val="center"/>
                    <w:rPr>
                      <w:sz w:val="21"/>
                      <w:szCs w:val="21"/>
                    </w:rPr>
                  </w:pPr>
                  <w:r>
                    <w:rPr>
                      <w:rFonts w:hint="eastAsia"/>
                      <w:sz w:val="21"/>
                      <w:szCs w:val="21"/>
                    </w:rPr>
                    <w:t>HW29</w:t>
                  </w:r>
                </w:p>
                <w:p w14:paraId="0C4BFEBA">
                  <w:pPr>
                    <w:jc w:val="center"/>
                    <w:rPr>
                      <w:sz w:val="21"/>
                      <w:szCs w:val="21"/>
                    </w:rPr>
                  </w:pPr>
                  <w:r>
                    <w:rPr>
                      <w:rFonts w:hint="eastAsia"/>
                      <w:sz w:val="21"/>
                      <w:szCs w:val="21"/>
                    </w:rPr>
                    <w:t>900-023-29</w:t>
                  </w:r>
                </w:p>
              </w:tc>
              <w:tc>
                <w:tcPr>
                  <w:tcW w:w="562" w:type="pct"/>
                  <w:vAlign w:val="center"/>
                </w:tcPr>
                <w:p w14:paraId="7177E108">
                  <w:pPr>
                    <w:jc w:val="center"/>
                    <w:rPr>
                      <w:sz w:val="21"/>
                      <w:szCs w:val="21"/>
                    </w:rPr>
                  </w:pPr>
                  <w:r>
                    <w:rPr>
                      <w:rFonts w:hint="eastAsia"/>
                      <w:sz w:val="21"/>
                      <w:szCs w:val="21"/>
                    </w:rPr>
                    <w:t>0.01</w:t>
                  </w:r>
                </w:p>
              </w:tc>
              <w:tc>
                <w:tcPr>
                  <w:tcW w:w="1277" w:type="pct"/>
                  <w:vMerge w:val="continue"/>
                  <w:vAlign w:val="center"/>
                </w:tcPr>
                <w:p w14:paraId="11DD1049">
                  <w:pPr>
                    <w:jc w:val="center"/>
                    <w:rPr>
                      <w:sz w:val="21"/>
                      <w:szCs w:val="21"/>
                    </w:rPr>
                  </w:pPr>
                </w:p>
              </w:tc>
            </w:tr>
            <w:tr w14:paraId="35CBC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50" w:type="pct"/>
                  <w:vAlign w:val="center"/>
                </w:tcPr>
                <w:p w14:paraId="39F59215">
                  <w:pPr>
                    <w:jc w:val="center"/>
                    <w:rPr>
                      <w:sz w:val="21"/>
                      <w:szCs w:val="21"/>
                    </w:rPr>
                  </w:pPr>
                  <w:r>
                    <w:rPr>
                      <w:rFonts w:hint="eastAsia"/>
                      <w:sz w:val="21"/>
                      <w:szCs w:val="21"/>
                    </w:rPr>
                    <w:t>废气处理</w:t>
                  </w:r>
                </w:p>
              </w:tc>
              <w:tc>
                <w:tcPr>
                  <w:tcW w:w="983" w:type="pct"/>
                  <w:vAlign w:val="center"/>
                </w:tcPr>
                <w:p w14:paraId="4FC3AB10">
                  <w:pPr>
                    <w:jc w:val="center"/>
                    <w:rPr>
                      <w:sz w:val="21"/>
                      <w:szCs w:val="21"/>
                    </w:rPr>
                  </w:pPr>
                  <w:r>
                    <w:rPr>
                      <w:rFonts w:hint="eastAsia"/>
                      <w:sz w:val="21"/>
                      <w:szCs w:val="21"/>
                    </w:rPr>
                    <w:t>废活性炭</w:t>
                  </w:r>
                </w:p>
              </w:tc>
              <w:tc>
                <w:tcPr>
                  <w:tcW w:w="456" w:type="pct"/>
                  <w:vMerge w:val="continue"/>
                  <w:vAlign w:val="center"/>
                </w:tcPr>
                <w:p w14:paraId="47DD3873">
                  <w:pPr>
                    <w:jc w:val="center"/>
                    <w:rPr>
                      <w:sz w:val="21"/>
                      <w:szCs w:val="21"/>
                    </w:rPr>
                  </w:pPr>
                </w:p>
              </w:tc>
              <w:tc>
                <w:tcPr>
                  <w:tcW w:w="869" w:type="pct"/>
                  <w:vAlign w:val="center"/>
                </w:tcPr>
                <w:p w14:paraId="73E88CBE">
                  <w:pPr>
                    <w:jc w:val="center"/>
                    <w:rPr>
                      <w:sz w:val="21"/>
                      <w:szCs w:val="21"/>
                    </w:rPr>
                  </w:pPr>
                  <w:r>
                    <w:rPr>
                      <w:rFonts w:hint="eastAsia"/>
                      <w:sz w:val="21"/>
                      <w:szCs w:val="21"/>
                    </w:rPr>
                    <w:t>HW49</w:t>
                  </w:r>
                </w:p>
                <w:p w14:paraId="188908FE">
                  <w:pPr>
                    <w:jc w:val="center"/>
                    <w:rPr>
                      <w:sz w:val="21"/>
                      <w:szCs w:val="21"/>
                    </w:rPr>
                  </w:pPr>
                  <w:r>
                    <w:rPr>
                      <w:rFonts w:hint="eastAsia"/>
                      <w:sz w:val="21"/>
                      <w:szCs w:val="21"/>
                    </w:rPr>
                    <w:t>900-039-49</w:t>
                  </w:r>
                </w:p>
              </w:tc>
              <w:tc>
                <w:tcPr>
                  <w:tcW w:w="562" w:type="pct"/>
                  <w:vAlign w:val="center"/>
                </w:tcPr>
                <w:p w14:paraId="06AD4AA4">
                  <w:pPr>
                    <w:jc w:val="center"/>
                    <w:rPr>
                      <w:sz w:val="21"/>
                      <w:szCs w:val="21"/>
                    </w:rPr>
                  </w:pPr>
                  <w:r>
                    <w:rPr>
                      <w:rFonts w:hint="eastAsia"/>
                      <w:sz w:val="21"/>
                      <w:szCs w:val="21"/>
                    </w:rPr>
                    <w:t>0.1</w:t>
                  </w:r>
                </w:p>
              </w:tc>
              <w:tc>
                <w:tcPr>
                  <w:tcW w:w="1277" w:type="pct"/>
                  <w:vMerge w:val="continue"/>
                  <w:vAlign w:val="center"/>
                </w:tcPr>
                <w:p w14:paraId="174502FC">
                  <w:pPr>
                    <w:jc w:val="center"/>
                    <w:rPr>
                      <w:sz w:val="21"/>
                      <w:szCs w:val="21"/>
                    </w:rPr>
                  </w:pPr>
                </w:p>
              </w:tc>
            </w:tr>
          </w:tbl>
          <w:p w14:paraId="420B57B2">
            <w:pPr>
              <w:tabs>
                <w:tab w:val="left" w:pos="3836"/>
              </w:tabs>
              <w:spacing w:line="360" w:lineRule="auto"/>
              <w:ind w:firstLine="480" w:firstLineChars="200"/>
            </w:pPr>
            <w:r>
              <w:rPr>
                <w:rFonts w:hint="eastAsia"/>
              </w:rPr>
              <w:t>综上，现有项目各项环保措施正常运行，废气、废水及噪声均能达标排放，固废均能妥善处理处置。</w:t>
            </w:r>
          </w:p>
          <w:p w14:paraId="37B2176D">
            <w:pPr>
              <w:widowControl/>
              <w:spacing w:line="360" w:lineRule="auto"/>
              <w:ind w:firstLine="482" w:firstLineChars="200"/>
              <w:jc w:val="left"/>
              <w:rPr>
                <w:rFonts w:hint="eastAsia"/>
                <w:b/>
                <w:bCs/>
                <w:color w:val="auto"/>
                <w:kern w:val="0"/>
                <w:lang w:val="en-US" w:eastAsia="zh-CN" w:bidi="ar"/>
              </w:rPr>
            </w:pPr>
            <w:r>
              <w:rPr>
                <w:rFonts w:hint="eastAsia"/>
                <w:b/>
                <w:bCs/>
                <w:color w:val="auto"/>
                <w:kern w:val="0"/>
                <w:lang w:val="en-US" w:eastAsia="zh-CN" w:bidi="ar"/>
              </w:rPr>
              <w:t>4、现有项目环保问题</w:t>
            </w:r>
          </w:p>
          <w:p w14:paraId="0DB63B98">
            <w:pPr>
              <w:widowControl/>
              <w:spacing w:line="360" w:lineRule="auto"/>
              <w:ind w:firstLine="480" w:firstLineChars="200"/>
              <w:jc w:val="left"/>
              <w:rPr>
                <w:rFonts w:hint="default"/>
                <w:b w:val="0"/>
                <w:bCs w:val="0"/>
                <w:color w:val="auto"/>
                <w:kern w:val="0"/>
                <w:lang w:val="en-US" w:eastAsia="zh-CN" w:bidi="ar"/>
              </w:rPr>
            </w:pPr>
            <w:r>
              <w:rPr>
                <w:rFonts w:hint="eastAsia"/>
                <w:b w:val="0"/>
                <w:bCs w:val="0"/>
                <w:color w:val="auto"/>
                <w:kern w:val="0"/>
                <w:lang w:val="en-US" w:eastAsia="zh-CN" w:bidi="ar"/>
              </w:rPr>
              <w:t>现有项目使用盐酸、硫酸、硝酸等酸性试剂，产生的无机酸性废气经喷淋塔处理后有组织排放，其中，硝酸使用量较少，氮氧化物产生量较少，且现有项目环评文件及批复要求、验收文件、历年自行监测方案中酸性废气有组织排放口仅监测氯化氢、硫酸雾，因此，现有项目历年监测符合相关要求，无相关环保问题。</w:t>
            </w:r>
          </w:p>
          <w:p w14:paraId="140A4025">
            <w:pPr>
              <w:widowControl/>
              <w:spacing w:line="360" w:lineRule="auto"/>
              <w:ind w:firstLine="482" w:firstLineChars="200"/>
              <w:jc w:val="left"/>
              <w:rPr>
                <w:b/>
                <w:bCs/>
                <w:kern w:val="0"/>
                <w:lang w:bidi="ar"/>
              </w:rPr>
            </w:pPr>
            <w:r>
              <w:rPr>
                <w:rFonts w:hint="eastAsia"/>
                <w:b/>
                <w:bCs/>
                <w:kern w:val="0"/>
                <w:lang w:val="en-US" w:eastAsia="zh-CN" w:bidi="ar"/>
              </w:rPr>
              <w:t>5</w:t>
            </w:r>
            <w:r>
              <w:rPr>
                <w:rFonts w:hint="eastAsia"/>
                <w:b/>
                <w:bCs/>
                <w:kern w:val="0"/>
                <w:lang w:bidi="ar"/>
              </w:rPr>
              <w:t>、本项目的原有污染情况</w:t>
            </w:r>
          </w:p>
          <w:p w14:paraId="4B631CD7">
            <w:pPr>
              <w:tabs>
                <w:tab w:val="left" w:pos="3836"/>
              </w:tabs>
              <w:spacing w:line="360" w:lineRule="auto"/>
              <w:ind w:firstLine="480" w:firstLineChars="200"/>
            </w:pPr>
            <w:r>
              <w:rPr>
                <w:rFonts w:hint="eastAsia"/>
              </w:rPr>
              <w:t>本项目租赁中国国检测试控股集团陕西有限公司一号楼三、四层，利用现有厂房进行建设，厂房为首次出租且目前空置，不存在与项目有关的原有环境污染问题。</w:t>
            </w:r>
          </w:p>
          <w:p w14:paraId="56B38C71">
            <w:pPr>
              <w:widowControl/>
              <w:spacing w:line="360" w:lineRule="auto"/>
              <w:ind w:firstLine="482" w:firstLineChars="200"/>
              <w:jc w:val="left"/>
              <w:rPr>
                <w:b/>
                <w:bCs/>
                <w:kern w:val="0"/>
                <w:lang w:bidi="ar"/>
              </w:rPr>
            </w:pPr>
          </w:p>
          <w:p w14:paraId="17167049">
            <w:pPr>
              <w:widowControl/>
              <w:spacing w:line="360" w:lineRule="auto"/>
              <w:jc w:val="left"/>
            </w:pPr>
          </w:p>
          <w:p w14:paraId="2A4193A4">
            <w:pPr>
              <w:widowControl/>
              <w:spacing w:line="360" w:lineRule="auto"/>
              <w:jc w:val="left"/>
            </w:pPr>
          </w:p>
          <w:p w14:paraId="0675BCA1">
            <w:pPr>
              <w:widowControl/>
              <w:spacing w:line="360" w:lineRule="auto"/>
              <w:jc w:val="left"/>
            </w:pPr>
          </w:p>
          <w:p w14:paraId="0E22C4FA">
            <w:pPr>
              <w:widowControl/>
              <w:spacing w:line="360" w:lineRule="auto"/>
              <w:jc w:val="left"/>
            </w:pPr>
          </w:p>
        </w:tc>
      </w:tr>
    </w:tbl>
    <w:p w14:paraId="4338EAB4">
      <w:pPr>
        <w:pStyle w:val="18"/>
        <w:keepNext w:val="0"/>
        <w:keepLines w:val="0"/>
        <w:pageBreakBefore w:val="0"/>
        <w:kinsoku/>
        <w:wordWrap/>
        <w:overflowPunct/>
        <w:topLinePunct w:val="0"/>
        <w:autoSpaceDE/>
        <w:autoSpaceDN/>
        <w:bidi w:val="0"/>
        <w:adjustRightInd/>
        <w:snapToGrid/>
        <w:spacing w:before="0" w:beforeAutospacing="0" w:after="0" w:afterAutospacing="0"/>
        <w:jc w:val="both"/>
        <w:textAlignment w:val="auto"/>
        <w:rPr>
          <w:rFonts w:ascii="黑体" w:hAnsi="黑体" w:eastAsia="黑体" w:cs="Times New Roman"/>
          <w:snapToGrid w:val="0"/>
          <w:kern w:val="0"/>
          <w:sz w:val="30"/>
          <w:szCs w:val="30"/>
        </w:rPr>
      </w:pPr>
    </w:p>
    <w:bookmarkEnd w:id="0"/>
    <w:p w14:paraId="019783F7">
      <w:pPr>
        <w:keepNext w:val="0"/>
        <w:keepLines w:val="0"/>
        <w:pageBreakBefore w:val="0"/>
        <w:kinsoku/>
        <w:wordWrap/>
        <w:overflowPunct/>
        <w:topLinePunct w:val="0"/>
        <w:autoSpaceDE/>
        <w:autoSpaceDN/>
        <w:bidi w:val="0"/>
        <w:adjustRightInd/>
        <w:snapToGrid/>
        <w:textAlignment w:val="auto"/>
        <w:rPr>
          <w:b/>
          <w:bCs/>
          <w:sz w:val="28"/>
          <w:szCs w:val="28"/>
        </w:rPr>
        <w:sectPr>
          <w:pgSz w:w="11906" w:h="16838"/>
          <w:pgMar w:top="1701" w:right="1531" w:bottom="1701" w:left="1531" w:header="851" w:footer="992" w:gutter="0"/>
          <w:cols w:space="425" w:num="1"/>
          <w:docGrid w:type="lines" w:linePitch="312" w:charSpace="0"/>
        </w:sectPr>
      </w:pPr>
    </w:p>
    <w:p w14:paraId="1C843B14">
      <w:pPr>
        <w:pStyle w:val="18"/>
        <w:jc w:val="center"/>
        <w:outlineLvl w:val="0"/>
        <w:rPr>
          <w:rFonts w:ascii="黑体" w:hAnsi="黑体" w:eastAsia="黑体" w:cs="Times New Roman"/>
          <w:snapToGrid w:val="0"/>
          <w:kern w:val="0"/>
          <w:sz w:val="30"/>
          <w:szCs w:val="30"/>
        </w:rPr>
      </w:pPr>
      <w:bookmarkStart w:id="4" w:name="_Toc23157"/>
      <w:r>
        <w:rPr>
          <w:rFonts w:hint="eastAsia" w:ascii="黑体" w:hAnsi="黑体" w:eastAsia="黑体" w:cs="Times New Roman"/>
          <w:snapToGrid w:val="0"/>
          <w:kern w:val="0"/>
          <w:sz w:val="30"/>
          <w:szCs w:val="30"/>
        </w:rPr>
        <w:t>三、区域环境质量现状、环境保护目标及评价标准</w:t>
      </w:r>
      <w:bookmarkEnd w:id="4"/>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8322"/>
      </w:tblGrid>
      <w:tr w14:paraId="52FE1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vAlign w:val="center"/>
          </w:tcPr>
          <w:p w14:paraId="464F51AF">
            <w:pPr>
              <w:adjustRightInd w:val="0"/>
              <w:snapToGrid w:val="0"/>
              <w:jc w:val="center"/>
              <w:rPr>
                <w:bCs/>
                <w:sz w:val="28"/>
                <w:szCs w:val="28"/>
              </w:rPr>
            </w:pPr>
            <w:r>
              <w:t>区域环境质量现状</w:t>
            </w:r>
          </w:p>
        </w:tc>
        <w:tc>
          <w:tcPr>
            <w:tcW w:w="4594" w:type="pct"/>
          </w:tcPr>
          <w:p w14:paraId="64695EF0">
            <w:pPr>
              <w:spacing w:line="360" w:lineRule="auto"/>
              <w:ind w:firstLine="482" w:firstLineChars="200"/>
              <w:rPr>
                <w:b/>
                <w:bCs/>
                <w:kern w:val="0"/>
                <w:lang w:bidi="ar"/>
              </w:rPr>
            </w:pPr>
            <w:r>
              <w:rPr>
                <w:rFonts w:hint="eastAsia"/>
                <w:b/>
                <w:bCs/>
                <w:kern w:val="0"/>
                <w:lang w:bidi="ar"/>
              </w:rPr>
              <w:t>1、环境空气</w:t>
            </w:r>
          </w:p>
          <w:p w14:paraId="0CAF1444">
            <w:pPr>
              <w:spacing w:line="360" w:lineRule="auto"/>
              <w:ind w:firstLine="480" w:firstLineChars="200"/>
              <w:rPr>
                <w:bCs/>
              </w:rPr>
            </w:pPr>
            <w:r>
              <w:rPr>
                <w:rFonts w:hint="eastAsia"/>
                <w:bCs/>
              </w:rPr>
              <w:t>（1）基本污染物</w:t>
            </w:r>
          </w:p>
          <w:p w14:paraId="23333837">
            <w:pPr>
              <w:spacing w:line="360" w:lineRule="auto"/>
              <w:ind w:firstLine="480" w:firstLineChars="200"/>
              <w:rPr>
                <w:bCs/>
              </w:rPr>
            </w:pPr>
            <w:r>
              <w:rPr>
                <w:rFonts w:hint="eastAsia"/>
                <w:bCs/>
              </w:rPr>
              <w:t>本</w:t>
            </w:r>
            <w:r>
              <w:rPr>
                <w:bCs/>
              </w:rPr>
              <w:t>项目位于</w:t>
            </w:r>
            <w:r>
              <w:rPr>
                <w:kern w:val="0"/>
              </w:rPr>
              <w:t>西安市</w:t>
            </w:r>
            <w:r>
              <w:rPr>
                <w:rFonts w:hint="eastAsia"/>
                <w:kern w:val="0"/>
              </w:rPr>
              <w:t>西咸新区</w:t>
            </w:r>
            <w:r>
              <w:rPr>
                <w:bCs/>
              </w:rPr>
              <w:t>，执行《环境空气质量标准》（GB</w:t>
            </w:r>
            <w:r>
              <w:rPr>
                <w:rFonts w:hint="eastAsia"/>
                <w:bCs/>
              </w:rPr>
              <w:t xml:space="preserve"> </w:t>
            </w:r>
            <w:r>
              <w:rPr>
                <w:bCs/>
              </w:rPr>
              <w:t>3095-2012）二级标准。根据陕西省生态环境厅</w:t>
            </w:r>
            <w:r>
              <w:rPr>
                <w:rFonts w:hint="eastAsia"/>
                <w:bCs/>
              </w:rPr>
              <w:t>办公室</w:t>
            </w:r>
            <w:r>
              <w:rPr>
                <w:bCs/>
              </w:rPr>
              <w:t>发布的</w:t>
            </w:r>
            <w:r>
              <w:rPr>
                <w:rFonts w:hint="eastAsia"/>
                <w:bCs/>
              </w:rPr>
              <w:t>2024年1月19日发布的环保快报</w:t>
            </w:r>
            <w:r>
              <w:rPr>
                <w:bCs/>
              </w:rPr>
              <w:t>，</w:t>
            </w:r>
            <w:r>
              <w:rPr>
                <w:rFonts w:hint="eastAsia"/>
                <w:bCs/>
              </w:rPr>
              <w:t>西咸新区2023年空气质量情况见表3-1</w:t>
            </w:r>
            <w:r>
              <w:rPr>
                <w:bCs/>
              </w:rPr>
              <w:t>。</w:t>
            </w:r>
          </w:p>
          <w:p w14:paraId="1E0CB0F2">
            <w:pPr>
              <w:adjustRightInd w:val="0"/>
              <w:snapToGrid w:val="0"/>
              <w:jc w:val="center"/>
              <w:rPr>
                <w:bCs/>
              </w:rPr>
            </w:pPr>
            <w:r>
              <w:rPr>
                <w:b/>
                <w:sz w:val="21"/>
                <w:szCs w:val="21"/>
                <w:lang w:val="zh-CN"/>
              </w:rPr>
              <w:t>表3-1  区域空气质量现状评价表</w:t>
            </w:r>
          </w:p>
          <w:tbl>
            <w:tblPr>
              <w:tblStyle w:val="2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5"/>
              <w:gridCol w:w="2606"/>
              <w:gridCol w:w="1230"/>
              <w:gridCol w:w="1262"/>
              <w:gridCol w:w="1038"/>
              <w:gridCol w:w="965"/>
            </w:tblGrid>
            <w:tr w14:paraId="70B66D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614" w:type="pct"/>
                  <w:shd w:val="clear" w:color="auto" w:fill="auto"/>
                  <w:vAlign w:val="center"/>
                </w:tcPr>
                <w:p w14:paraId="3C142593">
                  <w:pPr>
                    <w:pStyle w:val="40"/>
                    <w:spacing w:line="276" w:lineRule="auto"/>
                    <w:jc w:val="center"/>
                    <w:rPr>
                      <w:rFonts w:cs="Times New Roman"/>
                      <w:b/>
                      <w:color w:val="auto"/>
                      <w:sz w:val="21"/>
                      <w:szCs w:val="21"/>
                    </w:rPr>
                  </w:pPr>
                  <w:r>
                    <w:rPr>
                      <w:rFonts w:cs="Times New Roman"/>
                      <w:b/>
                      <w:color w:val="auto"/>
                      <w:sz w:val="21"/>
                      <w:szCs w:val="21"/>
                    </w:rPr>
                    <w:t>污染物</w:t>
                  </w:r>
                </w:p>
              </w:tc>
              <w:tc>
                <w:tcPr>
                  <w:tcW w:w="1608" w:type="pct"/>
                  <w:shd w:val="clear" w:color="auto" w:fill="auto"/>
                  <w:vAlign w:val="center"/>
                </w:tcPr>
                <w:p w14:paraId="2E105E8E">
                  <w:pPr>
                    <w:pStyle w:val="40"/>
                    <w:spacing w:line="276" w:lineRule="auto"/>
                    <w:jc w:val="center"/>
                    <w:rPr>
                      <w:rFonts w:cs="Times New Roman"/>
                      <w:b/>
                      <w:color w:val="auto"/>
                      <w:sz w:val="21"/>
                      <w:szCs w:val="21"/>
                    </w:rPr>
                  </w:pPr>
                  <w:r>
                    <w:rPr>
                      <w:rFonts w:cs="Times New Roman"/>
                      <w:b/>
                      <w:color w:val="auto"/>
                      <w:sz w:val="21"/>
                      <w:szCs w:val="21"/>
                    </w:rPr>
                    <w:t>年评价指标</w:t>
                  </w:r>
                </w:p>
              </w:tc>
              <w:tc>
                <w:tcPr>
                  <w:tcW w:w="759" w:type="pct"/>
                  <w:shd w:val="clear" w:color="auto" w:fill="auto"/>
                  <w:vAlign w:val="center"/>
                </w:tcPr>
                <w:p w14:paraId="6E59759F">
                  <w:pPr>
                    <w:pStyle w:val="40"/>
                    <w:spacing w:line="276" w:lineRule="auto"/>
                    <w:jc w:val="center"/>
                    <w:rPr>
                      <w:rFonts w:cs="Times New Roman"/>
                      <w:b/>
                      <w:color w:val="auto"/>
                      <w:sz w:val="21"/>
                      <w:szCs w:val="21"/>
                    </w:rPr>
                  </w:pPr>
                  <w:r>
                    <w:rPr>
                      <w:rFonts w:cs="Times New Roman"/>
                      <w:b/>
                      <w:color w:val="auto"/>
                      <w:sz w:val="21"/>
                      <w:szCs w:val="21"/>
                    </w:rPr>
                    <w:t>现状浓度</w:t>
                  </w:r>
                  <w:r>
                    <w:rPr>
                      <w:rFonts w:hint="eastAsia" w:cs="Times New Roman"/>
                      <w:b/>
                      <w:color w:val="auto"/>
                      <w:sz w:val="21"/>
                      <w:szCs w:val="21"/>
                    </w:rPr>
                    <w:t>（</w:t>
                  </w:r>
                  <w:r>
                    <w:rPr>
                      <w:rFonts w:cs="Times New Roman"/>
                      <w:color w:val="auto"/>
                      <w:sz w:val="21"/>
                      <w:szCs w:val="21"/>
                    </w:rPr>
                    <w:t>μg/m</w:t>
                  </w:r>
                  <w:r>
                    <w:rPr>
                      <w:rFonts w:cs="Times New Roman"/>
                      <w:color w:val="auto"/>
                      <w:sz w:val="21"/>
                      <w:szCs w:val="21"/>
                      <w:vertAlign w:val="superscript"/>
                    </w:rPr>
                    <w:t>3</w:t>
                  </w:r>
                  <w:r>
                    <w:rPr>
                      <w:rFonts w:hint="eastAsia" w:cs="Times New Roman"/>
                      <w:b/>
                      <w:color w:val="auto"/>
                      <w:sz w:val="21"/>
                      <w:szCs w:val="21"/>
                    </w:rPr>
                    <w:t>）</w:t>
                  </w:r>
                </w:p>
              </w:tc>
              <w:tc>
                <w:tcPr>
                  <w:tcW w:w="779" w:type="pct"/>
                  <w:shd w:val="clear" w:color="auto" w:fill="auto"/>
                  <w:vAlign w:val="center"/>
                </w:tcPr>
                <w:p w14:paraId="3F83F436">
                  <w:pPr>
                    <w:pStyle w:val="40"/>
                    <w:spacing w:line="276" w:lineRule="auto"/>
                    <w:jc w:val="center"/>
                    <w:rPr>
                      <w:rFonts w:cs="Times New Roman"/>
                      <w:b/>
                      <w:color w:val="auto"/>
                      <w:sz w:val="21"/>
                      <w:szCs w:val="21"/>
                    </w:rPr>
                  </w:pPr>
                  <w:r>
                    <w:rPr>
                      <w:rFonts w:cs="Times New Roman"/>
                      <w:b/>
                      <w:color w:val="auto"/>
                      <w:sz w:val="21"/>
                      <w:szCs w:val="21"/>
                    </w:rPr>
                    <w:t>标准值</w:t>
                  </w:r>
                  <w:r>
                    <w:rPr>
                      <w:rFonts w:hint="eastAsia" w:cs="Times New Roman"/>
                      <w:b/>
                      <w:color w:val="auto"/>
                      <w:sz w:val="21"/>
                      <w:szCs w:val="21"/>
                    </w:rPr>
                    <w:t>（</w:t>
                  </w:r>
                  <w:r>
                    <w:rPr>
                      <w:rFonts w:cs="Times New Roman"/>
                      <w:color w:val="auto"/>
                      <w:sz w:val="21"/>
                      <w:szCs w:val="21"/>
                    </w:rPr>
                    <w:t>μg/m</w:t>
                  </w:r>
                  <w:r>
                    <w:rPr>
                      <w:rFonts w:cs="Times New Roman"/>
                      <w:color w:val="auto"/>
                      <w:sz w:val="21"/>
                      <w:szCs w:val="21"/>
                      <w:vertAlign w:val="superscript"/>
                    </w:rPr>
                    <w:t>3</w:t>
                  </w:r>
                  <w:r>
                    <w:rPr>
                      <w:rFonts w:hint="eastAsia" w:cs="Times New Roman"/>
                      <w:b/>
                      <w:color w:val="auto"/>
                      <w:sz w:val="21"/>
                      <w:szCs w:val="21"/>
                    </w:rPr>
                    <w:t>）</w:t>
                  </w:r>
                </w:p>
              </w:tc>
              <w:tc>
                <w:tcPr>
                  <w:tcW w:w="641" w:type="pct"/>
                  <w:shd w:val="clear" w:color="auto" w:fill="auto"/>
                  <w:vAlign w:val="center"/>
                </w:tcPr>
                <w:p w14:paraId="012D7235">
                  <w:pPr>
                    <w:pStyle w:val="40"/>
                    <w:spacing w:line="276" w:lineRule="auto"/>
                    <w:jc w:val="center"/>
                    <w:rPr>
                      <w:rFonts w:cs="Times New Roman"/>
                      <w:b/>
                      <w:color w:val="auto"/>
                      <w:sz w:val="21"/>
                      <w:szCs w:val="21"/>
                    </w:rPr>
                  </w:pPr>
                  <w:r>
                    <w:rPr>
                      <w:rFonts w:cs="Times New Roman"/>
                      <w:b/>
                      <w:color w:val="auto"/>
                      <w:sz w:val="21"/>
                      <w:szCs w:val="21"/>
                    </w:rPr>
                    <w:t>占标率</w:t>
                  </w:r>
                  <w:r>
                    <w:rPr>
                      <w:rFonts w:hint="eastAsia" w:cs="Times New Roman"/>
                      <w:b/>
                      <w:color w:val="auto"/>
                      <w:sz w:val="21"/>
                      <w:szCs w:val="21"/>
                    </w:rPr>
                    <w:t>（%）</w:t>
                  </w:r>
                </w:p>
              </w:tc>
              <w:tc>
                <w:tcPr>
                  <w:tcW w:w="596" w:type="pct"/>
                  <w:shd w:val="clear" w:color="auto" w:fill="auto"/>
                  <w:vAlign w:val="center"/>
                </w:tcPr>
                <w:p w14:paraId="274B1811">
                  <w:pPr>
                    <w:pStyle w:val="40"/>
                    <w:spacing w:line="276" w:lineRule="auto"/>
                    <w:jc w:val="center"/>
                    <w:rPr>
                      <w:rFonts w:cs="Times New Roman"/>
                      <w:b/>
                      <w:color w:val="auto"/>
                      <w:sz w:val="21"/>
                      <w:szCs w:val="21"/>
                    </w:rPr>
                  </w:pPr>
                  <w:r>
                    <w:rPr>
                      <w:rFonts w:cs="Times New Roman"/>
                      <w:b/>
                      <w:color w:val="auto"/>
                      <w:sz w:val="21"/>
                      <w:szCs w:val="21"/>
                    </w:rPr>
                    <w:t>达标</w:t>
                  </w:r>
                </w:p>
                <w:p w14:paraId="77509D09">
                  <w:pPr>
                    <w:pStyle w:val="40"/>
                    <w:spacing w:line="276" w:lineRule="auto"/>
                    <w:jc w:val="center"/>
                    <w:rPr>
                      <w:rFonts w:cs="Times New Roman"/>
                      <w:b/>
                      <w:color w:val="auto"/>
                      <w:sz w:val="21"/>
                      <w:szCs w:val="21"/>
                    </w:rPr>
                  </w:pPr>
                  <w:r>
                    <w:rPr>
                      <w:rFonts w:cs="Times New Roman"/>
                      <w:b/>
                      <w:color w:val="auto"/>
                      <w:sz w:val="21"/>
                      <w:szCs w:val="21"/>
                    </w:rPr>
                    <w:t>情况</w:t>
                  </w:r>
                </w:p>
              </w:tc>
            </w:tr>
            <w:tr w14:paraId="69139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614" w:type="pct"/>
                  <w:shd w:val="clear" w:color="auto" w:fill="auto"/>
                  <w:vAlign w:val="center"/>
                </w:tcPr>
                <w:p w14:paraId="15DB8927">
                  <w:pPr>
                    <w:pStyle w:val="40"/>
                    <w:spacing w:line="276" w:lineRule="auto"/>
                    <w:jc w:val="center"/>
                    <w:rPr>
                      <w:rFonts w:cs="Times New Roman"/>
                      <w:b/>
                      <w:color w:val="auto"/>
                      <w:sz w:val="21"/>
                      <w:szCs w:val="21"/>
                    </w:rPr>
                  </w:pPr>
                  <w:r>
                    <w:rPr>
                      <w:rFonts w:cs="Times New Roman"/>
                      <w:color w:val="auto"/>
                      <w:sz w:val="21"/>
                      <w:szCs w:val="21"/>
                    </w:rPr>
                    <w:t>PM</w:t>
                  </w:r>
                  <w:r>
                    <w:rPr>
                      <w:rFonts w:cs="Times New Roman"/>
                      <w:color w:val="auto"/>
                      <w:sz w:val="21"/>
                      <w:szCs w:val="21"/>
                      <w:vertAlign w:val="subscript"/>
                    </w:rPr>
                    <w:t>10</w:t>
                  </w:r>
                </w:p>
              </w:tc>
              <w:tc>
                <w:tcPr>
                  <w:tcW w:w="1608" w:type="pct"/>
                  <w:shd w:val="clear" w:color="auto" w:fill="auto"/>
                  <w:vAlign w:val="center"/>
                </w:tcPr>
                <w:p w14:paraId="756091CD">
                  <w:pPr>
                    <w:pStyle w:val="40"/>
                    <w:spacing w:line="276" w:lineRule="auto"/>
                    <w:jc w:val="center"/>
                    <w:rPr>
                      <w:rFonts w:cs="Times New Roman"/>
                      <w:bCs/>
                      <w:color w:val="auto"/>
                      <w:sz w:val="21"/>
                      <w:szCs w:val="21"/>
                    </w:rPr>
                  </w:pPr>
                  <w:r>
                    <w:rPr>
                      <w:rFonts w:cs="Times New Roman"/>
                      <w:bCs/>
                      <w:color w:val="auto"/>
                      <w:sz w:val="21"/>
                      <w:szCs w:val="21"/>
                    </w:rPr>
                    <w:t>年平均质量浓度</w:t>
                  </w:r>
                </w:p>
              </w:tc>
              <w:tc>
                <w:tcPr>
                  <w:tcW w:w="759" w:type="pct"/>
                  <w:shd w:val="clear" w:color="auto" w:fill="auto"/>
                  <w:vAlign w:val="center"/>
                </w:tcPr>
                <w:p w14:paraId="72A7570B">
                  <w:pPr>
                    <w:pStyle w:val="40"/>
                    <w:spacing w:line="276" w:lineRule="auto"/>
                    <w:jc w:val="center"/>
                    <w:rPr>
                      <w:rFonts w:cs="Times New Roman"/>
                      <w:bCs/>
                      <w:color w:val="auto"/>
                      <w:sz w:val="21"/>
                      <w:szCs w:val="21"/>
                    </w:rPr>
                  </w:pPr>
                  <w:r>
                    <w:rPr>
                      <w:rFonts w:hint="eastAsia" w:cs="Times New Roman"/>
                      <w:bCs/>
                      <w:color w:val="auto"/>
                      <w:sz w:val="21"/>
                      <w:szCs w:val="21"/>
                    </w:rPr>
                    <w:t>82</w:t>
                  </w:r>
                </w:p>
              </w:tc>
              <w:tc>
                <w:tcPr>
                  <w:tcW w:w="779" w:type="pct"/>
                  <w:shd w:val="clear" w:color="auto" w:fill="auto"/>
                  <w:vAlign w:val="center"/>
                </w:tcPr>
                <w:p w14:paraId="62BA68E5">
                  <w:pPr>
                    <w:pStyle w:val="40"/>
                    <w:spacing w:line="276" w:lineRule="auto"/>
                    <w:jc w:val="center"/>
                    <w:rPr>
                      <w:rFonts w:cs="Times New Roman"/>
                      <w:bCs/>
                      <w:color w:val="auto"/>
                      <w:sz w:val="21"/>
                      <w:szCs w:val="21"/>
                    </w:rPr>
                  </w:pPr>
                  <w:r>
                    <w:rPr>
                      <w:rFonts w:cs="Times New Roman"/>
                      <w:color w:val="auto"/>
                      <w:sz w:val="21"/>
                      <w:szCs w:val="21"/>
                    </w:rPr>
                    <w:t>70</w:t>
                  </w:r>
                </w:p>
              </w:tc>
              <w:tc>
                <w:tcPr>
                  <w:tcW w:w="641" w:type="pct"/>
                  <w:shd w:val="clear" w:color="auto" w:fill="auto"/>
                  <w:vAlign w:val="center"/>
                </w:tcPr>
                <w:p w14:paraId="0565EB0F">
                  <w:pPr>
                    <w:pStyle w:val="40"/>
                    <w:spacing w:line="276" w:lineRule="auto"/>
                    <w:jc w:val="center"/>
                    <w:rPr>
                      <w:rFonts w:cs="Times New Roman"/>
                      <w:bCs/>
                      <w:color w:val="auto"/>
                      <w:sz w:val="21"/>
                      <w:szCs w:val="21"/>
                    </w:rPr>
                  </w:pPr>
                  <w:r>
                    <w:rPr>
                      <w:rFonts w:hint="eastAsia" w:cs="Times New Roman"/>
                      <w:bCs/>
                      <w:color w:val="auto"/>
                      <w:sz w:val="21"/>
                      <w:szCs w:val="21"/>
                    </w:rPr>
                    <w:t>117.14</w:t>
                  </w:r>
                </w:p>
              </w:tc>
              <w:tc>
                <w:tcPr>
                  <w:tcW w:w="596" w:type="pct"/>
                  <w:shd w:val="clear" w:color="auto" w:fill="auto"/>
                  <w:vAlign w:val="center"/>
                </w:tcPr>
                <w:p w14:paraId="6D9B32F8">
                  <w:pPr>
                    <w:pStyle w:val="40"/>
                    <w:spacing w:line="276" w:lineRule="auto"/>
                    <w:jc w:val="center"/>
                    <w:rPr>
                      <w:rFonts w:cs="Times New Roman"/>
                      <w:bCs/>
                      <w:color w:val="auto"/>
                      <w:sz w:val="21"/>
                      <w:szCs w:val="21"/>
                    </w:rPr>
                  </w:pPr>
                  <w:r>
                    <w:rPr>
                      <w:rFonts w:hint="eastAsia" w:cs="Times New Roman"/>
                      <w:bCs/>
                      <w:color w:val="auto"/>
                      <w:sz w:val="21"/>
                      <w:szCs w:val="21"/>
                    </w:rPr>
                    <w:t>不</w:t>
                  </w:r>
                  <w:r>
                    <w:rPr>
                      <w:rFonts w:cs="Times New Roman"/>
                      <w:bCs/>
                      <w:color w:val="auto"/>
                      <w:sz w:val="21"/>
                      <w:szCs w:val="21"/>
                    </w:rPr>
                    <w:t>达标</w:t>
                  </w:r>
                </w:p>
              </w:tc>
            </w:tr>
            <w:tr w14:paraId="6D92D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614" w:type="pct"/>
                  <w:shd w:val="clear" w:color="auto" w:fill="auto"/>
                  <w:vAlign w:val="center"/>
                </w:tcPr>
                <w:p w14:paraId="346E26AB">
                  <w:pPr>
                    <w:pStyle w:val="40"/>
                    <w:spacing w:line="276" w:lineRule="auto"/>
                    <w:jc w:val="center"/>
                    <w:rPr>
                      <w:rFonts w:cs="Times New Roman"/>
                      <w:b/>
                      <w:color w:val="auto"/>
                      <w:sz w:val="21"/>
                      <w:szCs w:val="21"/>
                    </w:rPr>
                  </w:pPr>
                  <w:r>
                    <w:rPr>
                      <w:rFonts w:cs="Times New Roman"/>
                      <w:color w:val="auto"/>
                      <w:sz w:val="21"/>
                      <w:szCs w:val="21"/>
                    </w:rPr>
                    <w:t>PM</w:t>
                  </w:r>
                  <w:r>
                    <w:rPr>
                      <w:rFonts w:cs="Times New Roman"/>
                      <w:color w:val="auto"/>
                      <w:sz w:val="21"/>
                      <w:szCs w:val="21"/>
                      <w:vertAlign w:val="subscript"/>
                    </w:rPr>
                    <w:t>2.5</w:t>
                  </w:r>
                </w:p>
              </w:tc>
              <w:tc>
                <w:tcPr>
                  <w:tcW w:w="1608" w:type="pct"/>
                  <w:shd w:val="clear" w:color="auto" w:fill="auto"/>
                  <w:vAlign w:val="center"/>
                </w:tcPr>
                <w:p w14:paraId="5E2453DA">
                  <w:pPr>
                    <w:pStyle w:val="40"/>
                    <w:spacing w:line="276" w:lineRule="auto"/>
                    <w:jc w:val="center"/>
                    <w:rPr>
                      <w:rFonts w:cs="Times New Roman"/>
                      <w:bCs/>
                      <w:color w:val="auto"/>
                      <w:sz w:val="21"/>
                      <w:szCs w:val="21"/>
                    </w:rPr>
                  </w:pPr>
                  <w:r>
                    <w:rPr>
                      <w:rFonts w:cs="Times New Roman"/>
                      <w:bCs/>
                      <w:color w:val="auto"/>
                      <w:sz w:val="21"/>
                      <w:szCs w:val="21"/>
                    </w:rPr>
                    <w:t>年平均质量浓度</w:t>
                  </w:r>
                </w:p>
              </w:tc>
              <w:tc>
                <w:tcPr>
                  <w:tcW w:w="759" w:type="pct"/>
                  <w:shd w:val="clear" w:color="auto" w:fill="auto"/>
                  <w:vAlign w:val="center"/>
                </w:tcPr>
                <w:p w14:paraId="5976B08B">
                  <w:pPr>
                    <w:pStyle w:val="40"/>
                    <w:spacing w:line="276" w:lineRule="auto"/>
                    <w:jc w:val="center"/>
                    <w:rPr>
                      <w:rFonts w:cs="Times New Roman"/>
                      <w:bCs/>
                      <w:color w:val="auto"/>
                      <w:sz w:val="21"/>
                      <w:szCs w:val="21"/>
                    </w:rPr>
                  </w:pPr>
                  <w:r>
                    <w:rPr>
                      <w:rFonts w:hint="eastAsia" w:cs="Times New Roman"/>
                      <w:bCs/>
                      <w:color w:val="auto"/>
                      <w:sz w:val="21"/>
                      <w:szCs w:val="21"/>
                    </w:rPr>
                    <w:t>48</w:t>
                  </w:r>
                </w:p>
              </w:tc>
              <w:tc>
                <w:tcPr>
                  <w:tcW w:w="779" w:type="pct"/>
                  <w:shd w:val="clear" w:color="auto" w:fill="auto"/>
                  <w:vAlign w:val="center"/>
                </w:tcPr>
                <w:p w14:paraId="3F9356DD">
                  <w:pPr>
                    <w:pStyle w:val="40"/>
                    <w:spacing w:line="276" w:lineRule="auto"/>
                    <w:jc w:val="center"/>
                    <w:rPr>
                      <w:rFonts w:cs="Times New Roman"/>
                      <w:bCs/>
                      <w:color w:val="auto"/>
                      <w:sz w:val="21"/>
                      <w:szCs w:val="21"/>
                    </w:rPr>
                  </w:pPr>
                  <w:r>
                    <w:rPr>
                      <w:rFonts w:cs="Times New Roman"/>
                      <w:color w:val="auto"/>
                      <w:sz w:val="21"/>
                      <w:szCs w:val="21"/>
                    </w:rPr>
                    <w:t>35</w:t>
                  </w:r>
                </w:p>
              </w:tc>
              <w:tc>
                <w:tcPr>
                  <w:tcW w:w="641" w:type="pct"/>
                  <w:shd w:val="clear" w:color="auto" w:fill="auto"/>
                  <w:vAlign w:val="center"/>
                </w:tcPr>
                <w:p w14:paraId="3A2FB3D3">
                  <w:pPr>
                    <w:pStyle w:val="40"/>
                    <w:spacing w:line="276" w:lineRule="auto"/>
                    <w:jc w:val="center"/>
                    <w:rPr>
                      <w:rFonts w:cs="Times New Roman"/>
                      <w:bCs/>
                      <w:color w:val="auto"/>
                      <w:sz w:val="21"/>
                      <w:szCs w:val="21"/>
                    </w:rPr>
                  </w:pPr>
                  <w:r>
                    <w:rPr>
                      <w:rFonts w:hint="eastAsia" w:cs="Times New Roman"/>
                      <w:bCs/>
                      <w:color w:val="auto"/>
                      <w:sz w:val="21"/>
                      <w:szCs w:val="21"/>
                    </w:rPr>
                    <w:t>137.14</w:t>
                  </w:r>
                </w:p>
              </w:tc>
              <w:tc>
                <w:tcPr>
                  <w:tcW w:w="596" w:type="pct"/>
                  <w:shd w:val="clear" w:color="auto" w:fill="auto"/>
                  <w:vAlign w:val="center"/>
                </w:tcPr>
                <w:p w14:paraId="73516CAA">
                  <w:pPr>
                    <w:pStyle w:val="40"/>
                    <w:spacing w:line="276" w:lineRule="auto"/>
                    <w:jc w:val="center"/>
                    <w:rPr>
                      <w:rFonts w:cs="Times New Roman"/>
                      <w:bCs/>
                      <w:color w:val="auto"/>
                      <w:sz w:val="21"/>
                      <w:szCs w:val="21"/>
                    </w:rPr>
                  </w:pPr>
                  <w:r>
                    <w:rPr>
                      <w:rFonts w:cs="Times New Roman"/>
                      <w:bCs/>
                      <w:color w:val="auto"/>
                      <w:sz w:val="21"/>
                      <w:szCs w:val="21"/>
                    </w:rPr>
                    <w:t>不达标</w:t>
                  </w:r>
                </w:p>
              </w:tc>
            </w:tr>
            <w:tr w14:paraId="68839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614" w:type="pct"/>
                  <w:shd w:val="clear" w:color="auto" w:fill="auto"/>
                  <w:vAlign w:val="center"/>
                </w:tcPr>
                <w:p w14:paraId="690B301E">
                  <w:pPr>
                    <w:pStyle w:val="40"/>
                    <w:spacing w:line="276" w:lineRule="auto"/>
                    <w:jc w:val="center"/>
                    <w:rPr>
                      <w:rFonts w:cs="Times New Roman"/>
                      <w:b/>
                      <w:color w:val="auto"/>
                      <w:sz w:val="21"/>
                      <w:szCs w:val="21"/>
                    </w:rPr>
                  </w:pPr>
                  <w:r>
                    <w:rPr>
                      <w:rFonts w:cs="Times New Roman"/>
                      <w:color w:val="auto"/>
                      <w:sz w:val="21"/>
                      <w:szCs w:val="21"/>
                    </w:rPr>
                    <w:t>SO</w:t>
                  </w:r>
                  <w:r>
                    <w:rPr>
                      <w:rFonts w:cs="Times New Roman"/>
                      <w:color w:val="auto"/>
                      <w:sz w:val="21"/>
                      <w:szCs w:val="21"/>
                      <w:vertAlign w:val="subscript"/>
                    </w:rPr>
                    <w:t>2</w:t>
                  </w:r>
                </w:p>
              </w:tc>
              <w:tc>
                <w:tcPr>
                  <w:tcW w:w="1608" w:type="pct"/>
                  <w:shd w:val="clear" w:color="auto" w:fill="auto"/>
                  <w:vAlign w:val="center"/>
                </w:tcPr>
                <w:p w14:paraId="66E7FEF0">
                  <w:pPr>
                    <w:pStyle w:val="40"/>
                    <w:spacing w:line="276" w:lineRule="auto"/>
                    <w:jc w:val="center"/>
                    <w:rPr>
                      <w:rFonts w:cs="Times New Roman"/>
                      <w:bCs/>
                      <w:color w:val="auto"/>
                      <w:sz w:val="21"/>
                      <w:szCs w:val="21"/>
                    </w:rPr>
                  </w:pPr>
                  <w:r>
                    <w:rPr>
                      <w:rFonts w:cs="Times New Roman"/>
                      <w:bCs/>
                      <w:color w:val="auto"/>
                      <w:sz w:val="21"/>
                      <w:szCs w:val="21"/>
                    </w:rPr>
                    <w:t>年平均质量浓度</w:t>
                  </w:r>
                </w:p>
              </w:tc>
              <w:tc>
                <w:tcPr>
                  <w:tcW w:w="759" w:type="pct"/>
                  <w:shd w:val="clear" w:color="auto" w:fill="auto"/>
                  <w:vAlign w:val="center"/>
                </w:tcPr>
                <w:p w14:paraId="6B9B3C28">
                  <w:pPr>
                    <w:pStyle w:val="40"/>
                    <w:spacing w:line="276" w:lineRule="auto"/>
                    <w:jc w:val="center"/>
                    <w:rPr>
                      <w:rFonts w:cs="Times New Roman"/>
                      <w:bCs/>
                      <w:color w:val="auto"/>
                      <w:sz w:val="21"/>
                      <w:szCs w:val="21"/>
                    </w:rPr>
                  </w:pPr>
                  <w:r>
                    <w:rPr>
                      <w:rFonts w:hint="eastAsia" w:cs="Times New Roman"/>
                      <w:bCs/>
                      <w:color w:val="auto"/>
                      <w:sz w:val="21"/>
                      <w:szCs w:val="21"/>
                    </w:rPr>
                    <w:t>7</w:t>
                  </w:r>
                </w:p>
              </w:tc>
              <w:tc>
                <w:tcPr>
                  <w:tcW w:w="779" w:type="pct"/>
                  <w:shd w:val="clear" w:color="auto" w:fill="auto"/>
                  <w:vAlign w:val="center"/>
                </w:tcPr>
                <w:p w14:paraId="5B29F499">
                  <w:pPr>
                    <w:pStyle w:val="40"/>
                    <w:spacing w:line="276" w:lineRule="auto"/>
                    <w:jc w:val="center"/>
                    <w:rPr>
                      <w:rFonts w:cs="Times New Roman"/>
                      <w:bCs/>
                      <w:color w:val="auto"/>
                      <w:sz w:val="21"/>
                      <w:szCs w:val="21"/>
                    </w:rPr>
                  </w:pPr>
                  <w:r>
                    <w:rPr>
                      <w:rFonts w:cs="Times New Roman"/>
                      <w:color w:val="auto"/>
                      <w:sz w:val="21"/>
                      <w:szCs w:val="21"/>
                    </w:rPr>
                    <w:t>60</w:t>
                  </w:r>
                </w:p>
              </w:tc>
              <w:tc>
                <w:tcPr>
                  <w:tcW w:w="641" w:type="pct"/>
                  <w:shd w:val="clear" w:color="auto" w:fill="auto"/>
                  <w:vAlign w:val="center"/>
                </w:tcPr>
                <w:p w14:paraId="5DCCDED9">
                  <w:pPr>
                    <w:pStyle w:val="40"/>
                    <w:spacing w:line="276" w:lineRule="auto"/>
                    <w:jc w:val="center"/>
                    <w:rPr>
                      <w:rFonts w:cs="Times New Roman"/>
                      <w:bCs/>
                      <w:color w:val="auto"/>
                      <w:sz w:val="21"/>
                      <w:szCs w:val="21"/>
                    </w:rPr>
                  </w:pPr>
                  <w:r>
                    <w:rPr>
                      <w:rFonts w:hint="eastAsia" w:cs="Times New Roman"/>
                      <w:bCs/>
                      <w:color w:val="auto"/>
                      <w:sz w:val="21"/>
                      <w:szCs w:val="21"/>
                    </w:rPr>
                    <w:t>11.67</w:t>
                  </w:r>
                </w:p>
              </w:tc>
              <w:tc>
                <w:tcPr>
                  <w:tcW w:w="596" w:type="pct"/>
                  <w:shd w:val="clear" w:color="auto" w:fill="auto"/>
                  <w:vAlign w:val="center"/>
                </w:tcPr>
                <w:p w14:paraId="7DB56AEA">
                  <w:pPr>
                    <w:pStyle w:val="40"/>
                    <w:spacing w:line="276" w:lineRule="auto"/>
                    <w:jc w:val="center"/>
                    <w:rPr>
                      <w:rFonts w:cs="Times New Roman"/>
                      <w:bCs/>
                      <w:color w:val="auto"/>
                      <w:sz w:val="21"/>
                      <w:szCs w:val="21"/>
                    </w:rPr>
                  </w:pPr>
                  <w:r>
                    <w:rPr>
                      <w:rFonts w:cs="Times New Roman"/>
                      <w:bCs/>
                      <w:color w:val="auto"/>
                      <w:sz w:val="21"/>
                      <w:szCs w:val="21"/>
                    </w:rPr>
                    <w:t>达标</w:t>
                  </w:r>
                </w:p>
              </w:tc>
            </w:tr>
            <w:tr w14:paraId="2B804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614" w:type="pct"/>
                  <w:shd w:val="clear" w:color="auto" w:fill="auto"/>
                  <w:vAlign w:val="center"/>
                </w:tcPr>
                <w:p w14:paraId="721A6649">
                  <w:pPr>
                    <w:pStyle w:val="40"/>
                    <w:spacing w:line="276" w:lineRule="auto"/>
                    <w:jc w:val="center"/>
                    <w:rPr>
                      <w:rFonts w:cs="Times New Roman"/>
                      <w:b/>
                      <w:color w:val="auto"/>
                      <w:sz w:val="21"/>
                      <w:szCs w:val="21"/>
                    </w:rPr>
                  </w:pPr>
                  <w:r>
                    <w:rPr>
                      <w:rFonts w:cs="Times New Roman"/>
                      <w:color w:val="auto"/>
                      <w:sz w:val="21"/>
                      <w:szCs w:val="21"/>
                    </w:rPr>
                    <w:t>NO</w:t>
                  </w:r>
                  <w:r>
                    <w:rPr>
                      <w:rFonts w:cs="Times New Roman"/>
                      <w:color w:val="auto"/>
                      <w:sz w:val="21"/>
                      <w:szCs w:val="21"/>
                      <w:vertAlign w:val="subscript"/>
                    </w:rPr>
                    <w:t>2</w:t>
                  </w:r>
                </w:p>
              </w:tc>
              <w:tc>
                <w:tcPr>
                  <w:tcW w:w="1608" w:type="pct"/>
                  <w:shd w:val="clear" w:color="auto" w:fill="auto"/>
                  <w:vAlign w:val="center"/>
                </w:tcPr>
                <w:p w14:paraId="0C0C372B">
                  <w:pPr>
                    <w:pStyle w:val="40"/>
                    <w:spacing w:line="276" w:lineRule="auto"/>
                    <w:jc w:val="center"/>
                    <w:rPr>
                      <w:rFonts w:cs="Times New Roman"/>
                      <w:bCs/>
                      <w:color w:val="auto"/>
                      <w:sz w:val="21"/>
                      <w:szCs w:val="21"/>
                    </w:rPr>
                  </w:pPr>
                  <w:r>
                    <w:rPr>
                      <w:rFonts w:cs="Times New Roman"/>
                      <w:bCs/>
                      <w:color w:val="auto"/>
                      <w:sz w:val="21"/>
                      <w:szCs w:val="21"/>
                    </w:rPr>
                    <w:t>年平均质量浓度</w:t>
                  </w:r>
                </w:p>
              </w:tc>
              <w:tc>
                <w:tcPr>
                  <w:tcW w:w="759" w:type="pct"/>
                  <w:shd w:val="clear" w:color="auto" w:fill="auto"/>
                  <w:vAlign w:val="center"/>
                </w:tcPr>
                <w:p w14:paraId="1A31400A">
                  <w:pPr>
                    <w:pStyle w:val="40"/>
                    <w:spacing w:line="276" w:lineRule="auto"/>
                    <w:jc w:val="center"/>
                    <w:rPr>
                      <w:rFonts w:cs="Times New Roman"/>
                      <w:bCs/>
                      <w:color w:val="auto"/>
                      <w:sz w:val="21"/>
                      <w:szCs w:val="21"/>
                    </w:rPr>
                  </w:pPr>
                  <w:r>
                    <w:rPr>
                      <w:rFonts w:hint="eastAsia" w:cs="Times New Roman"/>
                      <w:bCs/>
                      <w:color w:val="auto"/>
                      <w:sz w:val="21"/>
                      <w:szCs w:val="21"/>
                    </w:rPr>
                    <w:t>37</w:t>
                  </w:r>
                </w:p>
              </w:tc>
              <w:tc>
                <w:tcPr>
                  <w:tcW w:w="779" w:type="pct"/>
                  <w:shd w:val="clear" w:color="auto" w:fill="auto"/>
                  <w:vAlign w:val="center"/>
                </w:tcPr>
                <w:p w14:paraId="1766C598">
                  <w:pPr>
                    <w:pStyle w:val="40"/>
                    <w:spacing w:line="276" w:lineRule="auto"/>
                    <w:jc w:val="center"/>
                    <w:rPr>
                      <w:rFonts w:cs="Times New Roman"/>
                      <w:bCs/>
                      <w:color w:val="auto"/>
                      <w:sz w:val="21"/>
                      <w:szCs w:val="21"/>
                    </w:rPr>
                  </w:pPr>
                  <w:r>
                    <w:rPr>
                      <w:rFonts w:cs="Times New Roman"/>
                      <w:color w:val="auto"/>
                      <w:sz w:val="21"/>
                      <w:szCs w:val="21"/>
                    </w:rPr>
                    <w:t>40</w:t>
                  </w:r>
                </w:p>
              </w:tc>
              <w:tc>
                <w:tcPr>
                  <w:tcW w:w="641" w:type="pct"/>
                  <w:shd w:val="clear" w:color="auto" w:fill="auto"/>
                  <w:vAlign w:val="center"/>
                </w:tcPr>
                <w:p w14:paraId="066FA220">
                  <w:pPr>
                    <w:pStyle w:val="40"/>
                    <w:spacing w:line="276" w:lineRule="auto"/>
                    <w:jc w:val="center"/>
                    <w:rPr>
                      <w:rFonts w:cs="Times New Roman"/>
                      <w:bCs/>
                      <w:color w:val="auto"/>
                      <w:sz w:val="21"/>
                      <w:szCs w:val="21"/>
                    </w:rPr>
                  </w:pPr>
                  <w:r>
                    <w:rPr>
                      <w:rFonts w:hint="eastAsia" w:cs="Times New Roman"/>
                      <w:bCs/>
                      <w:color w:val="auto"/>
                      <w:sz w:val="21"/>
                      <w:szCs w:val="21"/>
                    </w:rPr>
                    <w:t>92.50</w:t>
                  </w:r>
                </w:p>
              </w:tc>
              <w:tc>
                <w:tcPr>
                  <w:tcW w:w="596" w:type="pct"/>
                  <w:shd w:val="clear" w:color="auto" w:fill="auto"/>
                  <w:vAlign w:val="center"/>
                </w:tcPr>
                <w:p w14:paraId="651B7D36">
                  <w:pPr>
                    <w:pStyle w:val="40"/>
                    <w:spacing w:line="276" w:lineRule="auto"/>
                    <w:jc w:val="center"/>
                    <w:rPr>
                      <w:rFonts w:cs="Times New Roman"/>
                      <w:bCs/>
                      <w:color w:val="auto"/>
                      <w:sz w:val="21"/>
                      <w:szCs w:val="21"/>
                    </w:rPr>
                  </w:pPr>
                  <w:r>
                    <w:rPr>
                      <w:rFonts w:cs="Times New Roman"/>
                      <w:bCs/>
                      <w:color w:val="auto"/>
                      <w:sz w:val="21"/>
                      <w:szCs w:val="21"/>
                    </w:rPr>
                    <w:t>达标</w:t>
                  </w:r>
                </w:p>
              </w:tc>
            </w:tr>
            <w:tr w14:paraId="13038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614" w:type="pct"/>
                  <w:shd w:val="clear" w:color="auto" w:fill="auto"/>
                  <w:vAlign w:val="center"/>
                </w:tcPr>
                <w:p w14:paraId="18F90C55">
                  <w:pPr>
                    <w:pStyle w:val="40"/>
                    <w:spacing w:line="276" w:lineRule="auto"/>
                    <w:jc w:val="center"/>
                    <w:rPr>
                      <w:rFonts w:cs="Times New Roman"/>
                      <w:b/>
                      <w:color w:val="auto"/>
                      <w:sz w:val="21"/>
                      <w:szCs w:val="21"/>
                    </w:rPr>
                  </w:pPr>
                  <w:r>
                    <w:rPr>
                      <w:rFonts w:cs="Times New Roman"/>
                      <w:color w:val="auto"/>
                      <w:sz w:val="21"/>
                      <w:szCs w:val="21"/>
                    </w:rPr>
                    <w:t>CO</w:t>
                  </w:r>
                </w:p>
              </w:tc>
              <w:tc>
                <w:tcPr>
                  <w:tcW w:w="1608" w:type="pct"/>
                  <w:shd w:val="clear" w:color="auto" w:fill="auto"/>
                  <w:vAlign w:val="center"/>
                </w:tcPr>
                <w:p w14:paraId="1FB66F30">
                  <w:pPr>
                    <w:pStyle w:val="40"/>
                    <w:spacing w:line="276" w:lineRule="auto"/>
                    <w:jc w:val="center"/>
                    <w:rPr>
                      <w:rFonts w:cs="Times New Roman"/>
                      <w:bCs/>
                      <w:color w:val="auto"/>
                      <w:sz w:val="21"/>
                      <w:szCs w:val="21"/>
                    </w:rPr>
                  </w:pPr>
                  <w:r>
                    <w:rPr>
                      <w:rFonts w:hint="eastAsia" w:cs="Times New Roman"/>
                      <w:bCs/>
                      <w:color w:val="auto"/>
                      <w:sz w:val="21"/>
                      <w:szCs w:val="21"/>
                    </w:rPr>
                    <w:t>日均值的</w:t>
                  </w:r>
                  <w:r>
                    <w:rPr>
                      <w:rFonts w:cs="Times New Roman"/>
                      <w:bCs/>
                      <w:color w:val="auto"/>
                      <w:sz w:val="21"/>
                      <w:szCs w:val="21"/>
                    </w:rPr>
                    <w:t>第95百分位</w:t>
                  </w:r>
                  <w:r>
                    <w:rPr>
                      <w:rFonts w:hint="eastAsia" w:cs="Times New Roman"/>
                      <w:bCs/>
                      <w:color w:val="auto"/>
                      <w:sz w:val="21"/>
                      <w:szCs w:val="21"/>
                    </w:rPr>
                    <w:t>数</w:t>
                  </w:r>
                </w:p>
              </w:tc>
              <w:tc>
                <w:tcPr>
                  <w:tcW w:w="759" w:type="pct"/>
                  <w:shd w:val="clear" w:color="auto" w:fill="auto"/>
                  <w:vAlign w:val="center"/>
                </w:tcPr>
                <w:p w14:paraId="63D09E51">
                  <w:pPr>
                    <w:pStyle w:val="40"/>
                    <w:spacing w:line="276" w:lineRule="auto"/>
                    <w:jc w:val="center"/>
                    <w:rPr>
                      <w:rFonts w:cs="Times New Roman"/>
                      <w:bCs/>
                      <w:color w:val="auto"/>
                      <w:sz w:val="21"/>
                      <w:szCs w:val="21"/>
                    </w:rPr>
                  </w:pPr>
                  <w:r>
                    <w:rPr>
                      <w:rFonts w:hint="eastAsia" w:cs="Times New Roman"/>
                      <w:bCs/>
                      <w:color w:val="auto"/>
                      <w:sz w:val="21"/>
                      <w:szCs w:val="21"/>
                    </w:rPr>
                    <w:t>1300</w:t>
                  </w:r>
                </w:p>
              </w:tc>
              <w:tc>
                <w:tcPr>
                  <w:tcW w:w="779" w:type="pct"/>
                  <w:shd w:val="clear" w:color="auto" w:fill="auto"/>
                  <w:vAlign w:val="center"/>
                </w:tcPr>
                <w:p w14:paraId="5CAF0996">
                  <w:pPr>
                    <w:pStyle w:val="40"/>
                    <w:spacing w:line="276" w:lineRule="auto"/>
                    <w:jc w:val="center"/>
                    <w:rPr>
                      <w:rFonts w:cs="Times New Roman"/>
                      <w:bCs/>
                      <w:color w:val="auto"/>
                      <w:sz w:val="21"/>
                      <w:szCs w:val="21"/>
                    </w:rPr>
                  </w:pPr>
                  <w:r>
                    <w:rPr>
                      <w:rFonts w:cs="Times New Roman"/>
                      <w:color w:val="auto"/>
                      <w:sz w:val="21"/>
                      <w:szCs w:val="21"/>
                    </w:rPr>
                    <w:t>4</w:t>
                  </w:r>
                  <w:r>
                    <w:rPr>
                      <w:rFonts w:hint="eastAsia" w:cs="Times New Roman"/>
                      <w:color w:val="auto"/>
                      <w:sz w:val="21"/>
                      <w:szCs w:val="21"/>
                    </w:rPr>
                    <w:t>000</w:t>
                  </w:r>
                </w:p>
              </w:tc>
              <w:tc>
                <w:tcPr>
                  <w:tcW w:w="641" w:type="pct"/>
                  <w:shd w:val="clear" w:color="auto" w:fill="auto"/>
                  <w:vAlign w:val="center"/>
                </w:tcPr>
                <w:p w14:paraId="09B2F54F">
                  <w:pPr>
                    <w:pStyle w:val="40"/>
                    <w:spacing w:line="276" w:lineRule="auto"/>
                    <w:jc w:val="center"/>
                    <w:rPr>
                      <w:rFonts w:cs="Times New Roman"/>
                      <w:bCs/>
                      <w:color w:val="auto"/>
                      <w:sz w:val="21"/>
                      <w:szCs w:val="21"/>
                    </w:rPr>
                  </w:pPr>
                  <w:r>
                    <w:rPr>
                      <w:rFonts w:hint="eastAsia" w:cs="Times New Roman"/>
                      <w:bCs/>
                      <w:color w:val="auto"/>
                      <w:sz w:val="21"/>
                      <w:szCs w:val="21"/>
                    </w:rPr>
                    <w:t>32.50</w:t>
                  </w:r>
                </w:p>
              </w:tc>
              <w:tc>
                <w:tcPr>
                  <w:tcW w:w="596" w:type="pct"/>
                  <w:shd w:val="clear" w:color="auto" w:fill="auto"/>
                  <w:vAlign w:val="center"/>
                </w:tcPr>
                <w:p w14:paraId="466C9572">
                  <w:pPr>
                    <w:pStyle w:val="40"/>
                    <w:spacing w:line="276" w:lineRule="auto"/>
                    <w:jc w:val="center"/>
                    <w:rPr>
                      <w:rFonts w:cs="Times New Roman"/>
                      <w:bCs/>
                      <w:color w:val="auto"/>
                      <w:sz w:val="21"/>
                      <w:szCs w:val="21"/>
                    </w:rPr>
                  </w:pPr>
                  <w:r>
                    <w:rPr>
                      <w:rFonts w:cs="Times New Roman"/>
                      <w:bCs/>
                      <w:color w:val="auto"/>
                      <w:sz w:val="21"/>
                      <w:szCs w:val="21"/>
                    </w:rPr>
                    <w:t>达标</w:t>
                  </w:r>
                </w:p>
              </w:tc>
            </w:tr>
            <w:tr w14:paraId="6FCB3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614" w:type="pct"/>
                  <w:shd w:val="clear" w:color="auto" w:fill="auto"/>
                  <w:vAlign w:val="center"/>
                </w:tcPr>
                <w:p w14:paraId="3B483D95">
                  <w:pPr>
                    <w:pStyle w:val="40"/>
                    <w:spacing w:line="276" w:lineRule="auto"/>
                    <w:jc w:val="center"/>
                    <w:rPr>
                      <w:rFonts w:cs="Times New Roman"/>
                      <w:b/>
                      <w:color w:val="auto"/>
                      <w:sz w:val="21"/>
                      <w:szCs w:val="21"/>
                    </w:rPr>
                  </w:pPr>
                  <w:r>
                    <w:rPr>
                      <w:rFonts w:cs="Times New Roman"/>
                      <w:color w:val="auto"/>
                      <w:sz w:val="21"/>
                      <w:szCs w:val="21"/>
                    </w:rPr>
                    <w:t>O</w:t>
                  </w:r>
                  <w:r>
                    <w:rPr>
                      <w:rFonts w:cs="Times New Roman"/>
                      <w:color w:val="auto"/>
                      <w:sz w:val="21"/>
                      <w:szCs w:val="21"/>
                      <w:vertAlign w:val="subscript"/>
                    </w:rPr>
                    <w:t>3</w:t>
                  </w:r>
                </w:p>
              </w:tc>
              <w:tc>
                <w:tcPr>
                  <w:tcW w:w="1608" w:type="pct"/>
                  <w:shd w:val="clear" w:color="auto" w:fill="auto"/>
                  <w:vAlign w:val="center"/>
                </w:tcPr>
                <w:p w14:paraId="4F3D8567">
                  <w:pPr>
                    <w:pStyle w:val="40"/>
                    <w:spacing w:line="276" w:lineRule="auto"/>
                    <w:jc w:val="center"/>
                    <w:rPr>
                      <w:rFonts w:cs="Times New Roman"/>
                      <w:bCs/>
                      <w:color w:val="auto"/>
                      <w:sz w:val="21"/>
                      <w:szCs w:val="21"/>
                    </w:rPr>
                  </w:pPr>
                  <w:r>
                    <w:rPr>
                      <w:rFonts w:hint="eastAsia" w:cs="Times New Roman"/>
                      <w:color w:val="auto"/>
                      <w:sz w:val="21"/>
                      <w:szCs w:val="21"/>
                    </w:rPr>
                    <w:t>日最大8h均值的</w:t>
                  </w:r>
                  <w:r>
                    <w:rPr>
                      <w:rFonts w:cs="Times New Roman"/>
                      <w:color w:val="auto"/>
                      <w:sz w:val="21"/>
                      <w:szCs w:val="21"/>
                    </w:rPr>
                    <w:t>第90</w:t>
                  </w:r>
                  <w:r>
                    <w:rPr>
                      <w:rFonts w:cs="Times New Roman"/>
                      <w:bCs/>
                      <w:color w:val="auto"/>
                      <w:sz w:val="21"/>
                      <w:szCs w:val="21"/>
                    </w:rPr>
                    <w:t>百分位</w:t>
                  </w:r>
                  <w:r>
                    <w:rPr>
                      <w:rFonts w:hint="eastAsia" w:cs="Times New Roman"/>
                      <w:bCs/>
                      <w:color w:val="auto"/>
                      <w:sz w:val="21"/>
                      <w:szCs w:val="21"/>
                    </w:rPr>
                    <w:t>数</w:t>
                  </w:r>
                </w:p>
              </w:tc>
              <w:tc>
                <w:tcPr>
                  <w:tcW w:w="759" w:type="pct"/>
                  <w:shd w:val="clear" w:color="auto" w:fill="auto"/>
                  <w:vAlign w:val="center"/>
                </w:tcPr>
                <w:p w14:paraId="6170F838">
                  <w:pPr>
                    <w:pStyle w:val="40"/>
                    <w:spacing w:line="276" w:lineRule="auto"/>
                    <w:jc w:val="center"/>
                    <w:rPr>
                      <w:rFonts w:cs="Times New Roman"/>
                      <w:bCs/>
                      <w:color w:val="auto"/>
                      <w:sz w:val="21"/>
                      <w:szCs w:val="21"/>
                    </w:rPr>
                  </w:pPr>
                  <w:r>
                    <w:rPr>
                      <w:rFonts w:hint="eastAsia" w:cs="Times New Roman"/>
                      <w:bCs/>
                      <w:color w:val="auto"/>
                      <w:sz w:val="21"/>
                      <w:szCs w:val="21"/>
                    </w:rPr>
                    <w:t>163</w:t>
                  </w:r>
                </w:p>
              </w:tc>
              <w:tc>
                <w:tcPr>
                  <w:tcW w:w="779" w:type="pct"/>
                  <w:shd w:val="clear" w:color="auto" w:fill="auto"/>
                  <w:vAlign w:val="center"/>
                </w:tcPr>
                <w:p w14:paraId="3563A874">
                  <w:pPr>
                    <w:pStyle w:val="40"/>
                    <w:spacing w:line="276" w:lineRule="auto"/>
                    <w:jc w:val="center"/>
                    <w:rPr>
                      <w:rFonts w:cs="Times New Roman"/>
                      <w:bCs/>
                      <w:color w:val="auto"/>
                      <w:sz w:val="21"/>
                      <w:szCs w:val="21"/>
                    </w:rPr>
                  </w:pPr>
                  <w:r>
                    <w:rPr>
                      <w:rFonts w:cs="Times New Roman"/>
                      <w:color w:val="auto"/>
                      <w:sz w:val="21"/>
                      <w:szCs w:val="21"/>
                    </w:rPr>
                    <w:t>160</w:t>
                  </w:r>
                </w:p>
              </w:tc>
              <w:tc>
                <w:tcPr>
                  <w:tcW w:w="641" w:type="pct"/>
                  <w:shd w:val="clear" w:color="auto" w:fill="auto"/>
                  <w:vAlign w:val="center"/>
                </w:tcPr>
                <w:p w14:paraId="10EC1949">
                  <w:pPr>
                    <w:pStyle w:val="40"/>
                    <w:spacing w:line="276" w:lineRule="auto"/>
                    <w:jc w:val="center"/>
                    <w:rPr>
                      <w:rFonts w:cs="Times New Roman"/>
                      <w:bCs/>
                      <w:color w:val="auto"/>
                      <w:sz w:val="21"/>
                      <w:szCs w:val="21"/>
                    </w:rPr>
                  </w:pPr>
                  <w:r>
                    <w:rPr>
                      <w:rFonts w:hint="eastAsia" w:cs="Times New Roman"/>
                      <w:bCs/>
                      <w:color w:val="auto"/>
                      <w:sz w:val="21"/>
                      <w:szCs w:val="21"/>
                    </w:rPr>
                    <w:t>101.875</w:t>
                  </w:r>
                </w:p>
              </w:tc>
              <w:tc>
                <w:tcPr>
                  <w:tcW w:w="596" w:type="pct"/>
                  <w:shd w:val="clear" w:color="auto" w:fill="auto"/>
                  <w:vAlign w:val="center"/>
                </w:tcPr>
                <w:p w14:paraId="5D4C8037">
                  <w:pPr>
                    <w:pStyle w:val="40"/>
                    <w:spacing w:line="276" w:lineRule="auto"/>
                    <w:jc w:val="center"/>
                    <w:rPr>
                      <w:rFonts w:cs="Times New Roman"/>
                      <w:bCs/>
                      <w:color w:val="auto"/>
                      <w:sz w:val="21"/>
                      <w:szCs w:val="21"/>
                    </w:rPr>
                  </w:pPr>
                  <w:r>
                    <w:rPr>
                      <w:rFonts w:hint="eastAsia" w:cs="Times New Roman"/>
                      <w:bCs/>
                      <w:color w:val="auto"/>
                      <w:sz w:val="21"/>
                      <w:szCs w:val="21"/>
                    </w:rPr>
                    <w:t>不</w:t>
                  </w:r>
                  <w:r>
                    <w:rPr>
                      <w:rFonts w:cs="Times New Roman"/>
                      <w:bCs/>
                      <w:color w:val="auto"/>
                      <w:sz w:val="21"/>
                      <w:szCs w:val="21"/>
                    </w:rPr>
                    <w:t>达标</w:t>
                  </w:r>
                </w:p>
              </w:tc>
            </w:tr>
          </w:tbl>
          <w:p w14:paraId="333AD623">
            <w:pPr>
              <w:adjustRightInd w:val="0"/>
              <w:snapToGrid w:val="0"/>
              <w:spacing w:before="156" w:beforeLines="50" w:line="360" w:lineRule="auto"/>
              <w:ind w:firstLine="480" w:firstLineChars="200"/>
            </w:pPr>
            <w:r>
              <w:rPr>
                <w:kern w:val="0"/>
              </w:rPr>
              <w:t>由上表</w:t>
            </w:r>
            <w:r>
              <w:rPr>
                <w:rFonts w:hint="eastAsia"/>
                <w:kern w:val="0"/>
              </w:rPr>
              <w:t>可知</w:t>
            </w:r>
            <w:r>
              <w:rPr>
                <w:kern w:val="0"/>
              </w:rPr>
              <w:t>，</w:t>
            </w:r>
            <w:r>
              <w:rPr>
                <w:rFonts w:hint="eastAsia"/>
                <w:kern w:val="0"/>
              </w:rPr>
              <w:t>本项目所在区域SO</w:t>
            </w:r>
            <w:r>
              <w:rPr>
                <w:rFonts w:hint="eastAsia"/>
                <w:kern w:val="0"/>
                <w:vertAlign w:val="subscript"/>
              </w:rPr>
              <w:t>2</w:t>
            </w:r>
            <w:r>
              <w:rPr>
                <w:rFonts w:hint="eastAsia"/>
                <w:kern w:val="0"/>
              </w:rPr>
              <w:t>、NO</w:t>
            </w:r>
            <w:r>
              <w:rPr>
                <w:rFonts w:hint="eastAsia"/>
                <w:kern w:val="0"/>
                <w:vertAlign w:val="subscript"/>
              </w:rPr>
              <w:t>2</w:t>
            </w:r>
            <w:r>
              <w:rPr>
                <w:rFonts w:hint="eastAsia"/>
                <w:kern w:val="0"/>
              </w:rPr>
              <w:t>年平均质量浓度、CO日均值的第95百分位数均满足</w:t>
            </w:r>
            <w:r>
              <w:rPr>
                <w:bCs/>
              </w:rPr>
              <w:t>《环境空气质量标准》（GB</w:t>
            </w:r>
            <w:r>
              <w:rPr>
                <w:rFonts w:hint="eastAsia"/>
                <w:bCs/>
              </w:rPr>
              <w:t xml:space="preserve"> </w:t>
            </w:r>
            <w:r>
              <w:rPr>
                <w:bCs/>
              </w:rPr>
              <w:t>3095-2012）二级标准</w:t>
            </w:r>
            <w:r>
              <w:rPr>
                <w:rFonts w:hint="eastAsia"/>
                <w:bCs/>
              </w:rPr>
              <w:t>要求，PM</w:t>
            </w:r>
            <w:r>
              <w:rPr>
                <w:rFonts w:hint="eastAsia"/>
                <w:bCs/>
                <w:vertAlign w:val="subscript"/>
              </w:rPr>
              <w:t>10</w:t>
            </w:r>
            <w:r>
              <w:rPr>
                <w:rFonts w:hint="eastAsia"/>
                <w:bCs/>
              </w:rPr>
              <w:t>、</w:t>
            </w:r>
            <w:r>
              <w:rPr>
                <w:kern w:val="0"/>
              </w:rPr>
              <w:t>PM</w:t>
            </w:r>
            <w:r>
              <w:rPr>
                <w:kern w:val="0"/>
                <w:vertAlign w:val="subscript"/>
              </w:rPr>
              <w:t>2.5</w:t>
            </w:r>
            <w:r>
              <w:rPr>
                <w:rFonts w:hint="eastAsia"/>
                <w:kern w:val="0"/>
              </w:rPr>
              <w:t>年平均质量浓度、O</w:t>
            </w:r>
            <w:r>
              <w:rPr>
                <w:rFonts w:hint="eastAsia"/>
                <w:kern w:val="0"/>
                <w:vertAlign w:val="subscript"/>
              </w:rPr>
              <w:t>3</w:t>
            </w:r>
            <w:r>
              <w:rPr>
                <w:rFonts w:hint="eastAsia"/>
                <w:kern w:val="0"/>
              </w:rPr>
              <w:t>日最大8h均值的第90百分位数均不满足《</w:t>
            </w:r>
            <w:r>
              <w:rPr>
                <w:bCs/>
              </w:rPr>
              <w:t>环境空气质量标准》（GB</w:t>
            </w:r>
            <w:r>
              <w:rPr>
                <w:rFonts w:hint="eastAsia"/>
                <w:bCs/>
              </w:rPr>
              <w:t xml:space="preserve"> </w:t>
            </w:r>
            <w:r>
              <w:rPr>
                <w:bCs/>
              </w:rPr>
              <w:t>3095-2012）二级标准</w:t>
            </w:r>
            <w:r>
              <w:rPr>
                <w:rFonts w:hint="eastAsia"/>
                <w:bCs/>
              </w:rPr>
              <w:t>要求</w:t>
            </w:r>
            <w:r>
              <w:rPr>
                <w:bCs/>
              </w:rPr>
              <w:t>，因此</w:t>
            </w:r>
            <w:r>
              <w:rPr>
                <w:rFonts w:hint="eastAsia"/>
                <w:bCs/>
              </w:rPr>
              <w:t>，项目所在评价区域为</w:t>
            </w:r>
            <w:r>
              <w:rPr>
                <w:kern w:val="0"/>
              </w:rPr>
              <w:t>环境空气质量不达标区。</w:t>
            </w:r>
          </w:p>
          <w:p w14:paraId="2163E492">
            <w:pPr>
              <w:adjustRightInd w:val="0"/>
              <w:snapToGrid w:val="0"/>
              <w:spacing w:line="360" w:lineRule="auto"/>
              <w:ind w:firstLine="480"/>
            </w:pPr>
            <w:r>
              <w:t>（2）</w:t>
            </w:r>
            <w:r>
              <w:rPr>
                <w:kern w:val="0"/>
                <w:lang w:bidi="ar"/>
              </w:rPr>
              <w:t>特征污染物</w:t>
            </w:r>
          </w:p>
          <w:p w14:paraId="3960E4E9">
            <w:pPr>
              <w:adjustRightInd w:val="0"/>
              <w:snapToGrid w:val="0"/>
              <w:spacing w:line="360" w:lineRule="auto"/>
              <w:ind w:firstLine="480"/>
            </w:pPr>
            <w:r>
              <w:t>本项目运营期排放的大气特征污染物为非甲烷总烃</w:t>
            </w:r>
            <w:r>
              <w:rPr>
                <w:rFonts w:hint="eastAsia"/>
              </w:rPr>
              <w:t>、硫酸雾、氯化氢、氮氧化物和总悬浮颗粒物（TSP）。</w:t>
            </w:r>
            <w:r>
              <w:rPr>
                <w:rFonts w:hint="eastAsia"/>
                <w:color w:val="000000" w:themeColor="text1"/>
                <w14:textFill>
                  <w14:solidFill>
                    <w14:schemeClr w14:val="tx1"/>
                  </w14:solidFill>
                </w14:textFill>
              </w:rPr>
              <w:t>根据中国气象报社《西安气候特征》中表2“西安各时段平均风速、主导风向和静风频率”：5月1日~7月20日，西安主导风向为东北风，平均风速为1.4~2.1m/s，故监测方案中按下风向</w:t>
            </w:r>
            <w:r>
              <w:rPr>
                <w:rFonts w:hint="eastAsia"/>
                <w:color w:val="FF0000"/>
              </w:rPr>
              <w:t>西</w:t>
            </w:r>
            <w:r>
              <w:rPr>
                <w:rFonts w:hint="eastAsia"/>
                <w:color w:val="FF0000"/>
                <w:lang w:val="en-US" w:eastAsia="zh-CN"/>
              </w:rPr>
              <w:t>南</w:t>
            </w:r>
            <w:r>
              <w:rPr>
                <w:rFonts w:hint="eastAsia"/>
                <w:color w:val="FF0000"/>
              </w:rPr>
              <w:t>侧</w:t>
            </w:r>
            <w:r>
              <w:rPr>
                <w:rFonts w:hint="eastAsia"/>
                <w:color w:val="000000" w:themeColor="text1"/>
                <w14:textFill>
                  <w14:solidFill>
                    <w14:schemeClr w14:val="tx1"/>
                  </w14:solidFill>
                </w14:textFill>
              </w:rPr>
              <w:t>进行监测。根据国检测试控股集团陕西京诚检测有限公司对项目地及下风向特征污染物的监测，监测期间有三天风向为东北风，与主导风向一</w:t>
            </w:r>
            <w:r>
              <w:rPr>
                <w:rFonts w:hint="eastAsia"/>
                <w:color w:val="auto"/>
              </w:rPr>
              <w:t>致。</w:t>
            </w:r>
            <w:r>
              <w:rPr>
                <w:rFonts w:hint="eastAsia"/>
              </w:rPr>
              <w:t>监测报告见附件8（报告编号：XAH240109009051101），</w:t>
            </w:r>
            <w:r>
              <w:rPr>
                <w:rFonts w:hint="eastAsia"/>
                <w:kern w:val="0"/>
              </w:rPr>
              <w:t>监测点位见附图5，</w:t>
            </w:r>
            <w:r>
              <w:rPr>
                <w:rFonts w:hint="eastAsia"/>
              </w:rPr>
              <w:t>具体如下。</w:t>
            </w:r>
          </w:p>
          <w:p w14:paraId="0B6D5280">
            <w:pPr>
              <w:adjustRightInd w:val="0"/>
              <w:snapToGrid w:val="0"/>
              <w:spacing w:line="360" w:lineRule="auto"/>
              <w:ind w:firstLine="480" w:firstLineChars="200"/>
            </w:pPr>
            <w:r>
              <w:t>①</w:t>
            </w:r>
            <w:r>
              <w:rPr>
                <w:rFonts w:hint="eastAsia"/>
              </w:rPr>
              <w:t>监测项目</w:t>
            </w:r>
          </w:p>
          <w:p w14:paraId="058046A5">
            <w:pPr>
              <w:adjustRightInd w:val="0"/>
              <w:snapToGrid w:val="0"/>
              <w:spacing w:line="360" w:lineRule="auto"/>
              <w:ind w:firstLine="480" w:firstLineChars="200"/>
            </w:pPr>
            <w:r>
              <w:t>非甲烷总烃</w:t>
            </w:r>
            <w:r>
              <w:rPr>
                <w:rFonts w:hint="eastAsia"/>
              </w:rPr>
              <w:t>、</w:t>
            </w:r>
            <w:r>
              <w:t>硫酸雾、氯化氢</w:t>
            </w:r>
            <w:r>
              <w:rPr>
                <w:rFonts w:hint="eastAsia"/>
              </w:rPr>
              <w:t>、</w:t>
            </w:r>
            <w:r>
              <w:t>氮氧化物</w:t>
            </w:r>
            <w:r>
              <w:rPr>
                <w:rFonts w:hint="eastAsia"/>
              </w:rPr>
              <w:t>、总悬浮颗粒物（TSP）。</w:t>
            </w:r>
          </w:p>
          <w:p w14:paraId="7666D075">
            <w:pPr>
              <w:adjustRightInd w:val="0"/>
              <w:snapToGrid w:val="0"/>
              <w:spacing w:line="360" w:lineRule="auto"/>
              <w:ind w:firstLine="480" w:firstLineChars="200"/>
            </w:pPr>
            <w:r>
              <w:t>②监测点位</w:t>
            </w:r>
          </w:p>
          <w:p w14:paraId="1166EC07">
            <w:pPr>
              <w:adjustRightInd w:val="0"/>
              <w:snapToGrid w:val="0"/>
              <w:spacing w:line="360" w:lineRule="auto"/>
              <w:ind w:firstLine="480" w:firstLineChars="200"/>
            </w:pPr>
            <w:r>
              <w:rPr>
                <w:rFonts w:hint="eastAsia"/>
              </w:rPr>
              <w:t>项目地国检测试控股集团陕西有限公司院内</w:t>
            </w:r>
            <w:r>
              <w:t>设1个监测点（1#），</w:t>
            </w:r>
            <w:r>
              <w:rPr>
                <w:rFonts w:hint="eastAsia"/>
              </w:rPr>
              <w:t>沣华熙城小区西南侧（项目所在地下风向440m处）</w:t>
            </w:r>
            <w:r>
              <w:t>设1个监测点（2#），项目共设2个大气监测点位。</w:t>
            </w:r>
          </w:p>
          <w:p w14:paraId="557F373E">
            <w:pPr>
              <w:adjustRightInd w:val="0"/>
              <w:snapToGrid w:val="0"/>
              <w:spacing w:line="360" w:lineRule="auto"/>
              <w:ind w:firstLine="480" w:firstLineChars="200"/>
            </w:pPr>
            <w:r>
              <w:t>③监测时间及频次</w:t>
            </w:r>
          </w:p>
          <w:p w14:paraId="100A8878">
            <w:pPr>
              <w:adjustRightInd w:val="0"/>
              <w:snapToGrid w:val="0"/>
              <w:spacing w:line="360" w:lineRule="auto"/>
              <w:ind w:firstLine="480" w:firstLineChars="200"/>
            </w:pPr>
            <w:r>
              <w:rPr>
                <w:rFonts w:hint="eastAsia"/>
              </w:rPr>
              <w:t>非甲烷总烃、氯化氢、硫酸雾、氮氧化物监测1小时均值，</w:t>
            </w:r>
            <w:r>
              <w:t>4</w:t>
            </w:r>
            <w:r>
              <w:rPr>
                <w:rFonts w:hint="eastAsia"/>
              </w:rPr>
              <w:t>次/天，连续监测</w:t>
            </w:r>
            <w:r>
              <w:t>3</w:t>
            </w:r>
            <w:r>
              <w:rPr>
                <w:rFonts w:hint="eastAsia"/>
              </w:rPr>
              <w:t>天；氮氧化物、总悬浮颗粒物监测24小时平均浓度，</w:t>
            </w:r>
            <w:r>
              <w:t>1</w:t>
            </w:r>
            <w:r>
              <w:rPr>
                <w:rFonts w:hint="eastAsia"/>
              </w:rPr>
              <w:t>次/天，连续监测</w:t>
            </w:r>
            <w:r>
              <w:t>3</w:t>
            </w:r>
            <w:r>
              <w:rPr>
                <w:rFonts w:hint="eastAsia"/>
              </w:rPr>
              <w:t>天。</w:t>
            </w:r>
          </w:p>
          <w:p w14:paraId="18FDAA27">
            <w:pPr>
              <w:adjustRightInd w:val="0"/>
              <w:snapToGrid w:val="0"/>
              <w:spacing w:line="360" w:lineRule="auto"/>
              <w:ind w:firstLine="480" w:firstLineChars="200"/>
            </w:pPr>
            <w:r>
              <w:t>④</w:t>
            </w:r>
            <w:r>
              <w:rPr>
                <w:rFonts w:hint="eastAsia"/>
              </w:rPr>
              <w:t>评价标准</w:t>
            </w:r>
          </w:p>
          <w:p w14:paraId="6CA1073B">
            <w:pPr>
              <w:adjustRightInd w:val="0"/>
              <w:snapToGrid w:val="0"/>
              <w:spacing w:line="360" w:lineRule="auto"/>
              <w:ind w:firstLine="480" w:firstLineChars="200"/>
            </w:pPr>
            <w:r>
              <w:rPr>
                <w:rFonts w:hint="eastAsia"/>
              </w:rPr>
              <w:t>非甲烷总烃执行《大气污染物综合排放标准》（GB 16297-1996）详解中标准限值（1h平均：2mg/m</w:t>
            </w:r>
            <w:r>
              <w:rPr>
                <w:rFonts w:hint="eastAsia"/>
                <w:vertAlign w:val="superscript"/>
              </w:rPr>
              <w:t>3</w:t>
            </w:r>
            <w:r>
              <w:rPr>
                <w:rFonts w:hint="eastAsia"/>
              </w:rPr>
              <w:t>）；硫酸雾执行《环境影响评价技术导则  大气环境》（HJ 2.2-2018）附录D中标准限值（1h平均：300</w:t>
            </w:r>
            <w:r>
              <w:t>μ</w:t>
            </w:r>
            <w:r>
              <w:rPr>
                <w:rFonts w:hint="eastAsia"/>
              </w:rPr>
              <w:t>g/m</w:t>
            </w:r>
            <w:r>
              <w:rPr>
                <w:rFonts w:hint="eastAsia"/>
                <w:vertAlign w:val="superscript"/>
              </w:rPr>
              <w:t>3</w:t>
            </w:r>
            <w:r>
              <w:rPr>
                <w:rFonts w:hint="eastAsia"/>
              </w:rPr>
              <w:t>）；氯化氢执行《环境影响评价技术导则  大气环境》（HJ 2.2-2018）附录D中标准限值（1h平均：50</w:t>
            </w:r>
            <w:r>
              <w:t>μ</w:t>
            </w:r>
            <w:r>
              <w:rPr>
                <w:rFonts w:hint="eastAsia"/>
              </w:rPr>
              <w:t>g/m</w:t>
            </w:r>
            <w:r>
              <w:rPr>
                <w:rFonts w:hint="eastAsia"/>
                <w:vertAlign w:val="superscript"/>
              </w:rPr>
              <w:t>3</w:t>
            </w:r>
            <w:r>
              <w:rPr>
                <w:rFonts w:hint="eastAsia"/>
              </w:rPr>
              <w:t>）；</w:t>
            </w:r>
            <w:r>
              <w:t>氮氧化物（NO</w:t>
            </w:r>
            <w:r>
              <w:rPr>
                <w:vertAlign w:val="subscript"/>
              </w:rPr>
              <w:t>X</w:t>
            </w:r>
            <w:r>
              <w:t>）</w:t>
            </w:r>
            <w:r>
              <w:rPr>
                <w:rFonts w:hint="eastAsia"/>
              </w:rPr>
              <w:t>执行《环境空气质量标准》（GB 3095-2012）二级标准限值（1h平均：250</w:t>
            </w:r>
            <w:r>
              <w:t>μ</w:t>
            </w:r>
            <w:r>
              <w:rPr>
                <w:rFonts w:hint="eastAsia"/>
              </w:rPr>
              <w:t>g/m</w:t>
            </w:r>
            <w:r>
              <w:rPr>
                <w:rFonts w:hint="eastAsia"/>
                <w:vertAlign w:val="superscript"/>
              </w:rPr>
              <w:t>3</w:t>
            </w:r>
            <w:r>
              <w:rPr>
                <w:rFonts w:hint="eastAsia"/>
              </w:rPr>
              <w:t>，24小时平均：100</w:t>
            </w:r>
            <w:r>
              <w:t>μ</w:t>
            </w:r>
            <w:r>
              <w:rPr>
                <w:rFonts w:hint="eastAsia"/>
              </w:rPr>
              <w:t>g/m</w:t>
            </w:r>
            <w:r>
              <w:rPr>
                <w:rFonts w:hint="eastAsia"/>
                <w:vertAlign w:val="superscript"/>
              </w:rPr>
              <w:t>3</w:t>
            </w:r>
            <w:r>
              <w:rPr>
                <w:rFonts w:hint="eastAsia"/>
              </w:rPr>
              <w:t>），总悬浮颗粒物（TSP）执行《环境空气质量标准》（GB 3095-2012）二级标准限值（24小时平均：300</w:t>
            </w:r>
            <w:r>
              <w:t>μ</w:t>
            </w:r>
            <w:r>
              <w:rPr>
                <w:rFonts w:hint="eastAsia"/>
              </w:rPr>
              <w:t>g/m</w:t>
            </w:r>
            <w:r>
              <w:rPr>
                <w:rFonts w:hint="eastAsia"/>
                <w:vertAlign w:val="superscript"/>
              </w:rPr>
              <w:t>3</w:t>
            </w:r>
            <w:r>
              <w:rPr>
                <w:rFonts w:hint="eastAsia"/>
              </w:rPr>
              <w:t>）。</w:t>
            </w:r>
          </w:p>
          <w:p w14:paraId="02ACE96F">
            <w:pPr>
              <w:adjustRightInd w:val="0"/>
              <w:snapToGrid w:val="0"/>
              <w:spacing w:line="360" w:lineRule="auto"/>
              <w:ind w:firstLine="480" w:firstLineChars="200"/>
            </w:pPr>
            <w:r>
              <w:rPr>
                <w:rFonts w:hint="eastAsia" w:ascii="宋体" w:hAnsi="宋体" w:cs="宋体"/>
              </w:rPr>
              <w:t>⑤</w:t>
            </w:r>
            <w:r>
              <w:rPr>
                <w:rFonts w:hint="eastAsia"/>
              </w:rPr>
              <w:t>监测结果</w:t>
            </w:r>
          </w:p>
          <w:p w14:paraId="6ECD405E">
            <w:pPr>
              <w:adjustRightInd w:val="0"/>
              <w:snapToGrid w:val="0"/>
              <w:spacing w:line="360" w:lineRule="auto"/>
              <w:ind w:firstLine="480" w:firstLineChars="200"/>
            </w:pPr>
            <w:r>
              <w:t>监测点情况见表3-2，监测结果见表3-3。</w:t>
            </w:r>
          </w:p>
          <w:p w14:paraId="69E4A5CC">
            <w:pPr>
              <w:adjustRightInd w:val="0"/>
              <w:snapToGrid w:val="0"/>
              <w:jc w:val="center"/>
            </w:pPr>
            <w:r>
              <w:rPr>
                <w:b/>
                <w:sz w:val="21"/>
                <w:szCs w:val="21"/>
                <w:lang w:val="zh-CN"/>
              </w:rPr>
              <w:t xml:space="preserve">表3-2  </w:t>
            </w:r>
            <w:r>
              <w:rPr>
                <w:rFonts w:hint="eastAsia"/>
                <w:b/>
                <w:sz w:val="21"/>
                <w:szCs w:val="21"/>
              </w:rPr>
              <w:t>特征</w:t>
            </w:r>
            <w:r>
              <w:rPr>
                <w:b/>
                <w:sz w:val="21"/>
                <w:szCs w:val="21"/>
                <w:lang w:val="zh-CN"/>
              </w:rPr>
              <w:t>污染物补充监测点位基本信息</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2"/>
              <w:gridCol w:w="1704"/>
              <w:gridCol w:w="2654"/>
              <w:gridCol w:w="1318"/>
              <w:gridCol w:w="1318"/>
            </w:tblGrid>
            <w:tr w14:paraId="5C73FF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shd w:val="clear" w:color="auto" w:fill="auto"/>
                  <w:vAlign w:val="center"/>
                </w:tcPr>
                <w:p w14:paraId="3EC7D205">
                  <w:pPr>
                    <w:pStyle w:val="40"/>
                    <w:jc w:val="center"/>
                    <w:rPr>
                      <w:rFonts w:cs="Times New Roman"/>
                      <w:b/>
                      <w:color w:val="auto"/>
                      <w:sz w:val="21"/>
                      <w:szCs w:val="21"/>
                    </w:rPr>
                  </w:pPr>
                  <w:r>
                    <w:rPr>
                      <w:rFonts w:cs="Times New Roman"/>
                      <w:b/>
                      <w:color w:val="auto"/>
                      <w:sz w:val="21"/>
                      <w:szCs w:val="21"/>
                    </w:rPr>
                    <w:t>监测点名称</w:t>
                  </w:r>
                </w:p>
              </w:tc>
              <w:tc>
                <w:tcPr>
                  <w:tcW w:w="1052" w:type="pct"/>
                  <w:shd w:val="clear" w:color="auto" w:fill="auto"/>
                  <w:vAlign w:val="center"/>
                </w:tcPr>
                <w:p w14:paraId="7F1C7B8A">
                  <w:pPr>
                    <w:pStyle w:val="40"/>
                    <w:jc w:val="center"/>
                    <w:rPr>
                      <w:rFonts w:cs="Times New Roman"/>
                      <w:b/>
                      <w:color w:val="auto"/>
                      <w:sz w:val="21"/>
                      <w:szCs w:val="21"/>
                    </w:rPr>
                  </w:pPr>
                  <w:r>
                    <w:rPr>
                      <w:rFonts w:cs="Times New Roman"/>
                      <w:b/>
                      <w:color w:val="auto"/>
                      <w:sz w:val="21"/>
                      <w:szCs w:val="21"/>
                    </w:rPr>
                    <w:t>监测因子</w:t>
                  </w:r>
                </w:p>
              </w:tc>
              <w:tc>
                <w:tcPr>
                  <w:tcW w:w="1639" w:type="pct"/>
                  <w:shd w:val="clear" w:color="auto" w:fill="auto"/>
                  <w:vAlign w:val="center"/>
                </w:tcPr>
                <w:p w14:paraId="7713E4E8">
                  <w:pPr>
                    <w:pStyle w:val="40"/>
                    <w:jc w:val="center"/>
                    <w:rPr>
                      <w:rFonts w:cs="Times New Roman"/>
                      <w:b/>
                      <w:color w:val="auto"/>
                      <w:sz w:val="21"/>
                      <w:szCs w:val="21"/>
                    </w:rPr>
                  </w:pPr>
                  <w:r>
                    <w:rPr>
                      <w:rFonts w:cs="Times New Roman"/>
                      <w:b/>
                      <w:color w:val="auto"/>
                      <w:sz w:val="21"/>
                      <w:szCs w:val="21"/>
                    </w:rPr>
                    <w:t>监测时段</w:t>
                  </w:r>
                </w:p>
              </w:tc>
              <w:tc>
                <w:tcPr>
                  <w:tcW w:w="814" w:type="pct"/>
                  <w:shd w:val="clear" w:color="auto" w:fill="auto"/>
                  <w:vAlign w:val="center"/>
                </w:tcPr>
                <w:p w14:paraId="22091830">
                  <w:pPr>
                    <w:pStyle w:val="40"/>
                    <w:jc w:val="center"/>
                    <w:rPr>
                      <w:rFonts w:cs="Times New Roman"/>
                      <w:b/>
                      <w:color w:val="auto"/>
                      <w:sz w:val="21"/>
                      <w:szCs w:val="21"/>
                    </w:rPr>
                  </w:pPr>
                  <w:r>
                    <w:rPr>
                      <w:rFonts w:cs="Times New Roman"/>
                      <w:b/>
                      <w:color w:val="auto"/>
                      <w:sz w:val="21"/>
                      <w:szCs w:val="21"/>
                    </w:rPr>
                    <w:t>相对厂址</w:t>
                  </w:r>
                </w:p>
                <w:p w14:paraId="3E3F477F">
                  <w:pPr>
                    <w:pStyle w:val="40"/>
                    <w:jc w:val="center"/>
                    <w:rPr>
                      <w:rFonts w:cs="Times New Roman"/>
                      <w:b/>
                      <w:color w:val="auto"/>
                      <w:sz w:val="21"/>
                      <w:szCs w:val="21"/>
                    </w:rPr>
                  </w:pPr>
                  <w:r>
                    <w:rPr>
                      <w:rFonts w:cs="Times New Roman"/>
                      <w:b/>
                      <w:color w:val="auto"/>
                      <w:sz w:val="21"/>
                      <w:szCs w:val="21"/>
                    </w:rPr>
                    <w:t>方位</w:t>
                  </w:r>
                </w:p>
              </w:tc>
              <w:tc>
                <w:tcPr>
                  <w:tcW w:w="814" w:type="pct"/>
                  <w:shd w:val="clear" w:color="auto" w:fill="auto"/>
                  <w:vAlign w:val="center"/>
                </w:tcPr>
                <w:p w14:paraId="5FE52B24">
                  <w:pPr>
                    <w:pStyle w:val="40"/>
                    <w:jc w:val="center"/>
                    <w:rPr>
                      <w:rFonts w:cs="Times New Roman"/>
                      <w:b/>
                      <w:color w:val="auto"/>
                      <w:sz w:val="21"/>
                      <w:szCs w:val="21"/>
                    </w:rPr>
                  </w:pPr>
                  <w:r>
                    <w:rPr>
                      <w:rFonts w:cs="Times New Roman"/>
                      <w:b/>
                      <w:color w:val="auto"/>
                      <w:sz w:val="21"/>
                      <w:szCs w:val="21"/>
                    </w:rPr>
                    <w:t>相对厂界</w:t>
                  </w:r>
                </w:p>
                <w:p w14:paraId="4A24CBE7">
                  <w:pPr>
                    <w:pStyle w:val="40"/>
                    <w:jc w:val="center"/>
                    <w:rPr>
                      <w:rFonts w:cs="Times New Roman"/>
                      <w:b/>
                      <w:color w:val="auto"/>
                      <w:sz w:val="21"/>
                      <w:szCs w:val="21"/>
                    </w:rPr>
                  </w:pPr>
                  <w:r>
                    <w:rPr>
                      <w:rFonts w:cs="Times New Roman"/>
                      <w:b/>
                      <w:color w:val="auto"/>
                      <w:sz w:val="21"/>
                      <w:szCs w:val="21"/>
                    </w:rPr>
                    <w:t>距离</w:t>
                  </w:r>
                </w:p>
              </w:tc>
            </w:tr>
            <w:tr w14:paraId="1001F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restart"/>
                  <w:shd w:val="clear" w:color="auto" w:fill="auto"/>
                  <w:vAlign w:val="center"/>
                </w:tcPr>
                <w:p w14:paraId="41F6A31F">
                  <w:pPr>
                    <w:pStyle w:val="40"/>
                    <w:jc w:val="center"/>
                    <w:rPr>
                      <w:rFonts w:cs="Times New Roman"/>
                      <w:bCs/>
                      <w:color w:val="auto"/>
                      <w:sz w:val="21"/>
                      <w:szCs w:val="21"/>
                    </w:rPr>
                  </w:pPr>
                  <w:r>
                    <w:rPr>
                      <w:rFonts w:cs="Times New Roman"/>
                      <w:bCs/>
                      <w:color w:val="auto"/>
                      <w:sz w:val="21"/>
                      <w:szCs w:val="21"/>
                    </w:rPr>
                    <w:t>1#国检测试控股集团陕西有限公司院内</w:t>
                  </w:r>
                </w:p>
              </w:tc>
              <w:tc>
                <w:tcPr>
                  <w:tcW w:w="1052" w:type="pct"/>
                  <w:shd w:val="clear" w:color="auto" w:fill="auto"/>
                  <w:vAlign w:val="center"/>
                </w:tcPr>
                <w:p w14:paraId="46A2D38F">
                  <w:pPr>
                    <w:pStyle w:val="40"/>
                    <w:jc w:val="center"/>
                    <w:rPr>
                      <w:rFonts w:cs="Times New Roman"/>
                      <w:bCs/>
                      <w:color w:val="auto"/>
                      <w:sz w:val="21"/>
                      <w:szCs w:val="21"/>
                    </w:rPr>
                  </w:pPr>
                  <w:r>
                    <w:rPr>
                      <w:rFonts w:cs="Times New Roman"/>
                      <w:bCs/>
                      <w:color w:val="auto"/>
                      <w:sz w:val="21"/>
                      <w:szCs w:val="21"/>
                    </w:rPr>
                    <w:t>非甲烷总烃</w:t>
                  </w:r>
                </w:p>
              </w:tc>
              <w:tc>
                <w:tcPr>
                  <w:tcW w:w="1639" w:type="pct"/>
                  <w:shd w:val="clear" w:color="auto" w:fill="auto"/>
                  <w:vAlign w:val="center"/>
                </w:tcPr>
                <w:p w14:paraId="64BB6B4A">
                  <w:pPr>
                    <w:pStyle w:val="40"/>
                    <w:jc w:val="center"/>
                    <w:rPr>
                      <w:rFonts w:cs="Times New Roman"/>
                      <w:bCs/>
                      <w:color w:val="auto"/>
                      <w:sz w:val="21"/>
                      <w:szCs w:val="21"/>
                    </w:rPr>
                  </w:pPr>
                  <w:r>
                    <w:rPr>
                      <w:rFonts w:cs="Times New Roman"/>
                      <w:bCs/>
                      <w:color w:val="auto"/>
                      <w:sz w:val="21"/>
                      <w:szCs w:val="21"/>
                    </w:rPr>
                    <w:t>2024.</w:t>
                  </w:r>
                  <w:r>
                    <w:rPr>
                      <w:rFonts w:hint="eastAsia" w:cs="Times New Roman"/>
                      <w:bCs/>
                      <w:color w:val="auto"/>
                      <w:sz w:val="21"/>
                      <w:szCs w:val="21"/>
                    </w:rPr>
                    <w:t>0</w:t>
                  </w:r>
                  <w:r>
                    <w:rPr>
                      <w:rFonts w:cs="Times New Roman"/>
                      <w:bCs/>
                      <w:color w:val="auto"/>
                      <w:sz w:val="21"/>
                      <w:szCs w:val="21"/>
                    </w:rPr>
                    <w:t>5.21-2024.</w:t>
                  </w:r>
                  <w:r>
                    <w:rPr>
                      <w:rFonts w:hint="eastAsia" w:cs="Times New Roman"/>
                      <w:bCs/>
                      <w:color w:val="auto"/>
                      <w:sz w:val="21"/>
                      <w:szCs w:val="21"/>
                    </w:rPr>
                    <w:t>0</w:t>
                  </w:r>
                  <w:r>
                    <w:rPr>
                      <w:rFonts w:cs="Times New Roman"/>
                      <w:bCs/>
                      <w:color w:val="auto"/>
                      <w:sz w:val="21"/>
                      <w:szCs w:val="21"/>
                    </w:rPr>
                    <w:t>5.23，</w:t>
                  </w:r>
                </w:p>
                <w:p w14:paraId="08AA8C7A">
                  <w:pPr>
                    <w:pStyle w:val="40"/>
                    <w:jc w:val="center"/>
                    <w:rPr>
                      <w:rFonts w:cs="Times New Roman"/>
                      <w:bCs/>
                      <w:color w:val="auto"/>
                      <w:sz w:val="21"/>
                      <w:szCs w:val="21"/>
                    </w:rPr>
                  </w:pPr>
                  <w:r>
                    <w:rPr>
                      <w:rFonts w:cs="Times New Roman"/>
                      <w:bCs/>
                      <w:color w:val="auto"/>
                      <w:sz w:val="21"/>
                      <w:szCs w:val="21"/>
                    </w:rPr>
                    <w:t>4次/d，</w:t>
                  </w:r>
                  <w:r>
                    <w:rPr>
                      <w:rFonts w:hint="eastAsia" w:cs="Times New Roman"/>
                      <w:bCs/>
                      <w:color w:val="auto"/>
                      <w:sz w:val="21"/>
                      <w:szCs w:val="21"/>
                    </w:rPr>
                    <w:t>连续</w:t>
                  </w:r>
                  <w:r>
                    <w:rPr>
                      <w:rFonts w:cs="Times New Roman"/>
                      <w:bCs/>
                      <w:color w:val="auto"/>
                      <w:sz w:val="21"/>
                      <w:szCs w:val="21"/>
                    </w:rPr>
                    <w:t>监测3d</w:t>
                  </w:r>
                </w:p>
              </w:tc>
              <w:tc>
                <w:tcPr>
                  <w:tcW w:w="814" w:type="pct"/>
                  <w:vMerge w:val="restart"/>
                  <w:shd w:val="clear" w:color="auto" w:fill="auto"/>
                  <w:vAlign w:val="center"/>
                </w:tcPr>
                <w:p w14:paraId="2AB404B2">
                  <w:pPr>
                    <w:pStyle w:val="40"/>
                    <w:jc w:val="center"/>
                    <w:rPr>
                      <w:rFonts w:cs="Times New Roman"/>
                      <w:bCs/>
                      <w:color w:val="auto"/>
                      <w:sz w:val="21"/>
                      <w:szCs w:val="21"/>
                    </w:rPr>
                  </w:pPr>
                  <w:r>
                    <w:rPr>
                      <w:rFonts w:cs="Times New Roman"/>
                      <w:bCs/>
                      <w:color w:val="auto"/>
                      <w:sz w:val="21"/>
                      <w:szCs w:val="21"/>
                    </w:rPr>
                    <w:t>项目地</w:t>
                  </w:r>
                </w:p>
              </w:tc>
              <w:tc>
                <w:tcPr>
                  <w:tcW w:w="814" w:type="pct"/>
                  <w:vMerge w:val="restart"/>
                  <w:shd w:val="clear" w:color="auto" w:fill="auto"/>
                  <w:vAlign w:val="center"/>
                </w:tcPr>
                <w:p w14:paraId="30E61FCB">
                  <w:pPr>
                    <w:pStyle w:val="40"/>
                    <w:jc w:val="center"/>
                    <w:rPr>
                      <w:rFonts w:cs="Times New Roman"/>
                      <w:color w:val="auto"/>
                      <w:sz w:val="21"/>
                      <w:szCs w:val="21"/>
                    </w:rPr>
                  </w:pPr>
                  <w:r>
                    <w:rPr>
                      <w:rFonts w:cs="Times New Roman"/>
                      <w:bCs/>
                      <w:color w:val="auto"/>
                      <w:sz w:val="21"/>
                      <w:szCs w:val="21"/>
                    </w:rPr>
                    <w:t>/</w:t>
                  </w:r>
                </w:p>
              </w:tc>
            </w:tr>
            <w:tr w14:paraId="10900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0AD43C93">
                  <w:pPr>
                    <w:pStyle w:val="40"/>
                    <w:jc w:val="center"/>
                    <w:rPr>
                      <w:rFonts w:cs="Times New Roman"/>
                      <w:bCs/>
                      <w:color w:val="auto"/>
                      <w:sz w:val="21"/>
                      <w:szCs w:val="21"/>
                    </w:rPr>
                  </w:pPr>
                </w:p>
              </w:tc>
              <w:tc>
                <w:tcPr>
                  <w:tcW w:w="1052" w:type="pct"/>
                  <w:shd w:val="clear" w:color="auto" w:fill="auto"/>
                  <w:vAlign w:val="center"/>
                </w:tcPr>
                <w:p w14:paraId="721349C3">
                  <w:pPr>
                    <w:pStyle w:val="40"/>
                    <w:jc w:val="center"/>
                    <w:rPr>
                      <w:rFonts w:cs="Times New Roman"/>
                      <w:bCs/>
                      <w:color w:val="auto"/>
                      <w:sz w:val="21"/>
                      <w:szCs w:val="21"/>
                    </w:rPr>
                  </w:pPr>
                  <w:r>
                    <w:rPr>
                      <w:rFonts w:hint="eastAsia" w:cs="Times New Roman"/>
                      <w:bCs/>
                      <w:color w:val="auto"/>
                      <w:sz w:val="21"/>
                      <w:szCs w:val="21"/>
                    </w:rPr>
                    <w:t>硫酸雾</w:t>
                  </w:r>
                </w:p>
              </w:tc>
              <w:tc>
                <w:tcPr>
                  <w:tcW w:w="1639" w:type="pct"/>
                  <w:shd w:val="clear" w:color="auto" w:fill="auto"/>
                  <w:vAlign w:val="center"/>
                </w:tcPr>
                <w:p w14:paraId="69D3C8BF">
                  <w:pPr>
                    <w:pStyle w:val="40"/>
                    <w:jc w:val="center"/>
                    <w:rPr>
                      <w:rFonts w:cs="Times New Roman"/>
                      <w:bCs/>
                      <w:color w:val="auto"/>
                      <w:sz w:val="21"/>
                      <w:szCs w:val="21"/>
                    </w:rPr>
                  </w:pPr>
                  <w:r>
                    <w:rPr>
                      <w:rFonts w:cs="Times New Roman"/>
                      <w:bCs/>
                      <w:color w:val="auto"/>
                      <w:sz w:val="21"/>
                      <w:szCs w:val="21"/>
                    </w:rPr>
                    <w:t>2024.05.21-2024.05.23，</w:t>
                  </w:r>
                </w:p>
                <w:p w14:paraId="4B30ACF6">
                  <w:pPr>
                    <w:pStyle w:val="40"/>
                    <w:jc w:val="center"/>
                    <w:rPr>
                      <w:rFonts w:cs="Times New Roman"/>
                      <w:bCs/>
                      <w:color w:val="auto"/>
                      <w:sz w:val="21"/>
                      <w:szCs w:val="21"/>
                    </w:rPr>
                  </w:pPr>
                  <w:r>
                    <w:rPr>
                      <w:rFonts w:cs="Times New Roman"/>
                      <w:bCs/>
                      <w:color w:val="auto"/>
                      <w:sz w:val="21"/>
                      <w:szCs w:val="21"/>
                    </w:rPr>
                    <w:t>4次/d，</w:t>
                  </w:r>
                  <w:r>
                    <w:rPr>
                      <w:rFonts w:hint="eastAsia" w:cs="Times New Roman"/>
                      <w:bCs/>
                      <w:color w:val="auto"/>
                      <w:sz w:val="21"/>
                      <w:szCs w:val="21"/>
                    </w:rPr>
                    <w:t>连续</w:t>
                  </w:r>
                  <w:r>
                    <w:rPr>
                      <w:rFonts w:cs="Times New Roman"/>
                      <w:bCs/>
                      <w:color w:val="auto"/>
                      <w:sz w:val="21"/>
                      <w:szCs w:val="21"/>
                    </w:rPr>
                    <w:t>监测3d</w:t>
                  </w:r>
                </w:p>
              </w:tc>
              <w:tc>
                <w:tcPr>
                  <w:tcW w:w="814" w:type="pct"/>
                  <w:vMerge w:val="continue"/>
                  <w:shd w:val="clear" w:color="auto" w:fill="auto"/>
                  <w:vAlign w:val="center"/>
                </w:tcPr>
                <w:p w14:paraId="2C1EC0CF">
                  <w:pPr>
                    <w:pStyle w:val="40"/>
                    <w:jc w:val="center"/>
                    <w:rPr>
                      <w:rFonts w:cs="Times New Roman"/>
                      <w:bCs/>
                      <w:color w:val="auto"/>
                      <w:sz w:val="21"/>
                      <w:szCs w:val="21"/>
                    </w:rPr>
                  </w:pPr>
                </w:p>
              </w:tc>
              <w:tc>
                <w:tcPr>
                  <w:tcW w:w="814" w:type="pct"/>
                  <w:vMerge w:val="continue"/>
                  <w:shd w:val="clear" w:color="auto" w:fill="auto"/>
                  <w:vAlign w:val="center"/>
                </w:tcPr>
                <w:p w14:paraId="6157EB15">
                  <w:pPr>
                    <w:pStyle w:val="40"/>
                    <w:jc w:val="center"/>
                    <w:rPr>
                      <w:rFonts w:cs="Times New Roman"/>
                      <w:bCs/>
                      <w:color w:val="auto"/>
                      <w:sz w:val="21"/>
                      <w:szCs w:val="21"/>
                    </w:rPr>
                  </w:pPr>
                </w:p>
              </w:tc>
            </w:tr>
            <w:tr w14:paraId="3D2BC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7461D874">
                  <w:pPr>
                    <w:pStyle w:val="40"/>
                    <w:jc w:val="center"/>
                    <w:rPr>
                      <w:rFonts w:cs="Times New Roman"/>
                      <w:color w:val="auto"/>
                      <w:sz w:val="21"/>
                      <w:szCs w:val="21"/>
                    </w:rPr>
                  </w:pPr>
                </w:p>
              </w:tc>
              <w:tc>
                <w:tcPr>
                  <w:tcW w:w="1052" w:type="pct"/>
                  <w:shd w:val="clear" w:color="auto" w:fill="auto"/>
                  <w:vAlign w:val="center"/>
                </w:tcPr>
                <w:p w14:paraId="133B83BE">
                  <w:pPr>
                    <w:pStyle w:val="40"/>
                    <w:jc w:val="center"/>
                    <w:rPr>
                      <w:rFonts w:cs="Times New Roman"/>
                      <w:color w:val="auto"/>
                      <w:sz w:val="21"/>
                      <w:szCs w:val="21"/>
                    </w:rPr>
                  </w:pPr>
                  <w:r>
                    <w:rPr>
                      <w:rFonts w:cs="Times New Roman"/>
                      <w:color w:val="auto"/>
                      <w:sz w:val="21"/>
                      <w:szCs w:val="21"/>
                    </w:rPr>
                    <w:t>氯化氢</w:t>
                  </w:r>
                </w:p>
              </w:tc>
              <w:tc>
                <w:tcPr>
                  <w:tcW w:w="1639" w:type="pct"/>
                  <w:shd w:val="clear" w:color="auto" w:fill="auto"/>
                  <w:vAlign w:val="center"/>
                </w:tcPr>
                <w:p w14:paraId="05FBF5DA">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2024.05.31，2024.06.02-2024.06.03，</w:t>
                  </w:r>
                </w:p>
                <w:p w14:paraId="22B0D8BE">
                  <w:pPr>
                    <w:pStyle w:val="40"/>
                    <w:jc w:val="center"/>
                    <w:rPr>
                      <w:rFonts w:cs="Times New Roman"/>
                      <w:bCs/>
                      <w:color w:val="000000" w:themeColor="text1"/>
                      <w:sz w:val="21"/>
                      <w:szCs w:val="21"/>
                      <w14:textFill>
                        <w14:solidFill>
                          <w14:schemeClr w14:val="tx1"/>
                        </w14:solidFill>
                      </w14:textFill>
                    </w:rPr>
                  </w:pPr>
                  <w:r>
                    <w:rPr>
                      <w:rFonts w:cs="Times New Roman"/>
                      <w:bCs/>
                      <w:color w:val="000000" w:themeColor="text1"/>
                      <w:sz w:val="21"/>
                      <w:szCs w:val="21"/>
                      <w14:textFill>
                        <w14:solidFill>
                          <w14:schemeClr w14:val="tx1"/>
                        </w14:solidFill>
                      </w14:textFill>
                    </w:rPr>
                    <w:t>4次/d，监测3d</w:t>
                  </w:r>
                </w:p>
              </w:tc>
              <w:tc>
                <w:tcPr>
                  <w:tcW w:w="814" w:type="pct"/>
                  <w:vMerge w:val="continue"/>
                  <w:shd w:val="clear" w:color="auto" w:fill="auto"/>
                  <w:vAlign w:val="center"/>
                </w:tcPr>
                <w:p w14:paraId="5403CCE5">
                  <w:pPr>
                    <w:pStyle w:val="40"/>
                    <w:jc w:val="center"/>
                    <w:rPr>
                      <w:rFonts w:cs="Times New Roman"/>
                      <w:bCs/>
                      <w:color w:val="auto"/>
                      <w:sz w:val="21"/>
                      <w:szCs w:val="21"/>
                    </w:rPr>
                  </w:pPr>
                </w:p>
              </w:tc>
              <w:tc>
                <w:tcPr>
                  <w:tcW w:w="814" w:type="pct"/>
                  <w:vMerge w:val="continue"/>
                  <w:shd w:val="clear" w:color="auto" w:fill="auto"/>
                  <w:vAlign w:val="center"/>
                </w:tcPr>
                <w:p w14:paraId="1755AE96">
                  <w:pPr>
                    <w:pStyle w:val="40"/>
                    <w:jc w:val="center"/>
                    <w:rPr>
                      <w:rFonts w:cs="Times New Roman"/>
                      <w:bCs/>
                      <w:color w:val="auto"/>
                      <w:sz w:val="21"/>
                      <w:szCs w:val="21"/>
                    </w:rPr>
                  </w:pPr>
                </w:p>
              </w:tc>
            </w:tr>
            <w:tr w14:paraId="6FCA48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38CBC2AA">
                  <w:pPr>
                    <w:pStyle w:val="40"/>
                    <w:jc w:val="center"/>
                    <w:rPr>
                      <w:rFonts w:cs="Times New Roman"/>
                      <w:bCs/>
                      <w:color w:val="auto"/>
                      <w:sz w:val="21"/>
                      <w:szCs w:val="21"/>
                    </w:rPr>
                  </w:pPr>
                </w:p>
              </w:tc>
              <w:tc>
                <w:tcPr>
                  <w:tcW w:w="1052" w:type="pct"/>
                  <w:vMerge w:val="restart"/>
                  <w:shd w:val="clear" w:color="auto" w:fill="auto"/>
                  <w:vAlign w:val="center"/>
                </w:tcPr>
                <w:p w14:paraId="30F701D5">
                  <w:pPr>
                    <w:pStyle w:val="40"/>
                    <w:jc w:val="center"/>
                    <w:rPr>
                      <w:rFonts w:cs="Times New Roman"/>
                      <w:bCs/>
                      <w:color w:val="auto"/>
                      <w:sz w:val="21"/>
                      <w:szCs w:val="21"/>
                    </w:rPr>
                  </w:pPr>
                  <w:r>
                    <w:rPr>
                      <w:rFonts w:cs="Times New Roman"/>
                      <w:bCs/>
                      <w:color w:val="auto"/>
                      <w:sz w:val="21"/>
                      <w:szCs w:val="21"/>
                    </w:rPr>
                    <w:t>氮氧化物</w:t>
                  </w:r>
                </w:p>
              </w:tc>
              <w:tc>
                <w:tcPr>
                  <w:tcW w:w="1639" w:type="pct"/>
                  <w:shd w:val="clear" w:color="auto" w:fill="auto"/>
                  <w:vAlign w:val="center"/>
                </w:tcPr>
                <w:p w14:paraId="50576D7A">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2024.05.31，2024.06.02-2024.06.03，</w:t>
                  </w:r>
                  <w:r>
                    <w:rPr>
                      <w:rFonts w:cs="Times New Roman"/>
                      <w:bCs/>
                      <w:color w:val="000000" w:themeColor="text1"/>
                      <w:sz w:val="21"/>
                      <w:szCs w:val="21"/>
                      <w14:textFill>
                        <w14:solidFill>
                          <w14:schemeClr w14:val="tx1"/>
                        </w14:solidFill>
                      </w14:textFill>
                    </w:rPr>
                    <w:t>4次/d，监测3d</w:t>
                  </w:r>
                </w:p>
              </w:tc>
              <w:tc>
                <w:tcPr>
                  <w:tcW w:w="814" w:type="pct"/>
                  <w:vMerge w:val="continue"/>
                  <w:shd w:val="clear" w:color="auto" w:fill="auto"/>
                  <w:vAlign w:val="center"/>
                </w:tcPr>
                <w:p w14:paraId="0F62797A">
                  <w:pPr>
                    <w:pStyle w:val="40"/>
                    <w:jc w:val="center"/>
                    <w:rPr>
                      <w:rFonts w:cs="Times New Roman"/>
                      <w:bCs/>
                      <w:color w:val="auto"/>
                      <w:sz w:val="21"/>
                      <w:szCs w:val="21"/>
                    </w:rPr>
                  </w:pPr>
                </w:p>
              </w:tc>
              <w:tc>
                <w:tcPr>
                  <w:tcW w:w="814" w:type="pct"/>
                  <w:vMerge w:val="continue"/>
                  <w:shd w:val="clear" w:color="auto" w:fill="auto"/>
                  <w:vAlign w:val="center"/>
                </w:tcPr>
                <w:p w14:paraId="73F09164">
                  <w:pPr>
                    <w:pStyle w:val="40"/>
                    <w:jc w:val="center"/>
                    <w:rPr>
                      <w:rFonts w:cs="Times New Roman"/>
                      <w:bCs/>
                      <w:color w:val="auto"/>
                      <w:sz w:val="21"/>
                      <w:szCs w:val="21"/>
                    </w:rPr>
                  </w:pPr>
                </w:p>
              </w:tc>
            </w:tr>
            <w:tr w14:paraId="28075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56EDDFBE">
                  <w:pPr>
                    <w:pStyle w:val="40"/>
                    <w:jc w:val="center"/>
                    <w:rPr>
                      <w:rFonts w:cs="Times New Roman"/>
                      <w:bCs/>
                      <w:color w:val="auto"/>
                      <w:sz w:val="21"/>
                      <w:szCs w:val="21"/>
                    </w:rPr>
                  </w:pPr>
                </w:p>
              </w:tc>
              <w:tc>
                <w:tcPr>
                  <w:tcW w:w="1052" w:type="pct"/>
                  <w:vMerge w:val="continue"/>
                  <w:shd w:val="clear" w:color="auto" w:fill="auto"/>
                  <w:vAlign w:val="center"/>
                </w:tcPr>
                <w:p w14:paraId="4BD7790A">
                  <w:pPr>
                    <w:pStyle w:val="40"/>
                    <w:jc w:val="center"/>
                    <w:rPr>
                      <w:rFonts w:cs="Times New Roman"/>
                      <w:bCs/>
                      <w:color w:val="auto"/>
                      <w:sz w:val="21"/>
                      <w:szCs w:val="21"/>
                    </w:rPr>
                  </w:pPr>
                </w:p>
              </w:tc>
              <w:tc>
                <w:tcPr>
                  <w:tcW w:w="1639" w:type="pct"/>
                  <w:shd w:val="clear" w:color="auto" w:fill="auto"/>
                  <w:vAlign w:val="center"/>
                </w:tcPr>
                <w:p w14:paraId="1C12B768">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2024.5.31-2024.06.01，2024.06.02-2024.06.04，</w:t>
                  </w:r>
                </w:p>
                <w:p w14:paraId="16B2941F">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1次/d，</w:t>
                  </w:r>
                  <w:r>
                    <w:rPr>
                      <w:rFonts w:cs="Times New Roman"/>
                      <w:bCs/>
                      <w:color w:val="000000" w:themeColor="text1"/>
                      <w:sz w:val="21"/>
                      <w:szCs w:val="21"/>
                      <w14:textFill>
                        <w14:solidFill>
                          <w14:schemeClr w14:val="tx1"/>
                        </w14:solidFill>
                      </w14:textFill>
                    </w:rPr>
                    <w:t>监测3d</w:t>
                  </w:r>
                </w:p>
              </w:tc>
              <w:tc>
                <w:tcPr>
                  <w:tcW w:w="814" w:type="pct"/>
                  <w:vMerge w:val="continue"/>
                  <w:shd w:val="clear" w:color="auto" w:fill="auto"/>
                  <w:vAlign w:val="center"/>
                </w:tcPr>
                <w:p w14:paraId="7D25B288">
                  <w:pPr>
                    <w:pStyle w:val="40"/>
                    <w:jc w:val="center"/>
                    <w:rPr>
                      <w:rFonts w:cs="Times New Roman"/>
                      <w:bCs/>
                      <w:color w:val="auto"/>
                      <w:sz w:val="21"/>
                      <w:szCs w:val="21"/>
                    </w:rPr>
                  </w:pPr>
                </w:p>
              </w:tc>
              <w:tc>
                <w:tcPr>
                  <w:tcW w:w="814" w:type="pct"/>
                  <w:vMerge w:val="continue"/>
                  <w:shd w:val="clear" w:color="auto" w:fill="auto"/>
                  <w:vAlign w:val="center"/>
                </w:tcPr>
                <w:p w14:paraId="34C32F04">
                  <w:pPr>
                    <w:pStyle w:val="40"/>
                    <w:jc w:val="center"/>
                    <w:rPr>
                      <w:rFonts w:cs="Times New Roman"/>
                      <w:bCs/>
                      <w:color w:val="auto"/>
                      <w:sz w:val="21"/>
                      <w:szCs w:val="21"/>
                    </w:rPr>
                  </w:pPr>
                </w:p>
              </w:tc>
            </w:tr>
            <w:tr w14:paraId="0E02B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16250E4F">
                  <w:pPr>
                    <w:pStyle w:val="40"/>
                    <w:jc w:val="center"/>
                    <w:rPr>
                      <w:rFonts w:cs="Times New Roman"/>
                      <w:bCs/>
                      <w:color w:val="auto"/>
                      <w:sz w:val="21"/>
                      <w:szCs w:val="21"/>
                    </w:rPr>
                  </w:pPr>
                </w:p>
              </w:tc>
              <w:tc>
                <w:tcPr>
                  <w:tcW w:w="1052" w:type="pct"/>
                  <w:shd w:val="clear" w:color="auto" w:fill="auto"/>
                  <w:vAlign w:val="center"/>
                </w:tcPr>
                <w:p w14:paraId="5CBC5A3E">
                  <w:pPr>
                    <w:pStyle w:val="40"/>
                    <w:jc w:val="center"/>
                    <w:rPr>
                      <w:rFonts w:cs="Times New Roman"/>
                      <w:bCs/>
                      <w:color w:val="auto"/>
                      <w:sz w:val="21"/>
                      <w:szCs w:val="21"/>
                    </w:rPr>
                  </w:pPr>
                  <w:r>
                    <w:rPr>
                      <w:rFonts w:hint="eastAsia"/>
                      <w:color w:val="auto"/>
                      <w:sz w:val="21"/>
                      <w:szCs w:val="21"/>
                    </w:rPr>
                    <w:t>总悬浮颗粒物</w:t>
                  </w:r>
                </w:p>
              </w:tc>
              <w:tc>
                <w:tcPr>
                  <w:tcW w:w="1639" w:type="pct"/>
                  <w:shd w:val="clear" w:color="auto" w:fill="auto"/>
                  <w:vAlign w:val="center"/>
                </w:tcPr>
                <w:p w14:paraId="7226C019">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2024.05.20-2024.05.23，</w:t>
                  </w:r>
                </w:p>
                <w:p w14:paraId="7E150138">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1次/d，连续监测3d</w:t>
                  </w:r>
                </w:p>
              </w:tc>
              <w:tc>
                <w:tcPr>
                  <w:tcW w:w="814" w:type="pct"/>
                  <w:vMerge w:val="continue"/>
                  <w:shd w:val="clear" w:color="auto" w:fill="auto"/>
                  <w:vAlign w:val="center"/>
                </w:tcPr>
                <w:p w14:paraId="697D7065">
                  <w:pPr>
                    <w:pStyle w:val="40"/>
                    <w:jc w:val="center"/>
                    <w:rPr>
                      <w:rFonts w:cs="Times New Roman"/>
                      <w:bCs/>
                      <w:color w:val="auto"/>
                      <w:sz w:val="21"/>
                      <w:szCs w:val="21"/>
                    </w:rPr>
                  </w:pPr>
                </w:p>
              </w:tc>
              <w:tc>
                <w:tcPr>
                  <w:tcW w:w="814" w:type="pct"/>
                  <w:vMerge w:val="continue"/>
                  <w:shd w:val="clear" w:color="auto" w:fill="auto"/>
                  <w:vAlign w:val="center"/>
                </w:tcPr>
                <w:p w14:paraId="79CE9609">
                  <w:pPr>
                    <w:pStyle w:val="40"/>
                    <w:jc w:val="center"/>
                    <w:rPr>
                      <w:rFonts w:cs="Times New Roman"/>
                      <w:bCs/>
                      <w:color w:val="auto"/>
                      <w:sz w:val="21"/>
                      <w:szCs w:val="21"/>
                    </w:rPr>
                  </w:pPr>
                </w:p>
              </w:tc>
            </w:tr>
            <w:tr w14:paraId="3AA75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restart"/>
                  <w:shd w:val="clear" w:color="auto" w:fill="auto"/>
                  <w:vAlign w:val="center"/>
                </w:tcPr>
                <w:p w14:paraId="30508995">
                  <w:pPr>
                    <w:pStyle w:val="40"/>
                    <w:jc w:val="center"/>
                    <w:rPr>
                      <w:rFonts w:cs="Times New Roman"/>
                      <w:bCs/>
                      <w:color w:val="auto"/>
                      <w:sz w:val="21"/>
                      <w:szCs w:val="21"/>
                    </w:rPr>
                  </w:pPr>
                  <w:r>
                    <w:rPr>
                      <w:rFonts w:cs="Times New Roman"/>
                      <w:bCs/>
                      <w:color w:val="auto"/>
                      <w:sz w:val="21"/>
                      <w:szCs w:val="21"/>
                    </w:rPr>
                    <w:t>2#沣华熙城小区西南侧</w:t>
                  </w:r>
                  <w:r>
                    <w:rPr>
                      <w:rFonts w:hint="eastAsia" w:cs="Times New Roman"/>
                      <w:bCs/>
                      <w:color w:val="auto"/>
                      <w:sz w:val="21"/>
                      <w:szCs w:val="21"/>
                    </w:rPr>
                    <w:t>（项目所在地下风向440m处）</w:t>
                  </w:r>
                </w:p>
              </w:tc>
              <w:tc>
                <w:tcPr>
                  <w:tcW w:w="1052" w:type="pct"/>
                  <w:shd w:val="clear" w:color="auto" w:fill="auto"/>
                  <w:vAlign w:val="center"/>
                </w:tcPr>
                <w:p w14:paraId="7CF352C7">
                  <w:pPr>
                    <w:pStyle w:val="40"/>
                    <w:jc w:val="center"/>
                    <w:rPr>
                      <w:rFonts w:cs="Times New Roman"/>
                      <w:bCs/>
                      <w:color w:val="auto"/>
                      <w:sz w:val="21"/>
                      <w:szCs w:val="21"/>
                    </w:rPr>
                  </w:pPr>
                  <w:r>
                    <w:rPr>
                      <w:rFonts w:cs="Times New Roman"/>
                      <w:bCs/>
                      <w:color w:val="auto"/>
                      <w:sz w:val="21"/>
                      <w:szCs w:val="21"/>
                    </w:rPr>
                    <w:t>非甲烷总烃</w:t>
                  </w:r>
                </w:p>
              </w:tc>
              <w:tc>
                <w:tcPr>
                  <w:tcW w:w="1639" w:type="pct"/>
                  <w:shd w:val="clear" w:color="auto" w:fill="auto"/>
                  <w:vAlign w:val="center"/>
                </w:tcPr>
                <w:p w14:paraId="0D0F1345">
                  <w:pPr>
                    <w:pStyle w:val="40"/>
                    <w:jc w:val="center"/>
                    <w:rPr>
                      <w:rFonts w:cs="Times New Roman"/>
                      <w:bCs/>
                      <w:color w:val="000000" w:themeColor="text1"/>
                      <w:sz w:val="21"/>
                      <w:szCs w:val="21"/>
                      <w14:textFill>
                        <w14:solidFill>
                          <w14:schemeClr w14:val="tx1"/>
                        </w14:solidFill>
                      </w14:textFill>
                    </w:rPr>
                  </w:pPr>
                  <w:r>
                    <w:rPr>
                      <w:rFonts w:cs="Times New Roman"/>
                      <w:bCs/>
                      <w:color w:val="000000" w:themeColor="text1"/>
                      <w:sz w:val="21"/>
                      <w:szCs w:val="21"/>
                      <w14:textFill>
                        <w14:solidFill>
                          <w14:schemeClr w14:val="tx1"/>
                        </w14:solidFill>
                      </w14:textFill>
                    </w:rPr>
                    <w:t>2024.</w:t>
                  </w:r>
                  <w:r>
                    <w:rPr>
                      <w:rFonts w:hint="eastAsia" w:cs="Times New Roman"/>
                      <w:bCs/>
                      <w:color w:val="000000" w:themeColor="text1"/>
                      <w:sz w:val="21"/>
                      <w:szCs w:val="21"/>
                      <w14:textFill>
                        <w14:solidFill>
                          <w14:schemeClr w14:val="tx1"/>
                        </w14:solidFill>
                      </w14:textFill>
                    </w:rPr>
                    <w:t>0</w:t>
                  </w:r>
                  <w:r>
                    <w:rPr>
                      <w:rFonts w:cs="Times New Roman"/>
                      <w:bCs/>
                      <w:color w:val="000000" w:themeColor="text1"/>
                      <w:sz w:val="21"/>
                      <w:szCs w:val="21"/>
                      <w14:textFill>
                        <w14:solidFill>
                          <w14:schemeClr w14:val="tx1"/>
                        </w14:solidFill>
                      </w14:textFill>
                    </w:rPr>
                    <w:t>5.21-2024.</w:t>
                  </w:r>
                  <w:r>
                    <w:rPr>
                      <w:rFonts w:hint="eastAsia" w:cs="Times New Roman"/>
                      <w:bCs/>
                      <w:color w:val="000000" w:themeColor="text1"/>
                      <w:sz w:val="21"/>
                      <w:szCs w:val="21"/>
                      <w14:textFill>
                        <w14:solidFill>
                          <w14:schemeClr w14:val="tx1"/>
                        </w14:solidFill>
                      </w14:textFill>
                    </w:rPr>
                    <w:t>0</w:t>
                  </w:r>
                  <w:r>
                    <w:rPr>
                      <w:rFonts w:cs="Times New Roman"/>
                      <w:bCs/>
                      <w:color w:val="000000" w:themeColor="text1"/>
                      <w:sz w:val="21"/>
                      <w:szCs w:val="21"/>
                      <w14:textFill>
                        <w14:solidFill>
                          <w14:schemeClr w14:val="tx1"/>
                        </w14:solidFill>
                      </w14:textFill>
                    </w:rPr>
                    <w:t>5.23，</w:t>
                  </w:r>
                </w:p>
                <w:p w14:paraId="19C1BF77">
                  <w:pPr>
                    <w:pStyle w:val="40"/>
                    <w:jc w:val="center"/>
                    <w:rPr>
                      <w:rFonts w:cs="Times New Roman"/>
                      <w:bCs/>
                      <w:color w:val="000000" w:themeColor="text1"/>
                      <w:sz w:val="21"/>
                      <w:szCs w:val="21"/>
                      <w14:textFill>
                        <w14:solidFill>
                          <w14:schemeClr w14:val="tx1"/>
                        </w14:solidFill>
                      </w14:textFill>
                    </w:rPr>
                  </w:pPr>
                  <w:r>
                    <w:rPr>
                      <w:rFonts w:cs="Times New Roman"/>
                      <w:bCs/>
                      <w:color w:val="000000" w:themeColor="text1"/>
                      <w:sz w:val="21"/>
                      <w:szCs w:val="21"/>
                      <w14:textFill>
                        <w14:solidFill>
                          <w14:schemeClr w14:val="tx1"/>
                        </w14:solidFill>
                      </w14:textFill>
                    </w:rPr>
                    <w:t>4次/d，</w:t>
                  </w:r>
                  <w:r>
                    <w:rPr>
                      <w:rFonts w:hint="eastAsia" w:cs="Times New Roman"/>
                      <w:bCs/>
                      <w:color w:val="000000" w:themeColor="text1"/>
                      <w:sz w:val="21"/>
                      <w:szCs w:val="21"/>
                      <w14:textFill>
                        <w14:solidFill>
                          <w14:schemeClr w14:val="tx1"/>
                        </w14:solidFill>
                      </w14:textFill>
                    </w:rPr>
                    <w:t>连续</w:t>
                  </w:r>
                  <w:r>
                    <w:rPr>
                      <w:rFonts w:cs="Times New Roman"/>
                      <w:bCs/>
                      <w:color w:val="000000" w:themeColor="text1"/>
                      <w:sz w:val="21"/>
                      <w:szCs w:val="21"/>
                      <w14:textFill>
                        <w14:solidFill>
                          <w14:schemeClr w14:val="tx1"/>
                        </w14:solidFill>
                      </w14:textFill>
                    </w:rPr>
                    <w:t>监测3d</w:t>
                  </w:r>
                </w:p>
              </w:tc>
              <w:tc>
                <w:tcPr>
                  <w:tcW w:w="814" w:type="pct"/>
                  <w:vMerge w:val="restart"/>
                  <w:shd w:val="clear" w:color="auto" w:fill="auto"/>
                  <w:vAlign w:val="center"/>
                </w:tcPr>
                <w:p w14:paraId="57615059">
                  <w:pPr>
                    <w:pStyle w:val="40"/>
                    <w:jc w:val="center"/>
                    <w:rPr>
                      <w:rFonts w:cs="Times New Roman"/>
                      <w:bCs/>
                      <w:color w:val="auto"/>
                      <w:sz w:val="21"/>
                      <w:szCs w:val="21"/>
                    </w:rPr>
                  </w:pPr>
                  <w:r>
                    <w:rPr>
                      <w:rFonts w:cs="Times New Roman"/>
                      <w:bCs/>
                      <w:color w:val="auto"/>
                      <w:sz w:val="21"/>
                      <w:szCs w:val="21"/>
                    </w:rPr>
                    <w:t>项目地西南侧</w:t>
                  </w:r>
                </w:p>
              </w:tc>
              <w:tc>
                <w:tcPr>
                  <w:tcW w:w="814" w:type="pct"/>
                  <w:vMerge w:val="restart"/>
                  <w:shd w:val="clear" w:color="auto" w:fill="auto"/>
                  <w:vAlign w:val="center"/>
                </w:tcPr>
                <w:p w14:paraId="34FF6F7D">
                  <w:pPr>
                    <w:pStyle w:val="40"/>
                    <w:jc w:val="center"/>
                    <w:rPr>
                      <w:rFonts w:cs="Times New Roman"/>
                      <w:bCs/>
                      <w:color w:val="auto"/>
                      <w:sz w:val="21"/>
                      <w:szCs w:val="21"/>
                    </w:rPr>
                  </w:pPr>
                  <w:r>
                    <w:rPr>
                      <w:rFonts w:hint="eastAsia"/>
                      <w:color w:val="auto"/>
                      <w:sz w:val="21"/>
                      <w:szCs w:val="21"/>
                    </w:rPr>
                    <w:t>440m</w:t>
                  </w:r>
                </w:p>
              </w:tc>
            </w:tr>
            <w:tr w14:paraId="217067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277E1887">
                  <w:pPr>
                    <w:pStyle w:val="40"/>
                    <w:jc w:val="center"/>
                    <w:rPr>
                      <w:rFonts w:cs="Times New Roman"/>
                      <w:bCs/>
                      <w:color w:val="auto"/>
                      <w:sz w:val="21"/>
                      <w:szCs w:val="21"/>
                    </w:rPr>
                  </w:pPr>
                </w:p>
              </w:tc>
              <w:tc>
                <w:tcPr>
                  <w:tcW w:w="1052" w:type="pct"/>
                  <w:shd w:val="clear" w:color="auto" w:fill="auto"/>
                  <w:vAlign w:val="center"/>
                </w:tcPr>
                <w:p w14:paraId="618992DC">
                  <w:pPr>
                    <w:pStyle w:val="40"/>
                    <w:jc w:val="center"/>
                    <w:rPr>
                      <w:rFonts w:cs="Times New Roman"/>
                      <w:bCs/>
                      <w:color w:val="auto"/>
                      <w:sz w:val="21"/>
                      <w:szCs w:val="21"/>
                    </w:rPr>
                  </w:pPr>
                  <w:r>
                    <w:rPr>
                      <w:rFonts w:hint="eastAsia" w:cs="Times New Roman"/>
                      <w:bCs/>
                      <w:color w:val="auto"/>
                      <w:sz w:val="21"/>
                      <w:szCs w:val="21"/>
                    </w:rPr>
                    <w:t>硫酸雾</w:t>
                  </w:r>
                </w:p>
              </w:tc>
              <w:tc>
                <w:tcPr>
                  <w:tcW w:w="1639" w:type="pct"/>
                  <w:shd w:val="clear" w:color="auto" w:fill="auto"/>
                  <w:vAlign w:val="center"/>
                </w:tcPr>
                <w:p w14:paraId="76057F81">
                  <w:pPr>
                    <w:pStyle w:val="40"/>
                    <w:jc w:val="center"/>
                    <w:rPr>
                      <w:rFonts w:cs="Times New Roman"/>
                      <w:bCs/>
                      <w:color w:val="000000" w:themeColor="text1"/>
                      <w:sz w:val="21"/>
                      <w:szCs w:val="21"/>
                      <w14:textFill>
                        <w14:solidFill>
                          <w14:schemeClr w14:val="tx1"/>
                        </w14:solidFill>
                      </w14:textFill>
                    </w:rPr>
                  </w:pPr>
                  <w:r>
                    <w:rPr>
                      <w:rFonts w:cs="Times New Roman"/>
                      <w:bCs/>
                      <w:color w:val="000000" w:themeColor="text1"/>
                      <w:sz w:val="21"/>
                      <w:szCs w:val="21"/>
                      <w14:textFill>
                        <w14:solidFill>
                          <w14:schemeClr w14:val="tx1"/>
                        </w14:solidFill>
                      </w14:textFill>
                    </w:rPr>
                    <w:t>2024.05.21-2024.05.23，</w:t>
                  </w:r>
                </w:p>
                <w:p w14:paraId="3E314AD2">
                  <w:pPr>
                    <w:pStyle w:val="40"/>
                    <w:jc w:val="center"/>
                    <w:rPr>
                      <w:rFonts w:cs="Times New Roman"/>
                      <w:bCs/>
                      <w:color w:val="000000" w:themeColor="text1"/>
                      <w:sz w:val="21"/>
                      <w:szCs w:val="21"/>
                      <w14:textFill>
                        <w14:solidFill>
                          <w14:schemeClr w14:val="tx1"/>
                        </w14:solidFill>
                      </w14:textFill>
                    </w:rPr>
                  </w:pPr>
                  <w:r>
                    <w:rPr>
                      <w:rFonts w:cs="Times New Roman"/>
                      <w:bCs/>
                      <w:color w:val="000000" w:themeColor="text1"/>
                      <w:sz w:val="21"/>
                      <w:szCs w:val="21"/>
                      <w14:textFill>
                        <w14:solidFill>
                          <w14:schemeClr w14:val="tx1"/>
                        </w14:solidFill>
                      </w14:textFill>
                    </w:rPr>
                    <w:t>4次/d，</w:t>
                  </w:r>
                  <w:r>
                    <w:rPr>
                      <w:rFonts w:hint="eastAsia" w:cs="Times New Roman"/>
                      <w:bCs/>
                      <w:color w:val="000000" w:themeColor="text1"/>
                      <w:sz w:val="21"/>
                      <w:szCs w:val="21"/>
                      <w14:textFill>
                        <w14:solidFill>
                          <w14:schemeClr w14:val="tx1"/>
                        </w14:solidFill>
                      </w14:textFill>
                    </w:rPr>
                    <w:t>连续</w:t>
                  </w:r>
                  <w:r>
                    <w:rPr>
                      <w:rFonts w:cs="Times New Roman"/>
                      <w:bCs/>
                      <w:color w:val="000000" w:themeColor="text1"/>
                      <w:sz w:val="21"/>
                      <w:szCs w:val="21"/>
                      <w14:textFill>
                        <w14:solidFill>
                          <w14:schemeClr w14:val="tx1"/>
                        </w14:solidFill>
                      </w14:textFill>
                    </w:rPr>
                    <w:t>监测3d</w:t>
                  </w:r>
                </w:p>
              </w:tc>
              <w:tc>
                <w:tcPr>
                  <w:tcW w:w="814" w:type="pct"/>
                  <w:vMerge w:val="continue"/>
                  <w:shd w:val="clear" w:color="auto" w:fill="auto"/>
                  <w:vAlign w:val="center"/>
                </w:tcPr>
                <w:p w14:paraId="71E01C46">
                  <w:pPr>
                    <w:pStyle w:val="40"/>
                    <w:jc w:val="center"/>
                    <w:rPr>
                      <w:rFonts w:cs="Times New Roman"/>
                      <w:bCs/>
                      <w:color w:val="auto"/>
                      <w:sz w:val="21"/>
                      <w:szCs w:val="21"/>
                    </w:rPr>
                  </w:pPr>
                </w:p>
              </w:tc>
              <w:tc>
                <w:tcPr>
                  <w:tcW w:w="814" w:type="pct"/>
                  <w:vMerge w:val="continue"/>
                  <w:shd w:val="clear" w:color="auto" w:fill="auto"/>
                  <w:vAlign w:val="center"/>
                </w:tcPr>
                <w:p w14:paraId="1234587D">
                  <w:pPr>
                    <w:pStyle w:val="40"/>
                    <w:jc w:val="center"/>
                    <w:rPr>
                      <w:color w:val="auto"/>
                    </w:rPr>
                  </w:pPr>
                </w:p>
              </w:tc>
            </w:tr>
            <w:tr w14:paraId="669D1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2C6AE98F">
                  <w:pPr>
                    <w:pStyle w:val="40"/>
                    <w:jc w:val="center"/>
                    <w:rPr>
                      <w:rFonts w:cs="Times New Roman"/>
                      <w:color w:val="auto"/>
                      <w:sz w:val="21"/>
                      <w:szCs w:val="21"/>
                    </w:rPr>
                  </w:pPr>
                </w:p>
              </w:tc>
              <w:tc>
                <w:tcPr>
                  <w:tcW w:w="1052" w:type="pct"/>
                  <w:shd w:val="clear" w:color="auto" w:fill="auto"/>
                  <w:vAlign w:val="center"/>
                </w:tcPr>
                <w:p w14:paraId="04DA12CD">
                  <w:pPr>
                    <w:pStyle w:val="40"/>
                    <w:jc w:val="center"/>
                    <w:rPr>
                      <w:rFonts w:cs="Times New Roman"/>
                      <w:color w:val="auto"/>
                      <w:sz w:val="21"/>
                      <w:szCs w:val="21"/>
                    </w:rPr>
                  </w:pPr>
                  <w:r>
                    <w:rPr>
                      <w:rFonts w:cs="Times New Roman"/>
                      <w:color w:val="auto"/>
                      <w:sz w:val="21"/>
                      <w:szCs w:val="21"/>
                    </w:rPr>
                    <w:t>氯化氢</w:t>
                  </w:r>
                </w:p>
              </w:tc>
              <w:tc>
                <w:tcPr>
                  <w:tcW w:w="2492" w:type="dxa"/>
                  <w:shd w:val="clear" w:color="auto" w:fill="auto"/>
                  <w:vAlign w:val="center"/>
                </w:tcPr>
                <w:p w14:paraId="01C3BAD7">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2024.05.31，2024.06.02-2024.06.03，</w:t>
                  </w:r>
                </w:p>
                <w:p w14:paraId="38B82A0D">
                  <w:pPr>
                    <w:pStyle w:val="40"/>
                    <w:jc w:val="center"/>
                    <w:rPr>
                      <w:rFonts w:cs="Times New Roman"/>
                      <w:bCs/>
                      <w:color w:val="000000" w:themeColor="text1"/>
                      <w:sz w:val="21"/>
                      <w:szCs w:val="21"/>
                      <w14:textFill>
                        <w14:solidFill>
                          <w14:schemeClr w14:val="tx1"/>
                        </w14:solidFill>
                      </w14:textFill>
                    </w:rPr>
                  </w:pPr>
                  <w:r>
                    <w:rPr>
                      <w:rFonts w:cs="Times New Roman"/>
                      <w:bCs/>
                      <w:color w:val="000000" w:themeColor="text1"/>
                      <w:sz w:val="21"/>
                      <w:szCs w:val="21"/>
                      <w14:textFill>
                        <w14:solidFill>
                          <w14:schemeClr w14:val="tx1"/>
                        </w14:solidFill>
                      </w14:textFill>
                    </w:rPr>
                    <w:t>4次/d，监测3d</w:t>
                  </w:r>
                </w:p>
              </w:tc>
              <w:tc>
                <w:tcPr>
                  <w:tcW w:w="814" w:type="pct"/>
                  <w:vMerge w:val="continue"/>
                  <w:shd w:val="clear" w:color="auto" w:fill="auto"/>
                  <w:vAlign w:val="center"/>
                </w:tcPr>
                <w:p w14:paraId="5AEA48B4">
                  <w:pPr>
                    <w:pStyle w:val="40"/>
                    <w:jc w:val="center"/>
                    <w:rPr>
                      <w:rFonts w:cs="Times New Roman"/>
                      <w:bCs/>
                      <w:color w:val="auto"/>
                      <w:sz w:val="21"/>
                      <w:szCs w:val="21"/>
                    </w:rPr>
                  </w:pPr>
                </w:p>
              </w:tc>
              <w:tc>
                <w:tcPr>
                  <w:tcW w:w="814" w:type="pct"/>
                  <w:vMerge w:val="continue"/>
                  <w:shd w:val="clear" w:color="auto" w:fill="auto"/>
                  <w:vAlign w:val="center"/>
                </w:tcPr>
                <w:p w14:paraId="23C66AA1">
                  <w:pPr>
                    <w:pStyle w:val="40"/>
                    <w:jc w:val="center"/>
                    <w:rPr>
                      <w:rFonts w:cs="Times New Roman"/>
                      <w:bCs/>
                      <w:color w:val="auto"/>
                      <w:sz w:val="21"/>
                      <w:szCs w:val="21"/>
                    </w:rPr>
                  </w:pPr>
                </w:p>
              </w:tc>
            </w:tr>
            <w:tr w14:paraId="03394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5D3FA455">
                  <w:pPr>
                    <w:pStyle w:val="40"/>
                    <w:jc w:val="center"/>
                    <w:rPr>
                      <w:rFonts w:cs="Times New Roman"/>
                      <w:bCs/>
                      <w:color w:val="auto"/>
                      <w:sz w:val="21"/>
                      <w:szCs w:val="21"/>
                    </w:rPr>
                  </w:pPr>
                </w:p>
              </w:tc>
              <w:tc>
                <w:tcPr>
                  <w:tcW w:w="1052" w:type="pct"/>
                  <w:vMerge w:val="restart"/>
                  <w:shd w:val="clear" w:color="auto" w:fill="auto"/>
                  <w:vAlign w:val="center"/>
                </w:tcPr>
                <w:p w14:paraId="165FFAF3">
                  <w:pPr>
                    <w:pStyle w:val="40"/>
                    <w:jc w:val="center"/>
                    <w:rPr>
                      <w:rFonts w:cs="Times New Roman"/>
                      <w:bCs/>
                      <w:color w:val="auto"/>
                      <w:sz w:val="21"/>
                      <w:szCs w:val="21"/>
                    </w:rPr>
                  </w:pPr>
                  <w:r>
                    <w:rPr>
                      <w:rFonts w:cs="Times New Roman"/>
                      <w:bCs/>
                      <w:color w:val="auto"/>
                      <w:sz w:val="21"/>
                      <w:szCs w:val="21"/>
                    </w:rPr>
                    <w:t>氮氧化物</w:t>
                  </w:r>
                </w:p>
              </w:tc>
              <w:tc>
                <w:tcPr>
                  <w:tcW w:w="2492" w:type="dxa"/>
                  <w:shd w:val="clear" w:color="auto" w:fill="auto"/>
                  <w:vAlign w:val="center"/>
                </w:tcPr>
                <w:p w14:paraId="2F6C000A">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2024.05.31，2024.06.02-2024.06.03，</w:t>
                  </w:r>
                  <w:r>
                    <w:rPr>
                      <w:rFonts w:cs="Times New Roman"/>
                      <w:bCs/>
                      <w:color w:val="000000" w:themeColor="text1"/>
                      <w:sz w:val="21"/>
                      <w:szCs w:val="21"/>
                      <w14:textFill>
                        <w14:solidFill>
                          <w14:schemeClr w14:val="tx1"/>
                        </w14:solidFill>
                      </w14:textFill>
                    </w:rPr>
                    <w:t>4次/d，监测3d</w:t>
                  </w:r>
                </w:p>
              </w:tc>
              <w:tc>
                <w:tcPr>
                  <w:tcW w:w="814" w:type="pct"/>
                  <w:vMerge w:val="continue"/>
                  <w:shd w:val="clear" w:color="auto" w:fill="auto"/>
                  <w:vAlign w:val="center"/>
                </w:tcPr>
                <w:p w14:paraId="3A5CFC3A">
                  <w:pPr>
                    <w:pStyle w:val="40"/>
                    <w:jc w:val="center"/>
                    <w:rPr>
                      <w:rFonts w:cs="Times New Roman"/>
                      <w:bCs/>
                      <w:color w:val="auto"/>
                      <w:sz w:val="21"/>
                      <w:szCs w:val="21"/>
                    </w:rPr>
                  </w:pPr>
                </w:p>
              </w:tc>
              <w:tc>
                <w:tcPr>
                  <w:tcW w:w="814" w:type="pct"/>
                  <w:vMerge w:val="continue"/>
                  <w:shd w:val="clear" w:color="auto" w:fill="auto"/>
                  <w:vAlign w:val="center"/>
                </w:tcPr>
                <w:p w14:paraId="03B3F3C5">
                  <w:pPr>
                    <w:pStyle w:val="40"/>
                    <w:jc w:val="center"/>
                    <w:rPr>
                      <w:rFonts w:cs="Times New Roman"/>
                      <w:bCs/>
                      <w:color w:val="auto"/>
                      <w:sz w:val="21"/>
                      <w:szCs w:val="21"/>
                    </w:rPr>
                  </w:pPr>
                </w:p>
              </w:tc>
            </w:tr>
            <w:tr w14:paraId="51349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5A51C956">
                  <w:pPr>
                    <w:pStyle w:val="40"/>
                    <w:jc w:val="center"/>
                    <w:rPr>
                      <w:rFonts w:cs="Times New Roman"/>
                      <w:bCs/>
                      <w:color w:val="auto"/>
                      <w:sz w:val="21"/>
                      <w:szCs w:val="21"/>
                    </w:rPr>
                  </w:pPr>
                </w:p>
              </w:tc>
              <w:tc>
                <w:tcPr>
                  <w:tcW w:w="1052" w:type="pct"/>
                  <w:vMerge w:val="continue"/>
                  <w:shd w:val="clear" w:color="auto" w:fill="auto"/>
                  <w:vAlign w:val="center"/>
                </w:tcPr>
                <w:p w14:paraId="1588B274">
                  <w:pPr>
                    <w:pStyle w:val="40"/>
                    <w:jc w:val="center"/>
                    <w:rPr>
                      <w:rFonts w:cs="Times New Roman"/>
                      <w:bCs/>
                      <w:color w:val="auto"/>
                      <w:sz w:val="21"/>
                      <w:szCs w:val="21"/>
                    </w:rPr>
                  </w:pPr>
                </w:p>
              </w:tc>
              <w:tc>
                <w:tcPr>
                  <w:tcW w:w="2492" w:type="dxa"/>
                  <w:shd w:val="clear" w:color="auto" w:fill="auto"/>
                  <w:vAlign w:val="center"/>
                </w:tcPr>
                <w:p w14:paraId="60A6F37F">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2024.5.31-2024.06.01，2024.06.02-2024.06.04，</w:t>
                  </w:r>
                </w:p>
                <w:p w14:paraId="47B46FD5">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1次/d，</w:t>
                  </w:r>
                  <w:r>
                    <w:rPr>
                      <w:rFonts w:cs="Times New Roman"/>
                      <w:bCs/>
                      <w:color w:val="000000" w:themeColor="text1"/>
                      <w:sz w:val="21"/>
                      <w:szCs w:val="21"/>
                      <w14:textFill>
                        <w14:solidFill>
                          <w14:schemeClr w14:val="tx1"/>
                        </w14:solidFill>
                      </w14:textFill>
                    </w:rPr>
                    <w:t>监测3d</w:t>
                  </w:r>
                </w:p>
              </w:tc>
              <w:tc>
                <w:tcPr>
                  <w:tcW w:w="814" w:type="pct"/>
                  <w:vMerge w:val="continue"/>
                  <w:shd w:val="clear" w:color="auto" w:fill="auto"/>
                  <w:vAlign w:val="center"/>
                </w:tcPr>
                <w:p w14:paraId="0836AC95">
                  <w:pPr>
                    <w:pStyle w:val="40"/>
                    <w:jc w:val="center"/>
                    <w:rPr>
                      <w:rFonts w:cs="Times New Roman"/>
                      <w:bCs/>
                      <w:color w:val="auto"/>
                      <w:sz w:val="21"/>
                      <w:szCs w:val="21"/>
                    </w:rPr>
                  </w:pPr>
                </w:p>
              </w:tc>
              <w:tc>
                <w:tcPr>
                  <w:tcW w:w="814" w:type="pct"/>
                  <w:vMerge w:val="continue"/>
                  <w:shd w:val="clear" w:color="auto" w:fill="auto"/>
                  <w:vAlign w:val="center"/>
                </w:tcPr>
                <w:p w14:paraId="6E77C873">
                  <w:pPr>
                    <w:pStyle w:val="40"/>
                    <w:jc w:val="center"/>
                    <w:rPr>
                      <w:rFonts w:cs="Times New Roman"/>
                      <w:bCs/>
                      <w:color w:val="auto"/>
                      <w:sz w:val="21"/>
                      <w:szCs w:val="21"/>
                    </w:rPr>
                  </w:pPr>
                </w:p>
              </w:tc>
            </w:tr>
            <w:tr w14:paraId="4A3DA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80" w:type="pct"/>
                  <w:vMerge w:val="continue"/>
                  <w:shd w:val="clear" w:color="auto" w:fill="auto"/>
                  <w:vAlign w:val="center"/>
                </w:tcPr>
                <w:p w14:paraId="3BD63C60">
                  <w:pPr>
                    <w:pStyle w:val="40"/>
                    <w:jc w:val="center"/>
                    <w:rPr>
                      <w:rFonts w:cs="Times New Roman"/>
                      <w:bCs/>
                      <w:color w:val="auto"/>
                      <w:sz w:val="21"/>
                      <w:szCs w:val="21"/>
                    </w:rPr>
                  </w:pPr>
                </w:p>
              </w:tc>
              <w:tc>
                <w:tcPr>
                  <w:tcW w:w="1052" w:type="pct"/>
                  <w:shd w:val="clear" w:color="auto" w:fill="auto"/>
                  <w:vAlign w:val="center"/>
                </w:tcPr>
                <w:p w14:paraId="3AF7360C">
                  <w:pPr>
                    <w:pStyle w:val="40"/>
                    <w:jc w:val="center"/>
                    <w:rPr>
                      <w:rFonts w:cs="Times New Roman"/>
                      <w:bCs/>
                      <w:color w:val="auto"/>
                      <w:sz w:val="21"/>
                      <w:szCs w:val="21"/>
                    </w:rPr>
                  </w:pPr>
                  <w:r>
                    <w:rPr>
                      <w:rFonts w:hint="eastAsia"/>
                      <w:color w:val="auto"/>
                      <w:sz w:val="21"/>
                      <w:szCs w:val="21"/>
                    </w:rPr>
                    <w:t>总悬浮颗粒物</w:t>
                  </w:r>
                </w:p>
              </w:tc>
              <w:tc>
                <w:tcPr>
                  <w:tcW w:w="2492" w:type="dxa"/>
                  <w:shd w:val="clear" w:color="auto" w:fill="auto"/>
                  <w:vAlign w:val="center"/>
                </w:tcPr>
                <w:p w14:paraId="180C61FA">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2024.05.20-2024.05.23，</w:t>
                  </w:r>
                </w:p>
                <w:p w14:paraId="282CEB92">
                  <w:pPr>
                    <w:pStyle w:val="40"/>
                    <w:jc w:val="center"/>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14:textFill>
                        <w14:solidFill>
                          <w14:schemeClr w14:val="tx1"/>
                        </w14:solidFill>
                      </w14:textFill>
                    </w:rPr>
                    <w:t>1次/d，连续监测3d</w:t>
                  </w:r>
                </w:p>
              </w:tc>
              <w:tc>
                <w:tcPr>
                  <w:tcW w:w="814" w:type="pct"/>
                  <w:vMerge w:val="continue"/>
                  <w:shd w:val="clear" w:color="auto" w:fill="auto"/>
                  <w:vAlign w:val="center"/>
                </w:tcPr>
                <w:p w14:paraId="060CDE49">
                  <w:pPr>
                    <w:pStyle w:val="40"/>
                    <w:jc w:val="center"/>
                    <w:rPr>
                      <w:rFonts w:cs="Times New Roman"/>
                      <w:bCs/>
                      <w:color w:val="auto"/>
                      <w:sz w:val="21"/>
                      <w:szCs w:val="21"/>
                    </w:rPr>
                  </w:pPr>
                </w:p>
              </w:tc>
              <w:tc>
                <w:tcPr>
                  <w:tcW w:w="814" w:type="pct"/>
                  <w:vMerge w:val="continue"/>
                  <w:shd w:val="clear" w:color="auto" w:fill="auto"/>
                  <w:vAlign w:val="center"/>
                </w:tcPr>
                <w:p w14:paraId="31FF2DCC">
                  <w:pPr>
                    <w:pStyle w:val="40"/>
                    <w:jc w:val="center"/>
                    <w:rPr>
                      <w:rFonts w:cs="Times New Roman"/>
                      <w:bCs/>
                      <w:color w:val="auto"/>
                      <w:sz w:val="21"/>
                      <w:szCs w:val="21"/>
                    </w:rPr>
                  </w:pPr>
                </w:p>
              </w:tc>
            </w:tr>
          </w:tbl>
          <w:p w14:paraId="34783017">
            <w:pPr>
              <w:adjustRightInd w:val="0"/>
              <w:snapToGrid w:val="0"/>
              <w:spacing w:before="156" w:beforeLines="50"/>
              <w:jc w:val="center"/>
              <w:rPr>
                <w:b/>
                <w:sz w:val="21"/>
                <w:szCs w:val="21"/>
                <w:vertAlign w:val="superscript"/>
                <w:lang w:val="zh-CN"/>
              </w:rPr>
            </w:pPr>
            <w:r>
              <w:rPr>
                <w:b/>
                <w:sz w:val="21"/>
                <w:szCs w:val="21"/>
                <w:lang w:val="zh-CN"/>
              </w:rPr>
              <w:t xml:space="preserve">表3-3  </w:t>
            </w:r>
            <w:r>
              <w:rPr>
                <w:rFonts w:hint="eastAsia"/>
                <w:b/>
                <w:sz w:val="21"/>
                <w:szCs w:val="21"/>
              </w:rPr>
              <w:t>特征</w:t>
            </w:r>
            <w:r>
              <w:rPr>
                <w:b/>
                <w:sz w:val="21"/>
                <w:szCs w:val="21"/>
                <w:lang w:val="zh-CN"/>
              </w:rPr>
              <w:t>污染物环境质量现状监测结果表</w:t>
            </w:r>
          </w:p>
          <w:tbl>
            <w:tblPr>
              <w:tblStyle w:val="2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0"/>
              <w:gridCol w:w="1591"/>
              <w:gridCol w:w="751"/>
              <w:gridCol w:w="1151"/>
              <w:gridCol w:w="1747"/>
              <w:gridCol w:w="923"/>
              <w:gridCol w:w="486"/>
              <w:gridCol w:w="687"/>
            </w:tblGrid>
            <w:tr w14:paraId="78444D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shd w:val="clear" w:color="auto" w:fill="auto"/>
                  <w:vAlign w:val="center"/>
                </w:tcPr>
                <w:p w14:paraId="158F0C84">
                  <w:pPr>
                    <w:pStyle w:val="40"/>
                    <w:jc w:val="center"/>
                    <w:rPr>
                      <w:rFonts w:cs="Times New Roman"/>
                      <w:b/>
                      <w:color w:val="auto"/>
                      <w:sz w:val="21"/>
                      <w:szCs w:val="21"/>
                    </w:rPr>
                  </w:pPr>
                  <w:r>
                    <w:rPr>
                      <w:rFonts w:cs="Times New Roman"/>
                      <w:b/>
                      <w:color w:val="auto"/>
                      <w:sz w:val="21"/>
                      <w:szCs w:val="21"/>
                    </w:rPr>
                    <w:t>监测</w:t>
                  </w:r>
                </w:p>
                <w:p w14:paraId="405DCA3F">
                  <w:pPr>
                    <w:pStyle w:val="40"/>
                    <w:jc w:val="center"/>
                    <w:rPr>
                      <w:rFonts w:cs="Times New Roman"/>
                      <w:b/>
                      <w:color w:val="auto"/>
                      <w:sz w:val="21"/>
                      <w:szCs w:val="21"/>
                    </w:rPr>
                  </w:pPr>
                  <w:r>
                    <w:rPr>
                      <w:rFonts w:cs="Times New Roman"/>
                      <w:b/>
                      <w:color w:val="auto"/>
                      <w:sz w:val="21"/>
                      <w:szCs w:val="21"/>
                    </w:rPr>
                    <w:t>点位</w:t>
                  </w:r>
                </w:p>
              </w:tc>
              <w:tc>
                <w:tcPr>
                  <w:tcW w:w="981" w:type="pct"/>
                  <w:shd w:val="clear" w:color="auto" w:fill="auto"/>
                  <w:vAlign w:val="center"/>
                </w:tcPr>
                <w:p w14:paraId="1F6510A1">
                  <w:pPr>
                    <w:pStyle w:val="40"/>
                    <w:jc w:val="center"/>
                    <w:rPr>
                      <w:rFonts w:cs="Times New Roman"/>
                      <w:b/>
                      <w:color w:val="auto"/>
                      <w:sz w:val="21"/>
                      <w:szCs w:val="21"/>
                    </w:rPr>
                  </w:pPr>
                  <w:r>
                    <w:rPr>
                      <w:rFonts w:cs="Times New Roman"/>
                      <w:b/>
                      <w:color w:val="auto"/>
                      <w:sz w:val="21"/>
                      <w:szCs w:val="21"/>
                    </w:rPr>
                    <w:t>污染物</w:t>
                  </w:r>
                </w:p>
              </w:tc>
              <w:tc>
                <w:tcPr>
                  <w:tcW w:w="464" w:type="pct"/>
                  <w:shd w:val="clear" w:color="auto" w:fill="auto"/>
                  <w:vAlign w:val="center"/>
                </w:tcPr>
                <w:p w14:paraId="016421D9">
                  <w:pPr>
                    <w:pStyle w:val="40"/>
                    <w:jc w:val="center"/>
                    <w:rPr>
                      <w:rFonts w:cs="Times New Roman"/>
                      <w:b/>
                      <w:color w:val="auto"/>
                      <w:sz w:val="21"/>
                      <w:szCs w:val="21"/>
                    </w:rPr>
                  </w:pPr>
                  <w:r>
                    <w:rPr>
                      <w:rFonts w:cs="Times New Roman"/>
                      <w:b/>
                      <w:color w:val="auto"/>
                      <w:sz w:val="21"/>
                      <w:szCs w:val="21"/>
                    </w:rPr>
                    <w:t>平均时间</w:t>
                  </w:r>
                </w:p>
              </w:tc>
              <w:tc>
                <w:tcPr>
                  <w:tcW w:w="710" w:type="pct"/>
                  <w:shd w:val="clear" w:color="auto" w:fill="auto"/>
                  <w:vAlign w:val="center"/>
                </w:tcPr>
                <w:p w14:paraId="308E7C96">
                  <w:pPr>
                    <w:pStyle w:val="40"/>
                    <w:jc w:val="center"/>
                    <w:rPr>
                      <w:rFonts w:cs="Times New Roman"/>
                      <w:b/>
                      <w:color w:val="auto"/>
                      <w:sz w:val="21"/>
                      <w:szCs w:val="21"/>
                    </w:rPr>
                  </w:pPr>
                  <w:r>
                    <w:rPr>
                      <w:rFonts w:cs="Times New Roman"/>
                      <w:b/>
                      <w:color w:val="auto"/>
                      <w:sz w:val="21"/>
                      <w:szCs w:val="21"/>
                    </w:rPr>
                    <w:t>评价标准</w:t>
                  </w:r>
                </w:p>
              </w:tc>
              <w:tc>
                <w:tcPr>
                  <w:tcW w:w="1078" w:type="pct"/>
                  <w:shd w:val="clear" w:color="auto" w:fill="auto"/>
                  <w:vAlign w:val="center"/>
                </w:tcPr>
                <w:p w14:paraId="6C8E4271">
                  <w:pPr>
                    <w:pStyle w:val="40"/>
                    <w:jc w:val="center"/>
                    <w:rPr>
                      <w:rFonts w:cs="Times New Roman"/>
                      <w:b/>
                      <w:color w:val="auto"/>
                      <w:sz w:val="21"/>
                      <w:szCs w:val="21"/>
                    </w:rPr>
                  </w:pPr>
                  <w:r>
                    <w:rPr>
                      <w:rFonts w:cs="Times New Roman"/>
                      <w:b/>
                      <w:color w:val="auto"/>
                      <w:sz w:val="21"/>
                      <w:szCs w:val="21"/>
                    </w:rPr>
                    <w:t>监测浓度范围</w:t>
                  </w:r>
                </w:p>
              </w:tc>
              <w:tc>
                <w:tcPr>
                  <w:tcW w:w="570" w:type="pct"/>
                  <w:shd w:val="clear" w:color="auto" w:fill="auto"/>
                  <w:vAlign w:val="center"/>
                </w:tcPr>
                <w:p w14:paraId="769A5819">
                  <w:pPr>
                    <w:pStyle w:val="40"/>
                    <w:jc w:val="center"/>
                    <w:rPr>
                      <w:rFonts w:cs="Times New Roman"/>
                      <w:b/>
                      <w:color w:val="auto"/>
                      <w:sz w:val="21"/>
                      <w:szCs w:val="21"/>
                    </w:rPr>
                  </w:pPr>
                  <w:r>
                    <w:rPr>
                      <w:rFonts w:cs="Times New Roman"/>
                      <w:b/>
                      <w:color w:val="auto"/>
                      <w:sz w:val="21"/>
                      <w:szCs w:val="21"/>
                    </w:rPr>
                    <w:t>最大浓度占标率</w:t>
                  </w:r>
                </w:p>
              </w:tc>
              <w:tc>
                <w:tcPr>
                  <w:tcW w:w="300" w:type="pct"/>
                  <w:shd w:val="clear" w:color="auto" w:fill="auto"/>
                  <w:vAlign w:val="center"/>
                </w:tcPr>
                <w:p w14:paraId="17034B2E">
                  <w:pPr>
                    <w:pStyle w:val="40"/>
                    <w:jc w:val="center"/>
                    <w:rPr>
                      <w:rFonts w:cs="Times New Roman"/>
                      <w:b/>
                      <w:color w:val="auto"/>
                      <w:sz w:val="21"/>
                      <w:szCs w:val="21"/>
                    </w:rPr>
                  </w:pPr>
                  <w:r>
                    <w:rPr>
                      <w:rFonts w:cs="Times New Roman"/>
                      <w:b/>
                      <w:color w:val="auto"/>
                      <w:sz w:val="21"/>
                      <w:szCs w:val="21"/>
                    </w:rPr>
                    <w:t>超标率</w:t>
                  </w:r>
                </w:p>
              </w:tc>
              <w:tc>
                <w:tcPr>
                  <w:tcW w:w="424" w:type="pct"/>
                  <w:shd w:val="clear" w:color="auto" w:fill="auto"/>
                  <w:vAlign w:val="center"/>
                </w:tcPr>
                <w:p w14:paraId="5E901541">
                  <w:pPr>
                    <w:pStyle w:val="40"/>
                    <w:jc w:val="center"/>
                    <w:rPr>
                      <w:rFonts w:cs="Times New Roman"/>
                      <w:b/>
                      <w:color w:val="auto"/>
                      <w:sz w:val="21"/>
                      <w:szCs w:val="21"/>
                    </w:rPr>
                  </w:pPr>
                  <w:r>
                    <w:rPr>
                      <w:rFonts w:cs="Times New Roman"/>
                      <w:b/>
                      <w:color w:val="auto"/>
                      <w:sz w:val="21"/>
                      <w:szCs w:val="21"/>
                    </w:rPr>
                    <w:t>达标情况</w:t>
                  </w:r>
                </w:p>
              </w:tc>
            </w:tr>
            <w:tr w14:paraId="1941A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restart"/>
                  <w:shd w:val="clear" w:color="auto" w:fill="auto"/>
                  <w:vAlign w:val="center"/>
                </w:tcPr>
                <w:p w14:paraId="66299B98">
                  <w:pPr>
                    <w:pStyle w:val="40"/>
                    <w:jc w:val="center"/>
                    <w:rPr>
                      <w:rFonts w:cs="Times New Roman" w:eastAsiaTheme="minorEastAsia"/>
                      <w:bCs/>
                      <w:color w:val="auto"/>
                      <w:sz w:val="21"/>
                      <w:szCs w:val="21"/>
                    </w:rPr>
                  </w:pPr>
                  <w:r>
                    <w:rPr>
                      <w:rFonts w:hint="eastAsia" w:cs="Times New Roman" w:eastAsiaTheme="minorEastAsia"/>
                      <w:bCs/>
                      <w:color w:val="auto"/>
                      <w:sz w:val="21"/>
                      <w:szCs w:val="21"/>
                    </w:rPr>
                    <w:t>1#国检测试控股集团陕西有限公司院内</w:t>
                  </w:r>
                </w:p>
              </w:tc>
              <w:tc>
                <w:tcPr>
                  <w:tcW w:w="981" w:type="pct"/>
                  <w:shd w:val="clear" w:color="auto" w:fill="auto"/>
                  <w:vAlign w:val="center"/>
                </w:tcPr>
                <w:p w14:paraId="57CF4645">
                  <w:pPr>
                    <w:pStyle w:val="40"/>
                    <w:jc w:val="center"/>
                    <w:rPr>
                      <w:rFonts w:cs="Times New Roman"/>
                      <w:bCs/>
                      <w:color w:val="auto"/>
                      <w:sz w:val="21"/>
                      <w:szCs w:val="21"/>
                    </w:rPr>
                  </w:pPr>
                  <w:r>
                    <w:rPr>
                      <w:rFonts w:cs="Times New Roman"/>
                      <w:bCs/>
                      <w:color w:val="auto"/>
                      <w:sz w:val="21"/>
                      <w:szCs w:val="21"/>
                    </w:rPr>
                    <w:t>非甲烷总烃</w:t>
                  </w:r>
                </w:p>
              </w:tc>
              <w:tc>
                <w:tcPr>
                  <w:tcW w:w="464" w:type="pct"/>
                  <w:shd w:val="clear" w:color="auto" w:fill="auto"/>
                  <w:vAlign w:val="center"/>
                </w:tcPr>
                <w:p w14:paraId="2B34C1DE">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3755DC05">
                  <w:pPr>
                    <w:pStyle w:val="40"/>
                    <w:jc w:val="center"/>
                    <w:rPr>
                      <w:rFonts w:cs="Times New Roman"/>
                      <w:bCs/>
                      <w:color w:val="auto"/>
                      <w:sz w:val="21"/>
                      <w:szCs w:val="21"/>
                    </w:rPr>
                  </w:pPr>
                  <w:r>
                    <w:rPr>
                      <w:rFonts w:cs="Times New Roman"/>
                      <w:bCs/>
                      <w:color w:val="auto"/>
                      <w:sz w:val="21"/>
                      <w:szCs w:val="21"/>
                    </w:rPr>
                    <w:t>2</w:t>
                  </w:r>
                  <w:r>
                    <w:rPr>
                      <w:rFonts w:hint="eastAsia"/>
                      <w:color w:val="auto"/>
                      <w:sz w:val="21"/>
                      <w:szCs w:val="21"/>
                    </w:rPr>
                    <w:t>mg/m</w:t>
                  </w:r>
                  <w:r>
                    <w:rPr>
                      <w:rFonts w:hint="eastAsia"/>
                      <w:color w:val="auto"/>
                      <w:sz w:val="21"/>
                      <w:szCs w:val="21"/>
                      <w:vertAlign w:val="superscript"/>
                    </w:rPr>
                    <w:t>3</w:t>
                  </w:r>
                </w:p>
              </w:tc>
              <w:tc>
                <w:tcPr>
                  <w:tcW w:w="1078" w:type="pct"/>
                  <w:shd w:val="clear" w:color="auto" w:fill="auto"/>
                  <w:vAlign w:val="center"/>
                </w:tcPr>
                <w:p w14:paraId="4A2D1B18">
                  <w:pPr>
                    <w:pStyle w:val="40"/>
                    <w:jc w:val="center"/>
                    <w:rPr>
                      <w:rFonts w:cs="Times New Roman"/>
                      <w:bCs/>
                      <w:color w:val="auto"/>
                      <w:sz w:val="21"/>
                      <w:szCs w:val="21"/>
                    </w:rPr>
                  </w:pPr>
                  <w:r>
                    <w:rPr>
                      <w:rFonts w:hint="eastAsia" w:cs="Times New Roman"/>
                      <w:bCs/>
                      <w:color w:val="auto"/>
                      <w:sz w:val="21"/>
                      <w:szCs w:val="21"/>
                    </w:rPr>
                    <w:t>0.26</w:t>
                  </w:r>
                  <w:r>
                    <w:rPr>
                      <w:rFonts w:cs="Times New Roman"/>
                      <w:bCs/>
                      <w:color w:val="auto"/>
                      <w:sz w:val="21"/>
                      <w:szCs w:val="21"/>
                    </w:rPr>
                    <w:t>~</w:t>
                  </w:r>
                  <w:r>
                    <w:rPr>
                      <w:rFonts w:hint="eastAsia" w:cs="Times New Roman"/>
                      <w:bCs/>
                      <w:color w:val="auto"/>
                      <w:sz w:val="21"/>
                      <w:szCs w:val="21"/>
                    </w:rPr>
                    <w:t>0.38</w:t>
                  </w:r>
                  <w:r>
                    <w:rPr>
                      <w:rFonts w:hint="eastAsia"/>
                      <w:color w:val="auto"/>
                      <w:sz w:val="21"/>
                      <w:szCs w:val="21"/>
                    </w:rPr>
                    <w:t>mg/m</w:t>
                  </w:r>
                  <w:r>
                    <w:rPr>
                      <w:rFonts w:hint="eastAsia"/>
                      <w:color w:val="auto"/>
                      <w:sz w:val="21"/>
                      <w:szCs w:val="21"/>
                      <w:vertAlign w:val="superscript"/>
                    </w:rPr>
                    <w:t>3</w:t>
                  </w:r>
                </w:p>
              </w:tc>
              <w:tc>
                <w:tcPr>
                  <w:tcW w:w="570" w:type="pct"/>
                  <w:shd w:val="clear" w:color="auto" w:fill="auto"/>
                  <w:vAlign w:val="center"/>
                </w:tcPr>
                <w:p w14:paraId="1D37D94E">
                  <w:pPr>
                    <w:pStyle w:val="40"/>
                    <w:jc w:val="center"/>
                    <w:rPr>
                      <w:rFonts w:cs="Times New Roman"/>
                      <w:bCs/>
                      <w:color w:val="auto"/>
                      <w:sz w:val="21"/>
                      <w:szCs w:val="21"/>
                    </w:rPr>
                  </w:pPr>
                  <w:r>
                    <w:rPr>
                      <w:rFonts w:hint="eastAsia" w:cs="Times New Roman"/>
                      <w:bCs/>
                      <w:color w:val="auto"/>
                      <w:sz w:val="21"/>
                      <w:szCs w:val="21"/>
                    </w:rPr>
                    <w:t>19</w:t>
                  </w:r>
                  <w:r>
                    <w:rPr>
                      <w:rFonts w:cs="Times New Roman"/>
                      <w:bCs/>
                      <w:color w:val="auto"/>
                      <w:sz w:val="21"/>
                      <w:szCs w:val="21"/>
                    </w:rPr>
                    <w:t>%</w:t>
                  </w:r>
                </w:p>
              </w:tc>
              <w:tc>
                <w:tcPr>
                  <w:tcW w:w="300" w:type="pct"/>
                  <w:shd w:val="clear" w:color="auto" w:fill="auto"/>
                  <w:vAlign w:val="center"/>
                </w:tcPr>
                <w:p w14:paraId="2682760C">
                  <w:pPr>
                    <w:pStyle w:val="40"/>
                    <w:jc w:val="center"/>
                    <w:rPr>
                      <w:rFonts w:cs="Times New Roman"/>
                      <w:bCs/>
                      <w:color w:val="auto"/>
                      <w:sz w:val="21"/>
                      <w:szCs w:val="21"/>
                    </w:rPr>
                  </w:pPr>
                  <w:r>
                    <w:rPr>
                      <w:rFonts w:cs="Times New Roman"/>
                      <w:bCs/>
                      <w:color w:val="auto"/>
                      <w:sz w:val="21"/>
                      <w:szCs w:val="21"/>
                    </w:rPr>
                    <w:t>/</w:t>
                  </w:r>
                </w:p>
              </w:tc>
              <w:tc>
                <w:tcPr>
                  <w:tcW w:w="424" w:type="pct"/>
                  <w:vMerge w:val="restart"/>
                  <w:shd w:val="clear" w:color="auto" w:fill="auto"/>
                  <w:vAlign w:val="center"/>
                </w:tcPr>
                <w:p w14:paraId="3AA60A3B">
                  <w:pPr>
                    <w:pStyle w:val="40"/>
                    <w:jc w:val="center"/>
                    <w:rPr>
                      <w:rFonts w:cs="Times New Roman"/>
                      <w:bCs/>
                      <w:color w:val="auto"/>
                      <w:sz w:val="21"/>
                      <w:szCs w:val="21"/>
                    </w:rPr>
                  </w:pPr>
                  <w:r>
                    <w:rPr>
                      <w:rFonts w:cs="Times New Roman"/>
                      <w:bCs/>
                      <w:color w:val="auto"/>
                      <w:sz w:val="21"/>
                      <w:szCs w:val="21"/>
                    </w:rPr>
                    <w:t>达标</w:t>
                  </w:r>
                </w:p>
              </w:tc>
            </w:tr>
            <w:tr w14:paraId="7785A1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1398288E">
                  <w:pPr>
                    <w:pStyle w:val="40"/>
                    <w:jc w:val="center"/>
                    <w:rPr>
                      <w:rFonts w:cs="Times New Roman" w:eastAsiaTheme="minorEastAsia"/>
                      <w:bCs/>
                      <w:color w:val="auto"/>
                      <w:sz w:val="21"/>
                      <w:szCs w:val="21"/>
                    </w:rPr>
                  </w:pPr>
                </w:p>
              </w:tc>
              <w:tc>
                <w:tcPr>
                  <w:tcW w:w="981" w:type="pct"/>
                  <w:shd w:val="clear" w:color="auto" w:fill="auto"/>
                  <w:vAlign w:val="center"/>
                </w:tcPr>
                <w:p w14:paraId="689479E4">
                  <w:pPr>
                    <w:pStyle w:val="40"/>
                    <w:jc w:val="center"/>
                    <w:rPr>
                      <w:rFonts w:cs="Times New Roman"/>
                      <w:bCs/>
                      <w:color w:val="auto"/>
                      <w:sz w:val="21"/>
                      <w:szCs w:val="21"/>
                    </w:rPr>
                  </w:pPr>
                  <w:r>
                    <w:rPr>
                      <w:rFonts w:hint="eastAsia" w:cs="Times New Roman"/>
                      <w:bCs/>
                      <w:color w:val="auto"/>
                      <w:sz w:val="21"/>
                      <w:szCs w:val="21"/>
                    </w:rPr>
                    <w:t>硫酸雾</w:t>
                  </w:r>
                </w:p>
              </w:tc>
              <w:tc>
                <w:tcPr>
                  <w:tcW w:w="464" w:type="pct"/>
                  <w:shd w:val="clear" w:color="auto" w:fill="auto"/>
                  <w:vAlign w:val="center"/>
                </w:tcPr>
                <w:p w14:paraId="1AD8098A">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7BBF0790">
                  <w:pPr>
                    <w:pStyle w:val="40"/>
                    <w:jc w:val="center"/>
                    <w:rPr>
                      <w:rFonts w:cs="Times New Roman"/>
                      <w:bCs/>
                      <w:color w:val="auto"/>
                      <w:sz w:val="21"/>
                      <w:szCs w:val="21"/>
                    </w:rPr>
                  </w:pPr>
                  <w:r>
                    <w:rPr>
                      <w:rFonts w:hint="eastAsia" w:cs="Times New Roman"/>
                      <w:bCs/>
                      <w:color w:val="auto"/>
                      <w:sz w:val="21"/>
                      <w:szCs w:val="21"/>
                    </w:rPr>
                    <w:t>300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68726B07">
                  <w:pPr>
                    <w:pStyle w:val="40"/>
                    <w:jc w:val="center"/>
                    <w:rPr>
                      <w:rFonts w:cs="Times New Roman"/>
                      <w:bCs/>
                      <w:color w:val="auto"/>
                      <w:sz w:val="21"/>
                      <w:szCs w:val="21"/>
                    </w:rPr>
                  </w:pPr>
                  <w:r>
                    <w:rPr>
                      <w:rFonts w:hint="eastAsia" w:cs="Times New Roman"/>
                      <w:bCs/>
                      <w:color w:val="auto"/>
                      <w:sz w:val="21"/>
                      <w:szCs w:val="21"/>
                    </w:rPr>
                    <w:t>5~8</w:t>
                  </w:r>
                  <w:r>
                    <w:rPr>
                      <w:rFonts w:cs="Times New Roman"/>
                      <w:bCs/>
                      <w:color w:val="auto"/>
                      <w:sz w:val="21"/>
                      <w:szCs w:val="21"/>
                    </w:rPr>
                    <w:t>μg/m</w:t>
                  </w:r>
                  <w:r>
                    <w:rPr>
                      <w:rFonts w:cs="Times New Roman"/>
                      <w:bCs/>
                      <w:color w:val="auto"/>
                      <w:sz w:val="21"/>
                      <w:szCs w:val="21"/>
                      <w:vertAlign w:val="superscript"/>
                    </w:rPr>
                    <w:t>3</w:t>
                  </w:r>
                </w:p>
              </w:tc>
              <w:tc>
                <w:tcPr>
                  <w:tcW w:w="570" w:type="pct"/>
                  <w:shd w:val="clear" w:color="auto" w:fill="auto"/>
                  <w:vAlign w:val="center"/>
                </w:tcPr>
                <w:p w14:paraId="10AA4863">
                  <w:pPr>
                    <w:pStyle w:val="40"/>
                    <w:jc w:val="center"/>
                    <w:rPr>
                      <w:rFonts w:cs="Times New Roman"/>
                      <w:bCs/>
                      <w:color w:val="auto"/>
                      <w:sz w:val="21"/>
                      <w:szCs w:val="21"/>
                    </w:rPr>
                  </w:pPr>
                  <w:r>
                    <w:rPr>
                      <w:rFonts w:hint="eastAsia" w:cs="Times New Roman"/>
                      <w:bCs/>
                      <w:color w:val="auto"/>
                      <w:sz w:val="21"/>
                      <w:szCs w:val="21"/>
                    </w:rPr>
                    <w:t>2.67%</w:t>
                  </w:r>
                </w:p>
              </w:tc>
              <w:tc>
                <w:tcPr>
                  <w:tcW w:w="300" w:type="pct"/>
                  <w:shd w:val="clear" w:color="auto" w:fill="auto"/>
                  <w:vAlign w:val="center"/>
                </w:tcPr>
                <w:p w14:paraId="7DF30E3F">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06EF4E54">
                  <w:pPr>
                    <w:pStyle w:val="40"/>
                    <w:jc w:val="center"/>
                    <w:rPr>
                      <w:rFonts w:cs="Times New Roman"/>
                      <w:bCs/>
                      <w:color w:val="auto"/>
                      <w:sz w:val="21"/>
                      <w:szCs w:val="21"/>
                    </w:rPr>
                  </w:pPr>
                </w:p>
              </w:tc>
            </w:tr>
            <w:tr w14:paraId="41524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6AF4D410">
                  <w:pPr>
                    <w:pStyle w:val="40"/>
                    <w:jc w:val="center"/>
                    <w:rPr>
                      <w:color w:val="auto"/>
                    </w:rPr>
                  </w:pPr>
                </w:p>
              </w:tc>
              <w:tc>
                <w:tcPr>
                  <w:tcW w:w="981" w:type="pct"/>
                  <w:shd w:val="clear" w:color="auto" w:fill="auto"/>
                  <w:vAlign w:val="center"/>
                </w:tcPr>
                <w:p w14:paraId="76572A7C">
                  <w:pPr>
                    <w:pStyle w:val="40"/>
                    <w:jc w:val="center"/>
                    <w:rPr>
                      <w:rFonts w:cs="Times New Roman"/>
                      <w:color w:val="auto"/>
                      <w:sz w:val="21"/>
                      <w:szCs w:val="21"/>
                    </w:rPr>
                  </w:pPr>
                  <w:r>
                    <w:rPr>
                      <w:rFonts w:cs="Times New Roman"/>
                      <w:color w:val="auto"/>
                      <w:sz w:val="21"/>
                      <w:szCs w:val="21"/>
                    </w:rPr>
                    <w:t>氯化氢</w:t>
                  </w:r>
                </w:p>
              </w:tc>
              <w:tc>
                <w:tcPr>
                  <w:tcW w:w="464" w:type="pct"/>
                  <w:shd w:val="clear" w:color="auto" w:fill="auto"/>
                  <w:vAlign w:val="center"/>
                </w:tcPr>
                <w:p w14:paraId="01AF2D27">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1FFBB43C">
                  <w:pPr>
                    <w:pStyle w:val="40"/>
                    <w:jc w:val="center"/>
                    <w:rPr>
                      <w:rFonts w:cs="Times New Roman"/>
                      <w:bCs/>
                      <w:color w:val="auto"/>
                      <w:sz w:val="21"/>
                      <w:szCs w:val="21"/>
                    </w:rPr>
                  </w:pPr>
                  <w:r>
                    <w:rPr>
                      <w:rFonts w:hint="eastAsia" w:cs="Times New Roman"/>
                      <w:bCs/>
                      <w:color w:val="auto"/>
                      <w:sz w:val="21"/>
                      <w:szCs w:val="21"/>
                    </w:rPr>
                    <w:t>50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1F302233">
                  <w:pPr>
                    <w:pStyle w:val="40"/>
                    <w:jc w:val="center"/>
                    <w:rPr>
                      <w:rFonts w:cs="Times New Roman"/>
                      <w:bCs/>
                      <w:color w:val="auto"/>
                      <w:sz w:val="21"/>
                      <w:szCs w:val="21"/>
                    </w:rPr>
                  </w:pPr>
                  <w:r>
                    <w:rPr>
                      <w:rFonts w:hint="eastAsia" w:cs="Times New Roman"/>
                      <w:bCs/>
                      <w:color w:val="auto"/>
                      <w:sz w:val="21"/>
                      <w:szCs w:val="21"/>
                    </w:rPr>
                    <w:t>38~49</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785AEAB3">
                  <w:pPr>
                    <w:pStyle w:val="40"/>
                    <w:jc w:val="center"/>
                    <w:rPr>
                      <w:rFonts w:cs="Times New Roman"/>
                      <w:bCs/>
                      <w:color w:val="auto"/>
                      <w:sz w:val="21"/>
                      <w:szCs w:val="21"/>
                    </w:rPr>
                  </w:pPr>
                  <w:r>
                    <w:rPr>
                      <w:rFonts w:hint="eastAsia" w:cs="Times New Roman"/>
                      <w:bCs/>
                      <w:color w:val="auto"/>
                      <w:sz w:val="21"/>
                      <w:szCs w:val="21"/>
                    </w:rPr>
                    <w:t>98%</w:t>
                  </w:r>
                </w:p>
              </w:tc>
              <w:tc>
                <w:tcPr>
                  <w:tcW w:w="300" w:type="pct"/>
                  <w:shd w:val="clear" w:color="auto" w:fill="auto"/>
                  <w:vAlign w:val="center"/>
                </w:tcPr>
                <w:p w14:paraId="23D5EB3E">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218A3482">
                  <w:pPr>
                    <w:pStyle w:val="40"/>
                    <w:jc w:val="center"/>
                    <w:rPr>
                      <w:rFonts w:cs="Times New Roman"/>
                      <w:bCs/>
                      <w:color w:val="auto"/>
                      <w:sz w:val="21"/>
                      <w:szCs w:val="21"/>
                    </w:rPr>
                  </w:pPr>
                </w:p>
              </w:tc>
            </w:tr>
            <w:tr w14:paraId="46DCF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0997654E">
                  <w:pPr>
                    <w:pStyle w:val="40"/>
                    <w:jc w:val="center"/>
                    <w:rPr>
                      <w:rFonts w:cs="Times New Roman"/>
                      <w:bCs/>
                      <w:color w:val="auto"/>
                      <w:sz w:val="21"/>
                      <w:szCs w:val="21"/>
                    </w:rPr>
                  </w:pPr>
                </w:p>
              </w:tc>
              <w:tc>
                <w:tcPr>
                  <w:tcW w:w="981" w:type="pct"/>
                  <w:vMerge w:val="restart"/>
                  <w:shd w:val="clear" w:color="auto" w:fill="auto"/>
                  <w:vAlign w:val="center"/>
                </w:tcPr>
                <w:p w14:paraId="2FE8AC66">
                  <w:pPr>
                    <w:pStyle w:val="40"/>
                    <w:jc w:val="center"/>
                    <w:rPr>
                      <w:rFonts w:cs="Times New Roman"/>
                      <w:bCs/>
                      <w:color w:val="auto"/>
                      <w:sz w:val="21"/>
                      <w:szCs w:val="21"/>
                    </w:rPr>
                  </w:pPr>
                  <w:r>
                    <w:rPr>
                      <w:rFonts w:cs="Times New Roman"/>
                      <w:bCs/>
                      <w:color w:val="auto"/>
                      <w:sz w:val="21"/>
                      <w:szCs w:val="21"/>
                    </w:rPr>
                    <w:t>氮氧化物</w:t>
                  </w:r>
                </w:p>
              </w:tc>
              <w:tc>
                <w:tcPr>
                  <w:tcW w:w="464" w:type="pct"/>
                  <w:shd w:val="clear" w:color="auto" w:fill="auto"/>
                  <w:vAlign w:val="center"/>
                </w:tcPr>
                <w:p w14:paraId="549B00D9">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5450393D">
                  <w:pPr>
                    <w:pStyle w:val="40"/>
                    <w:jc w:val="center"/>
                    <w:rPr>
                      <w:rFonts w:cs="Times New Roman"/>
                      <w:bCs/>
                      <w:color w:val="auto"/>
                      <w:sz w:val="21"/>
                      <w:szCs w:val="21"/>
                    </w:rPr>
                  </w:pPr>
                  <w:r>
                    <w:rPr>
                      <w:rFonts w:hint="eastAsia" w:cs="Times New Roman"/>
                      <w:bCs/>
                      <w:color w:val="auto"/>
                      <w:sz w:val="21"/>
                      <w:szCs w:val="21"/>
                    </w:rPr>
                    <w:t>250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50306B99">
                  <w:pPr>
                    <w:pStyle w:val="40"/>
                    <w:jc w:val="center"/>
                    <w:rPr>
                      <w:rFonts w:cs="Times New Roman"/>
                      <w:bCs/>
                      <w:color w:val="auto"/>
                      <w:sz w:val="21"/>
                      <w:szCs w:val="21"/>
                    </w:rPr>
                  </w:pPr>
                  <w:r>
                    <w:rPr>
                      <w:rFonts w:hint="eastAsia" w:cs="Times New Roman"/>
                      <w:bCs/>
                      <w:color w:val="auto"/>
                      <w:sz w:val="21"/>
                      <w:szCs w:val="21"/>
                    </w:rPr>
                    <w:t>34~51</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463D6B71">
                  <w:pPr>
                    <w:pStyle w:val="40"/>
                    <w:jc w:val="center"/>
                    <w:rPr>
                      <w:rFonts w:cs="Times New Roman"/>
                      <w:bCs/>
                      <w:color w:val="auto"/>
                      <w:sz w:val="21"/>
                      <w:szCs w:val="21"/>
                    </w:rPr>
                  </w:pPr>
                  <w:r>
                    <w:rPr>
                      <w:rFonts w:hint="eastAsia" w:cs="Times New Roman"/>
                      <w:bCs/>
                      <w:color w:val="auto"/>
                      <w:sz w:val="21"/>
                      <w:szCs w:val="21"/>
                    </w:rPr>
                    <w:t>20.4%</w:t>
                  </w:r>
                </w:p>
              </w:tc>
              <w:tc>
                <w:tcPr>
                  <w:tcW w:w="300" w:type="pct"/>
                  <w:shd w:val="clear" w:color="auto" w:fill="auto"/>
                  <w:vAlign w:val="center"/>
                </w:tcPr>
                <w:p w14:paraId="27686021">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392697E0">
                  <w:pPr>
                    <w:pStyle w:val="40"/>
                    <w:jc w:val="center"/>
                    <w:rPr>
                      <w:rFonts w:cs="Times New Roman"/>
                      <w:bCs/>
                      <w:color w:val="auto"/>
                      <w:sz w:val="21"/>
                      <w:szCs w:val="21"/>
                    </w:rPr>
                  </w:pPr>
                </w:p>
              </w:tc>
            </w:tr>
            <w:tr w14:paraId="6AE22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0059241F">
                  <w:pPr>
                    <w:pStyle w:val="40"/>
                    <w:jc w:val="center"/>
                    <w:rPr>
                      <w:color w:val="auto"/>
                    </w:rPr>
                  </w:pPr>
                </w:p>
              </w:tc>
              <w:tc>
                <w:tcPr>
                  <w:tcW w:w="981" w:type="pct"/>
                  <w:vMerge w:val="continue"/>
                  <w:shd w:val="clear" w:color="auto" w:fill="auto"/>
                  <w:vAlign w:val="center"/>
                </w:tcPr>
                <w:p w14:paraId="420C214E">
                  <w:pPr>
                    <w:pStyle w:val="40"/>
                    <w:jc w:val="center"/>
                    <w:rPr>
                      <w:color w:val="auto"/>
                    </w:rPr>
                  </w:pPr>
                </w:p>
              </w:tc>
              <w:tc>
                <w:tcPr>
                  <w:tcW w:w="464" w:type="pct"/>
                  <w:shd w:val="clear" w:color="auto" w:fill="auto"/>
                  <w:vAlign w:val="center"/>
                </w:tcPr>
                <w:p w14:paraId="1659A5CE">
                  <w:pPr>
                    <w:pStyle w:val="40"/>
                    <w:jc w:val="center"/>
                    <w:rPr>
                      <w:rFonts w:cs="Times New Roman"/>
                      <w:bCs/>
                      <w:color w:val="auto"/>
                      <w:sz w:val="21"/>
                      <w:szCs w:val="21"/>
                    </w:rPr>
                  </w:pPr>
                  <w:r>
                    <w:rPr>
                      <w:rFonts w:hint="eastAsia" w:cs="Times New Roman"/>
                      <w:bCs/>
                      <w:color w:val="auto"/>
                      <w:sz w:val="21"/>
                      <w:szCs w:val="21"/>
                    </w:rPr>
                    <w:t>24h</w:t>
                  </w:r>
                </w:p>
              </w:tc>
              <w:tc>
                <w:tcPr>
                  <w:tcW w:w="710" w:type="pct"/>
                  <w:shd w:val="clear" w:color="auto" w:fill="auto"/>
                  <w:vAlign w:val="center"/>
                </w:tcPr>
                <w:p w14:paraId="5158AAF8">
                  <w:pPr>
                    <w:pStyle w:val="40"/>
                    <w:jc w:val="center"/>
                    <w:rPr>
                      <w:rFonts w:cs="Times New Roman"/>
                      <w:bCs/>
                      <w:color w:val="auto"/>
                      <w:sz w:val="21"/>
                      <w:szCs w:val="21"/>
                    </w:rPr>
                  </w:pPr>
                  <w:r>
                    <w:rPr>
                      <w:rFonts w:hint="eastAsia" w:cs="Times New Roman"/>
                      <w:bCs/>
                      <w:color w:val="auto"/>
                      <w:sz w:val="21"/>
                      <w:szCs w:val="21"/>
                    </w:rPr>
                    <w:t>100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61E1EF84">
                  <w:pPr>
                    <w:pStyle w:val="40"/>
                    <w:jc w:val="center"/>
                    <w:rPr>
                      <w:rFonts w:cs="Times New Roman"/>
                      <w:bCs/>
                      <w:color w:val="auto"/>
                      <w:sz w:val="21"/>
                      <w:szCs w:val="21"/>
                    </w:rPr>
                  </w:pPr>
                  <w:r>
                    <w:rPr>
                      <w:rFonts w:hint="eastAsia" w:cs="Times New Roman"/>
                      <w:bCs/>
                      <w:color w:val="auto"/>
                      <w:sz w:val="21"/>
                      <w:szCs w:val="21"/>
                    </w:rPr>
                    <w:t>40~44</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62B2D470">
                  <w:pPr>
                    <w:pStyle w:val="40"/>
                    <w:jc w:val="center"/>
                    <w:rPr>
                      <w:rFonts w:cs="Times New Roman"/>
                      <w:bCs/>
                      <w:color w:val="auto"/>
                      <w:sz w:val="21"/>
                      <w:szCs w:val="21"/>
                    </w:rPr>
                  </w:pPr>
                  <w:r>
                    <w:rPr>
                      <w:rFonts w:hint="eastAsia" w:cs="Times New Roman"/>
                      <w:bCs/>
                      <w:color w:val="auto"/>
                      <w:sz w:val="21"/>
                      <w:szCs w:val="21"/>
                    </w:rPr>
                    <w:t>44%</w:t>
                  </w:r>
                </w:p>
              </w:tc>
              <w:tc>
                <w:tcPr>
                  <w:tcW w:w="300" w:type="pct"/>
                  <w:shd w:val="clear" w:color="auto" w:fill="auto"/>
                  <w:vAlign w:val="center"/>
                </w:tcPr>
                <w:p w14:paraId="7C1ED7AD">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5E8DD928">
                  <w:pPr>
                    <w:pStyle w:val="40"/>
                    <w:jc w:val="center"/>
                    <w:rPr>
                      <w:rFonts w:cs="Times New Roman"/>
                      <w:bCs/>
                      <w:color w:val="auto"/>
                      <w:sz w:val="21"/>
                      <w:szCs w:val="21"/>
                    </w:rPr>
                  </w:pPr>
                </w:p>
              </w:tc>
            </w:tr>
            <w:tr w14:paraId="0D4062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4AAF004E">
                  <w:pPr>
                    <w:pStyle w:val="40"/>
                    <w:jc w:val="center"/>
                    <w:rPr>
                      <w:rFonts w:cs="Times New Roman"/>
                      <w:bCs/>
                      <w:color w:val="auto"/>
                      <w:sz w:val="21"/>
                      <w:szCs w:val="21"/>
                    </w:rPr>
                  </w:pPr>
                </w:p>
              </w:tc>
              <w:tc>
                <w:tcPr>
                  <w:tcW w:w="981" w:type="pct"/>
                  <w:shd w:val="clear" w:color="auto" w:fill="auto"/>
                  <w:vAlign w:val="center"/>
                </w:tcPr>
                <w:p w14:paraId="0C771D52">
                  <w:pPr>
                    <w:pStyle w:val="40"/>
                    <w:jc w:val="center"/>
                    <w:rPr>
                      <w:rFonts w:cs="Times New Roman"/>
                      <w:bCs/>
                      <w:color w:val="auto"/>
                      <w:sz w:val="21"/>
                      <w:szCs w:val="21"/>
                    </w:rPr>
                  </w:pPr>
                  <w:r>
                    <w:rPr>
                      <w:rFonts w:hint="eastAsia"/>
                      <w:color w:val="auto"/>
                      <w:sz w:val="21"/>
                      <w:szCs w:val="21"/>
                    </w:rPr>
                    <w:t>总悬浮颗粒物</w:t>
                  </w:r>
                </w:p>
              </w:tc>
              <w:tc>
                <w:tcPr>
                  <w:tcW w:w="464" w:type="pct"/>
                  <w:shd w:val="clear" w:color="auto" w:fill="auto"/>
                  <w:vAlign w:val="center"/>
                </w:tcPr>
                <w:p w14:paraId="640E28A4">
                  <w:pPr>
                    <w:pStyle w:val="40"/>
                    <w:jc w:val="center"/>
                    <w:rPr>
                      <w:rFonts w:cs="Times New Roman"/>
                      <w:bCs/>
                      <w:color w:val="auto"/>
                      <w:sz w:val="21"/>
                      <w:szCs w:val="21"/>
                    </w:rPr>
                  </w:pPr>
                  <w:r>
                    <w:rPr>
                      <w:rFonts w:hint="eastAsia" w:cs="Times New Roman"/>
                      <w:bCs/>
                      <w:color w:val="auto"/>
                      <w:sz w:val="21"/>
                      <w:szCs w:val="21"/>
                    </w:rPr>
                    <w:t>24h</w:t>
                  </w:r>
                </w:p>
              </w:tc>
              <w:tc>
                <w:tcPr>
                  <w:tcW w:w="710" w:type="pct"/>
                  <w:shd w:val="clear" w:color="auto" w:fill="auto"/>
                  <w:vAlign w:val="center"/>
                </w:tcPr>
                <w:p w14:paraId="31C95690">
                  <w:pPr>
                    <w:pStyle w:val="40"/>
                    <w:jc w:val="center"/>
                    <w:rPr>
                      <w:rFonts w:cs="Times New Roman"/>
                      <w:bCs/>
                      <w:color w:val="auto"/>
                      <w:sz w:val="21"/>
                      <w:szCs w:val="21"/>
                    </w:rPr>
                  </w:pPr>
                  <w:r>
                    <w:rPr>
                      <w:rFonts w:hint="eastAsia" w:cs="Times New Roman"/>
                      <w:bCs/>
                      <w:color w:val="auto"/>
                      <w:sz w:val="21"/>
                      <w:szCs w:val="21"/>
                    </w:rPr>
                    <w:t>300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7966E9C8">
                  <w:pPr>
                    <w:pStyle w:val="40"/>
                    <w:jc w:val="center"/>
                    <w:rPr>
                      <w:rFonts w:cs="Times New Roman"/>
                      <w:bCs/>
                      <w:color w:val="auto"/>
                      <w:sz w:val="21"/>
                      <w:szCs w:val="21"/>
                    </w:rPr>
                  </w:pPr>
                  <w:r>
                    <w:rPr>
                      <w:rFonts w:hint="eastAsia" w:cs="Times New Roman"/>
                      <w:bCs/>
                      <w:color w:val="auto"/>
                      <w:sz w:val="21"/>
                      <w:szCs w:val="21"/>
                    </w:rPr>
                    <w:t>111~130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6140B6C3">
                  <w:pPr>
                    <w:pStyle w:val="40"/>
                    <w:jc w:val="center"/>
                    <w:rPr>
                      <w:rFonts w:cs="Times New Roman"/>
                      <w:bCs/>
                      <w:color w:val="auto"/>
                      <w:sz w:val="21"/>
                      <w:szCs w:val="21"/>
                    </w:rPr>
                  </w:pPr>
                  <w:r>
                    <w:rPr>
                      <w:rFonts w:hint="eastAsia" w:cs="Times New Roman"/>
                      <w:bCs/>
                      <w:color w:val="auto"/>
                      <w:sz w:val="21"/>
                      <w:szCs w:val="21"/>
                    </w:rPr>
                    <w:t>43.33%</w:t>
                  </w:r>
                </w:p>
              </w:tc>
              <w:tc>
                <w:tcPr>
                  <w:tcW w:w="300" w:type="pct"/>
                  <w:shd w:val="clear" w:color="auto" w:fill="auto"/>
                  <w:vAlign w:val="center"/>
                </w:tcPr>
                <w:p w14:paraId="6CA15937">
                  <w:pPr>
                    <w:pStyle w:val="40"/>
                    <w:jc w:val="center"/>
                    <w:rPr>
                      <w:rFonts w:cs="Times New Roman"/>
                      <w:bCs/>
                      <w:color w:val="auto"/>
                      <w:sz w:val="21"/>
                      <w:szCs w:val="21"/>
                    </w:rPr>
                  </w:pPr>
                </w:p>
              </w:tc>
              <w:tc>
                <w:tcPr>
                  <w:tcW w:w="424" w:type="pct"/>
                  <w:vMerge w:val="continue"/>
                  <w:shd w:val="clear" w:color="auto" w:fill="auto"/>
                  <w:vAlign w:val="center"/>
                </w:tcPr>
                <w:p w14:paraId="6D09EF17">
                  <w:pPr>
                    <w:pStyle w:val="40"/>
                    <w:jc w:val="center"/>
                    <w:rPr>
                      <w:rFonts w:cs="Times New Roman"/>
                      <w:bCs/>
                      <w:color w:val="auto"/>
                      <w:sz w:val="21"/>
                      <w:szCs w:val="21"/>
                    </w:rPr>
                  </w:pPr>
                </w:p>
              </w:tc>
            </w:tr>
            <w:tr w14:paraId="46A562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restart"/>
                  <w:shd w:val="clear" w:color="auto" w:fill="auto"/>
                  <w:vAlign w:val="center"/>
                </w:tcPr>
                <w:p w14:paraId="3A995850">
                  <w:pPr>
                    <w:pStyle w:val="40"/>
                    <w:jc w:val="center"/>
                    <w:rPr>
                      <w:rFonts w:cs="Times New Roman" w:eastAsiaTheme="minorEastAsia"/>
                      <w:bCs/>
                      <w:color w:val="auto"/>
                      <w:sz w:val="21"/>
                      <w:szCs w:val="21"/>
                    </w:rPr>
                  </w:pPr>
                  <w:r>
                    <w:rPr>
                      <w:rFonts w:hint="eastAsia" w:cs="Times New Roman" w:eastAsiaTheme="minorEastAsia"/>
                      <w:bCs/>
                      <w:color w:val="auto"/>
                      <w:sz w:val="21"/>
                      <w:szCs w:val="21"/>
                    </w:rPr>
                    <w:t>2#</w:t>
                  </w:r>
                  <w:r>
                    <w:rPr>
                      <w:rFonts w:cs="Times New Roman"/>
                      <w:bCs/>
                      <w:color w:val="auto"/>
                      <w:sz w:val="21"/>
                      <w:szCs w:val="21"/>
                    </w:rPr>
                    <w:t>沣华熙城小区西南侧（项目所在地下风向440m处）</w:t>
                  </w:r>
                </w:p>
              </w:tc>
              <w:tc>
                <w:tcPr>
                  <w:tcW w:w="981" w:type="pct"/>
                  <w:shd w:val="clear" w:color="auto" w:fill="auto"/>
                  <w:vAlign w:val="center"/>
                </w:tcPr>
                <w:p w14:paraId="5C77CE5F">
                  <w:pPr>
                    <w:pStyle w:val="40"/>
                    <w:jc w:val="center"/>
                    <w:rPr>
                      <w:rFonts w:cs="Times New Roman"/>
                      <w:bCs/>
                      <w:color w:val="auto"/>
                      <w:sz w:val="21"/>
                      <w:szCs w:val="21"/>
                    </w:rPr>
                  </w:pPr>
                  <w:r>
                    <w:rPr>
                      <w:rFonts w:cs="Times New Roman"/>
                      <w:bCs/>
                      <w:color w:val="auto"/>
                      <w:sz w:val="21"/>
                      <w:szCs w:val="21"/>
                    </w:rPr>
                    <w:t>非甲烷总烃</w:t>
                  </w:r>
                </w:p>
              </w:tc>
              <w:tc>
                <w:tcPr>
                  <w:tcW w:w="464" w:type="pct"/>
                  <w:shd w:val="clear" w:color="auto" w:fill="auto"/>
                  <w:vAlign w:val="center"/>
                </w:tcPr>
                <w:p w14:paraId="3B024A3B">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7122A398">
                  <w:pPr>
                    <w:pStyle w:val="40"/>
                    <w:jc w:val="center"/>
                    <w:rPr>
                      <w:rFonts w:cs="Times New Roman"/>
                      <w:bCs/>
                      <w:color w:val="auto"/>
                      <w:sz w:val="21"/>
                      <w:szCs w:val="21"/>
                    </w:rPr>
                  </w:pPr>
                  <w:r>
                    <w:rPr>
                      <w:rFonts w:cs="Times New Roman"/>
                      <w:bCs/>
                      <w:color w:val="auto"/>
                      <w:sz w:val="21"/>
                      <w:szCs w:val="21"/>
                    </w:rPr>
                    <w:t>2</w:t>
                  </w:r>
                  <w:r>
                    <w:rPr>
                      <w:rFonts w:hint="eastAsia"/>
                      <w:color w:val="auto"/>
                      <w:sz w:val="21"/>
                      <w:szCs w:val="21"/>
                    </w:rPr>
                    <w:t>mg/m</w:t>
                  </w:r>
                  <w:r>
                    <w:rPr>
                      <w:rFonts w:hint="eastAsia"/>
                      <w:color w:val="auto"/>
                      <w:sz w:val="21"/>
                      <w:szCs w:val="21"/>
                      <w:vertAlign w:val="superscript"/>
                    </w:rPr>
                    <w:t>3</w:t>
                  </w:r>
                </w:p>
              </w:tc>
              <w:tc>
                <w:tcPr>
                  <w:tcW w:w="1078" w:type="pct"/>
                  <w:shd w:val="clear" w:color="auto" w:fill="auto"/>
                  <w:vAlign w:val="center"/>
                </w:tcPr>
                <w:p w14:paraId="0BF12C3F">
                  <w:pPr>
                    <w:pStyle w:val="40"/>
                    <w:jc w:val="center"/>
                    <w:rPr>
                      <w:rFonts w:cs="Times New Roman"/>
                      <w:bCs/>
                      <w:color w:val="auto"/>
                      <w:sz w:val="21"/>
                      <w:szCs w:val="21"/>
                    </w:rPr>
                  </w:pPr>
                  <w:r>
                    <w:rPr>
                      <w:rFonts w:hint="eastAsia" w:cs="Times New Roman"/>
                      <w:bCs/>
                      <w:color w:val="auto"/>
                      <w:sz w:val="21"/>
                      <w:szCs w:val="21"/>
                    </w:rPr>
                    <w:t>0.29~0.41</w:t>
                  </w:r>
                  <w:r>
                    <w:rPr>
                      <w:rFonts w:hint="eastAsia"/>
                      <w:color w:val="auto"/>
                      <w:sz w:val="21"/>
                      <w:szCs w:val="21"/>
                    </w:rPr>
                    <w:t>mg/m</w:t>
                  </w:r>
                  <w:r>
                    <w:rPr>
                      <w:rFonts w:hint="eastAsia"/>
                      <w:color w:val="auto"/>
                      <w:sz w:val="21"/>
                      <w:szCs w:val="21"/>
                      <w:vertAlign w:val="superscript"/>
                    </w:rPr>
                    <w:t>3</w:t>
                  </w:r>
                </w:p>
              </w:tc>
              <w:tc>
                <w:tcPr>
                  <w:tcW w:w="570" w:type="pct"/>
                  <w:shd w:val="clear" w:color="auto" w:fill="auto"/>
                  <w:vAlign w:val="center"/>
                </w:tcPr>
                <w:p w14:paraId="7A6339B2">
                  <w:pPr>
                    <w:pStyle w:val="40"/>
                    <w:jc w:val="center"/>
                    <w:rPr>
                      <w:rFonts w:cs="Times New Roman"/>
                      <w:bCs/>
                      <w:color w:val="auto"/>
                      <w:sz w:val="21"/>
                      <w:szCs w:val="21"/>
                    </w:rPr>
                  </w:pPr>
                  <w:r>
                    <w:rPr>
                      <w:rFonts w:hint="eastAsia" w:cs="Times New Roman"/>
                      <w:bCs/>
                      <w:color w:val="auto"/>
                      <w:sz w:val="21"/>
                      <w:szCs w:val="21"/>
                    </w:rPr>
                    <w:t>20.5%</w:t>
                  </w:r>
                </w:p>
              </w:tc>
              <w:tc>
                <w:tcPr>
                  <w:tcW w:w="300" w:type="pct"/>
                  <w:shd w:val="clear" w:color="auto" w:fill="auto"/>
                  <w:vAlign w:val="center"/>
                </w:tcPr>
                <w:p w14:paraId="58415B8A">
                  <w:pPr>
                    <w:pStyle w:val="40"/>
                    <w:jc w:val="center"/>
                    <w:rPr>
                      <w:rFonts w:cs="Times New Roman"/>
                      <w:bCs/>
                      <w:color w:val="auto"/>
                      <w:sz w:val="21"/>
                      <w:szCs w:val="21"/>
                    </w:rPr>
                  </w:pPr>
                  <w:r>
                    <w:rPr>
                      <w:rFonts w:hint="eastAsia" w:cs="Times New Roman"/>
                      <w:bCs/>
                      <w:color w:val="auto"/>
                      <w:sz w:val="21"/>
                      <w:szCs w:val="21"/>
                    </w:rPr>
                    <w:t>/</w:t>
                  </w:r>
                </w:p>
              </w:tc>
              <w:tc>
                <w:tcPr>
                  <w:tcW w:w="424" w:type="pct"/>
                  <w:vMerge w:val="restart"/>
                  <w:shd w:val="clear" w:color="auto" w:fill="auto"/>
                  <w:vAlign w:val="center"/>
                </w:tcPr>
                <w:p w14:paraId="1B400E9A">
                  <w:pPr>
                    <w:pStyle w:val="40"/>
                    <w:jc w:val="center"/>
                    <w:rPr>
                      <w:rFonts w:cs="Times New Roman"/>
                      <w:bCs/>
                      <w:color w:val="auto"/>
                      <w:sz w:val="21"/>
                      <w:szCs w:val="21"/>
                    </w:rPr>
                  </w:pPr>
                  <w:r>
                    <w:rPr>
                      <w:rFonts w:hint="eastAsia" w:cs="Times New Roman"/>
                      <w:bCs/>
                      <w:color w:val="auto"/>
                      <w:sz w:val="21"/>
                      <w:szCs w:val="21"/>
                    </w:rPr>
                    <w:t>达标</w:t>
                  </w:r>
                </w:p>
              </w:tc>
            </w:tr>
            <w:tr w14:paraId="62AEF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1CCF539B">
                  <w:pPr>
                    <w:pStyle w:val="40"/>
                    <w:jc w:val="center"/>
                    <w:rPr>
                      <w:rFonts w:cs="Times New Roman" w:eastAsiaTheme="minorEastAsia"/>
                      <w:bCs/>
                      <w:color w:val="auto"/>
                      <w:sz w:val="21"/>
                      <w:szCs w:val="21"/>
                    </w:rPr>
                  </w:pPr>
                </w:p>
              </w:tc>
              <w:tc>
                <w:tcPr>
                  <w:tcW w:w="981" w:type="pct"/>
                  <w:shd w:val="clear" w:color="auto" w:fill="auto"/>
                  <w:vAlign w:val="center"/>
                </w:tcPr>
                <w:p w14:paraId="01847EDF">
                  <w:pPr>
                    <w:pStyle w:val="40"/>
                    <w:jc w:val="center"/>
                    <w:rPr>
                      <w:rFonts w:cs="Times New Roman"/>
                      <w:bCs/>
                      <w:color w:val="auto"/>
                      <w:sz w:val="21"/>
                      <w:szCs w:val="21"/>
                    </w:rPr>
                  </w:pPr>
                  <w:r>
                    <w:rPr>
                      <w:rFonts w:hint="eastAsia" w:cs="Times New Roman"/>
                      <w:bCs/>
                      <w:color w:val="auto"/>
                      <w:sz w:val="21"/>
                      <w:szCs w:val="21"/>
                    </w:rPr>
                    <w:t>硫酸雾</w:t>
                  </w:r>
                </w:p>
              </w:tc>
              <w:tc>
                <w:tcPr>
                  <w:tcW w:w="464" w:type="pct"/>
                  <w:shd w:val="clear" w:color="auto" w:fill="auto"/>
                  <w:vAlign w:val="center"/>
                </w:tcPr>
                <w:p w14:paraId="54CD8119">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4777CA1F">
                  <w:pPr>
                    <w:pStyle w:val="40"/>
                    <w:jc w:val="center"/>
                    <w:rPr>
                      <w:rFonts w:cs="Times New Roman"/>
                      <w:bCs/>
                      <w:color w:val="auto"/>
                      <w:sz w:val="21"/>
                      <w:szCs w:val="21"/>
                    </w:rPr>
                  </w:pPr>
                  <w:r>
                    <w:rPr>
                      <w:rFonts w:hint="eastAsia" w:cs="Times New Roman"/>
                      <w:bCs/>
                      <w:color w:val="auto"/>
                      <w:sz w:val="21"/>
                      <w:szCs w:val="21"/>
                    </w:rPr>
                    <w:t>300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747DE5B7">
                  <w:pPr>
                    <w:pStyle w:val="40"/>
                    <w:jc w:val="center"/>
                    <w:rPr>
                      <w:rFonts w:cs="Times New Roman"/>
                      <w:bCs/>
                      <w:color w:val="auto"/>
                      <w:sz w:val="21"/>
                      <w:szCs w:val="21"/>
                    </w:rPr>
                  </w:pPr>
                  <w:r>
                    <w:rPr>
                      <w:rFonts w:hint="eastAsia" w:cs="Times New Roman"/>
                      <w:bCs/>
                      <w:color w:val="auto"/>
                      <w:sz w:val="21"/>
                      <w:szCs w:val="21"/>
                    </w:rPr>
                    <w:t>4~9</w:t>
                  </w:r>
                  <w:r>
                    <w:rPr>
                      <w:rFonts w:cs="Times New Roman"/>
                      <w:bCs/>
                      <w:color w:val="auto"/>
                      <w:sz w:val="21"/>
                      <w:szCs w:val="21"/>
                    </w:rPr>
                    <w:t>μg/m</w:t>
                  </w:r>
                  <w:r>
                    <w:rPr>
                      <w:rFonts w:cs="Times New Roman"/>
                      <w:bCs/>
                      <w:color w:val="auto"/>
                      <w:sz w:val="21"/>
                      <w:szCs w:val="21"/>
                      <w:vertAlign w:val="superscript"/>
                    </w:rPr>
                    <w:t>3</w:t>
                  </w:r>
                </w:p>
              </w:tc>
              <w:tc>
                <w:tcPr>
                  <w:tcW w:w="570" w:type="pct"/>
                  <w:shd w:val="clear" w:color="auto" w:fill="auto"/>
                  <w:vAlign w:val="center"/>
                </w:tcPr>
                <w:p w14:paraId="2859E19D">
                  <w:pPr>
                    <w:pStyle w:val="40"/>
                    <w:jc w:val="center"/>
                    <w:rPr>
                      <w:rFonts w:cs="Times New Roman"/>
                      <w:bCs/>
                      <w:color w:val="auto"/>
                      <w:sz w:val="21"/>
                      <w:szCs w:val="21"/>
                    </w:rPr>
                  </w:pPr>
                  <w:r>
                    <w:rPr>
                      <w:rFonts w:hint="eastAsia" w:cs="Times New Roman"/>
                      <w:bCs/>
                      <w:color w:val="auto"/>
                      <w:sz w:val="21"/>
                      <w:szCs w:val="21"/>
                    </w:rPr>
                    <w:t>3%</w:t>
                  </w:r>
                </w:p>
              </w:tc>
              <w:tc>
                <w:tcPr>
                  <w:tcW w:w="300" w:type="pct"/>
                  <w:shd w:val="clear" w:color="auto" w:fill="auto"/>
                  <w:vAlign w:val="center"/>
                </w:tcPr>
                <w:p w14:paraId="62B003F0">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66E1B224">
                  <w:pPr>
                    <w:pStyle w:val="40"/>
                    <w:jc w:val="center"/>
                    <w:rPr>
                      <w:rFonts w:cs="Times New Roman"/>
                      <w:bCs/>
                      <w:color w:val="auto"/>
                      <w:sz w:val="21"/>
                      <w:szCs w:val="21"/>
                    </w:rPr>
                  </w:pPr>
                </w:p>
              </w:tc>
            </w:tr>
            <w:tr w14:paraId="4B6DD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3327E26B">
                  <w:pPr>
                    <w:pStyle w:val="40"/>
                    <w:jc w:val="center"/>
                    <w:rPr>
                      <w:color w:val="auto"/>
                    </w:rPr>
                  </w:pPr>
                </w:p>
              </w:tc>
              <w:tc>
                <w:tcPr>
                  <w:tcW w:w="981" w:type="pct"/>
                  <w:shd w:val="clear" w:color="auto" w:fill="auto"/>
                  <w:vAlign w:val="center"/>
                </w:tcPr>
                <w:p w14:paraId="4E703CFD">
                  <w:pPr>
                    <w:pStyle w:val="40"/>
                    <w:jc w:val="center"/>
                    <w:rPr>
                      <w:rFonts w:cs="Times New Roman"/>
                      <w:color w:val="auto"/>
                      <w:sz w:val="21"/>
                      <w:szCs w:val="21"/>
                    </w:rPr>
                  </w:pPr>
                  <w:r>
                    <w:rPr>
                      <w:rFonts w:cs="Times New Roman"/>
                      <w:color w:val="auto"/>
                      <w:sz w:val="21"/>
                      <w:szCs w:val="21"/>
                    </w:rPr>
                    <w:t>氯化氢</w:t>
                  </w:r>
                </w:p>
              </w:tc>
              <w:tc>
                <w:tcPr>
                  <w:tcW w:w="464" w:type="pct"/>
                  <w:shd w:val="clear" w:color="auto" w:fill="auto"/>
                  <w:vAlign w:val="center"/>
                </w:tcPr>
                <w:p w14:paraId="63F375EF">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351A29CE">
                  <w:pPr>
                    <w:pStyle w:val="40"/>
                    <w:jc w:val="center"/>
                    <w:rPr>
                      <w:rFonts w:cs="Times New Roman"/>
                      <w:bCs/>
                      <w:color w:val="auto"/>
                      <w:sz w:val="21"/>
                      <w:szCs w:val="21"/>
                    </w:rPr>
                  </w:pPr>
                  <w:r>
                    <w:rPr>
                      <w:rFonts w:hint="eastAsia" w:cs="Times New Roman"/>
                      <w:bCs/>
                      <w:color w:val="auto"/>
                      <w:sz w:val="21"/>
                      <w:szCs w:val="21"/>
                    </w:rPr>
                    <w:t>50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07896291">
                  <w:pPr>
                    <w:pStyle w:val="40"/>
                    <w:jc w:val="center"/>
                    <w:rPr>
                      <w:rFonts w:cs="Times New Roman"/>
                      <w:bCs/>
                      <w:color w:val="auto"/>
                      <w:sz w:val="21"/>
                      <w:szCs w:val="21"/>
                    </w:rPr>
                  </w:pPr>
                  <w:r>
                    <w:rPr>
                      <w:rFonts w:hint="eastAsia" w:cs="Times New Roman"/>
                      <w:bCs/>
                      <w:color w:val="auto"/>
                      <w:sz w:val="21"/>
                      <w:szCs w:val="21"/>
                    </w:rPr>
                    <w:t>27~48</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3A53D2F9">
                  <w:pPr>
                    <w:pStyle w:val="40"/>
                    <w:jc w:val="center"/>
                    <w:rPr>
                      <w:rFonts w:cs="Times New Roman"/>
                      <w:bCs/>
                      <w:color w:val="auto"/>
                      <w:sz w:val="21"/>
                      <w:szCs w:val="21"/>
                    </w:rPr>
                  </w:pPr>
                  <w:r>
                    <w:rPr>
                      <w:rFonts w:hint="eastAsia" w:cs="Times New Roman"/>
                      <w:bCs/>
                      <w:color w:val="auto"/>
                      <w:sz w:val="21"/>
                      <w:szCs w:val="21"/>
                    </w:rPr>
                    <w:t>96%</w:t>
                  </w:r>
                </w:p>
              </w:tc>
              <w:tc>
                <w:tcPr>
                  <w:tcW w:w="300" w:type="pct"/>
                  <w:shd w:val="clear" w:color="auto" w:fill="auto"/>
                  <w:vAlign w:val="center"/>
                </w:tcPr>
                <w:p w14:paraId="0A723211">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1E829C74">
                  <w:pPr>
                    <w:pStyle w:val="40"/>
                    <w:jc w:val="center"/>
                    <w:rPr>
                      <w:rFonts w:cs="Times New Roman"/>
                      <w:bCs/>
                      <w:color w:val="auto"/>
                      <w:sz w:val="21"/>
                      <w:szCs w:val="21"/>
                    </w:rPr>
                  </w:pPr>
                </w:p>
              </w:tc>
            </w:tr>
            <w:tr w14:paraId="22487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2DF41356">
                  <w:pPr>
                    <w:pStyle w:val="40"/>
                    <w:jc w:val="center"/>
                    <w:rPr>
                      <w:rFonts w:cs="Times New Roman"/>
                      <w:bCs/>
                      <w:color w:val="auto"/>
                      <w:sz w:val="21"/>
                      <w:szCs w:val="21"/>
                    </w:rPr>
                  </w:pPr>
                </w:p>
              </w:tc>
              <w:tc>
                <w:tcPr>
                  <w:tcW w:w="981" w:type="pct"/>
                  <w:vMerge w:val="restart"/>
                  <w:shd w:val="clear" w:color="auto" w:fill="auto"/>
                  <w:vAlign w:val="center"/>
                </w:tcPr>
                <w:p w14:paraId="799B6C77">
                  <w:pPr>
                    <w:pStyle w:val="40"/>
                    <w:jc w:val="center"/>
                    <w:rPr>
                      <w:rFonts w:cs="Times New Roman"/>
                      <w:bCs/>
                      <w:color w:val="auto"/>
                      <w:sz w:val="21"/>
                      <w:szCs w:val="21"/>
                    </w:rPr>
                  </w:pPr>
                  <w:r>
                    <w:rPr>
                      <w:rFonts w:cs="Times New Roman"/>
                      <w:bCs/>
                      <w:color w:val="auto"/>
                      <w:sz w:val="21"/>
                      <w:szCs w:val="21"/>
                    </w:rPr>
                    <w:t>氮氧化物</w:t>
                  </w:r>
                </w:p>
              </w:tc>
              <w:tc>
                <w:tcPr>
                  <w:tcW w:w="464" w:type="pct"/>
                  <w:shd w:val="clear" w:color="auto" w:fill="auto"/>
                  <w:vAlign w:val="center"/>
                </w:tcPr>
                <w:p w14:paraId="379A3E5B">
                  <w:pPr>
                    <w:pStyle w:val="40"/>
                    <w:jc w:val="center"/>
                    <w:rPr>
                      <w:rFonts w:cs="Times New Roman"/>
                      <w:bCs/>
                      <w:color w:val="auto"/>
                      <w:sz w:val="21"/>
                      <w:szCs w:val="21"/>
                    </w:rPr>
                  </w:pPr>
                  <w:r>
                    <w:rPr>
                      <w:rFonts w:cs="Times New Roman"/>
                      <w:bCs/>
                      <w:color w:val="auto"/>
                      <w:sz w:val="21"/>
                      <w:szCs w:val="21"/>
                    </w:rPr>
                    <w:t>1h</w:t>
                  </w:r>
                </w:p>
              </w:tc>
              <w:tc>
                <w:tcPr>
                  <w:tcW w:w="710" w:type="pct"/>
                  <w:shd w:val="clear" w:color="auto" w:fill="auto"/>
                  <w:vAlign w:val="center"/>
                </w:tcPr>
                <w:p w14:paraId="797F9C81">
                  <w:pPr>
                    <w:pStyle w:val="40"/>
                    <w:jc w:val="center"/>
                    <w:rPr>
                      <w:rFonts w:cs="Times New Roman"/>
                      <w:bCs/>
                      <w:color w:val="auto"/>
                      <w:sz w:val="21"/>
                      <w:szCs w:val="21"/>
                    </w:rPr>
                  </w:pPr>
                  <w:r>
                    <w:rPr>
                      <w:rFonts w:hint="eastAsia" w:cs="Times New Roman"/>
                      <w:bCs/>
                      <w:color w:val="auto"/>
                      <w:sz w:val="21"/>
                      <w:szCs w:val="21"/>
                    </w:rPr>
                    <w:t>250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13B1C2F6">
                  <w:pPr>
                    <w:pStyle w:val="40"/>
                    <w:jc w:val="center"/>
                    <w:rPr>
                      <w:rFonts w:cs="Times New Roman"/>
                      <w:bCs/>
                      <w:color w:val="auto"/>
                      <w:sz w:val="21"/>
                      <w:szCs w:val="21"/>
                    </w:rPr>
                  </w:pPr>
                  <w:r>
                    <w:rPr>
                      <w:rFonts w:hint="eastAsia" w:cs="Times New Roman"/>
                      <w:bCs/>
                      <w:color w:val="auto"/>
                      <w:sz w:val="21"/>
                      <w:szCs w:val="21"/>
                    </w:rPr>
                    <w:t>28~50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0EA2D2FF">
                  <w:pPr>
                    <w:pStyle w:val="40"/>
                    <w:jc w:val="center"/>
                    <w:rPr>
                      <w:rFonts w:cs="Times New Roman"/>
                      <w:bCs/>
                      <w:color w:val="auto"/>
                      <w:sz w:val="21"/>
                      <w:szCs w:val="21"/>
                    </w:rPr>
                  </w:pPr>
                  <w:r>
                    <w:rPr>
                      <w:rFonts w:hint="eastAsia" w:cs="Times New Roman"/>
                      <w:bCs/>
                      <w:color w:val="auto"/>
                      <w:sz w:val="21"/>
                      <w:szCs w:val="21"/>
                    </w:rPr>
                    <w:t>20%</w:t>
                  </w:r>
                </w:p>
              </w:tc>
              <w:tc>
                <w:tcPr>
                  <w:tcW w:w="300" w:type="pct"/>
                  <w:shd w:val="clear" w:color="auto" w:fill="auto"/>
                  <w:vAlign w:val="center"/>
                </w:tcPr>
                <w:p w14:paraId="661CC3C9">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084436E7">
                  <w:pPr>
                    <w:pStyle w:val="40"/>
                    <w:jc w:val="center"/>
                    <w:rPr>
                      <w:rFonts w:cs="Times New Roman"/>
                      <w:bCs/>
                      <w:color w:val="auto"/>
                      <w:sz w:val="21"/>
                      <w:szCs w:val="21"/>
                    </w:rPr>
                  </w:pPr>
                </w:p>
              </w:tc>
            </w:tr>
            <w:tr w14:paraId="6BD79A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43C1148D">
                  <w:pPr>
                    <w:pStyle w:val="40"/>
                    <w:jc w:val="center"/>
                    <w:rPr>
                      <w:color w:val="auto"/>
                    </w:rPr>
                  </w:pPr>
                </w:p>
              </w:tc>
              <w:tc>
                <w:tcPr>
                  <w:tcW w:w="981" w:type="pct"/>
                  <w:vMerge w:val="continue"/>
                  <w:shd w:val="clear" w:color="auto" w:fill="auto"/>
                  <w:vAlign w:val="center"/>
                </w:tcPr>
                <w:p w14:paraId="359FD9A1">
                  <w:pPr>
                    <w:pStyle w:val="40"/>
                    <w:jc w:val="center"/>
                    <w:rPr>
                      <w:color w:val="auto"/>
                    </w:rPr>
                  </w:pPr>
                </w:p>
              </w:tc>
              <w:tc>
                <w:tcPr>
                  <w:tcW w:w="464" w:type="pct"/>
                  <w:shd w:val="clear" w:color="auto" w:fill="auto"/>
                  <w:vAlign w:val="center"/>
                </w:tcPr>
                <w:p w14:paraId="457A58BE">
                  <w:pPr>
                    <w:pStyle w:val="40"/>
                    <w:jc w:val="center"/>
                    <w:rPr>
                      <w:rFonts w:cs="Times New Roman"/>
                      <w:bCs/>
                      <w:color w:val="auto"/>
                      <w:sz w:val="21"/>
                      <w:szCs w:val="21"/>
                    </w:rPr>
                  </w:pPr>
                  <w:r>
                    <w:rPr>
                      <w:rFonts w:hint="eastAsia" w:cs="Times New Roman"/>
                      <w:bCs/>
                      <w:color w:val="auto"/>
                      <w:sz w:val="21"/>
                      <w:szCs w:val="21"/>
                    </w:rPr>
                    <w:t>24h</w:t>
                  </w:r>
                </w:p>
              </w:tc>
              <w:tc>
                <w:tcPr>
                  <w:tcW w:w="710" w:type="pct"/>
                  <w:shd w:val="clear" w:color="auto" w:fill="auto"/>
                  <w:vAlign w:val="center"/>
                </w:tcPr>
                <w:p w14:paraId="7CC39281">
                  <w:pPr>
                    <w:pStyle w:val="40"/>
                    <w:jc w:val="center"/>
                    <w:rPr>
                      <w:rFonts w:cs="Times New Roman"/>
                      <w:bCs/>
                      <w:color w:val="auto"/>
                      <w:sz w:val="21"/>
                      <w:szCs w:val="21"/>
                    </w:rPr>
                  </w:pPr>
                  <w:r>
                    <w:rPr>
                      <w:rFonts w:hint="eastAsia" w:cs="Times New Roman"/>
                      <w:bCs/>
                      <w:color w:val="auto"/>
                      <w:sz w:val="21"/>
                      <w:szCs w:val="21"/>
                    </w:rPr>
                    <w:t>100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6E3E7F00">
                  <w:pPr>
                    <w:pStyle w:val="40"/>
                    <w:jc w:val="center"/>
                    <w:rPr>
                      <w:rFonts w:cs="Times New Roman"/>
                      <w:bCs/>
                      <w:color w:val="auto"/>
                      <w:sz w:val="21"/>
                      <w:szCs w:val="21"/>
                    </w:rPr>
                  </w:pPr>
                  <w:r>
                    <w:rPr>
                      <w:rFonts w:hint="eastAsia" w:cs="Times New Roman"/>
                      <w:bCs/>
                      <w:color w:val="auto"/>
                      <w:sz w:val="21"/>
                      <w:szCs w:val="21"/>
                    </w:rPr>
                    <w:t>36~40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37DCB90E">
                  <w:pPr>
                    <w:pStyle w:val="40"/>
                    <w:jc w:val="center"/>
                    <w:rPr>
                      <w:rFonts w:cs="Times New Roman"/>
                      <w:bCs/>
                      <w:color w:val="auto"/>
                      <w:sz w:val="21"/>
                      <w:szCs w:val="21"/>
                    </w:rPr>
                  </w:pPr>
                  <w:r>
                    <w:rPr>
                      <w:rFonts w:hint="eastAsia" w:cs="Times New Roman"/>
                      <w:bCs/>
                      <w:color w:val="auto"/>
                      <w:sz w:val="21"/>
                      <w:szCs w:val="21"/>
                    </w:rPr>
                    <w:t>40%</w:t>
                  </w:r>
                </w:p>
              </w:tc>
              <w:tc>
                <w:tcPr>
                  <w:tcW w:w="300" w:type="pct"/>
                  <w:shd w:val="clear" w:color="auto" w:fill="auto"/>
                  <w:vAlign w:val="center"/>
                </w:tcPr>
                <w:p w14:paraId="007D323A">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43952F2C">
                  <w:pPr>
                    <w:pStyle w:val="40"/>
                    <w:jc w:val="center"/>
                    <w:rPr>
                      <w:rFonts w:cs="Times New Roman"/>
                      <w:bCs/>
                      <w:color w:val="auto"/>
                      <w:sz w:val="21"/>
                      <w:szCs w:val="21"/>
                    </w:rPr>
                  </w:pPr>
                </w:p>
              </w:tc>
            </w:tr>
            <w:tr w14:paraId="0404D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9" w:type="pct"/>
                  <w:vMerge w:val="continue"/>
                  <w:shd w:val="clear" w:color="auto" w:fill="auto"/>
                  <w:vAlign w:val="center"/>
                </w:tcPr>
                <w:p w14:paraId="358F61D1">
                  <w:pPr>
                    <w:pStyle w:val="40"/>
                    <w:jc w:val="center"/>
                    <w:rPr>
                      <w:rFonts w:cs="Times New Roman"/>
                      <w:bCs/>
                      <w:color w:val="auto"/>
                      <w:sz w:val="21"/>
                      <w:szCs w:val="21"/>
                    </w:rPr>
                  </w:pPr>
                </w:p>
              </w:tc>
              <w:tc>
                <w:tcPr>
                  <w:tcW w:w="981" w:type="pct"/>
                  <w:shd w:val="clear" w:color="auto" w:fill="auto"/>
                  <w:vAlign w:val="center"/>
                </w:tcPr>
                <w:p w14:paraId="4EB6CB9F">
                  <w:pPr>
                    <w:pStyle w:val="40"/>
                    <w:jc w:val="center"/>
                    <w:rPr>
                      <w:rFonts w:cs="Times New Roman"/>
                      <w:bCs/>
                      <w:color w:val="auto"/>
                      <w:sz w:val="21"/>
                      <w:szCs w:val="21"/>
                    </w:rPr>
                  </w:pPr>
                  <w:r>
                    <w:rPr>
                      <w:rFonts w:hint="eastAsia"/>
                      <w:color w:val="auto"/>
                      <w:sz w:val="21"/>
                      <w:szCs w:val="21"/>
                    </w:rPr>
                    <w:t>总悬浮颗粒物</w:t>
                  </w:r>
                </w:p>
              </w:tc>
              <w:tc>
                <w:tcPr>
                  <w:tcW w:w="464" w:type="pct"/>
                  <w:shd w:val="clear" w:color="auto" w:fill="auto"/>
                  <w:vAlign w:val="center"/>
                </w:tcPr>
                <w:p w14:paraId="3CA482A8">
                  <w:pPr>
                    <w:pStyle w:val="40"/>
                    <w:jc w:val="center"/>
                    <w:rPr>
                      <w:rFonts w:cs="Times New Roman"/>
                      <w:bCs/>
                      <w:color w:val="auto"/>
                      <w:sz w:val="21"/>
                      <w:szCs w:val="21"/>
                    </w:rPr>
                  </w:pPr>
                  <w:r>
                    <w:rPr>
                      <w:rFonts w:hint="eastAsia" w:cs="Times New Roman"/>
                      <w:bCs/>
                      <w:color w:val="auto"/>
                      <w:sz w:val="21"/>
                      <w:szCs w:val="21"/>
                    </w:rPr>
                    <w:t>24h</w:t>
                  </w:r>
                </w:p>
              </w:tc>
              <w:tc>
                <w:tcPr>
                  <w:tcW w:w="710" w:type="pct"/>
                  <w:shd w:val="clear" w:color="auto" w:fill="auto"/>
                  <w:vAlign w:val="center"/>
                </w:tcPr>
                <w:p w14:paraId="4507DEB6">
                  <w:pPr>
                    <w:pStyle w:val="40"/>
                    <w:jc w:val="center"/>
                    <w:rPr>
                      <w:rFonts w:cs="Times New Roman"/>
                      <w:bCs/>
                      <w:color w:val="auto"/>
                      <w:sz w:val="21"/>
                      <w:szCs w:val="21"/>
                    </w:rPr>
                  </w:pPr>
                  <w:r>
                    <w:rPr>
                      <w:rFonts w:hint="eastAsia" w:cs="Times New Roman"/>
                      <w:bCs/>
                      <w:color w:val="auto"/>
                      <w:sz w:val="21"/>
                      <w:szCs w:val="21"/>
                    </w:rPr>
                    <w:t>300</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1078" w:type="pct"/>
                  <w:shd w:val="clear" w:color="auto" w:fill="auto"/>
                  <w:vAlign w:val="center"/>
                </w:tcPr>
                <w:p w14:paraId="64EBB230">
                  <w:pPr>
                    <w:pStyle w:val="40"/>
                    <w:jc w:val="center"/>
                    <w:rPr>
                      <w:rFonts w:cs="Times New Roman"/>
                      <w:bCs/>
                      <w:color w:val="auto"/>
                      <w:sz w:val="21"/>
                      <w:szCs w:val="21"/>
                    </w:rPr>
                  </w:pPr>
                  <w:r>
                    <w:rPr>
                      <w:rFonts w:hint="eastAsia" w:cs="Times New Roman"/>
                      <w:bCs/>
                      <w:color w:val="auto"/>
                      <w:sz w:val="21"/>
                      <w:szCs w:val="21"/>
                    </w:rPr>
                    <w:t>118~129</w:t>
                  </w:r>
                  <w:r>
                    <w:rPr>
                      <w:rFonts w:cs="Times New Roman"/>
                      <w:bCs/>
                      <w:color w:val="auto"/>
                      <w:sz w:val="21"/>
                      <w:szCs w:val="21"/>
                    </w:rPr>
                    <w:t>μ</w:t>
                  </w:r>
                  <w:r>
                    <w:rPr>
                      <w:rFonts w:hint="eastAsia" w:cs="Times New Roman"/>
                      <w:bCs/>
                      <w:color w:val="auto"/>
                      <w:sz w:val="21"/>
                      <w:szCs w:val="21"/>
                    </w:rPr>
                    <w:t>g/m</w:t>
                  </w:r>
                  <w:r>
                    <w:rPr>
                      <w:rFonts w:hint="eastAsia" w:cs="Times New Roman"/>
                      <w:bCs/>
                      <w:color w:val="auto"/>
                      <w:sz w:val="21"/>
                      <w:szCs w:val="21"/>
                      <w:vertAlign w:val="superscript"/>
                    </w:rPr>
                    <w:t>3</w:t>
                  </w:r>
                </w:p>
              </w:tc>
              <w:tc>
                <w:tcPr>
                  <w:tcW w:w="570" w:type="pct"/>
                  <w:shd w:val="clear" w:color="auto" w:fill="auto"/>
                  <w:vAlign w:val="center"/>
                </w:tcPr>
                <w:p w14:paraId="5AC9E046">
                  <w:pPr>
                    <w:pStyle w:val="40"/>
                    <w:jc w:val="center"/>
                    <w:rPr>
                      <w:rFonts w:cs="Times New Roman"/>
                      <w:bCs/>
                      <w:color w:val="auto"/>
                      <w:sz w:val="21"/>
                      <w:szCs w:val="21"/>
                    </w:rPr>
                  </w:pPr>
                  <w:r>
                    <w:rPr>
                      <w:rFonts w:hint="eastAsia" w:cs="Times New Roman"/>
                      <w:bCs/>
                      <w:color w:val="auto"/>
                      <w:sz w:val="21"/>
                      <w:szCs w:val="21"/>
                    </w:rPr>
                    <w:t>43%</w:t>
                  </w:r>
                </w:p>
              </w:tc>
              <w:tc>
                <w:tcPr>
                  <w:tcW w:w="300" w:type="pct"/>
                  <w:shd w:val="clear" w:color="auto" w:fill="auto"/>
                  <w:vAlign w:val="center"/>
                </w:tcPr>
                <w:p w14:paraId="78AFBBC4">
                  <w:pPr>
                    <w:pStyle w:val="40"/>
                    <w:jc w:val="center"/>
                    <w:rPr>
                      <w:rFonts w:cs="Times New Roman"/>
                      <w:bCs/>
                      <w:color w:val="auto"/>
                      <w:sz w:val="21"/>
                      <w:szCs w:val="21"/>
                    </w:rPr>
                  </w:pPr>
                  <w:r>
                    <w:rPr>
                      <w:rFonts w:hint="eastAsia" w:cs="Times New Roman"/>
                      <w:bCs/>
                      <w:color w:val="auto"/>
                      <w:sz w:val="21"/>
                      <w:szCs w:val="21"/>
                    </w:rPr>
                    <w:t>/</w:t>
                  </w:r>
                </w:p>
              </w:tc>
              <w:tc>
                <w:tcPr>
                  <w:tcW w:w="424" w:type="pct"/>
                  <w:vMerge w:val="continue"/>
                  <w:shd w:val="clear" w:color="auto" w:fill="auto"/>
                  <w:vAlign w:val="center"/>
                </w:tcPr>
                <w:p w14:paraId="3B4285F4">
                  <w:pPr>
                    <w:pStyle w:val="40"/>
                    <w:jc w:val="center"/>
                    <w:rPr>
                      <w:rFonts w:cs="Times New Roman"/>
                      <w:bCs/>
                      <w:color w:val="auto"/>
                      <w:sz w:val="21"/>
                      <w:szCs w:val="21"/>
                    </w:rPr>
                  </w:pPr>
                </w:p>
              </w:tc>
            </w:tr>
          </w:tbl>
          <w:p w14:paraId="20A234A4">
            <w:pPr>
              <w:spacing w:line="360" w:lineRule="auto"/>
              <w:ind w:firstLine="480"/>
            </w:pPr>
            <w:r>
              <w:rPr>
                <w:rFonts w:hint="eastAsia"/>
              </w:rPr>
              <w:t>由上表可知，项目拟建区域周边非甲烷总烃满足《大气污染物综合排放标准》（GB 16297-1996）详解中标准限值（1h平均：2mg/m</w:t>
            </w:r>
            <w:r>
              <w:rPr>
                <w:rFonts w:hint="eastAsia"/>
                <w:vertAlign w:val="superscript"/>
              </w:rPr>
              <w:t>3</w:t>
            </w:r>
            <w:r>
              <w:rPr>
                <w:rFonts w:hint="eastAsia"/>
              </w:rPr>
              <w:t>），硫酸雾、氯化氢均满足《环境影响评价技术导则  大气环境》（HJ 2.2-2018）附录D中标准限值（硫酸雾：1h平均：300</w:t>
            </w:r>
            <w:r>
              <w:t>μ</w:t>
            </w:r>
            <w:r>
              <w:rPr>
                <w:rFonts w:hint="eastAsia"/>
              </w:rPr>
              <w:t>g/m</w:t>
            </w:r>
            <w:r>
              <w:rPr>
                <w:rFonts w:hint="eastAsia"/>
                <w:vertAlign w:val="superscript"/>
              </w:rPr>
              <w:t>3</w:t>
            </w:r>
            <w:r>
              <w:rPr>
                <w:rFonts w:hint="eastAsia"/>
              </w:rPr>
              <w:t>，氯化氢1h平均：50</w:t>
            </w:r>
            <w:r>
              <w:t>μ</w:t>
            </w:r>
            <w:r>
              <w:rPr>
                <w:rFonts w:hint="eastAsia"/>
              </w:rPr>
              <w:t>g/m</w:t>
            </w:r>
            <w:r>
              <w:rPr>
                <w:rFonts w:hint="eastAsia"/>
                <w:vertAlign w:val="superscript"/>
              </w:rPr>
              <w:t>3</w:t>
            </w:r>
            <w:r>
              <w:rPr>
                <w:rFonts w:hint="eastAsia"/>
              </w:rPr>
              <w:t>，），</w:t>
            </w:r>
            <w:r>
              <w:t>氮氧化物</w:t>
            </w:r>
            <w:r>
              <w:rPr>
                <w:rFonts w:hint="eastAsia"/>
              </w:rPr>
              <w:t>满足《环境空气质量标准》（GB 3095-2012）二级标准限值（1h平均：250</w:t>
            </w:r>
            <w:r>
              <w:t>μ</w:t>
            </w:r>
            <w:r>
              <w:rPr>
                <w:rFonts w:hint="eastAsia"/>
              </w:rPr>
              <w:t>g/m</w:t>
            </w:r>
            <w:r>
              <w:rPr>
                <w:rFonts w:hint="eastAsia"/>
                <w:vertAlign w:val="superscript"/>
              </w:rPr>
              <w:t>3</w:t>
            </w:r>
            <w:r>
              <w:rPr>
                <w:rFonts w:hint="eastAsia"/>
              </w:rPr>
              <w:t>，24小时平均：100</w:t>
            </w:r>
            <w:r>
              <w:t>μ</w:t>
            </w:r>
            <w:r>
              <w:rPr>
                <w:rFonts w:hint="eastAsia"/>
              </w:rPr>
              <w:t>g/m</w:t>
            </w:r>
            <w:r>
              <w:rPr>
                <w:rFonts w:hint="eastAsia"/>
                <w:vertAlign w:val="superscript"/>
              </w:rPr>
              <w:t>3</w:t>
            </w:r>
            <w:r>
              <w:rPr>
                <w:rFonts w:hint="eastAsia"/>
              </w:rPr>
              <w:t>），总悬浮颗粒物（TSP）可满足《环境空气质量标准》（GB 3095-2012）二级标准限值（24小时平均：300</w:t>
            </w:r>
            <w:r>
              <w:t>μ</w:t>
            </w:r>
            <w:r>
              <w:rPr>
                <w:rFonts w:hint="eastAsia"/>
              </w:rPr>
              <w:t>g/m</w:t>
            </w:r>
            <w:r>
              <w:rPr>
                <w:rFonts w:hint="eastAsia"/>
                <w:vertAlign w:val="superscript"/>
              </w:rPr>
              <w:t>3</w:t>
            </w:r>
            <w:r>
              <w:rPr>
                <w:rFonts w:hint="eastAsia"/>
              </w:rPr>
              <w:t>）。</w:t>
            </w:r>
          </w:p>
          <w:p w14:paraId="7E5D4C56">
            <w:pPr>
              <w:spacing w:line="360" w:lineRule="auto"/>
              <w:ind w:firstLine="482" w:firstLineChars="200"/>
              <w:rPr>
                <w:b/>
                <w:bCs/>
                <w:kern w:val="0"/>
                <w:lang w:bidi="ar"/>
              </w:rPr>
            </w:pPr>
            <w:r>
              <w:rPr>
                <w:rFonts w:hint="eastAsia"/>
                <w:b/>
                <w:bCs/>
                <w:kern w:val="0"/>
                <w:lang w:bidi="ar"/>
              </w:rPr>
              <w:t>2、声环境质量现状</w:t>
            </w:r>
          </w:p>
          <w:p w14:paraId="74687598">
            <w:pPr>
              <w:spacing w:line="360" w:lineRule="auto"/>
              <w:ind w:firstLine="480" w:firstLineChars="200"/>
              <w:rPr>
                <w:kern w:val="0"/>
              </w:rPr>
            </w:pPr>
            <w:r>
              <w:rPr>
                <w:rFonts w:hint="eastAsia"/>
                <w:kern w:val="0"/>
              </w:rPr>
              <w:t>本项目周边50米范围内无声环境保护目标，根据《建设项目环境影响报告表编制指南（污染影响类）（试行）》，故无需进行声环境现状监测。</w:t>
            </w:r>
          </w:p>
          <w:p w14:paraId="4E1F81E2">
            <w:pPr>
              <w:spacing w:line="360" w:lineRule="auto"/>
              <w:ind w:firstLine="482" w:firstLineChars="200"/>
              <w:rPr>
                <w:b/>
                <w:bCs/>
                <w:kern w:val="0"/>
                <w:lang w:bidi="ar"/>
              </w:rPr>
            </w:pPr>
            <w:r>
              <w:rPr>
                <w:rFonts w:hint="eastAsia"/>
                <w:b/>
                <w:bCs/>
                <w:kern w:val="0"/>
                <w:lang w:bidi="ar"/>
              </w:rPr>
              <w:t>3、生态环境</w:t>
            </w:r>
          </w:p>
          <w:p w14:paraId="6451DC68">
            <w:pPr>
              <w:spacing w:line="360" w:lineRule="auto"/>
              <w:ind w:firstLine="480" w:firstLineChars="200"/>
              <w:rPr>
                <w:kern w:val="0"/>
              </w:rPr>
            </w:pPr>
            <w:r>
              <w:rPr>
                <w:rFonts w:hint="eastAsia"/>
                <w:kern w:val="0"/>
              </w:rPr>
              <w:t>本项目租用现有厂房进行建设，无需进行生态现状调查。</w:t>
            </w:r>
          </w:p>
          <w:p w14:paraId="156EB17E">
            <w:pPr>
              <w:spacing w:line="360" w:lineRule="auto"/>
              <w:ind w:firstLine="482" w:firstLineChars="200"/>
              <w:rPr>
                <w:b/>
                <w:bCs/>
                <w:kern w:val="0"/>
                <w:lang w:bidi="ar"/>
              </w:rPr>
            </w:pPr>
            <w:r>
              <w:rPr>
                <w:rFonts w:hint="eastAsia"/>
                <w:b/>
                <w:bCs/>
                <w:kern w:val="0"/>
                <w:lang w:bidi="ar"/>
              </w:rPr>
              <w:t>4、地下水、土壤环境</w:t>
            </w:r>
          </w:p>
          <w:p w14:paraId="3A563BC2">
            <w:pPr>
              <w:spacing w:line="360" w:lineRule="auto"/>
              <w:ind w:firstLine="480" w:firstLineChars="200"/>
            </w:pPr>
            <w:r>
              <w:rPr>
                <w:rFonts w:hint="eastAsia"/>
                <w:color w:val="000000" w:themeColor="text1"/>
                <w:kern w:val="0"/>
                <w14:textFill>
                  <w14:solidFill>
                    <w14:schemeClr w14:val="tx1"/>
                  </w14:solidFill>
                </w14:textFill>
              </w:rPr>
              <w:t>本项目位于中国国检测试控股集团陕西有限公司一号楼三、四层，实验室、办公区等地面均硬化处理，危废贮存点进行防渗处理，各危废设专用贮罐收集，且危废贮存设施下方设置有托盘。在采取有效防治措施及加强日常监督管理的情况下，可以有效切断污染源对地下水、土壤的联系通道，</w:t>
            </w:r>
            <w:r>
              <w:rPr>
                <w:rFonts w:hint="eastAsia"/>
                <w:color w:val="000000" w:themeColor="text1"/>
                <w14:textFill>
                  <w14:solidFill>
                    <w14:schemeClr w14:val="tx1"/>
                  </w14:solidFill>
                </w14:textFill>
              </w:rPr>
              <w:t>不存在土壤、地下水环境污染途径</w:t>
            </w:r>
            <w:r>
              <w:rPr>
                <w:rFonts w:hint="eastAsia"/>
                <w:color w:val="000000" w:themeColor="text1"/>
                <w:kern w:val="0"/>
                <w14:textFill>
                  <w14:solidFill>
                    <w14:schemeClr w14:val="tx1"/>
                  </w14:solidFill>
                </w14:textFill>
              </w:rPr>
              <w:t>。因此，不进行地下水、土壤环境质量现状调查</w:t>
            </w:r>
            <w:r>
              <w:rPr>
                <w:rFonts w:hint="eastAsia"/>
                <w:kern w:val="0"/>
              </w:rPr>
              <w:t>。</w:t>
            </w:r>
          </w:p>
        </w:tc>
      </w:tr>
      <w:tr w14:paraId="0DB8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vAlign w:val="center"/>
          </w:tcPr>
          <w:p w14:paraId="08D25901">
            <w:pPr>
              <w:adjustRightInd w:val="0"/>
              <w:snapToGrid w:val="0"/>
              <w:jc w:val="center"/>
            </w:pPr>
            <w:r>
              <w:rPr>
                <w:bCs/>
              </w:rPr>
              <w:t>环境保护目标</w:t>
            </w:r>
          </w:p>
        </w:tc>
        <w:tc>
          <w:tcPr>
            <w:tcW w:w="4594" w:type="pct"/>
          </w:tcPr>
          <w:p w14:paraId="513386C9">
            <w:pPr>
              <w:spacing w:line="360" w:lineRule="auto"/>
              <w:ind w:firstLine="480" w:firstLineChars="200"/>
              <w:rPr>
                <w:kern w:val="0"/>
              </w:rPr>
            </w:pPr>
            <w:r>
              <w:rPr>
                <w:rFonts w:hint="eastAsia"/>
                <w:kern w:val="0"/>
              </w:rPr>
              <w:t>本项目位于陕西省西咸新区沣东新城红光大道（沣东大道）以北、科源一路以西，中国国检测试控股集团陕西有限公司一号楼三、四层。根据现场踏勘，项目周边50m范围内无声环境敏感目标；厂界外500m范围内无自然保护区、风景名胜区和文物古迹等需要特殊保护的环境敏感对象，厂界外500m范围内无地下水集中式饮用水水源和热水、矿泉水、温泉等特殊地下水资源；项目用地范围内无生态环境保护目标。具体环境保护目标见下表。</w:t>
            </w:r>
          </w:p>
          <w:p w14:paraId="2782E4C0">
            <w:pPr>
              <w:adjustRightInd w:val="0"/>
              <w:snapToGrid w:val="0"/>
              <w:jc w:val="center"/>
              <w:rPr>
                <w:b/>
                <w:bCs/>
                <w:color w:val="FF0000"/>
                <w:sz w:val="21"/>
                <w:szCs w:val="18"/>
              </w:rPr>
            </w:pPr>
          </w:p>
          <w:p w14:paraId="353E9A10">
            <w:pPr>
              <w:adjustRightInd w:val="0"/>
              <w:snapToGrid w:val="0"/>
              <w:jc w:val="center"/>
              <w:rPr>
                <w:b/>
                <w:color w:val="000000" w:themeColor="text1"/>
                <w:sz w:val="21"/>
                <w14:textFill>
                  <w14:solidFill>
                    <w14:schemeClr w14:val="tx1"/>
                  </w14:solidFill>
                </w14:textFill>
              </w:rPr>
            </w:pPr>
            <w:r>
              <w:rPr>
                <w:b/>
                <w:bCs/>
                <w:color w:val="000000" w:themeColor="text1"/>
                <w:sz w:val="21"/>
                <w:szCs w:val="18"/>
                <w14:textFill>
                  <w14:solidFill>
                    <w14:schemeClr w14:val="tx1"/>
                  </w14:solidFill>
                </w14:textFill>
              </w:rPr>
              <w:t>表3-</w:t>
            </w:r>
            <w:r>
              <w:rPr>
                <w:rFonts w:hint="eastAsia"/>
                <w:b/>
                <w:bCs/>
                <w:color w:val="000000" w:themeColor="text1"/>
                <w:sz w:val="21"/>
                <w:szCs w:val="18"/>
                <w14:textFill>
                  <w14:solidFill>
                    <w14:schemeClr w14:val="tx1"/>
                  </w14:solidFill>
                </w14:textFill>
              </w:rPr>
              <w:t>4</w:t>
            </w:r>
            <w:r>
              <w:rPr>
                <w:b/>
                <w:bCs/>
                <w:color w:val="000000" w:themeColor="text1"/>
                <w:sz w:val="21"/>
                <w:szCs w:val="18"/>
                <w14:textFill>
                  <w14:solidFill>
                    <w14:schemeClr w14:val="tx1"/>
                  </w14:solidFill>
                </w14:textFill>
              </w:rPr>
              <w:t xml:space="preserve">  </w:t>
            </w:r>
            <w:r>
              <w:rPr>
                <w:b/>
                <w:color w:val="000000" w:themeColor="text1"/>
                <w:sz w:val="21"/>
                <w14:textFill>
                  <w14:solidFill>
                    <w14:schemeClr w14:val="tx1"/>
                  </w14:solidFill>
                </w14:textFill>
              </w:rPr>
              <w:t>主要环境保护目标一览表</w:t>
            </w:r>
          </w:p>
          <w:tbl>
            <w:tblPr>
              <w:tblStyle w:val="2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41"/>
              <w:gridCol w:w="1586"/>
              <w:gridCol w:w="1081"/>
              <w:gridCol w:w="982"/>
              <w:gridCol w:w="553"/>
              <w:gridCol w:w="552"/>
              <w:gridCol w:w="678"/>
              <w:gridCol w:w="724"/>
              <w:gridCol w:w="766"/>
              <w:gridCol w:w="733"/>
            </w:tblGrid>
            <w:tr w14:paraId="44C6E1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restart"/>
                  <w:shd w:val="clear" w:color="auto" w:fill="auto"/>
                  <w:vAlign w:val="center"/>
                </w:tcPr>
                <w:p w14:paraId="5BAF8167">
                  <w:pPr>
                    <w:pStyle w:val="40"/>
                    <w:jc w:val="center"/>
                    <w:rPr>
                      <w:rFonts w:cs="Times New Roman" w:eastAsiaTheme="minorEastAsia"/>
                      <w:b/>
                      <w:color w:val="auto"/>
                      <w:sz w:val="21"/>
                      <w:szCs w:val="21"/>
                    </w:rPr>
                  </w:pPr>
                  <w:r>
                    <w:rPr>
                      <w:rFonts w:cs="Times New Roman" w:eastAsiaTheme="minorEastAsia"/>
                      <w:b/>
                      <w:color w:val="auto"/>
                      <w:sz w:val="21"/>
                      <w:szCs w:val="21"/>
                    </w:rPr>
                    <w:t>要素</w:t>
                  </w:r>
                </w:p>
              </w:tc>
              <w:tc>
                <w:tcPr>
                  <w:tcW w:w="978" w:type="pct"/>
                  <w:vMerge w:val="restart"/>
                  <w:shd w:val="clear" w:color="auto" w:fill="auto"/>
                  <w:vAlign w:val="center"/>
                </w:tcPr>
                <w:p w14:paraId="0209F221">
                  <w:pPr>
                    <w:pStyle w:val="40"/>
                    <w:jc w:val="center"/>
                    <w:rPr>
                      <w:rFonts w:cs="Times New Roman" w:eastAsiaTheme="minorEastAsia"/>
                      <w:b/>
                      <w:color w:val="auto"/>
                      <w:sz w:val="21"/>
                      <w:szCs w:val="21"/>
                    </w:rPr>
                  </w:pPr>
                  <w:r>
                    <w:rPr>
                      <w:rFonts w:hint="eastAsia" w:cs="Times New Roman" w:eastAsiaTheme="minorEastAsia"/>
                      <w:b/>
                      <w:color w:val="auto"/>
                      <w:sz w:val="21"/>
                      <w:szCs w:val="21"/>
                    </w:rPr>
                    <w:t>环境保护目标名称</w:t>
                  </w:r>
                </w:p>
              </w:tc>
              <w:tc>
                <w:tcPr>
                  <w:tcW w:w="1271" w:type="pct"/>
                  <w:gridSpan w:val="2"/>
                  <w:shd w:val="clear" w:color="auto" w:fill="auto"/>
                  <w:vAlign w:val="center"/>
                </w:tcPr>
                <w:p w14:paraId="026B2180">
                  <w:pPr>
                    <w:pStyle w:val="40"/>
                    <w:jc w:val="center"/>
                    <w:rPr>
                      <w:rFonts w:cs="Times New Roman" w:eastAsiaTheme="minorEastAsia"/>
                      <w:b/>
                      <w:color w:val="auto"/>
                      <w:sz w:val="21"/>
                      <w:szCs w:val="21"/>
                    </w:rPr>
                  </w:pPr>
                  <w:r>
                    <w:rPr>
                      <w:rFonts w:hint="eastAsia" w:cs="Times New Roman" w:eastAsiaTheme="minorEastAsia"/>
                      <w:b/>
                      <w:color w:val="auto"/>
                      <w:sz w:val="21"/>
                      <w:szCs w:val="21"/>
                    </w:rPr>
                    <w:t>坐标</w:t>
                  </w:r>
                </w:p>
              </w:tc>
              <w:tc>
                <w:tcPr>
                  <w:tcW w:w="341" w:type="pct"/>
                  <w:vMerge w:val="restart"/>
                  <w:shd w:val="clear" w:color="auto" w:fill="auto"/>
                  <w:vAlign w:val="center"/>
                </w:tcPr>
                <w:p w14:paraId="1E2B207C">
                  <w:pPr>
                    <w:pStyle w:val="40"/>
                    <w:jc w:val="center"/>
                    <w:rPr>
                      <w:rFonts w:cs="Times New Roman" w:eastAsiaTheme="minorEastAsia"/>
                      <w:b/>
                      <w:color w:val="auto"/>
                      <w:sz w:val="21"/>
                      <w:szCs w:val="21"/>
                    </w:rPr>
                  </w:pPr>
                  <w:r>
                    <w:rPr>
                      <w:rFonts w:hint="eastAsia" w:cs="Times New Roman" w:eastAsiaTheme="minorEastAsia"/>
                      <w:b/>
                      <w:color w:val="auto"/>
                      <w:sz w:val="21"/>
                      <w:szCs w:val="21"/>
                    </w:rPr>
                    <w:t>保护对象</w:t>
                  </w:r>
                </w:p>
              </w:tc>
              <w:tc>
                <w:tcPr>
                  <w:tcW w:w="341" w:type="pct"/>
                  <w:vMerge w:val="restart"/>
                  <w:shd w:val="clear" w:color="auto" w:fill="auto"/>
                  <w:vAlign w:val="center"/>
                </w:tcPr>
                <w:p w14:paraId="487D202C">
                  <w:pPr>
                    <w:pStyle w:val="40"/>
                    <w:jc w:val="center"/>
                    <w:rPr>
                      <w:rFonts w:cs="Times New Roman" w:eastAsiaTheme="minorEastAsia"/>
                      <w:b/>
                      <w:color w:val="auto"/>
                      <w:sz w:val="21"/>
                      <w:szCs w:val="21"/>
                    </w:rPr>
                  </w:pPr>
                  <w:r>
                    <w:rPr>
                      <w:rFonts w:cs="Times New Roman" w:eastAsiaTheme="minorEastAsia"/>
                      <w:b/>
                      <w:color w:val="auto"/>
                      <w:sz w:val="21"/>
                      <w:szCs w:val="21"/>
                    </w:rPr>
                    <w:t>保护内容</w:t>
                  </w:r>
                </w:p>
              </w:tc>
              <w:tc>
                <w:tcPr>
                  <w:tcW w:w="419" w:type="pct"/>
                  <w:vMerge w:val="restart"/>
                  <w:shd w:val="clear" w:color="auto" w:fill="auto"/>
                  <w:vAlign w:val="center"/>
                </w:tcPr>
                <w:p w14:paraId="4C2CCA44">
                  <w:pPr>
                    <w:pStyle w:val="40"/>
                    <w:jc w:val="center"/>
                    <w:rPr>
                      <w:rFonts w:cs="Times New Roman" w:eastAsiaTheme="minorEastAsia"/>
                      <w:b/>
                      <w:color w:val="auto"/>
                      <w:sz w:val="21"/>
                      <w:szCs w:val="21"/>
                    </w:rPr>
                  </w:pPr>
                  <w:r>
                    <w:rPr>
                      <w:rFonts w:cs="Times New Roman" w:eastAsiaTheme="minorEastAsia"/>
                      <w:b/>
                      <w:color w:val="auto"/>
                      <w:sz w:val="21"/>
                      <w:szCs w:val="21"/>
                    </w:rPr>
                    <w:t>环境功能区</w:t>
                  </w:r>
                  <w:r>
                    <w:rPr>
                      <w:rFonts w:hint="eastAsia" w:cs="Times New Roman" w:eastAsiaTheme="minorEastAsia"/>
                      <w:b/>
                      <w:color w:val="auto"/>
                      <w:sz w:val="21"/>
                      <w:szCs w:val="21"/>
                    </w:rPr>
                    <w:t>类别</w:t>
                  </w:r>
                </w:p>
              </w:tc>
              <w:tc>
                <w:tcPr>
                  <w:tcW w:w="447" w:type="pct"/>
                  <w:vMerge w:val="restart"/>
                  <w:shd w:val="clear" w:color="auto" w:fill="auto"/>
                  <w:vAlign w:val="center"/>
                </w:tcPr>
                <w:p w14:paraId="3D1CA37F">
                  <w:pPr>
                    <w:pStyle w:val="40"/>
                    <w:jc w:val="center"/>
                    <w:rPr>
                      <w:rFonts w:cs="Times New Roman" w:eastAsiaTheme="minorEastAsia"/>
                      <w:b/>
                      <w:color w:val="auto"/>
                      <w:sz w:val="21"/>
                      <w:szCs w:val="21"/>
                    </w:rPr>
                  </w:pPr>
                  <w:r>
                    <w:rPr>
                      <w:rFonts w:hint="eastAsia" w:cs="Times New Roman" w:eastAsiaTheme="minorEastAsia"/>
                      <w:b/>
                      <w:color w:val="auto"/>
                      <w:sz w:val="21"/>
                      <w:szCs w:val="21"/>
                    </w:rPr>
                    <w:t>相对厂址方位</w:t>
                  </w:r>
                </w:p>
              </w:tc>
              <w:tc>
                <w:tcPr>
                  <w:tcW w:w="473" w:type="pct"/>
                  <w:vMerge w:val="restart"/>
                  <w:shd w:val="clear" w:color="auto" w:fill="auto"/>
                  <w:vAlign w:val="center"/>
                </w:tcPr>
                <w:p w14:paraId="25B5F8FB">
                  <w:pPr>
                    <w:pStyle w:val="40"/>
                    <w:jc w:val="center"/>
                    <w:rPr>
                      <w:rFonts w:cs="Times New Roman" w:eastAsiaTheme="minorEastAsia"/>
                      <w:b/>
                      <w:color w:val="auto"/>
                      <w:sz w:val="21"/>
                      <w:szCs w:val="21"/>
                    </w:rPr>
                  </w:pPr>
                  <w:r>
                    <w:rPr>
                      <w:rFonts w:hint="eastAsia" w:cs="Times New Roman" w:eastAsiaTheme="minorEastAsia"/>
                      <w:b/>
                      <w:color w:val="auto"/>
                      <w:sz w:val="21"/>
                      <w:szCs w:val="21"/>
                    </w:rPr>
                    <w:t>相对厂界</w:t>
                  </w:r>
                  <w:r>
                    <w:rPr>
                      <w:rFonts w:cs="Times New Roman" w:eastAsiaTheme="minorEastAsia"/>
                      <w:b/>
                      <w:color w:val="auto"/>
                      <w:sz w:val="21"/>
                      <w:szCs w:val="21"/>
                    </w:rPr>
                    <w:t>距离（m）</w:t>
                  </w:r>
                </w:p>
              </w:tc>
              <w:tc>
                <w:tcPr>
                  <w:tcW w:w="453" w:type="pct"/>
                  <w:vMerge w:val="restart"/>
                  <w:shd w:val="clear" w:color="auto" w:fill="auto"/>
                  <w:vAlign w:val="center"/>
                </w:tcPr>
                <w:p w14:paraId="1F5D25F7">
                  <w:pPr>
                    <w:pStyle w:val="40"/>
                    <w:jc w:val="center"/>
                    <w:rPr>
                      <w:rFonts w:cs="Times New Roman" w:eastAsiaTheme="minorEastAsia"/>
                      <w:b/>
                      <w:color w:val="auto"/>
                      <w:sz w:val="21"/>
                      <w:szCs w:val="21"/>
                    </w:rPr>
                  </w:pPr>
                  <w:r>
                    <w:rPr>
                      <w:rFonts w:hint="eastAsia" w:cs="Times New Roman" w:eastAsiaTheme="minorEastAsia"/>
                      <w:b/>
                      <w:color w:val="auto"/>
                      <w:sz w:val="21"/>
                      <w:szCs w:val="21"/>
                    </w:rPr>
                    <w:t>执行标准</w:t>
                  </w:r>
                </w:p>
              </w:tc>
            </w:tr>
            <w:tr w14:paraId="65D4C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vAlign w:val="center"/>
                </w:tcPr>
                <w:p w14:paraId="18FB809D">
                  <w:pPr>
                    <w:pStyle w:val="40"/>
                    <w:jc w:val="center"/>
                    <w:rPr>
                      <w:rFonts w:cs="Times New Roman" w:eastAsiaTheme="minorEastAsia"/>
                      <w:b/>
                      <w:color w:val="auto"/>
                      <w:sz w:val="21"/>
                      <w:szCs w:val="21"/>
                    </w:rPr>
                  </w:pPr>
                </w:p>
              </w:tc>
              <w:tc>
                <w:tcPr>
                  <w:tcW w:w="978" w:type="pct"/>
                  <w:vMerge w:val="continue"/>
                  <w:shd w:val="clear" w:color="auto" w:fill="auto"/>
                  <w:vAlign w:val="center"/>
                </w:tcPr>
                <w:p w14:paraId="7CFBBBEE">
                  <w:pPr>
                    <w:pStyle w:val="40"/>
                    <w:jc w:val="center"/>
                    <w:rPr>
                      <w:rFonts w:cs="Times New Roman" w:eastAsiaTheme="minorEastAsia"/>
                      <w:b/>
                      <w:color w:val="auto"/>
                      <w:sz w:val="21"/>
                      <w:szCs w:val="21"/>
                    </w:rPr>
                  </w:pPr>
                </w:p>
              </w:tc>
              <w:tc>
                <w:tcPr>
                  <w:tcW w:w="666" w:type="pct"/>
                  <w:shd w:val="clear" w:color="auto" w:fill="auto"/>
                  <w:vAlign w:val="center"/>
                </w:tcPr>
                <w:p w14:paraId="59AC826E">
                  <w:pPr>
                    <w:pStyle w:val="40"/>
                    <w:jc w:val="center"/>
                    <w:rPr>
                      <w:rFonts w:cs="Times New Roman" w:eastAsiaTheme="minorEastAsia"/>
                      <w:b/>
                      <w:color w:val="auto"/>
                      <w:sz w:val="21"/>
                      <w:szCs w:val="21"/>
                    </w:rPr>
                  </w:pPr>
                  <w:r>
                    <w:rPr>
                      <w:rFonts w:hint="eastAsia" w:cs="Times New Roman" w:eastAsiaTheme="minorEastAsia"/>
                      <w:b/>
                      <w:color w:val="auto"/>
                      <w:sz w:val="21"/>
                      <w:szCs w:val="21"/>
                    </w:rPr>
                    <w:t>经度</w:t>
                  </w:r>
                </w:p>
              </w:tc>
              <w:tc>
                <w:tcPr>
                  <w:tcW w:w="605" w:type="pct"/>
                  <w:shd w:val="clear" w:color="auto" w:fill="auto"/>
                  <w:vAlign w:val="center"/>
                </w:tcPr>
                <w:p w14:paraId="4D044BDB">
                  <w:pPr>
                    <w:pStyle w:val="40"/>
                    <w:jc w:val="center"/>
                    <w:rPr>
                      <w:rFonts w:cs="Times New Roman" w:eastAsiaTheme="minorEastAsia"/>
                      <w:b/>
                      <w:color w:val="auto"/>
                      <w:sz w:val="21"/>
                      <w:szCs w:val="21"/>
                    </w:rPr>
                  </w:pPr>
                  <w:r>
                    <w:rPr>
                      <w:rFonts w:hint="eastAsia" w:cs="Times New Roman" w:eastAsiaTheme="minorEastAsia"/>
                      <w:b/>
                      <w:color w:val="auto"/>
                      <w:sz w:val="21"/>
                      <w:szCs w:val="21"/>
                    </w:rPr>
                    <w:t>纬度</w:t>
                  </w:r>
                </w:p>
              </w:tc>
              <w:tc>
                <w:tcPr>
                  <w:tcW w:w="341" w:type="pct"/>
                  <w:vMerge w:val="continue"/>
                  <w:shd w:val="clear" w:color="auto" w:fill="auto"/>
                  <w:vAlign w:val="center"/>
                </w:tcPr>
                <w:p w14:paraId="3D72549D">
                  <w:pPr>
                    <w:pStyle w:val="40"/>
                    <w:jc w:val="center"/>
                    <w:rPr>
                      <w:rFonts w:cs="Times New Roman" w:eastAsiaTheme="minorEastAsia"/>
                      <w:b/>
                      <w:color w:val="auto"/>
                      <w:sz w:val="21"/>
                      <w:szCs w:val="21"/>
                    </w:rPr>
                  </w:pPr>
                </w:p>
              </w:tc>
              <w:tc>
                <w:tcPr>
                  <w:tcW w:w="341" w:type="pct"/>
                  <w:vMerge w:val="continue"/>
                  <w:shd w:val="clear" w:color="auto" w:fill="auto"/>
                  <w:vAlign w:val="center"/>
                </w:tcPr>
                <w:p w14:paraId="5A761D7C">
                  <w:pPr>
                    <w:pStyle w:val="40"/>
                    <w:jc w:val="center"/>
                    <w:rPr>
                      <w:rFonts w:cs="Times New Roman" w:eastAsiaTheme="minorEastAsia"/>
                      <w:b/>
                      <w:color w:val="auto"/>
                      <w:sz w:val="21"/>
                      <w:szCs w:val="21"/>
                    </w:rPr>
                  </w:pPr>
                </w:p>
              </w:tc>
              <w:tc>
                <w:tcPr>
                  <w:tcW w:w="419" w:type="pct"/>
                  <w:vMerge w:val="continue"/>
                  <w:shd w:val="clear" w:color="auto" w:fill="auto"/>
                  <w:vAlign w:val="center"/>
                </w:tcPr>
                <w:p w14:paraId="144E9C19">
                  <w:pPr>
                    <w:pStyle w:val="40"/>
                    <w:jc w:val="center"/>
                    <w:rPr>
                      <w:rFonts w:cs="Times New Roman" w:eastAsiaTheme="minorEastAsia"/>
                      <w:b/>
                      <w:color w:val="auto"/>
                      <w:sz w:val="21"/>
                      <w:szCs w:val="21"/>
                    </w:rPr>
                  </w:pPr>
                </w:p>
              </w:tc>
              <w:tc>
                <w:tcPr>
                  <w:tcW w:w="447" w:type="pct"/>
                  <w:vMerge w:val="continue"/>
                  <w:shd w:val="clear" w:color="auto" w:fill="auto"/>
                  <w:vAlign w:val="center"/>
                </w:tcPr>
                <w:p w14:paraId="425838B9">
                  <w:pPr>
                    <w:pStyle w:val="40"/>
                    <w:jc w:val="center"/>
                    <w:rPr>
                      <w:rFonts w:cs="Times New Roman" w:eastAsiaTheme="minorEastAsia"/>
                      <w:b/>
                      <w:color w:val="auto"/>
                      <w:sz w:val="21"/>
                      <w:szCs w:val="21"/>
                    </w:rPr>
                  </w:pPr>
                </w:p>
              </w:tc>
              <w:tc>
                <w:tcPr>
                  <w:tcW w:w="473" w:type="pct"/>
                  <w:vMerge w:val="continue"/>
                  <w:shd w:val="clear" w:color="auto" w:fill="auto"/>
                  <w:vAlign w:val="center"/>
                </w:tcPr>
                <w:p w14:paraId="4EF10CFC">
                  <w:pPr>
                    <w:pStyle w:val="40"/>
                    <w:jc w:val="center"/>
                    <w:rPr>
                      <w:rFonts w:cs="Times New Roman" w:eastAsiaTheme="minorEastAsia"/>
                      <w:b/>
                      <w:color w:val="auto"/>
                      <w:sz w:val="21"/>
                      <w:szCs w:val="21"/>
                    </w:rPr>
                  </w:pPr>
                </w:p>
              </w:tc>
              <w:tc>
                <w:tcPr>
                  <w:tcW w:w="453" w:type="pct"/>
                  <w:vMerge w:val="continue"/>
                  <w:shd w:val="clear" w:color="auto" w:fill="auto"/>
                  <w:vAlign w:val="center"/>
                </w:tcPr>
                <w:p w14:paraId="56D86C9C">
                  <w:pPr>
                    <w:pStyle w:val="40"/>
                    <w:jc w:val="center"/>
                    <w:rPr>
                      <w:rFonts w:cs="Times New Roman" w:eastAsiaTheme="minorEastAsia"/>
                      <w:b/>
                      <w:color w:val="auto"/>
                      <w:sz w:val="21"/>
                      <w:szCs w:val="21"/>
                    </w:rPr>
                  </w:pPr>
                </w:p>
              </w:tc>
            </w:tr>
            <w:tr w14:paraId="0404B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restart"/>
                  <w:shd w:val="clear" w:color="auto" w:fill="auto"/>
                  <w:vAlign w:val="center"/>
                </w:tcPr>
                <w:p w14:paraId="3352E020">
                  <w:pPr>
                    <w:pStyle w:val="40"/>
                    <w:jc w:val="center"/>
                    <w:rPr>
                      <w:rFonts w:cs="Times New Roman" w:eastAsiaTheme="minorEastAsia"/>
                      <w:b/>
                      <w:color w:val="auto"/>
                      <w:sz w:val="21"/>
                      <w:szCs w:val="21"/>
                    </w:rPr>
                  </w:pPr>
                  <w:r>
                    <w:rPr>
                      <w:rFonts w:cs="Times New Roman" w:eastAsiaTheme="minorEastAsia"/>
                      <w:bCs/>
                      <w:color w:val="auto"/>
                      <w:sz w:val="21"/>
                      <w:szCs w:val="21"/>
                    </w:rPr>
                    <w:t>环境</w:t>
                  </w:r>
                  <w:r>
                    <w:rPr>
                      <w:rFonts w:hint="eastAsia" w:cs="Times New Roman" w:eastAsiaTheme="minorEastAsia"/>
                      <w:bCs/>
                      <w:color w:val="auto"/>
                      <w:sz w:val="21"/>
                      <w:szCs w:val="21"/>
                    </w:rPr>
                    <w:t>空气</w:t>
                  </w:r>
                </w:p>
              </w:tc>
              <w:tc>
                <w:tcPr>
                  <w:tcW w:w="978" w:type="pct"/>
                  <w:shd w:val="clear" w:color="auto" w:fill="auto"/>
                  <w:vAlign w:val="center"/>
                </w:tcPr>
                <w:p w14:paraId="3A2454A1">
                  <w:pPr>
                    <w:jc w:val="center"/>
                    <w:rPr>
                      <w:sz w:val="21"/>
                      <w:szCs w:val="18"/>
                    </w:rPr>
                  </w:pPr>
                  <w:r>
                    <w:rPr>
                      <w:rFonts w:hint="eastAsia"/>
                      <w:sz w:val="21"/>
                      <w:szCs w:val="18"/>
                    </w:rPr>
                    <w:t>天地源兰樾坊</w:t>
                  </w:r>
                </w:p>
              </w:tc>
              <w:tc>
                <w:tcPr>
                  <w:tcW w:w="666" w:type="pct"/>
                  <w:shd w:val="clear" w:color="auto" w:fill="auto"/>
                  <w:vAlign w:val="center"/>
                </w:tcPr>
                <w:p w14:paraId="357C02F8">
                  <w:pPr>
                    <w:jc w:val="center"/>
                    <w:rPr>
                      <w:sz w:val="21"/>
                      <w:szCs w:val="18"/>
                    </w:rPr>
                  </w:pPr>
                  <w:r>
                    <w:rPr>
                      <w:sz w:val="21"/>
                      <w:szCs w:val="18"/>
                    </w:rPr>
                    <w:t>108.77466917</w:t>
                  </w:r>
                </w:p>
              </w:tc>
              <w:tc>
                <w:tcPr>
                  <w:tcW w:w="605" w:type="pct"/>
                  <w:shd w:val="clear" w:color="auto" w:fill="auto"/>
                  <w:vAlign w:val="center"/>
                </w:tcPr>
                <w:p w14:paraId="7200ECE6">
                  <w:pPr>
                    <w:jc w:val="center"/>
                    <w:rPr>
                      <w:sz w:val="21"/>
                      <w:szCs w:val="18"/>
                    </w:rPr>
                  </w:pPr>
                  <w:r>
                    <w:rPr>
                      <w:rFonts w:hint="eastAsia"/>
                      <w:sz w:val="21"/>
                      <w:szCs w:val="18"/>
                    </w:rPr>
                    <w:t>34.26392007</w:t>
                  </w:r>
                </w:p>
              </w:tc>
              <w:tc>
                <w:tcPr>
                  <w:tcW w:w="341" w:type="pct"/>
                  <w:vMerge w:val="restart"/>
                  <w:shd w:val="clear" w:color="auto" w:fill="auto"/>
                  <w:vAlign w:val="center"/>
                </w:tcPr>
                <w:p w14:paraId="3DB83CB0">
                  <w:pPr>
                    <w:jc w:val="center"/>
                    <w:rPr>
                      <w:sz w:val="21"/>
                      <w:szCs w:val="18"/>
                    </w:rPr>
                  </w:pPr>
                  <w:r>
                    <w:rPr>
                      <w:rFonts w:hint="eastAsia"/>
                      <w:sz w:val="21"/>
                      <w:szCs w:val="18"/>
                    </w:rPr>
                    <w:t>居住区</w:t>
                  </w:r>
                </w:p>
              </w:tc>
              <w:tc>
                <w:tcPr>
                  <w:tcW w:w="341" w:type="pct"/>
                  <w:vMerge w:val="restart"/>
                  <w:shd w:val="clear" w:color="auto" w:fill="auto"/>
                  <w:vAlign w:val="center"/>
                </w:tcPr>
                <w:p w14:paraId="2A698FA8">
                  <w:pPr>
                    <w:jc w:val="center"/>
                    <w:rPr>
                      <w:sz w:val="21"/>
                      <w:szCs w:val="18"/>
                    </w:rPr>
                  </w:pPr>
                  <w:r>
                    <w:rPr>
                      <w:rFonts w:hint="eastAsia"/>
                      <w:sz w:val="21"/>
                      <w:szCs w:val="18"/>
                    </w:rPr>
                    <w:t>人群</w:t>
                  </w:r>
                </w:p>
              </w:tc>
              <w:tc>
                <w:tcPr>
                  <w:tcW w:w="419" w:type="pct"/>
                  <w:vMerge w:val="restart"/>
                  <w:shd w:val="clear" w:color="auto" w:fill="auto"/>
                  <w:vAlign w:val="center"/>
                </w:tcPr>
                <w:p w14:paraId="56FAA79A">
                  <w:pPr>
                    <w:pStyle w:val="40"/>
                    <w:jc w:val="center"/>
                    <w:rPr>
                      <w:rFonts w:cs="Times New Roman" w:eastAsiaTheme="minorEastAsia"/>
                      <w:bCs/>
                      <w:color w:val="auto"/>
                      <w:sz w:val="21"/>
                      <w:szCs w:val="21"/>
                    </w:rPr>
                  </w:pPr>
                  <w:r>
                    <w:rPr>
                      <w:rFonts w:cs="Times New Roman" w:eastAsiaTheme="minorEastAsia"/>
                      <w:bCs/>
                      <w:color w:val="auto"/>
                      <w:sz w:val="21"/>
                      <w:szCs w:val="21"/>
                    </w:rPr>
                    <w:t>二类</w:t>
                  </w:r>
                </w:p>
              </w:tc>
              <w:tc>
                <w:tcPr>
                  <w:tcW w:w="447" w:type="pct"/>
                  <w:shd w:val="clear" w:color="auto" w:fill="auto"/>
                  <w:vAlign w:val="center"/>
                </w:tcPr>
                <w:p w14:paraId="5510E79B">
                  <w:pPr>
                    <w:jc w:val="center"/>
                    <w:rPr>
                      <w:sz w:val="21"/>
                      <w:szCs w:val="18"/>
                    </w:rPr>
                  </w:pPr>
                  <w:r>
                    <w:rPr>
                      <w:rFonts w:hint="eastAsia"/>
                      <w:sz w:val="21"/>
                      <w:szCs w:val="18"/>
                    </w:rPr>
                    <w:t>NE</w:t>
                  </w:r>
                </w:p>
              </w:tc>
              <w:tc>
                <w:tcPr>
                  <w:tcW w:w="473" w:type="pct"/>
                  <w:shd w:val="clear" w:color="auto" w:fill="auto"/>
                  <w:vAlign w:val="center"/>
                </w:tcPr>
                <w:p w14:paraId="4C271D3A">
                  <w:pPr>
                    <w:jc w:val="center"/>
                    <w:rPr>
                      <w:sz w:val="21"/>
                      <w:szCs w:val="18"/>
                    </w:rPr>
                  </w:pPr>
                  <w:r>
                    <w:rPr>
                      <w:rFonts w:hint="eastAsia"/>
                      <w:sz w:val="21"/>
                      <w:szCs w:val="18"/>
                    </w:rPr>
                    <w:t>76</w:t>
                  </w:r>
                </w:p>
              </w:tc>
              <w:tc>
                <w:tcPr>
                  <w:tcW w:w="453" w:type="pct"/>
                  <w:vMerge w:val="restart"/>
                  <w:shd w:val="clear" w:color="auto" w:fill="auto"/>
                  <w:vAlign w:val="center"/>
                </w:tcPr>
                <w:p w14:paraId="4E7DD8B2">
                  <w:pPr>
                    <w:pStyle w:val="40"/>
                    <w:jc w:val="center"/>
                    <w:rPr>
                      <w:rFonts w:cs="Times New Roman"/>
                      <w:bCs/>
                      <w:color w:val="auto"/>
                      <w:sz w:val="21"/>
                      <w:szCs w:val="21"/>
                    </w:rPr>
                  </w:pPr>
                  <w:r>
                    <w:rPr>
                      <w:rFonts w:hint="eastAsia"/>
                      <w:color w:val="auto"/>
                      <w:sz w:val="21"/>
                      <w:szCs w:val="21"/>
                    </w:rPr>
                    <w:t>《</w:t>
                  </w:r>
                  <w:r>
                    <w:rPr>
                      <w:rFonts w:hint="eastAsia" w:cs="Times New Roman" w:eastAsiaTheme="minorEastAsia"/>
                      <w:bCs/>
                      <w:color w:val="auto"/>
                      <w:sz w:val="21"/>
                      <w:szCs w:val="21"/>
                    </w:rPr>
                    <w:t>环境空气质量标准》（G</w:t>
                  </w:r>
                  <w:r>
                    <w:rPr>
                      <w:rFonts w:cs="Times New Roman" w:eastAsiaTheme="minorEastAsia"/>
                      <w:bCs/>
                      <w:color w:val="auto"/>
                      <w:sz w:val="21"/>
                      <w:szCs w:val="21"/>
                    </w:rPr>
                    <w:t>B</w:t>
                  </w:r>
                  <w:r>
                    <w:rPr>
                      <w:color w:val="auto"/>
                      <w:sz w:val="21"/>
                      <w:szCs w:val="21"/>
                    </w:rPr>
                    <w:t>3095-2012</w:t>
                  </w:r>
                  <w:r>
                    <w:rPr>
                      <w:rFonts w:hint="eastAsia"/>
                      <w:color w:val="auto"/>
                      <w:sz w:val="21"/>
                      <w:szCs w:val="21"/>
                    </w:rPr>
                    <w:t>）二级标准</w:t>
                  </w:r>
                </w:p>
              </w:tc>
            </w:tr>
            <w:tr w14:paraId="2A9A2B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vAlign w:val="center"/>
                </w:tcPr>
                <w:p w14:paraId="4EABDFBE">
                  <w:pPr>
                    <w:pStyle w:val="40"/>
                    <w:jc w:val="center"/>
                    <w:rPr>
                      <w:rFonts w:cs="Times New Roman" w:eastAsiaTheme="minorEastAsia"/>
                      <w:bCs/>
                      <w:color w:val="auto"/>
                      <w:sz w:val="21"/>
                      <w:szCs w:val="21"/>
                    </w:rPr>
                  </w:pPr>
                </w:p>
              </w:tc>
              <w:tc>
                <w:tcPr>
                  <w:tcW w:w="978" w:type="pct"/>
                  <w:shd w:val="clear" w:color="auto" w:fill="auto"/>
                  <w:vAlign w:val="center"/>
                </w:tcPr>
                <w:p w14:paraId="00B0117F">
                  <w:pPr>
                    <w:jc w:val="center"/>
                    <w:rPr>
                      <w:sz w:val="21"/>
                      <w:szCs w:val="18"/>
                    </w:rPr>
                  </w:pPr>
                  <w:r>
                    <w:rPr>
                      <w:rFonts w:hint="eastAsia"/>
                      <w:sz w:val="21"/>
                      <w:szCs w:val="18"/>
                    </w:rPr>
                    <w:t>绿地新里成尔雅公馆</w:t>
                  </w:r>
                </w:p>
              </w:tc>
              <w:tc>
                <w:tcPr>
                  <w:tcW w:w="666" w:type="pct"/>
                  <w:shd w:val="clear" w:color="auto" w:fill="auto"/>
                  <w:vAlign w:val="center"/>
                </w:tcPr>
                <w:p w14:paraId="07790E76">
                  <w:pPr>
                    <w:jc w:val="center"/>
                    <w:rPr>
                      <w:sz w:val="21"/>
                      <w:szCs w:val="18"/>
                    </w:rPr>
                  </w:pPr>
                  <w:r>
                    <w:rPr>
                      <w:sz w:val="21"/>
                      <w:szCs w:val="18"/>
                    </w:rPr>
                    <w:t>108.77805948</w:t>
                  </w:r>
                </w:p>
              </w:tc>
              <w:tc>
                <w:tcPr>
                  <w:tcW w:w="605" w:type="pct"/>
                  <w:shd w:val="clear" w:color="auto" w:fill="auto"/>
                  <w:vAlign w:val="center"/>
                </w:tcPr>
                <w:p w14:paraId="0FC22048">
                  <w:pPr>
                    <w:jc w:val="center"/>
                    <w:rPr>
                      <w:sz w:val="21"/>
                      <w:szCs w:val="18"/>
                    </w:rPr>
                  </w:pPr>
                  <w:r>
                    <w:rPr>
                      <w:rFonts w:hint="eastAsia"/>
                      <w:sz w:val="21"/>
                      <w:szCs w:val="18"/>
                    </w:rPr>
                    <w:t>34.26368953</w:t>
                  </w:r>
                </w:p>
              </w:tc>
              <w:tc>
                <w:tcPr>
                  <w:tcW w:w="341" w:type="pct"/>
                  <w:vMerge w:val="continue"/>
                  <w:shd w:val="clear" w:color="auto" w:fill="auto"/>
                  <w:vAlign w:val="center"/>
                </w:tcPr>
                <w:p w14:paraId="68F46F94">
                  <w:pPr>
                    <w:jc w:val="center"/>
                    <w:rPr>
                      <w:sz w:val="21"/>
                      <w:szCs w:val="18"/>
                    </w:rPr>
                  </w:pPr>
                </w:p>
              </w:tc>
              <w:tc>
                <w:tcPr>
                  <w:tcW w:w="341" w:type="pct"/>
                  <w:vMerge w:val="continue"/>
                  <w:shd w:val="clear" w:color="auto" w:fill="auto"/>
                  <w:vAlign w:val="center"/>
                </w:tcPr>
                <w:p w14:paraId="700B89FA">
                  <w:pPr>
                    <w:jc w:val="center"/>
                    <w:rPr>
                      <w:sz w:val="21"/>
                      <w:szCs w:val="18"/>
                    </w:rPr>
                  </w:pPr>
                </w:p>
              </w:tc>
              <w:tc>
                <w:tcPr>
                  <w:tcW w:w="419" w:type="pct"/>
                  <w:vMerge w:val="continue"/>
                  <w:shd w:val="clear" w:color="auto" w:fill="auto"/>
                  <w:vAlign w:val="center"/>
                </w:tcPr>
                <w:p w14:paraId="7391D347">
                  <w:pPr>
                    <w:pStyle w:val="40"/>
                    <w:jc w:val="center"/>
                    <w:rPr>
                      <w:rFonts w:cs="Times New Roman" w:eastAsiaTheme="minorEastAsia"/>
                      <w:bCs/>
                      <w:color w:val="auto"/>
                      <w:sz w:val="21"/>
                      <w:szCs w:val="21"/>
                    </w:rPr>
                  </w:pPr>
                </w:p>
              </w:tc>
              <w:tc>
                <w:tcPr>
                  <w:tcW w:w="447" w:type="pct"/>
                  <w:shd w:val="clear" w:color="auto" w:fill="auto"/>
                  <w:vAlign w:val="center"/>
                </w:tcPr>
                <w:p w14:paraId="64251E73">
                  <w:pPr>
                    <w:jc w:val="center"/>
                    <w:rPr>
                      <w:sz w:val="21"/>
                      <w:szCs w:val="18"/>
                    </w:rPr>
                  </w:pPr>
                  <w:r>
                    <w:rPr>
                      <w:rFonts w:hint="eastAsia"/>
                      <w:sz w:val="21"/>
                      <w:szCs w:val="18"/>
                    </w:rPr>
                    <w:t>E</w:t>
                  </w:r>
                </w:p>
              </w:tc>
              <w:tc>
                <w:tcPr>
                  <w:tcW w:w="473" w:type="pct"/>
                  <w:shd w:val="clear" w:color="auto" w:fill="auto"/>
                  <w:vAlign w:val="center"/>
                </w:tcPr>
                <w:p w14:paraId="654A348E">
                  <w:pPr>
                    <w:jc w:val="center"/>
                    <w:rPr>
                      <w:sz w:val="21"/>
                      <w:szCs w:val="18"/>
                    </w:rPr>
                  </w:pPr>
                  <w:r>
                    <w:rPr>
                      <w:rFonts w:hint="eastAsia"/>
                      <w:sz w:val="21"/>
                      <w:szCs w:val="18"/>
                    </w:rPr>
                    <w:t>365</w:t>
                  </w:r>
                </w:p>
              </w:tc>
              <w:tc>
                <w:tcPr>
                  <w:tcW w:w="453" w:type="pct"/>
                  <w:vMerge w:val="continue"/>
                  <w:shd w:val="clear" w:color="auto" w:fill="auto"/>
                  <w:vAlign w:val="center"/>
                </w:tcPr>
                <w:p w14:paraId="1FBF233C">
                  <w:pPr>
                    <w:pStyle w:val="40"/>
                    <w:jc w:val="center"/>
                    <w:rPr>
                      <w:rFonts w:cs="Times New Roman" w:eastAsiaTheme="minorEastAsia"/>
                      <w:bCs/>
                      <w:color w:val="auto"/>
                      <w:sz w:val="21"/>
                      <w:szCs w:val="21"/>
                    </w:rPr>
                  </w:pPr>
                </w:p>
              </w:tc>
            </w:tr>
            <w:tr w14:paraId="38150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1666F8BB">
                  <w:pPr>
                    <w:pStyle w:val="40"/>
                    <w:jc w:val="center"/>
                    <w:rPr>
                      <w:rFonts w:cs="Times New Roman" w:eastAsiaTheme="minorEastAsia"/>
                      <w:bCs/>
                      <w:color w:val="auto"/>
                      <w:sz w:val="21"/>
                      <w:szCs w:val="21"/>
                    </w:rPr>
                  </w:pPr>
                </w:p>
              </w:tc>
              <w:tc>
                <w:tcPr>
                  <w:tcW w:w="978" w:type="pct"/>
                  <w:shd w:val="clear" w:color="auto" w:fill="auto"/>
                  <w:vAlign w:val="center"/>
                </w:tcPr>
                <w:p w14:paraId="79B5DA1F">
                  <w:pPr>
                    <w:jc w:val="center"/>
                    <w:rPr>
                      <w:sz w:val="21"/>
                      <w:szCs w:val="18"/>
                    </w:rPr>
                  </w:pPr>
                  <w:r>
                    <w:rPr>
                      <w:rFonts w:hint="eastAsia"/>
                      <w:sz w:val="21"/>
                      <w:szCs w:val="18"/>
                    </w:rPr>
                    <w:t>沣华熙城</w:t>
                  </w:r>
                </w:p>
              </w:tc>
              <w:tc>
                <w:tcPr>
                  <w:tcW w:w="666" w:type="pct"/>
                  <w:shd w:val="clear" w:color="auto" w:fill="auto"/>
                  <w:vAlign w:val="center"/>
                </w:tcPr>
                <w:p w14:paraId="3CA5965F">
                  <w:pPr>
                    <w:jc w:val="center"/>
                    <w:rPr>
                      <w:sz w:val="21"/>
                      <w:szCs w:val="18"/>
                    </w:rPr>
                  </w:pPr>
                  <w:r>
                    <w:rPr>
                      <w:sz w:val="21"/>
                      <w:szCs w:val="18"/>
                    </w:rPr>
                    <w:t>108.77391815</w:t>
                  </w:r>
                </w:p>
              </w:tc>
              <w:tc>
                <w:tcPr>
                  <w:tcW w:w="605" w:type="pct"/>
                  <w:shd w:val="clear" w:color="auto" w:fill="auto"/>
                  <w:vAlign w:val="center"/>
                </w:tcPr>
                <w:p w14:paraId="52F36829">
                  <w:pPr>
                    <w:jc w:val="center"/>
                    <w:rPr>
                      <w:sz w:val="21"/>
                      <w:szCs w:val="18"/>
                    </w:rPr>
                  </w:pPr>
                  <w:r>
                    <w:rPr>
                      <w:rFonts w:hint="eastAsia"/>
                      <w:sz w:val="21"/>
                      <w:szCs w:val="18"/>
                    </w:rPr>
                    <w:t>34.25808546</w:t>
                  </w:r>
                </w:p>
              </w:tc>
              <w:tc>
                <w:tcPr>
                  <w:tcW w:w="341" w:type="pct"/>
                  <w:vMerge w:val="continue"/>
                  <w:shd w:val="clear" w:color="auto" w:fill="auto"/>
                  <w:vAlign w:val="center"/>
                </w:tcPr>
                <w:p w14:paraId="5611B905">
                  <w:pPr>
                    <w:jc w:val="center"/>
                    <w:rPr>
                      <w:sz w:val="21"/>
                      <w:szCs w:val="18"/>
                    </w:rPr>
                  </w:pPr>
                </w:p>
              </w:tc>
              <w:tc>
                <w:tcPr>
                  <w:tcW w:w="341" w:type="pct"/>
                  <w:vMerge w:val="continue"/>
                  <w:shd w:val="clear" w:color="auto" w:fill="auto"/>
                  <w:vAlign w:val="center"/>
                </w:tcPr>
                <w:p w14:paraId="674A055F">
                  <w:pPr>
                    <w:jc w:val="center"/>
                    <w:rPr>
                      <w:sz w:val="21"/>
                      <w:szCs w:val="18"/>
                    </w:rPr>
                  </w:pPr>
                </w:p>
              </w:tc>
              <w:tc>
                <w:tcPr>
                  <w:tcW w:w="419" w:type="pct"/>
                  <w:vMerge w:val="continue"/>
                  <w:shd w:val="clear" w:color="auto" w:fill="auto"/>
                </w:tcPr>
                <w:p w14:paraId="79D71B44">
                  <w:pPr>
                    <w:pStyle w:val="40"/>
                    <w:jc w:val="center"/>
                    <w:rPr>
                      <w:rFonts w:cs="Times New Roman" w:eastAsiaTheme="minorEastAsia"/>
                      <w:bCs/>
                      <w:color w:val="auto"/>
                      <w:sz w:val="21"/>
                      <w:szCs w:val="21"/>
                    </w:rPr>
                  </w:pPr>
                </w:p>
              </w:tc>
              <w:tc>
                <w:tcPr>
                  <w:tcW w:w="447" w:type="pct"/>
                  <w:shd w:val="clear" w:color="auto" w:fill="auto"/>
                  <w:vAlign w:val="center"/>
                </w:tcPr>
                <w:p w14:paraId="4ECBC001">
                  <w:pPr>
                    <w:jc w:val="center"/>
                    <w:rPr>
                      <w:sz w:val="21"/>
                      <w:szCs w:val="18"/>
                    </w:rPr>
                  </w:pPr>
                  <w:r>
                    <w:rPr>
                      <w:rFonts w:hint="eastAsia"/>
                      <w:sz w:val="21"/>
                      <w:szCs w:val="18"/>
                    </w:rPr>
                    <w:t>S</w:t>
                  </w:r>
                </w:p>
              </w:tc>
              <w:tc>
                <w:tcPr>
                  <w:tcW w:w="473" w:type="pct"/>
                  <w:shd w:val="clear" w:color="auto" w:fill="auto"/>
                  <w:vAlign w:val="center"/>
                </w:tcPr>
                <w:p w14:paraId="7F965985">
                  <w:pPr>
                    <w:jc w:val="center"/>
                    <w:rPr>
                      <w:sz w:val="21"/>
                      <w:szCs w:val="18"/>
                    </w:rPr>
                  </w:pPr>
                  <w:r>
                    <w:rPr>
                      <w:rFonts w:hint="eastAsia"/>
                      <w:sz w:val="21"/>
                      <w:szCs w:val="18"/>
                    </w:rPr>
                    <w:t>225</w:t>
                  </w:r>
                </w:p>
              </w:tc>
              <w:tc>
                <w:tcPr>
                  <w:tcW w:w="453" w:type="pct"/>
                  <w:vMerge w:val="continue"/>
                  <w:shd w:val="clear" w:color="auto" w:fill="auto"/>
                </w:tcPr>
                <w:p w14:paraId="6D5C596C">
                  <w:pPr>
                    <w:pStyle w:val="40"/>
                    <w:jc w:val="center"/>
                    <w:rPr>
                      <w:rFonts w:cs="Times New Roman" w:eastAsiaTheme="minorEastAsia"/>
                      <w:bCs/>
                      <w:color w:val="auto"/>
                      <w:sz w:val="21"/>
                      <w:szCs w:val="21"/>
                    </w:rPr>
                  </w:pPr>
                </w:p>
              </w:tc>
            </w:tr>
            <w:tr w14:paraId="08CA3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716D9B63">
                  <w:pPr>
                    <w:pStyle w:val="40"/>
                    <w:jc w:val="center"/>
                    <w:rPr>
                      <w:rFonts w:cs="Times New Roman" w:eastAsiaTheme="minorEastAsia"/>
                      <w:bCs/>
                      <w:color w:val="auto"/>
                      <w:sz w:val="21"/>
                      <w:szCs w:val="21"/>
                    </w:rPr>
                  </w:pPr>
                </w:p>
              </w:tc>
              <w:tc>
                <w:tcPr>
                  <w:tcW w:w="978" w:type="pct"/>
                  <w:shd w:val="clear" w:color="auto" w:fill="auto"/>
                  <w:vAlign w:val="center"/>
                </w:tcPr>
                <w:p w14:paraId="4D7FCA81">
                  <w:pPr>
                    <w:jc w:val="center"/>
                    <w:rPr>
                      <w:sz w:val="21"/>
                      <w:szCs w:val="18"/>
                    </w:rPr>
                  </w:pPr>
                  <w:r>
                    <w:rPr>
                      <w:rFonts w:hint="eastAsia"/>
                      <w:sz w:val="21"/>
                      <w:szCs w:val="18"/>
                    </w:rPr>
                    <w:t>中国国际丝路中心</w:t>
                  </w:r>
                </w:p>
              </w:tc>
              <w:tc>
                <w:tcPr>
                  <w:tcW w:w="666" w:type="pct"/>
                  <w:shd w:val="clear" w:color="auto" w:fill="auto"/>
                  <w:vAlign w:val="center"/>
                </w:tcPr>
                <w:p w14:paraId="7E83B89A">
                  <w:pPr>
                    <w:jc w:val="center"/>
                    <w:rPr>
                      <w:sz w:val="21"/>
                      <w:szCs w:val="18"/>
                    </w:rPr>
                  </w:pPr>
                  <w:r>
                    <w:rPr>
                      <w:rFonts w:hint="eastAsia"/>
                      <w:sz w:val="21"/>
                      <w:szCs w:val="18"/>
                    </w:rPr>
                    <w:t>108.76891851</w:t>
                  </w:r>
                </w:p>
              </w:tc>
              <w:tc>
                <w:tcPr>
                  <w:tcW w:w="605" w:type="pct"/>
                  <w:shd w:val="clear" w:color="auto" w:fill="auto"/>
                  <w:vAlign w:val="center"/>
                </w:tcPr>
                <w:p w14:paraId="70D819F4">
                  <w:pPr>
                    <w:jc w:val="center"/>
                    <w:rPr>
                      <w:sz w:val="21"/>
                      <w:szCs w:val="18"/>
                    </w:rPr>
                  </w:pPr>
                  <w:r>
                    <w:rPr>
                      <w:sz w:val="21"/>
                      <w:szCs w:val="18"/>
                    </w:rPr>
                    <w:t>34.25774850</w:t>
                  </w:r>
                </w:p>
              </w:tc>
              <w:tc>
                <w:tcPr>
                  <w:tcW w:w="341" w:type="pct"/>
                  <w:vMerge w:val="continue"/>
                  <w:shd w:val="clear" w:color="auto" w:fill="auto"/>
                  <w:vAlign w:val="center"/>
                </w:tcPr>
                <w:p w14:paraId="7F8963DD">
                  <w:pPr>
                    <w:jc w:val="center"/>
                    <w:rPr>
                      <w:sz w:val="21"/>
                      <w:szCs w:val="18"/>
                    </w:rPr>
                  </w:pPr>
                </w:p>
              </w:tc>
              <w:tc>
                <w:tcPr>
                  <w:tcW w:w="341" w:type="pct"/>
                  <w:vMerge w:val="continue"/>
                  <w:shd w:val="clear" w:color="auto" w:fill="auto"/>
                  <w:vAlign w:val="center"/>
                </w:tcPr>
                <w:p w14:paraId="7A6AA504">
                  <w:pPr>
                    <w:jc w:val="center"/>
                    <w:rPr>
                      <w:sz w:val="21"/>
                      <w:szCs w:val="18"/>
                    </w:rPr>
                  </w:pPr>
                </w:p>
              </w:tc>
              <w:tc>
                <w:tcPr>
                  <w:tcW w:w="419" w:type="pct"/>
                  <w:vMerge w:val="continue"/>
                  <w:shd w:val="clear" w:color="auto" w:fill="auto"/>
                </w:tcPr>
                <w:p w14:paraId="522D51C9">
                  <w:pPr>
                    <w:pStyle w:val="40"/>
                    <w:jc w:val="center"/>
                    <w:rPr>
                      <w:rFonts w:cs="Times New Roman" w:eastAsiaTheme="minorEastAsia"/>
                      <w:bCs/>
                      <w:color w:val="auto"/>
                      <w:sz w:val="21"/>
                      <w:szCs w:val="21"/>
                    </w:rPr>
                  </w:pPr>
                </w:p>
              </w:tc>
              <w:tc>
                <w:tcPr>
                  <w:tcW w:w="447" w:type="pct"/>
                  <w:shd w:val="clear" w:color="auto" w:fill="auto"/>
                  <w:vAlign w:val="center"/>
                </w:tcPr>
                <w:p w14:paraId="310C6762">
                  <w:pPr>
                    <w:jc w:val="center"/>
                    <w:rPr>
                      <w:sz w:val="21"/>
                      <w:szCs w:val="18"/>
                    </w:rPr>
                  </w:pPr>
                  <w:r>
                    <w:rPr>
                      <w:rFonts w:hint="eastAsia"/>
                      <w:sz w:val="21"/>
                      <w:szCs w:val="18"/>
                    </w:rPr>
                    <w:t>SW</w:t>
                  </w:r>
                </w:p>
              </w:tc>
              <w:tc>
                <w:tcPr>
                  <w:tcW w:w="473" w:type="pct"/>
                  <w:shd w:val="clear" w:color="auto" w:fill="auto"/>
                  <w:vAlign w:val="center"/>
                </w:tcPr>
                <w:p w14:paraId="06116E90">
                  <w:pPr>
                    <w:jc w:val="center"/>
                    <w:rPr>
                      <w:sz w:val="21"/>
                      <w:szCs w:val="18"/>
                    </w:rPr>
                  </w:pPr>
                  <w:r>
                    <w:rPr>
                      <w:rFonts w:hint="eastAsia"/>
                      <w:sz w:val="21"/>
                      <w:szCs w:val="18"/>
                    </w:rPr>
                    <w:t>140</w:t>
                  </w:r>
                </w:p>
              </w:tc>
              <w:tc>
                <w:tcPr>
                  <w:tcW w:w="453" w:type="pct"/>
                  <w:vMerge w:val="continue"/>
                  <w:shd w:val="clear" w:color="auto" w:fill="auto"/>
                </w:tcPr>
                <w:p w14:paraId="0CCB3713">
                  <w:pPr>
                    <w:pStyle w:val="40"/>
                    <w:jc w:val="center"/>
                    <w:rPr>
                      <w:rFonts w:cs="Times New Roman" w:eastAsiaTheme="minorEastAsia"/>
                      <w:bCs/>
                      <w:color w:val="auto"/>
                      <w:sz w:val="21"/>
                      <w:szCs w:val="21"/>
                    </w:rPr>
                  </w:pPr>
                </w:p>
              </w:tc>
            </w:tr>
            <w:tr w14:paraId="158AA4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0AB654F8">
                  <w:pPr>
                    <w:pStyle w:val="40"/>
                    <w:jc w:val="center"/>
                    <w:rPr>
                      <w:rFonts w:cs="Times New Roman" w:eastAsiaTheme="minorEastAsia"/>
                      <w:bCs/>
                      <w:color w:val="auto"/>
                      <w:sz w:val="21"/>
                      <w:szCs w:val="21"/>
                    </w:rPr>
                  </w:pPr>
                </w:p>
              </w:tc>
              <w:tc>
                <w:tcPr>
                  <w:tcW w:w="978" w:type="pct"/>
                  <w:shd w:val="clear" w:color="auto" w:fill="auto"/>
                  <w:vAlign w:val="center"/>
                </w:tcPr>
                <w:p w14:paraId="67850600">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沣东紫锦酒店</w:t>
                  </w:r>
                </w:p>
              </w:tc>
              <w:tc>
                <w:tcPr>
                  <w:tcW w:w="666" w:type="pct"/>
                  <w:shd w:val="clear" w:color="auto" w:fill="auto"/>
                  <w:vAlign w:val="center"/>
                </w:tcPr>
                <w:p w14:paraId="562765ED">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108.77236247</w:t>
                  </w:r>
                </w:p>
              </w:tc>
              <w:tc>
                <w:tcPr>
                  <w:tcW w:w="605" w:type="pct"/>
                  <w:shd w:val="clear" w:color="auto" w:fill="auto"/>
                  <w:vAlign w:val="center"/>
                </w:tcPr>
                <w:p w14:paraId="3C296ACB">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34.26501956</w:t>
                  </w:r>
                </w:p>
              </w:tc>
              <w:tc>
                <w:tcPr>
                  <w:tcW w:w="341" w:type="pct"/>
                  <w:vMerge w:val="continue"/>
                  <w:shd w:val="clear" w:color="auto" w:fill="auto"/>
                  <w:vAlign w:val="center"/>
                </w:tcPr>
                <w:p w14:paraId="24E32287">
                  <w:pPr>
                    <w:jc w:val="center"/>
                    <w:rPr>
                      <w:color w:val="000000" w:themeColor="text1"/>
                      <w:sz w:val="21"/>
                      <w:szCs w:val="18"/>
                      <w14:textFill>
                        <w14:solidFill>
                          <w14:schemeClr w14:val="tx1"/>
                        </w14:solidFill>
                      </w14:textFill>
                    </w:rPr>
                  </w:pPr>
                </w:p>
              </w:tc>
              <w:tc>
                <w:tcPr>
                  <w:tcW w:w="341" w:type="pct"/>
                  <w:vMerge w:val="continue"/>
                  <w:shd w:val="clear" w:color="auto" w:fill="auto"/>
                  <w:vAlign w:val="center"/>
                </w:tcPr>
                <w:p w14:paraId="5C58FF2D">
                  <w:pPr>
                    <w:jc w:val="center"/>
                    <w:rPr>
                      <w:color w:val="000000" w:themeColor="text1"/>
                      <w:sz w:val="21"/>
                      <w:szCs w:val="18"/>
                      <w14:textFill>
                        <w14:solidFill>
                          <w14:schemeClr w14:val="tx1"/>
                        </w14:solidFill>
                      </w14:textFill>
                    </w:rPr>
                  </w:pPr>
                </w:p>
              </w:tc>
              <w:tc>
                <w:tcPr>
                  <w:tcW w:w="419" w:type="pct"/>
                  <w:vMerge w:val="continue"/>
                  <w:shd w:val="clear" w:color="auto" w:fill="auto"/>
                </w:tcPr>
                <w:p w14:paraId="65DE4EC4">
                  <w:pPr>
                    <w:pStyle w:val="40"/>
                    <w:jc w:val="center"/>
                    <w:rPr>
                      <w:rFonts w:cs="Times New Roman" w:eastAsiaTheme="minorEastAsia"/>
                      <w:bCs/>
                      <w:color w:val="000000" w:themeColor="text1"/>
                      <w:sz w:val="21"/>
                      <w:szCs w:val="21"/>
                      <w14:textFill>
                        <w14:solidFill>
                          <w14:schemeClr w14:val="tx1"/>
                        </w14:solidFill>
                      </w14:textFill>
                    </w:rPr>
                  </w:pPr>
                </w:p>
              </w:tc>
              <w:tc>
                <w:tcPr>
                  <w:tcW w:w="447" w:type="pct"/>
                  <w:shd w:val="clear" w:color="auto" w:fill="auto"/>
                  <w:vAlign w:val="center"/>
                </w:tcPr>
                <w:p w14:paraId="46517204">
                  <w:pPr>
                    <w:jc w:val="center"/>
                    <w:rPr>
                      <w:color w:val="000000" w:themeColor="text1"/>
                      <w:sz w:val="21"/>
                      <w:szCs w:val="18"/>
                      <w14:textFill>
                        <w14:solidFill>
                          <w14:schemeClr w14:val="tx1"/>
                        </w14:solidFill>
                      </w14:textFill>
                    </w:rPr>
                  </w:pPr>
                  <w:r>
                    <w:rPr>
                      <w:color w:val="000000" w:themeColor="text1"/>
                      <w:sz w:val="21"/>
                      <w:szCs w:val="18"/>
                      <w14:textFill>
                        <w14:solidFill>
                          <w14:schemeClr w14:val="tx1"/>
                        </w14:solidFill>
                      </w14:textFill>
                    </w:rPr>
                    <w:t>N</w:t>
                  </w:r>
                </w:p>
              </w:tc>
              <w:tc>
                <w:tcPr>
                  <w:tcW w:w="473" w:type="pct"/>
                  <w:shd w:val="clear" w:color="auto" w:fill="auto"/>
                  <w:vAlign w:val="center"/>
                </w:tcPr>
                <w:p w14:paraId="139EB58F">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327</w:t>
                  </w:r>
                </w:p>
              </w:tc>
              <w:tc>
                <w:tcPr>
                  <w:tcW w:w="453" w:type="pct"/>
                  <w:vMerge w:val="continue"/>
                  <w:shd w:val="clear" w:color="auto" w:fill="auto"/>
                </w:tcPr>
                <w:p w14:paraId="510730D4">
                  <w:pPr>
                    <w:pStyle w:val="40"/>
                    <w:jc w:val="center"/>
                    <w:rPr>
                      <w:rFonts w:cs="Times New Roman" w:eastAsiaTheme="minorEastAsia"/>
                      <w:bCs/>
                      <w:color w:val="auto"/>
                      <w:sz w:val="21"/>
                      <w:szCs w:val="21"/>
                    </w:rPr>
                  </w:pPr>
                </w:p>
              </w:tc>
            </w:tr>
            <w:tr w14:paraId="4A7AD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76E930A9">
                  <w:pPr>
                    <w:pStyle w:val="40"/>
                    <w:jc w:val="center"/>
                    <w:rPr>
                      <w:rFonts w:cs="Times New Roman" w:eastAsiaTheme="minorEastAsia"/>
                      <w:bCs/>
                      <w:color w:val="auto"/>
                      <w:sz w:val="21"/>
                      <w:szCs w:val="21"/>
                    </w:rPr>
                  </w:pPr>
                </w:p>
              </w:tc>
              <w:tc>
                <w:tcPr>
                  <w:tcW w:w="978" w:type="pct"/>
                  <w:shd w:val="clear" w:color="auto" w:fill="auto"/>
                  <w:vAlign w:val="center"/>
                </w:tcPr>
                <w:p w14:paraId="5892D04B">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沣东i立方</w:t>
                  </w:r>
                </w:p>
              </w:tc>
              <w:tc>
                <w:tcPr>
                  <w:tcW w:w="666" w:type="pct"/>
                  <w:shd w:val="clear" w:color="auto" w:fill="auto"/>
                  <w:vAlign w:val="center"/>
                </w:tcPr>
                <w:p w14:paraId="4CB466CB">
                  <w:pPr>
                    <w:jc w:val="center"/>
                    <w:rPr>
                      <w:color w:val="000000" w:themeColor="text1"/>
                      <w:sz w:val="21"/>
                      <w:szCs w:val="18"/>
                      <w14:textFill>
                        <w14:solidFill>
                          <w14:schemeClr w14:val="tx1"/>
                        </w14:solidFill>
                      </w14:textFill>
                    </w:rPr>
                  </w:pPr>
                  <w:r>
                    <w:rPr>
                      <w:color w:val="000000" w:themeColor="text1"/>
                      <w:sz w:val="21"/>
                      <w:szCs w:val="18"/>
                      <w14:textFill>
                        <w14:solidFill>
                          <w14:schemeClr w14:val="tx1"/>
                        </w14:solidFill>
                      </w14:textFill>
                    </w:rPr>
                    <w:t>108.77234101</w:t>
                  </w:r>
                </w:p>
              </w:tc>
              <w:tc>
                <w:tcPr>
                  <w:tcW w:w="605" w:type="pct"/>
                  <w:shd w:val="clear" w:color="auto" w:fill="auto"/>
                  <w:vAlign w:val="center"/>
                </w:tcPr>
                <w:p w14:paraId="13504CDC">
                  <w:pPr>
                    <w:jc w:val="center"/>
                    <w:rPr>
                      <w:color w:val="000000" w:themeColor="text1"/>
                      <w:sz w:val="21"/>
                      <w:szCs w:val="18"/>
                      <w14:textFill>
                        <w14:solidFill>
                          <w14:schemeClr w14:val="tx1"/>
                        </w14:solidFill>
                      </w14:textFill>
                    </w:rPr>
                  </w:pPr>
                  <w:r>
                    <w:rPr>
                      <w:color w:val="000000" w:themeColor="text1"/>
                      <w:sz w:val="21"/>
                      <w:szCs w:val="18"/>
                      <w14:textFill>
                        <w14:solidFill>
                          <w14:schemeClr w14:val="tx1"/>
                        </w14:solidFill>
                      </w14:textFill>
                    </w:rPr>
                    <w:t>34.26409741</w:t>
                  </w:r>
                </w:p>
              </w:tc>
              <w:tc>
                <w:tcPr>
                  <w:tcW w:w="341" w:type="pct"/>
                  <w:vMerge w:val="restart"/>
                  <w:shd w:val="clear" w:color="auto" w:fill="auto"/>
                  <w:vAlign w:val="center"/>
                </w:tcPr>
                <w:p w14:paraId="5B4A5B8E">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文教区</w:t>
                  </w:r>
                </w:p>
              </w:tc>
              <w:tc>
                <w:tcPr>
                  <w:tcW w:w="341" w:type="pct"/>
                  <w:vMerge w:val="continue"/>
                  <w:shd w:val="clear" w:color="auto" w:fill="auto"/>
                  <w:vAlign w:val="center"/>
                </w:tcPr>
                <w:p w14:paraId="3E364611">
                  <w:pPr>
                    <w:jc w:val="center"/>
                    <w:rPr>
                      <w:color w:val="000000" w:themeColor="text1"/>
                      <w:sz w:val="21"/>
                      <w:szCs w:val="18"/>
                      <w14:textFill>
                        <w14:solidFill>
                          <w14:schemeClr w14:val="tx1"/>
                        </w14:solidFill>
                      </w14:textFill>
                    </w:rPr>
                  </w:pPr>
                </w:p>
              </w:tc>
              <w:tc>
                <w:tcPr>
                  <w:tcW w:w="419" w:type="pct"/>
                  <w:vMerge w:val="continue"/>
                  <w:shd w:val="clear" w:color="auto" w:fill="auto"/>
                </w:tcPr>
                <w:p w14:paraId="3D7F627C">
                  <w:pPr>
                    <w:pStyle w:val="40"/>
                    <w:jc w:val="center"/>
                    <w:rPr>
                      <w:rFonts w:cs="Times New Roman" w:eastAsiaTheme="minorEastAsia"/>
                      <w:bCs/>
                      <w:color w:val="000000" w:themeColor="text1"/>
                      <w:sz w:val="21"/>
                      <w:szCs w:val="21"/>
                      <w14:textFill>
                        <w14:solidFill>
                          <w14:schemeClr w14:val="tx1"/>
                        </w14:solidFill>
                      </w14:textFill>
                    </w:rPr>
                  </w:pPr>
                </w:p>
              </w:tc>
              <w:tc>
                <w:tcPr>
                  <w:tcW w:w="447" w:type="pct"/>
                  <w:shd w:val="clear" w:color="auto" w:fill="auto"/>
                  <w:vAlign w:val="center"/>
                </w:tcPr>
                <w:p w14:paraId="61E18C8C">
                  <w:pPr>
                    <w:jc w:val="center"/>
                    <w:rPr>
                      <w:color w:val="000000" w:themeColor="text1"/>
                      <w:sz w:val="21"/>
                      <w:szCs w:val="18"/>
                      <w14:textFill>
                        <w14:solidFill>
                          <w14:schemeClr w14:val="tx1"/>
                        </w14:solidFill>
                      </w14:textFill>
                    </w:rPr>
                  </w:pPr>
                  <w:r>
                    <w:rPr>
                      <w:color w:val="000000" w:themeColor="text1"/>
                      <w:sz w:val="21"/>
                      <w:szCs w:val="18"/>
                      <w14:textFill>
                        <w14:solidFill>
                          <w14:schemeClr w14:val="tx1"/>
                        </w14:solidFill>
                      </w14:textFill>
                    </w:rPr>
                    <w:t>N</w:t>
                  </w:r>
                </w:p>
              </w:tc>
              <w:tc>
                <w:tcPr>
                  <w:tcW w:w="473" w:type="pct"/>
                  <w:shd w:val="clear" w:color="auto" w:fill="auto"/>
                  <w:vAlign w:val="center"/>
                </w:tcPr>
                <w:p w14:paraId="2DE5DB51">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215</w:t>
                  </w:r>
                </w:p>
              </w:tc>
              <w:tc>
                <w:tcPr>
                  <w:tcW w:w="453" w:type="pct"/>
                  <w:vMerge w:val="continue"/>
                  <w:shd w:val="clear" w:color="auto" w:fill="auto"/>
                </w:tcPr>
                <w:p w14:paraId="6A21AA8A">
                  <w:pPr>
                    <w:pStyle w:val="40"/>
                    <w:jc w:val="center"/>
                    <w:rPr>
                      <w:rFonts w:cs="Times New Roman" w:eastAsiaTheme="minorEastAsia"/>
                      <w:bCs/>
                      <w:color w:val="auto"/>
                      <w:sz w:val="21"/>
                      <w:szCs w:val="21"/>
                    </w:rPr>
                  </w:pPr>
                </w:p>
              </w:tc>
            </w:tr>
            <w:tr w14:paraId="3FC20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1030564D">
                  <w:pPr>
                    <w:pStyle w:val="40"/>
                    <w:jc w:val="center"/>
                    <w:rPr>
                      <w:rFonts w:cs="Times New Roman" w:eastAsiaTheme="minorEastAsia"/>
                      <w:bCs/>
                      <w:color w:val="auto"/>
                      <w:sz w:val="21"/>
                      <w:szCs w:val="21"/>
                    </w:rPr>
                  </w:pPr>
                </w:p>
              </w:tc>
              <w:tc>
                <w:tcPr>
                  <w:tcW w:w="978" w:type="pct"/>
                  <w:shd w:val="clear" w:color="auto" w:fill="auto"/>
                  <w:vAlign w:val="center"/>
                </w:tcPr>
                <w:p w14:paraId="4A371707">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沣东i未来</w:t>
                  </w:r>
                </w:p>
              </w:tc>
              <w:tc>
                <w:tcPr>
                  <w:tcW w:w="666" w:type="pct"/>
                  <w:shd w:val="clear" w:color="auto" w:fill="auto"/>
                  <w:vAlign w:val="center"/>
                </w:tcPr>
                <w:p w14:paraId="646D2B0C">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108.77261996</w:t>
                  </w:r>
                </w:p>
              </w:tc>
              <w:tc>
                <w:tcPr>
                  <w:tcW w:w="605" w:type="pct"/>
                  <w:shd w:val="clear" w:color="auto" w:fill="auto"/>
                  <w:vAlign w:val="center"/>
                </w:tcPr>
                <w:p w14:paraId="2DE73DAF">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34.26004516</w:t>
                  </w:r>
                </w:p>
              </w:tc>
              <w:tc>
                <w:tcPr>
                  <w:tcW w:w="341" w:type="pct"/>
                  <w:vMerge w:val="continue"/>
                  <w:shd w:val="clear" w:color="auto" w:fill="auto"/>
                  <w:vAlign w:val="center"/>
                </w:tcPr>
                <w:p w14:paraId="559CD6F9">
                  <w:pPr>
                    <w:jc w:val="center"/>
                    <w:rPr>
                      <w:color w:val="000000" w:themeColor="text1"/>
                      <w:sz w:val="21"/>
                      <w:szCs w:val="18"/>
                      <w14:textFill>
                        <w14:solidFill>
                          <w14:schemeClr w14:val="tx1"/>
                        </w14:solidFill>
                      </w14:textFill>
                    </w:rPr>
                  </w:pPr>
                </w:p>
              </w:tc>
              <w:tc>
                <w:tcPr>
                  <w:tcW w:w="341" w:type="pct"/>
                  <w:vMerge w:val="continue"/>
                  <w:shd w:val="clear" w:color="auto" w:fill="auto"/>
                  <w:vAlign w:val="center"/>
                </w:tcPr>
                <w:p w14:paraId="58134A6C">
                  <w:pPr>
                    <w:jc w:val="center"/>
                    <w:rPr>
                      <w:color w:val="000000" w:themeColor="text1"/>
                      <w:sz w:val="21"/>
                      <w:szCs w:val="18"/>
                      <w14:textFill>
                        <w14:solidFill>
                          <w14:schemeClr w14:val="tx1"/>
                        </w14:solidFill>
                      </w14:textFill>
                    </w:rPr>
                  </w:pPr>
                </w:p>
              </w:tc>
              <w:tc>
                <w:tcPr>
                  <w:tcW w:w="419" w:type="pct"/>
                  <w:vMerge w:val="continue"/>
                  <w:shd w:val="clear" w:color="auto" w:fill="auto"/>
                </w:tcPr>
                <w:p w14:paraId="214AF647">
                  <w:pPr>
                    <w:pStyle w:val="40"/>
                    <w:jc w:val="center"/>
                    <w:rPr>
                      <w:rFonts w:cs="Times New Roman" w:eastAsiaTheme="minorEastAsia"/>
                      <w:bCs/>
                      <w:color w:val="000000" w:themeColor="text1"/>
                      <w:sz w:val="21"/>
                      <w:szCs w:val="21"/>
                      <w14:textFill>
                        <w14:solidFill>
                          <w14:schemeClr w14:val="tx1"/>
                        </w14:solidFill>
                      </w14:textFill>
                    </w:rPr>
                  </w:pPr>
                </w:p>
              </w:tc>
              <w:tc>
                <w:tcPr>
                  <w:tcW w:w="447" w:type="pct"/>
                  <w:shd w:val="clear" w:color="auto" w:fill="auto"/>
                  <w:vAlign w:val="center"/>
                </w:tcPr>
                <w:p w14:paraId="0BF59175">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S</w:t>
                  </w:r>
                </w:p>
              </w:tc>
              <w:tc>
                <w:tcPr>
                  <w:tcW w:w="473" w:type="pct"/>
                  <w:shd w:val="clear" w:color="auto" w:fill="auto"/>
                  <w:vAlign w:val="center"/>
                </w:tcPr>
                <w:p w14:paraId="206D80F3">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102</w:t>
                  </w:r>
                </w:p>
              </w:tc>
              <w:tc>
                <w:tcPr>
                  <w:tcW w:w="453" w:type="pct"/>
                  <w:vMerge w:val="continue"/>
                  <w:shd w:val="clear" w:color="auto" w:fill="auto"/>
                </w:tcPr>
                <w:p w14:paraId="63AEC592">
                  <w:pPr>
                    <w:pStyle w:val="40"/>
                    <w:jc w:val="center"/>
                    <w:rPr>
                      <w:rFonts w:cs="Times New Roman" w:eastAsiaTheme="minorEastAsia"/>
                      <w:bCs/>
                      <w:color w:val="auto"/>
                      <w:sz w:val="21"/>
                      <w:szCs w:val="21"/>
                    </w:rPr>
                  </w:pPr>
                </w:p>
              </w:tc>
            </w:tr>
            <w:tr w14:paraId="3D8E4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40281281">
                  <w:pPr>
                    <w:pStyle w:val="40"/>
                    <w:jc w:val="center"/>
                    <w:rPr>
                      <w:rFonts w:cs="Times New Roman" w:eastAsiaTheme="minorEastAsia"/>
                      <w:bCs/>
                      <w:color w:val="auto"/>
                      <w:sz w:val="21"/>
                      <w:szCs w:val="21"/>
                    </w:rPr>
                  </w:pPr>
                </w:p>
              </w:tc>
              <w:tc>
                <w:tcPr>
                  <w:tcW w:w="978" w:type="pct"/>
                  <w:shd w:val="clear" w:color="auto" w:fill="auto"/>
                  <w:vAlign w:val="center"/>
                </w:tcPr>
                <w:p w14:paraId="444C3447">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西咸新区沣东新城政务中心</w:t>
                  </w:r>
                </w:p>
              </w:tc>
              <w:tc>
                <w:tcPr>
                  <w:tcW w:w="666" w:type="pct"/>
                  <w:shd w:val="clear" w:color="auto" w:fill="auto"/>
                  <w:vAlign w:val="center"/>
                </w:tcPr>
                <w:p w14:paraId="5CCAB8E8">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108.76978755</w:t>
                  </w:r>
                </w:p>
              </w:tc>
              <w:tc>
                <w:tcPr>
                  <w:tcW w:w="605" w:type="pct"/>
                  <w:shd w:val="clear" w:color="auto" w:fill="auto"/>
                  <w:vAlign w:val="center"/>
                </w:tcPr>
                <w:p w14:paraId="165699E4">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34.26298018</w:t>
                  </w:r>
                </w:p>
              </w:tc>
              <w:tc>
                <w:tcPr>
                  <w:tcW w:w="341" w:type="pct"/>
                  <w:vMerge w:val="continue"/>
                  <w:shd w:val="clear" w:color="auto" w:fill="auto"/>
                  <w:vAlign w:val="center"/>
                </w:tcPr>
                <w:p w14:paraId="7B4920F5">
                  <w:pPr>
                    <w:jc w:val="center"/>
                    <w:rPr>
                      <w:color w:val="000000" w:themeColor="text1"/>
                      <w:sz w:val="21"/>
                      <w:szCs w:val="18"/>
                      <w14:textFill>
                        <w14:solidFill>
                          <w14:schemeClr w14:val="tx1"/>
                        </w14:solidFill>
                      </w14:textFill>
                    </w:rPr>
                  </w:pPr>
                </w:p>
              </w:tc>
              <w:tc>
                <w:tcPr>
                  <w:tcW w:w="341" w:type="pct"/>
                  <w:vMerge w:val="continue"/>
                  <w:shd w:val="clear" w:color="auto" w:fill="auto"/>
                  <w:vAlign w:val="center"/>
                </w:tcPr>
                <w:p w14:paraId="15A48FEC">
                  <w:pPr>
                    <w:jc w:val="center"/>
                    <w:rPr>
                      <w:color w:val="000000" w:themeColor="text1"/>
                      <w:sz w:val="21"/>
                      <w:szCs w:val="18"/>
                      <w14:textFill>
                        <w14:solidFill>
                          <w14:schemeClr w14:val="tx1"/>
                        </w14:solidFill>
                      </w14:textFill>
                    </w:rPr>
                  </w:pPr>
                </w:p>
              </w:tc>
              <w:tc>
                <w:tcPr>
                  <w:tcW w:w="419" w:type="pct"/>
                  <w:vMerge w:val="continue"/>
                  <w:shd w:val="clear" w:color="auto" w:fill="auto"/>
                </w:tcPr>
                <w:p w14:paraId="3B122B65">
                  <w:pPr>
                    <w:pStyle w:val="40"/>
                    <w:jc w:val="center"/>
                    <w:rPr>
                      <w:rFonts w:cs="Times New Roman" w:eastAsiaTheme="minorEastAsia"/>
                      <w:bCs/>
                      <w:color w:val="000000" w:themeColor="text1"/>
                      <w:sz w:val="21"/>
                      <w:szCs w:val="21"/>
                      <w14:textFill>
                        <w14:solidFill>
                          <w14:schemeClr w14:val="tx1"/>
                        </w14:solidFill>
                      </w14:textFill>
                    </w:rPr>
                  </w:pPr>
                </w:p>
              </w:tc>
              <w:tc>
                <w:tcPr>
                  <w:tcW w:w="447" w:type="pct"/>
                  <w:shd w:val="clear" w:color="auto" w:fill="auto"/>
                  <w:vAlign w:val="center"/>
                </w:tcPr>
                <w:p w14:paraId="4AA595D9">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W</w:t>
                  </w:r>
                </w:p>
              </w:tc>
              <w:tc>
                <w:tcPr>
                  <w:tcW w:w="473" w:type="pct"/>
                  <w:shd w:val="clear" w:color="auto" w:fill="auto"/>
                  <w:vAlign w:val="center"/>
                </w:tcPr>
                <w:p w14:paraId="422EF5A5">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125</w:t>
                  </w:r>
                </w:p>
              </w:tc>
              <w:tc>
                <w:tcPr>
                  <w:tcW w:w="453" w:type="pct"/>
                  <w:vMerge w:val="continue"/>
                  <w:shd w:val="clear" w:color="auto" w:fill="auto"/>
                </w:tcPr>
                <w:p w14:paraId="5D398679">
                  <w:pPr>
                    <w:pStyle w:val="40"/>
                    <w:jc w:val="center"/>
                    <w:rPr>
                      <w:rFonts w:cs="Times New Roman" w:eastAsiaTheme="minorEastAsia"/>
                      <w:bCs/>
                      <w:color w:val="auto"/>
                      <w:sz w:val="21"/>
                      <w:szCs w:val="21"/>
                    </w:rPr>
                  </w:pPr>
                </w:p>
              </w:tc>
            </w:tr>
            <w:tr w14:paraId="77CE5F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654D9680">
                  <w:pPr>
                    <w:pStyle w:val="40"/>
                    <w:jc w:val="center"/>
                    <w:rPr>
                      <w:rFonts w:cs="Times New Roman" w:eastAsiaTheme="minorEastAsia"/>
                      <w:bCs/>
                      <w:color w:val="auto"/>
                      <w:sz w:val="21"/>
                      <w:szCs w:val="21"/>
                    </w:rPr>
                  </w:pPr>
                </w:p>
              </w:tc>
              <w:tc>
                <w:tcPr>
                  <w:tcW w:w="978" w:type="pct"/>
                  <w:shd w:val="clear" w:color="auto" w:fill="auto"/>
                  <w:vAlign w:val="center"/>
                </w:tcPr>
                <w:p w14:paraId="0C72427C">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在建建筑物</w:t>
                  </w:r>
                </w:p>
              </w:tc>
              <w:tc>
                <w:tcPr>
                  <w:tcW w:w="666" w:type="pct"/>
                  <w:shd w:val="clear" w:color="auto" w:fill="auto"/>
                  <w:vAlign w:val="center"/>
                </w:tcPr>
                <w:p w14:paraId="006D685D">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108.76973391</w:t>
                  </w:r>
                </w:p>
              </w:tc>
              <w:tc>
                <w:tcPr>
                  <w:tcW w:w="605" w:type="pct"/>
                  <w:shd w:val="clear" w:color="auto" w:fill="auto"/>
                  <w:vAlign w:val="center"/>
                </w:tcPr>
                <w:p w14:paraId="619903E5">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34.26512596</w:t>
                  </w:r>
                </w:p>
              </w:tc>
              <w:tc>
                <w:tcPr>
                  <w:tcW w:w="341" w:type="pct"/>
                  <w:shd w:val="clear" w:color="auto" w:fill="auto"/>
                  <w:vAlign w:val="center"/>
                </w:tcPr>
                <w:p w14:paraId="0030E96C">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w:t>
                  </w:r>
                </w:p>
              </w:tc>
              <w:tc>
                <w:tcPr>
                  <w:tcW w:w="341" w:type="pct"/>
                  <w:vMerge w:val="continue"/>
                  <w:shd w:val="clear" w:color="auto" w:fill="auto"/>
                  <w:vAlign w:val="center"/>
                </w:tcPr>
                <w:p w14:paraId="6232E269">
                  <w:pPr>
                    <w:jc w:val="center"/>
                    <w:rPr>
                      <w:color w:val="000000" w:themeColor="text1"/>
                      <w:sz w:val="21"/>
                      <w:szCs w:val="18"/>
                      <w14:textFill>
                        <w14:solidFill>
                          <w14:schemeClr w14:val="tx1"/>
                        </w14:solidFill>
                      </w14:textFill>
                    </w:rPr>
                  </w:pPr>
                </w:p>
              </w:tc>
              <w:tc>
                <w:tcPr>
                  <w:tcW w:w="419" w:type="pct"/>
                  <w:vMerge w:val="continue"/>
                  <w:shd w:val="clear" w:color="auto" w:fill="auto"/>
                </w:tcPr>
                <w:p w14:paraId="610E29AE">
                  <w:pPr>
                    <w:pStyle w:val="40"/>
                    <w:jc w:val="center"/>
                    <w:rPr>
                      <w:rFonts w:cs="Times New Roman" w:eastAsiaTheme="minorEastAsia"/>
                      <w:bCs/>
                      <w:color w:val="000000" w:themeColor="text1"/>
                      <w:sz w:val="21"/>
                      <w:szCs w:val="21"/>
                      <w14:textFill>
                        <w14:solidFill>
                          <w14:schemeClr w14:val="tx1"/>
                        </w14:solidFill>
                      </w14:textFill>
                    </w:rPr>
                  </w:pPr>
                </w:p>
              </w:tc>
              <w:tc>
                <w:tcPr>
                  <w:tcW w:w="447" w:type="pct"/>
                  <w:shd w:val="clear" w:color="auto" w:fill="auto"/>
                  <w:vAlign w:val="center"/>
                </w:tcPr>
                <w:p w14:paraId="4F1942B6">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NW</w:t>
                  </w:r>
                </w:p>
              </w:tc>
              <w:tc>
                <w:tcPr>
                  <w:tcW w:w="473" w:type="pct"/>
                  <w:shd w:val="clear" w:color="auto" w:fill="auto"/>
                  <w:vAlign w:val="center"/>
                </w:tcPr>
                <w:p w14:paraId="314CAFDD">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355</w:t>
                  </w:r>
                </w:p>
              </w:tc>
              <w:tc>
                <w:tcPr>
                  <w:tcW w:w="453" w:type="pct"/>
                  <w:vMerge w:val="continue"/>
                  <w:shd w:val="clear" w:color="auto" w:fill="auto"/>
                </w:tcPr>
                <w:p w14:paraId="67E4D154">
                  <w:pPr>
                    <w:pStyle w:val="40"/>
                    <w:jc w:val="center"/>
                    <w:rPr>
                      <w:rFonts w:cs="Times New Roman" w:eastAsiaTheme="minorEastAsia"/>
                      <w:bCs/>
                      <w:color w:val="auto"/>
                      <w:sz w:val="21"/>
                      <w:szCs w:val="21"/>
                    </w:rPr>
                  </w:pPr>
                </w:p>
              </w:tc>
            </w:tr>
            <w:tr w14:paraId="66112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72" w:type="pct"/>
                  <w:vMerge w:val="continue"/>
                  <w:shd w:val="clear" w:color="auto" w:fill="auto"/>
                </w:tcPr>
                <w:p w14:paraId="352D871A">
                  <w:pPr>
                    <w:pStyle w:val="40"/>
                    <w:jc w:val="center"/>
                    <w:rPr>
                      <w:rFonts w:cs="Times New Roman" w:eastAsiaTheme="minorEastAsia"/>
                      <w:bCs/>
                      <w:color w:val="auto"/>
                      <w:sz w:val="21"/>
                      <w:szCs w:val="21"/>
                    </w:rPr>
                  </w:pPr>
                </w:p>
              </w:tc>
              <w:tc>
                <w:tcPr>
                  <w:tcW w:w="978" w:type="pct"/>
                  <w:shd w:val="clear" w:color="auto" w:fill="auto"/>
                  <w:vAlign w:val="center"/>
                </w:tcPr>
                <w:p w14:paraId="7678AA2D">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沣东新城国际医院</w:t>
                  </w:r>
                </w:p>
              </w:tc>
              <w:tc>
                <w:tcPr>
                  <w:tcW w:w="666" w:type="pct"/>
                  <w:shd w:val="clear" w:color="auto" w:fill="auto"/>
                  <w:vAlign w:val="center"/>
                </w:tcPr>
                <w:p w14:paraId="3A6E9DB6">
                  <w:pPr>
                    <w:jc w:val="center"/>
                    <w:rPr>
                      <w:color w:val="000000" w:themeColor="text1"/>
                      <w:sz w:val="21"/>
                      <w:szCs w:val="18"/>
                      <w14:textFill>
                        <w14:solidFill>
                          <w14:schemeClr w14:val="tx1"/>
                        </w14:solidFill>
                      </w14:textFill>
                    </w:rPr>
                  </w:pPr>
                  <w:r>
                    <w:rPr>
                      <w:color w:val="000000" w:themeColor="text1"/>
                      <w:sz w:val="21"/>
                      <w:szCs w:val="18"/>
                      <w14:textFill>
                        <w14:solidFill>
                          <w14:schemeClr w14:val="tx1"/>
                        </w14:solidFill>
                      </w14:textFill>
                    </w:rPr>
                    <w:t>108.77790928</w:t>
                  </w:r>
                </w:p>
              </w:tc>
              <w:tc>
                <w:tcPr>
                  <w:tcW w:w="605" w:type="pct"/>
                  <w:shd w:val="clear" w:color="auto" w:fill="auto"/>
                  <w:vAlign w:val="center"/>
                </w:tcPr>
                <w:p w14:paraId="161EBBA2">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34.25856431</w:t>
                  </w:r>
                </w:p>
              </w:tc>
              <w:tc>
                <w:tcPr>
                  <w:tcW w:w="341" w:type="pct"/>
                  <w:shd w:val="clear" w:color="auto" w:fill="auto"/>
                  <w:vAlign w:val="center"/>
                </w:tcPr>
                <w:p w14:paraId="066D0EDC">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医院</w:t>
                  </w:r>
                </w:p>
              </w:tc>
              <w:tc>
                <w:tcPr>
                  <w:tcW w:w="341" w:type="pct"/>
                  <w:vMerge w:val="continue"/>
                  <w:shd w:val="clear" w:color="auto" w:fill="auto"/>
                  <w:vAlign w:val="center"/>
                </w:tcPr>
                <w:p w14:paraId="3E913957">
                  <w:pPr>
                    <w:jc w:val="center"/>
                    <w:rPr>
                      <w:color w:val="000000" w:themeColor="text1"/>
                      <w:sz w:val="21"/>
                      <w:szCs w:val="18"/>
                      <w14:textFill>
                        <w14:solidFill>
                          <w14:schemeClr w14:val="tx1"/>
                        </w14:solidFill>
                      </w14:textFill>
                    </w:rPr>
                  </w:pPr>
                </w:p>
              </w:tc>
              <w:tc>
                <w:tcPr>
                  <w:tcW w:w="419" w:type="pct"/>
                  <w:vMerge w:val="continue"/>
                  <w:shd w:val="clear" w:color="auto" w:fill="auto"/>
                </w:tcPr>
                <w:p w14:paraId="6514BB9C">
                  <w:pPr>
                    <w:pStyle w:val="40"/>
                    <w:jc w:val="center"/>
                    <w:rPr>
                      <w:rFonts w:cs="Times New Roman" w:eastAsiaTheme="minorEastAsia"/>
                      <w:bCs/>
                      <w:color w:val="000000" w:themeColor="text1"/>
                      <w:sz w:val="21"/>
                      <w:szCs w:val="21"/>
                      <w14:textFill>
                        <w14:solidFill>
                          <w14:schemeClr w14:val="tx1"/>
                        </w14:solidFill>
                      </w14:textFill>
                    </w:rPr>
                  </w:pPr>
                </w:p>
              </w:tc>
              <w:tc>
                <w:tcPr>
                  <w:tcW w:w="447" w:type="pct"/>
                  <w:shd w:val="clear" w:color="auto" w:fill="auto"/>
                  <w:vAlign w:val="center"/>
                </w:tcPr>
                <w:p w14:paraId="5E9236F4">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SE</w:t>
                  </w:r>
                </w:p>
              </w:tc>
              <w:tc>
                <w:tcPr>
                  <w:tcW w:w="473" w:type="pct"/>
                  <w:shd w:val="clear" w:color="auto" w:fill="auto"/>
                  <w:vAlign w:val="center"/>
                </w:tcPr>
                <w:p w14:paraId="39176FB9">
                  <w:pPr>
                    <w:jc w:val="center"/>
                    <w:rPr>
                      <w:color w:val="000000" w:themeColor="text1"/>
                      <w:sz w:val="21"/>
                      <w:szCs w:val="18"/>
                      <w14:textFill>
                        <w14:solidFill>
                          <w14:schemeClr w14:val="tx1"/>
                        </w14:solidFill>
                      </w14:textFill>
                    </w:rPr>
                  </w:pPr>
                  <w:r>
                    <w:rPr>
                      <w:rFonts w:hint="eastAsia"/>
                      <w:color w:val="000000" w:themeColor="text1"/>
                      <w:sz w:val="21"/>
                      <w:szCs w:val="18"/>
                      <w14:textFill>
                        <w14:solidFill>
                          <w14:schemeClr w14:val="tx1"/>
                        </w14:solidFill>
                      </w14:textFill>
                    </w:rPr>
                    <w:t>386</w:t>
                  </w:r>
                </w:p>
              </w:tc>
              <w:tc>
                <w:tcPr>
                  <w:tcW w:w="453" w:type="pct"/>
                  <w:vMerge w:val="continue"/>
                  <w:shd w:val="clear" w:color="auto" w:fill="auto"/>
                </w:tcPr>
                <w:p w14:paraId="4B2CA1E6">
                  <w:pPr>
                    <w:pStyle w:val="40"/>
                    <w:jc w:val="center"/>
                    <w:rPr>
                      <w:rFonts w:cs="Times New Roman" w:eastAsiaTheme="minorEastAsia"/>
                      <w:bCs/>
                      <w:color w:val="auto"/>
                      <w:sz w:val="21"/>
                      <w:szCs w:val="21"/>
                    </w:rPr>
                  </w:pPr>
                </w:p>
              </w:tc>
            </w:tr>
          </w:tbl>
          <w:p w14:paraId="08A8B030">
            <w:pPr>
              <w:spacing w:line="360" w:lineRule="auto"/>
              <w:ind w:firstLine="480" w:firstLineChars="200"/>
            </w:pPr>
          </w:p>
        </w:tc>
      </w:tr>
      <w:tr w14:paraId="1B5E8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vAlign w:val="center"/>
          </w:tcPr>
          <w:p w14:paraId="6269BD00">
            <w:pPr>
              <w:adjustRightInd w:val="0"/>
              <w:snapToGrid w:val="0"/>
              <w:jc w:val="center"/>
              <w:rPr>
                <w:bCs/>
              </w:rPr>
            </w:pPr>
            <w:r>
              <w:rPr>
                <w:bCs/>
              </w:rPr>
              <w:t>污染物排放控制标准</w:t>
            </w:r>
          </w:p>
        </w:tc>
        <w:tc>
          <w:tcPr>
            <w:tcW w:w="4594" w:type="pct"/>
          </w:tcPr>
          <w:p w14:paraId="57EC6E52">
            <w:pPr>
              <w:spacing w:line="360" w:lineRule="auto"/>
              <w:ind w:firstLine="482" w:firstLineChars="200"/>
              <w:rPr>
                <w:b/>
                <w:bCs/>
                <w:kern w:val="0"/>
                <w:lang w:bidi="ar"/>
              </w:rPr>
            </w:pPr>
            <w:r>
              <w:rPr>
                <w:rFonts w:hint="eastAsia"/>
                <w:b/>
                <w:bCs/>
                <w:kern w:val="0"/>
                <w:lang w:bidi="ar"/>
              </w:rPr>
              <w:t>1、废气</w:t>
            </w:r>
          </w:p>
          <w:p w14:paraId="5E887F08">
            <w:pPr>
              <w:spacing w:line="360" w:lineRule="auto"/>
              <w:ind w:firstLine="480" w:firstLineChars="200"/>
              <w:rPr>
                <w:kern w:val="0"/>
              </w:rPr>
            </w:pPr>
            <w:r>
              <w:rPr>
                <w:kern w:val="0"/>
              </w:rPr>
              <w:t>本项目施工期扬尘排放执行《施工厂界扬尘排放限值》（DB</w:t>
            </w:r>
            <w:r>
              <w:rPr>
                <w:rFonts w:hint="eastAsia"/>
                <w:kern w:val="0"/>
              </w:rPr>
              <w:t xml:space="preserve"> </w:t>
            </w:r>
            <w:r>
              <w:rPr>
                <w:kern w:val="0"/>
              </w:rPr>
              <w:t>161/1078-2017）中</w:t>
            </w:r>
            <w:r>
              <w:rPr>
                <w:rFonts w:hint="eastAsia"/>
                <w:kern w:val="0"/>
              </w:rPr>
              <w:t>表2二级标准</w:t>
            </w:r>
            <w:r>
              <w:rPr>
                <w:kern w:val="0"/>
              </w:rPr>
              <w:t>要求，详见表3-</w:t>
            </w:r>
            <w:r>
              <w:rPr>
                <w:rFonts w:hint="eastAsia"/>
                <w:kern w:val="0"/>
              </w:rPr>
              <w:t>5；</w:t>
            </w:r>
            <w:r>
              <w:rPr>
                <w:kern w:val="0"/>
              </w:rPr>
              <w:t>运营期非甲烷总烃</w:t>
            </w:r>
            <w:r>
              <w:rPr>
                <w:rFonts w:hint="eastAsia"/>
                <w:kern w:val="0"/>
              </w:rPr>
              <w:t>、硫酸雾、氯化氢、氮氧化物</w:t>
            </w:r>
            <w:r>
              <w:rPr>
                <w:kern w:val="0"/>
              </w:rPr>
              <w:t>排放执行</w:t>
            </w:r>
            <w:r>
              <w:rPr>
                <w:rFonts w:hint="eastAsia"/>
                <w:kern w:val="0"/>
              </w:rPr>
              <w:t>《大气污染物综合排放标准》（GB 16297-1996）表2二级标准</w:t>
            </w:r>
            <w:r>
              <w:rPr>
                <w:kern w:val="0"/>
              </w:rPr>
              <w:t>，</w:t>
            </w:r>
            <w:r>
              <w:rPr>
                <w:rFonts w:hint="eastAsia"/>
                <w:kern w:val="0"/>
              </w:rPr>
              <w:t>厂区内有机废气（非甲烷总烃）无组织排放</w:t>
            </w:r>
            <w:r>
              <w:rPr>
                <w:kern w:val="0"/>
              </w:rPr>
              <w:t>执行《挥发性有机物无组织排放控制标准》（GB</w:t>
            </w:r>
            <w:r>
              <w:rPr>
                <w:rFonts w:hint="eastAsia"/>
                <w:kern w:val="0"/>
              </w:rPr>
              <w:t xml:space="preserve"> </w:t>
            </w:r>
            <w:r>
              <w:rPr>
                <w:kern w:val="0"/>
              </w:rPr>
              <w:t>37822-2019）</w:t>
            </w:r>
            <w:r>
              <w:rPr>
                <w:rFonts w:hint="eastAsia"/>
                <w:kern w:val="0"/>
              </w:rPr>
              <w:t>中表</w:t>
            </w:r>
            <w:r>
              <w:rPr>
                <w:kern w:val="0"/>
              </w:rPr>
              <w:t>A.1</w:t>
            </w:r>
            <w:r>
              <w:rPr>
                <w:rFonts w:hint="eastAsia"/>
                <w:kern w:val="0"/>
              </w:rPr>
              <w:t>特别排放限值</w:t>
            </w:r>
            <w:r>
              <w:rPr>
                <w:kern w:val="0"/>
              </w:rPr>
              <w:t>，详见表3-</w:t>
            </w:r>
            <w:r>
              <w:rPr>
                <w:rFonts w:hint="eastAsia"/>
                <w:kern w:val="0"/>
              </w:rPr>
              <w:t>6</w:t>
            </w:r>
            <w:r>
              <w:rPr>
                <w:kern w:val="0"/>
              </w:rPr>
              <w:t>。</w:t>
            </w:r>
          </w:p>
          <w:p w14:paraId="1448C162">
            <w:pPr>
              <w:adjustRightInd w:val="0"/>
              <w:snapToGrid w:val="0"/>
              <w:jc w:val="center"/>
              <w:rPr>
                <w:szCs w:val="21"/>
              </w:rPr>
            </w:pPr>
            <w:r>
              <w:rPr>
                <w:b/>
                <w:bCs/>
                <w:sz w:val="21"/>
                <w:szCs w:val="18"/>
              </w:rPr>
              <w:t>表3-</w:t>
            </w:r>
            <w:r>
              <w:rPr>
                <w:rFonts w:hint="eastAsia"/>
                <w:b/>
                <w:bCs/>
                <w:sz w:val="21"/>
                <w:szCs w:val="18"/>
              </w:rPr>
              <w:t>5</w:t>
            </w:r>
            <w:r>
              <w:rPr>
                <w:b/>
                <w:bCs/>
                <w:sz w:val="21"/>
                <w:szCs w:val="18"/>
              </w:rPr>
              <w:t xml:space="preserve">  施工期废气排放标准限值一览表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2370"/>
              <w:gridCol w:w="2437"/>
              <w:gridCol w:w="2605"/>
            </w:tblGrid>
            <w:tr w14:paraId="24484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3" w:type="pct"/>
                  <w:vAlign w:val="center"/>
                </w:tcPr>
                <w:p w14:paraId="18B56477">
                  <w:pPr>
                    <w:jc w:val="center"/>
                    <w:rPr>
                      <w:b/>
                      <w:bCs/>
                      <w:sz w:val="21"/>
                      <w:szCs w:val="18"/>
                    </w:rPr>
                  </w:pPr>
                  <w:r>
                    <w:rPr>
                      <w:b/>
                      <w:bCs/>
                      <w:sz w:val="21"/>
                      <w:szCs w:val="18"/>
                    </w:rPr>
                    <w:t>序号</w:t>
                  </w:r>
                </w:p>
              </w:tc>
              <w:tc>
                <w:tcPr>
                  <w:tcW w:w="1463" w:type="pct"/>
                  <w:vAlign w:val="center"/>
                </w:tcPr>
                <w:p w14:paraId="238E9634">
                  <w:pPr>
                    <w:jc w:val="center"/>
                    <w:rPr>
                      <w:b/>
                      <w:bCs/>
                      <w:sz w:val="21"/>
                      <w:szCs w:val="18"/>
                    </w:rPr>
                  </w:pPr>
                  <w:r>
                    <w:rPr>
                      <w:b/>
                      <w:bCs/>
                      <w:sz w:val="21"/>
                      <w:szCs w:val="18"/>
                    </w:rPr>
                    <w:t>控制项目</w:t>
                  </w:r>
                </w:p>
              </w:tc>
              <w:tc>
                <w:tcPr>
                  <w:tcW w:w="1504" w:type="pct"/>
                  <w:vAlign w:val="center"/>
                </w:tcPr>
                <w:p w14:paraId="692C30D6">
                  <w:pPr>
                    <w:jc w:val="center"/>
                    <w:rPr>
                      <w:b/>
                      <w:bCs/>
                      <w:sz w:val="21"/>
                      <w:szCs w:val="18"/>
                    </w:rPr>
                  </w:pPr>
                  <w:r>
                    <w:rPr>
                      <w:b/>
                      <w:bCs/>
                      <w:sz w:val="21"/>
                      <w:szCs w:val="18"/>
                    </w:rPr>
                    <w:t>最高允许排放浓度</w:t>
                  </w:r>
                </w:p>
              </w:tc>
              <w:tc>
                <w:tcPr>
                  <w:tcW w:w="1608" w:type="pct"/>
                  <w:vAlign w:val="center"/>
                </w:tcPr>
                <w:p w14:paraId="56882F04">
                  <w:pPr>
                    <w:jc w:val="center"/>
                    <w:rPr>
                      <w:b/>
                      <w:bCs/>
                      <w:sz w:val="21"/>
                      <w:szCs w:val="18"/>
                    </w:rPr>
                  </w:pPr>
                  <w:r>
                    <w:rPr>
                      <w:b/>
                      <w:bCs/>
                      <w:sz w:val="21"/>
                      <w:szCs w:val="18"/>
                    </w:rPr>
                    <w:t>执行标准</w:t>
                  </w:r>
                </w:p>
              </w:tc>
            </w:tr>
            <w:tr w14:paraId="71C32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3" w:type="pct"/>
                  <w:vAlign w:val="center"/>
                </w:tcPr>
                <w:p w14:paraId="28FBB1E0">
                  <w:pPr>
                    <w:jc w:val="center"/>
                    <w:rPr>
                      <w:sz w:val="21"/>
                      <w:szCs w:val="18"/>
                    </w:rPr>
                  </w:pPr>
                  <w:r>
                    <w:rPr>
                      <w:sz w:val="21"/>
                      <w:szCs w:val="18"/>
                    </w:rPr>
                    <w:t>1</w:t>
                  </w:r>
                </w:p>
              </w:tc>
              <w:tc>
                <w:tcPr>
                  <w:tcW w:w="1463" w:type="pct"/>
                  <w:vAlign w:val="center"/>
                </w:tcPr>
                <w:p w14:paraId="32C2E96B">
                  <w:pPr>
                    <w:jc w:val="center"/>
                    <w:rPr>
                      <w:sz w:val="21"/>
                      <w:szCs w:val="18"/>
                    </w:rPr>
                  </w:pPr>
                  <w:r>
                    <w:rPr>
                      <w:sz w:val="21"/>
                      <w:szCs w:val="18"/>
                    </w:rPr>
                    <w:t>拆除、土方及地基处理颗粒物</w:t>
                  </w:r>
                </w:p>
              </w:tc>
              <w:tc>
                <w:tcPr>
                  <w:tcW w:w="1504" w:type="pct"/>
                  <w:vAlign w:val="center"/>
                </w:tcPr>
                <w:p w14:paraId="18A5D3F7">
                  <w:pPr>
                    <w:jc w:val="center"/>
                    <w:rPr>
                      <w:sz w:val="21"/>
                      <w:szCs w:val="18"/>
                    </w:rPr>
                  </w:pPr>
                  <w:r>
                    <w:rPr>
                      <w:sz w:val="21"/>
                      <w:szCs w:val="18"/>
                    </w:rPr>
                    <w:t>1h平均浓度限值≤0.8</w:t>
                  </w:r>
                  <w:r>
                    <w:rPr>
                      <w:sz w:val="21"/>
                      <w:szCs w:val="21"/>
                    </w:rPr>
                    <w:t>mg/m</w:t>
                  </w:r>
                  <w:r>
                    <w:rPr>
                      <w:sz w:val="21"/>
                      <w:szCs w:val="21"/>
                      <w:vertAlign w:val="superscript"/>
                    </w:rPr>
                    <w:t>3</w:t>
                  </w:r>
                </w:p>
              </w:tc>
              <w:tc>
                <w:tcPr>
                  <w:tcW w:w="1608" w:type="pct"/>
                  <w:vMerge w:val="restart"/>
                  <w:vAlign w:val="center"/>
                </w:tcPr>
                <w:p w14:paraId="39D8DD12">
                  <w:pPr>
                    <w:jc w:val="center"/>
                    <w:rPr>
                      <w:sz w:val="21"/>
                      <w:szCs w:val="18"/>
                    </w:rPr>
                  </w:pPr>
                  <w:r>
                    <w:rPr>
                      <w:sz w:val="21"/>
                      <w:szCs w:val="18"/>
                    </w:rPr>
                    <w:t>《施工场界扬尘排放限值》（DB</w:t>
                  </w:r>
                  <w:r>
                    <w:rPr>
                      <w:rFonts w:hint="eastAsia"/>
                      <w:sz w:val="21"/>
                      <w:szCs w:val="18"/>
                    </w:rPr>
                    <w:t xml:space="preserve"> </w:t>
                  </w:r>
                  <w:r>
                    <w:rPr>
                      <w:sz w:val="21"/>
                      <w:szCs w:val="18"/>
                    </w:rPr>
                    <w:t>161/1078-2017）</w:t>
                  </w:r>
                </w:p>
              </w:tc>
            </w:tr>
            <w:tr w14:paraId="3FA24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3" w:type="pct"/>
                  <w:vAlign w:val="center"/>
                </w:tcPr>
                <w:p w14:paraId="52218565">
                  <w:pPr>
                    <w:jc w:val="center"/>
                    <w:rPr>
                      <w:sz w:val="21"/>
                      <w:szCs w:val="18"/>
                    </w:rPr>
                  </w:pPr>
                  <w:r>
                    <w:rPr>
                      <w:sz w:val="21"/>
                      <w:szCs w:val="18"/>
                    </w:rPr>
                    <w:t>2</w:t>
                  </w:r>
                </w:p>
              </w:tc>
              <w:tc>
                <w:tcPr>
                  <w:tcW w:w="1463" w:type="pct"/>
                  <w:vAlign w:val="center"/>
                </w:tcPr>
                <w:p w14:paraId="225213A2">
                  <w:pPr>
                    <w:jc w:val="center"/>
                    <w:rPr>
                      <w:sz w:val="21"/>
                      <w:szCs w:val="18"/>
                    </w:rPr>
                  </w:pPr>
                  <w:r>
                    <w:rPr>
                      <w:sz w:val="21"/>
                      <w:szCs w:val="18"/>
                    </w:rPr>
                    <w:t>基础、主体结构及装饰工程颗粒物</w:t>
                  </w:r>
                </w:p>
              </w:tc>
              <w:tc>
                <w:tcPr>
                  <w:tcW w:w="1504" w:type="pct"/>
                  <w:vAlign w:val="center"/>
                </w:tcPr>
                <w:p w14:paraId="0E1BA1F9">
                  <w:pPr>
                    <w:jc w:val="center"/>
                    <w:rPr>
                      <w:sz w:val="21"/>
                      <w:szCs w:val="18"/>
                    </w:rPr>
                  </w:pPr>
                  <w:r>
                    <w:rPr>
                      <w:sz w:val="21"/>
                      <w:szCs w:val="18"/>
                    </w:rPr>
                    <w:t>1h平均浓度限</w:t>
                  </w:r>
                  <w:r>
                    <w:rPr>
                      <w:rFonts w:hint="eastAsia"/>
                      <w:sz w:val="21"/>
                      <w:szCs w:val="18"/>
                    </w:rPr>
                    <w:t>值</w:t>
                  </w:r>
                  <w:r>
                    <w:rPr>
                      <w:sz w:val="21"/>
                      <w:szCs w:val="18"/>
                    </w:rPr>
                    <w:t>≤0.7</w:t>
                  </w:r>
                  <w:r>
                    <w:rPr>
                      <w:sz w:val="21"/>
                      <w:szCs w:val="21"/>
                    </w:rPr>
                    <w:t>mg/m</w:t>
                  </w:r>
                  <w:r>
                    <w:rPr>
                      <w:sz w:val="21"/>
                      <w:szCs w:val="21"/>
                      <w:vertAlign w:val="superscript"/>
                    </w:rPr>
                    <w:t>3</w:t>
                  </w:r>
                </w:p>
              </w:tc>
              <w:tc>
                <w:tcPr>
                  <w:tcW w:w="1608" w:type="pct"/>
                  <w:vMerge w:val="continue"/>
                  <w:vAlign w:val="center"/>
                </w:tcPr>
                <w:p w14:paraId="566056C6">
                  <w:pPr>
                    <w:jc w:val="center"/>
                    <w:rPr>
                      <w:sz w:val="21"/>
                      <w:szCs w:val="18"/>
                    </w:rPr>
                  </w:pPr>
                </w:p>
              </w:tc>
            </w:tr>
          </w:tbl>
          <w:p w14:paraId="411413B1">
            <w:pPr>
              <w:adjustRightInd w:val="0"/>
              <w:snapToGrid w:val="0"/>
              <w:spacing w:before="156" w:beforeLines="50"/>
              <w:jc w:val="center"/>
              <w:rPr>
                <w:b/>
                <w:bCs/>
                <w:sz w:val="21"/>
                <w:szCs w:val="18"/>
              </w:rPr>
            </w:pPr>
          </w:p>
          <w:p w14:paraId="2474439F">
            <w:pPr>
              <w:adjustRightInd w:val="0"/>
              <w:snapToGrid w:val="0"/>
              <w:spacing w:before="156" w:beforeLines="50"/>
              <w:jc w:val="center"/>
              <w:rPr>
                <w:b/>
                <w:bCs/>
                <w:sz w:val="21"/>
                <w:szCs w:val="18"/>
              </w:rPr>
            </w:pPr>
            <w:r>
              <w:rPr>
                <w:b/>
                <w:bCs/>
                <w:sz w:val="21"/>
                <w:szCs w:val="18"/>
              </w:rPr>
              <w:t>表3-</w:t>
            </w:r>
            <w:r>
              <w:rPr>
                <w:rFonts w:hint="eastAsia"/>
                <w:b/>
                <w:bCs/>
                <w:sz w:val="21"/>
                <w:szCs w:val="18"/>
              </w:rPr>
              <w:t>6</w:t>
            </w:r>
            <w:r>
              <w:rPr>
                <w:b/>
                <w:bCs/>
                <w:sz w:val="21"/>
                <w:szCs w:val="18"/>
              </w:rPr>
              <w:t xml:space="preserve">  运营期废气排放标准限值一览表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965"/>
              <w:gridCol w:w="1220"/>
              <w:gridCol w:w="936"/>
              <w:gridCol w:w="1038"/>
              <w:gridCol w:w="1220"/>
              <w:gridCol w:w="724"/>
              <w:gridCol w:w="1418"/>
            </w:tblGrid>
            <w:tr w14:paraId="2ED9C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Merge w:val="restart"/>
                  <w:shd w:val="clear" w:color="auto" w:fill="auto"/>
                  <w:vAlign w:val="center"/>
                </w:tcPr>
                <w:p w14:paraId="43871C9F">
                  <w:pPr>
                    <w:jc w:val="center"/>
                    <w:rPr>
                      <w:rFonts w:eastAsiaTheme="minorEastAsia"/>
                      <w:b/>
                      <w:bCs/>
                      <w:sz w:val="21"/>
                      <w:szCs w:val="21"/>
                    </w:rPr>
                  </w:pPr>
                  <w:r>
                    <w:rPr>
                      <w:rFonts w:eastAsiaTheme="minorEastAsia"/>
                      <w:b/>
                      <w:bCs/>
                      <w:sz w:val="21"/>
                      <w:szCs w:val="21"/>
                    </w:rPr>
                    <w:t>序号</w:t>
                  </w:r>
                </w:p>
              </w:tc>
              <w:tc>
                <w:tcPr>
                  <w:tcW w:w="596" w:type="pct"/>
                  <w:vMerge w:val="restart"/>
                  <w:shd w:val="clear" w:color="auto" w:fill="auto"/>
                  <w:vAlign w:val="center"/>
                </w:tcPr>
                <w:p w14:paraId="1889573D">
                  <w:pPr>
                    <w:jc w:val="center"/>
                    <w:rPr>
                      <w:rFonts w:eastAsiaTheme="minorEastAsia"/>
                      <w:b/>
                      <w:bCs/>
                      <w:sz w:val="21"/>
                      <w:szCs w:val="21"/>
                    </w:rPr>
                  </w:pPr>
                  <w:r>
                    <w:rPr>
                      <w:rFonts w:eastAsiaTheme="minorEastAsia"/>
                      <w:b/>
                      <w:bCs/>
                      <w:sz w:val="21"/>
                      <w:szCs w:val="21"/>
                    </w:rPr>
                    <w:t>污染物</w:t>
                  </w:r>
                </w:p>
              </w:tc>
              <w:tc>
                <w:tcPr>
                  <w:tcW w:w="754" w:type="pct"/>
                  <w:vMerge w:val="restart"/>
                  <w:shd w:val="clear" w:color="auto" w:fill="auto"/>
                  <w:vAlign w:val="center"/>
                </w:tcPr>
                <w:p w14:paraId="650A17F2">
                  <w:pPr>
                    <w:jc w:val="center"/>
                    <w:rPr>
                      <w:rFonts w:eastAsiaTheme="minorEastAsia"/>
                      <w:b/>
                      <w:bCs/>
                      <w:sz w:val="21"/>
                      <w:szCs w:val="21"/>
                    </w:rPr>
                  </w:pPr>
                  <w:r>
                    <w:rPr>
                      <w:rFonts w:eastAsiaTheme="minorEastAsia"/>
                      <w:b/>
                      <w:bCs/>
                      <w:sz w:val="21"/>
                      <w:szCs w:val="21"/>
                    </w:rPr>
                    <w:t>最高允许排放浓度</w:t>
                  </w:r>
                  <w:r>
                    <w:rPr>
                      <w:rFonts w:hint="eastAsia" w:eastAsiaTheme="minorEastAsia"/>
                      <w:b/>
                      <w:bCs/>
                      <w:sz w:val="21"/>
                      <w:szCs w:val="21"/>
                    </w:rPr>
                    <w:t>（</w:t>
                  </w:r>
                  <w:r>
                    <w:rPr>
                      <w:rFonts w:eastAsiaTheme="minorEastAsia"/>
                      <w:b/>
                      <w:bCs/>
                      <w:sz w:val="21"/>
                      <w:szCs w:val="21"/>
                    </w:rPr>
                    <w:t>mg/m</w:t>
                  </w:r>
                  <w:r>
                    <w:rPr>
                      <w:rFonts w:eastAsiaTheme="minorEastAsia"/>
                      <w:b/>
                      <w:bCs/>
                      <w:sz w:val="21"/>
                      <w:szCs w:val="21"/>
                      <w:vertAlign w:val="superscript"/>
                    </w:rPr>
                    <w:t>3</w:t>
                  </w:r>
                  <w:r>
                    <w:rPr>
                      <w:rFonts w:hint="eastAsia" w:eastAsiaTheme="minorEastAsia"/>
                      <w:b/>
                      <w:bCs/>
                      <w:sz w:val="21"/>
                      <w:szCs w:val="21"/>
                    </w:rPr>
                    <w:t>）</w:t>
                  </w:r>
                </w:p>
              </w:tc>
              <w:tc>
                <w:tcPr>
                  <w:tcW w:w="1219" w:type="pct"/>
                  <w:gridSpan w:val="2"/>
                  <w:shd w:val="clear" w:color="auto" w:fill="auto"/>
                  <w:vAlign w:val="center"/>
                </w:tcPr>
                <w:p w14:paraId="2AC79A99">
                  <w:pPr>
                    <w:jc w:val="center"/>
                    <w:rPr>
                      <w:rFonts w:eastAsiaTheme="minorEastAsia"/>
                      <w:b/>
                      <w:bCs/>
                      <w:sz w:val="21"/>
                      <w:szCs w:val="21"/>
                    </w:rPr>
                  </w:pPr>
                  <w:r>
                    <w:rPr>
                      <w:rFonts w:eastAsiaTheme="minorEastAsia"/>
                      <w:b/>
                      <w:bCs/>
                      <w:sz w:val="21"/>
                      <w:szCs w:val="21"/>
                    </w:rPr>
                    <w:t>最高允许排放速率</w:t>
                  </w:r>
                </w:p>
              </w:tc>
              <w:tc>
                <w:tcPr>
                  <w:tcW w:w="1201" w:type="pct"/>
                  <w:gridSpan w:val="2"/>
                  <w:shd w:val="clear" w:color="auto" w:fill="auto"/>
                  <w:vAlign w:val="center"/>
                </w:tcPr>
                <w:p w14:paraId="4C7229C6">
                  <w:pPr>
                    <w:jc w:val="center"/>
                    <w:rPr>
                      <w:rFonts w:eastAsiaTheme="minorEastAsia"/>
                      <w:b/>
                      <w:bCs/>
                      <w:sz w:val="21"/>
                      <w:szCs w:val="21"/>
                    </w:rPr>
                  </w:pPr>
                  <w:r>
                    <w:rPr>
                      <w:rFonts w:eastAsiaTheme="minorEastAsia"/>
                      <w:b/>
                      <w:bCs/>
                      <w:sz w:val="21"/>
                      <w:szCs w:val="21"/>
                    </w:rPr>
                    <w:t>无组织排放控制要求</w:t>
                  </w:r>
                </w:p>
              </w:tc>
              <w:tc>
                <w:tcPr>
                  <w:tcW w:w="873" w:type="pct"/>
                  <w:vMerge w:val="restart"/>
                  <w:shd w:val="clear" w:color="auto" w:fill="auto"/>
                  <w:vAlign w:val="center"/>
                </w:tcPr>
                <w:p w14:paraId="1A463E71">
                  <w:pPr>
                    <w:jc w:val="center"/>
                    <w:rPr>
                      <w:rFonts w:eastAsiaTheme="minorEastAsia"/>
                      <w:b/>
                      <w:bCs/>
                      <w:sz w:val="21"/>
                      <w:szCs w:val="21"/>
                    </w:rPr>
                  </w:pPr>
                  <w:r>
                    <w:rPr>
                      <w:rFonts w:eastAsiaTheme="minorEastAsia"/>
                      <w:b/>
                      <w:bCs/>
                      <w:sz w:val="21"/>
                      <w:szCs w:val="21"/>
                    </w:rPr>
                    <w:t>执行标准</w:t>
                  </w:r>
                </w:p>
              </w:tc>
            </w:tr>
            <w:tr w14:paraId="193B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Merge w:val="continue"/>
                  <w:shd w:val="clear" w:color="auto" w:fill="auto"/>
                  <w:vAlign w:val="center"/>
                </w:tcPr>
                <w:p w14:paraId="3F95E298">
                  <w:pPr>
                    <w:jc w:val="center"/>
                    <w:rPr>
                      <w:rFonts w:eastAsiaTheme="minorEastAsia"/>
                      <w:b/>
                      <w:bCs/>
                      <w:sz w:val="21"/>
                      <w:szCs w:val="21"/>
                    </w:rPr>
                  </w:pPr>
                </w:p>
              </w:tc>
              <w:tc>
                <w:tcPr>
                  <w:tcW w:w="596" w:type="pct"/>
                  <w:vMerge w:val="continue"/>
                  <w:shd w:val="clear" w:color="auto" w:fill="auto"/>
                  <w:vAlign w:val="center"/>
                </w:tcPr>
                <w:p w14:paraId="7D429136">
                  <w:pPr>
                    <w:jc w:val="center"/>
                    <w:rPr>
                      <w:rFonts w:eastAsiaTheme="minorEastAsia"/>
                      <w:b/>
                      <w:bCs/>
                      <w:sz w:val="21"/>
                      <w:szCs w:val="21"/>
                    </w:rPr>
                  </w:pPr>
                </w:p>
              </w:tc>
              <w:tc>
                <w:tcPr>
                  <w:tcW w:w="754" w:type="pct"/>
                  <w:vMerge w:val="continue"/>
                  <w:shd w:val="clear" w:color="auto" w:fill="auto"/>
                  <w:vAlign w:val="center"/>
                </w:tcPr>
                <w:p w14:paraId="7AF10B9C">
                  <w:pPr>
                    <w:jc w:val="center"/>
                    <w:rPr>
                      <w:rFonts w:eastAsiaTheme="minorEastAsia"/>
                      <w:b/>
                      <w:bCs/>
                      <w:sz w:val="21"/>
                      <w:szCs w:val="21"/>
                    </w:rPr>
                  </w:pPr>
                </w:p>
              </w:tc>
              <w:tc>
                <w:tcPr>
                  <w:tcW w:w="578" w:type="pct"/>
                  <w:shd w:val="clear" w:color="auto" w:fill="auto"/>
                  <w:vAlign w:val="center"/>
                </w:tcPr>
                <w:p w14:paraId="2C276F25">
                  <w:pPr>
                    <w:jc w:val="center"/>
                    <w:rPr>
                      <w:rFonts w:eastAsiaTheme="minorEastAsia"/>
                      <w:b/>
                      <w:bCs/>
                      <w:sz w:val="21"/>
                      <w:szCs w:val="21"/>
                    </w:rPr>
                  </w:pPr>
                  <w:r>
                    <w:rPr>
                      <w:rFonts w:eastAsiaTheme="minorEastAsia"/>
                      <w:b/>
                      <w:bCs/>
                      <w:sz w:val="21"/>
                      <w:szCs w:val="21"/>
                    </w:rPr>
                    <w:t>排气筒高度</w:t>
                  </w:r>
                  <w:r>
                    <w:rPr>
                      <w:rFonts w:hint="eastAsia" w:eastAsiaTheme="minorEastAsia"/>
                      <w:b/>
                      <w:bCs/>
                      <w:sz w:val="21"/>
                      <w:szCs w:val="21"/>
                    </w:rPr>
                    <w:t>（m）</w:t>
                  </w:r>
                </w:p>
              </w:tc>
              <w:tc>
                <w:tcPr>
                  <w:tcW w:w="640" w:type="pct"/>
                  <w:shd w:val="clear" w:color="auto" w:fill="auto"/>
                  <w:vAlign w:val="center"/>
                </w:tcPr>
                <w:p w14:paraId="62A1B30F">
                  <w:pPr>
                    <w:jc w:val="center"/>
                    <w:rPr>
                      <w:rFonts w:eastAsiaTheme="minorEastAsia"/>
                      <w:b/>
                      <w:bCs/>
                      <w:sz w:val="21"/>
                      <w:szCs w:val="21"/>
                    </w:rPr>
                  </w:pPr>
                  <w:r>
                    <w:rPr>
                      <w:rFonts w:eastAsiaTheme="minorEastAsia"/>
                      <w:b/>
                      <w:bCs/>
                      <w:sz w:val="21"/>
                      <w:szCs w:val="21"/>
                    </w:rPr>
                    <w:t>排放</w:t>
                  </w:r>
                </w:p>
                <w:p w14:paraId="3BD48593">
                  <w:pPr>
                    <w:jc w:val="center"/>
                    <w:rPr>
                      <w:rFonts w:eastAsiaTheme="minorEastAsia"/>
                      <w:b/>
                      <w:bCs/>
                      <w:sz w:val="21"/>
                      <w:szCs w:val="21"/>
                    </w:rPr>
                  </w:pPr>
                  <w:r>
                    <w:rPr>
                      <w:rFonts w:eastAsiaTheme="minorEastAsia"/>
                      <w:b/>
                      <w:bCs/>
                      <w:sz w:val="21"/>
                      <w:szCs w:val="21"/>
                    </w:rPr>
                    <w:t>速率</w:t>
                  </w:r>
                  <w:r>
                    <w:rPr>
                      <w:rFonts w:hint="eastAsia" w:eastAsiaTheme="minorEastAsia"/>
                      <w:b/>
                      <w:bCs/>
                      <w:sz w:val="21"/>
                      <w:szCs w:val="21"/>
                    </w:rPr>
                    <w:t>（</w:t>
                  </w:r>
                  <w:r>
                    <w:rPr>
                      <w:rFonts w:eastAsiaTheme="minorEastAsia"/>
                      <w:b/>
                      <w:bCs/>
                      <w:sz w:val="21"/>
                      <w:szCs w:val="21"/>
                    </w:rPr>
                    <w:t>kg/h</w:t>
                  </w:r>
                  <w:r>
                    <w:rPr>
                      <w:rFonts w:hint="eastAsia" w:eastAsiaTheme="minorEastAsia"/>
                      <w:b/>
                      <w:bCs/>
                      <w:sz w:val="21"/>
                      <w:szCs w:val="21"/>
                    </w:rPr>
                    <w:t>）</w:t>
                  </w:r>
                </w:p>
              </w:tc>
              <w:tc>
                <w:tcPr>
                  <w:tcW w:w="754" w:type="pct"/>
                  <w:shd w:val="clear" w:color="auto" w:fill="auto"/>
                  <w:vAlign w:val="center"/>
                </w:tcPr>
                <w:p w14:paraId="5F8DFAA1">
                  <w:pPr>
                    <w:jc w:val="center"/>
                    <w:rPr>
                      <w:rFonts w:eastAsiaTheme="minorEastAsia"/>
                      <w:b/>
                      <w:bCs/>
                      <w:sz w:val="21"/>
                      <w:szCs w:val="21"/>
                    </w:rPr>
                  </w:pPr>
                  <w:r>
                    <w:rPr>
                      <w:rFonts w:eastAsiaTheme="minorEastAsia"/>
                      <w:b/>
                      <w:bCs/>
                      <w:sz w:val="21"/>
                      <w:szCs w:val="21"/>
                    </w:rPr>
                    <w:t>限值</w:t>
                  </w:r>
                  <w:r>
                    <w:rPr>
                      <w:rFonts w:hint="eastAsia" w:eastAsiaTheme="minorEastAsia"/>
                      <w:b/>
                      <w:bCs/>
                      <w:sz w:val="21"/>
                      <w:szCs w:val="21"/>
                    </w:rPr>
                    <w:t>（</w:t>
                  </w:r>
                  <w:r>
                    <w:rPr>
                      <w:b/>
                      <w:bCs/>
                      <w:sz w:val="21"/>
                      <w:szCs w:val="21"/>
                    </w:rPr>
                    <w:t>mg/m</w:t>
                  </w:r>
                  <w:r>
                    <w:rPr>
                      <w:b/>
                      <w:bCs/>
                      <w:sz w:val="21"/>
                      <w:szCs w:val="21"/>
                      <w:vertAlign w:val="superscript"/>
                    </w:rPr>
                    <w:t>3</w:t>
                  </w:r>
                  <w:r>
                    <w:rPr>
                      <w:rFonts w:hint="eastAsia" w:eastAsiaTheme="minorEastAsia"/>
                      <w:b/>
                      <w:bCs/>
                      <w:sz w:val="21"/>
                      <w:szCs w:val="21"/>
                    </w:rPr>
                    <w:t>）</w:t>
                  </w:r>
                </w:p>
              </w:tc>
              <w:tc>
                <w:tcPr>
                  <w:tcW w:w="447" w:type="pct"/>
                  <w:shd w:val="clear" w:color="auto" w:fill="auto"/>
                  <w:vAlign w:val="center"/>
                </w:tcPr>
                <w:p w14:paraId="41F990C3">
                  <w:pPr>
                    <w:jc w:val="center"/>
                    <w:rPr>
                      <w:rFonts w:eastAsiaTheme="minorEastAsia"/>
                      <w:b/>
                      <w:bCs/>
                      <w:sz w:val="21"/>
                      <w:szCs w:val="21"/>
                    </w:rPr>
                  </w:pPr>
                  <w:r>
                    <w:rPr>
                      <w:rFonts w:eastAsiaTheme="minorEastAsia"/>
                      <w:b/>
                      <w:bCs/>
                      <w:sz w:val="21"/>
                      <w:szCs w:val="21"/>
                    </w:rPr>
                    <w:t>定义</w:t>
                  </w:r>
                </w:p>
              </w:tc>
              <w:tc>
                <w:tcPr>
                  <w:tcW w:w="873" w:type="pct"/>
                  <w:vMerge w:val="continue"/>
                  <w:shd w:val="clear" w:color="auto" w:fill="auto"/>
                  <w:vAlign w:val="center"/>
                </w:tcPr>
                <w:p w14:paraId="7F4D8D31">
                  <w:pPr>
                    <w:jc w:val="center"/>
                    <w:rPr>
                      <w:rFonts w:eastAsiaTheme="minorEastAsia"/>
                      <w:b/>
                      <w:bCs/>
                      <w:sz w:val="21"/>
                      <w:szCs w:val="21"/>
                    </w:rPr>
                  </w:pPr>
                </w:p>
              </w:tc>
            </w:tr>
            <w:tr w14:paraId="212E1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shd w:val="clear" w:color="auto" w:fill="auto"/>
                  <w:vAlign w:val="center"/>
                </w:tcPr>
                <w:p w14:paraId="30EA9E01">
                  <w:pPr>
                    <w:jc w:val="center"/>
                    <w:rPr>
                      <w:rFonts w:eastAsiaTheme="minorEastAsia"/>
                      <w:b/>
                      <w:bCs/>
                      <w:sz w:val="21"/>
                      <w:szCs w:val="21"/>
                    </w:rPr>
                  </w:pPr>
                  <w:r>
                    <w:rPr>
                      <w:rFonts w:hint="eastAsia" w:eastAsiaTheme="minorEastAsia"/>
                      <w:sz w:val="21"/>
                      <w:szCs w:val="21"/>
                    </w:rPr>
                    <w:t>1</w:t>
                  </w:r>
                </w:p>
              </w:tc>
              <w:tc>
                <w:tcPr>
                  <w:tcW w:w="596" w:type="pct"/>
                  <w:shd w:val="clear" w:color="auto" w:fill="auto"/>
                  <w:vAlign w:val="center"/>
                </w:tcPr>
                <w:p w14:paraId="446988B8">
                  <w:pPr>
                    <w:jc w:val="center"/>
                    <w:rPr>
                      <w:rFonts w:eastAsiaTheme="minorEastAsia"/>
                      <w:b/>
                      <w:bCs/>
                      <w:sz w:val="21"/>
                      <w:szCs w:val="21"/>
                    </w:rPr>
                  </w:pPr>
                  <w:r>
                    <w:rPr>
                      <w:rFonts w:eastAsiaTheme="minorEastAsia"/>
                      <w:sz w:val="21"/>
                      <w:szCs w:val="21"/>
                    </w:rPr>
                    <w:t>颗粒物</w:t>
                  </w:r>
                </w:p>
              </w:tc>
              <w:tc>
                <w:tcPr>
                  <w:tcW w:w="754" w:type="pct"/>
                  <w:shd w:val="clear" w:color="auto" w:fill="auto"/>
                  <w:vAlign w:val="center"/>
                </w:tcPr>
                <w:p w14:paraId="1CA94BFC">
                  <w:pPr>
                    <w:jc w:val="center"/>
                    <w:rPr>
                      <w:rFonts w:eastAsiaTheme="minorEastAsia"/>
                      <w:b/>
                      <w:bCs/>
                      <w:sz w:val="21"/>
                      <w:szCs w:val="21"/>
                    </w:rPr>
                  </w:pPr>
                  <w:r>
                    <w:rPr>
                      <w:rFonts w:hint="eastAsia" w:eastAsiaTheme="minorEastAsia"/>
                      <w:b/>
                      <w:bCs/>
                      <w:sz w:val="21"/>
                      <w:szCs w:val="21"/>
                    </w:rPr>
                    <w:t>/</w:t>
                  </w:r>
                </w:p>
              </w:tc>
              <w:tc>
                <w:tcPr>
                  <w:tcW w:w="578" w:type="pct"/>
                  <w:shd w:val="clear" w:color="auto" w:fill="auto"/>
                  <w:vAlign w:val="center"/>
                </w:tcPr>
                <w:p w14:paraId="0AC24638">
                  <w:pPr>
                    <w:jc w:val="center"/>
                    <w:rPr>
                      <w:rFonts w:eastAsiaTheme="minorEastAsia"/>
                      <w:b/>
                      <w:bCs/>
                      <w:sz w:val="21"/>
                      <w:szCs w:val="21"/>
                    </w:rPr>
                  </w:pPr>
                  <w:r>
                    <w:rPr>
                      <w:rFonts w:hint="eastAsia" w:eastAsiaTheme="minorEastAsia"/>
                      <w:b/>
                      <w:bCs/>
                      <w:sz w:val="21"/>
                      <w:szCs w:val="21"/>
                    </w:rPr>
                    <w:t>/</w:t>
                  </w:r>
                </w:p>
              </w:tc>
              <w:tc>
                <w:tcPr>
                  <w:tcW w:w="640" w:type="pct"/>
                  <w:shd w:val="clear" w:color="auto" w:fill="auto"/>
                  <w:vAlign w:val="center"/>
                </w:tcPr>
                <w:p w14:paraId="6B1246D2">
                  <w:pPr>
                    <w:jc w:val="center"/>
                  </w:pPr>
                  <w:r>
                    <w:rPr>
                      <w:rFonts w:hint="eastAsia"/>
                    </w:rPr>
                    <w:t>/</w:t>
                  </w:r>
                </w:p>
              </w:tc>
              <w:tc>
                <w:tcPr>
                  <w:tcW w:w="754" w:type="pct"/>
                  <w:shd w:val="clear" w:color="auto" w:fill="auto"/>
                  <w:vAlign w:val="center"/>
                </w:tcPr>
                <w:p w14:paraId="4384D839">
                  <w:pPr>
                    <w:jc w:val="center"/>
                    <w:rPr>
                      <w:sz w:val="21"/>
                      <w:szCs w:val="21"/>
                    </w:rPr>
                  </w:pPr>
                  <w:r>
                    <w:rPr>
                      <w:rFonts w:hint="eastAsia"/>
                      <w:sz w:val="21"/>
                      <w:szCs w:val="21"/>
                    </w:rPr>
                    <w:t>1.0</w:t>
                  </w:r>
                </w:p>
              </w:tc>
              <w:tc>
                <w:tcPr>
                  <w:tcW w:w="447" w:type="pct"/>
                  <w:vMerge w:val="restart"/>
                  <w:shd w:val="clear" w:color="auto" w:fill="auto"/>
                  <w:vAlign w:val="center"/>
                </w:tcPr>
                <w:p w14:paraId="2534ED05">
                  <w:pPr>
                    <w:jc w:val="center"/>
                    <w:rPr>
                      <w:sz w:val="21"/>
                      <w:szCs w:val="21"/>
                    </w:rPr>
                  </w:pPr>
                  <w:r>
                    <w:rPr>
                      <w:sz w:val="21"/>
                      <w:szCs w:val="21"/>
                    </w:rPr>
                    <w:t>周界外最高浓度限值</w:t>
                  </w:r>
                </w:p>
              </w:tc>
              <w:tc>
                <w:tcPr>
                  <w:tcW w:w="873" w:type="pct"/>
                  <w:vMerge w:val="restart"/>
                  <w:shd w:val="clear" w:color="auto" w:fill="auto"/>
                  <w:vAlign w:val="center"/>
                </w:tcPr>
                <w:p w14:paraId="452D267E">
                  <w:pPr>
                    <w:jc w:val="center"/>
                    <w:rPr>
                      <w:rFonts w:eastAsiaTheme="minorEastAsia"/>
                      <w:sz w:val="21"/>
                      <w:szCs w:val="21"/>
                    </w:rPr>
                  </w:pPr>
                  <w:r>
                    <w:rPr>
                      <w:rFonts w:eastAsiaTheme="minorEastAsia"/>
                      <w:sz w:val="21"/>
                      <w:szCs w:val="21"/>
                    </w:rPr>
                    <w:t>《大气污染物综合排放标准》（GB</w:t>
                  </w:r>
                  <w:r>
                    <w:rPr>
                      <w:rFonts w:hint="eastAsia" w:eastAsiaTheme="minorEastAsia"/>
                      <w:sz w:val="21"/>
                      <w:szCs w:val="21"/>
                    </w:rPr>
                    <w:t xml:space="preserve"> </w:t>
                  </w:r>
                  <w:r>
                    <w:rPr>
                      <w:rFonts w:eastAsiaTheme="minorEastAsia"/>
                      <w:sz w:val="21"/>
                      <w:szCs w:val="21"/>
                    </w:rPr>
                    <w:t>16297-1996）</w:t>
                  </w:r>
                  <w:r>
                    <w:rPr>
                      <w:rFonts w:hint="eastAsia" w:eastAsiaTheme="minorEastAsia"/>
                      <w:sz w:val="21"/>
                      <w:szCs w:val="21"/>
                    </w:rPr>
                    <w:t>表2</w:t>
                  </w:r>
                  <w:r>
                    <w:rPr>
                      <w:rFonts w:eastAsiaTheme="minorEastAsia"/>
                      <w:sz w:val="21"/>
                      <w:szCs w:val="21"/>
                    </w:rPr>
                    <w:t>二级标准</w:t>
                  </w:r>
                </w:p>
              </w:tc>
            </w:tr>
            <w:tr w14:paraId="334C3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Merge w:val="restart"/>
                  <w:shd w:val="clear" w:color="auto" w:fill="auto"/>
                  <w:vAlign w:val="center"/>
                </w:tcPr>
                <w:p w14:paraId="462CC5DB">
                  <w:pPr>
                    <w:jc w:val="center"/>
                    <w:rPr>
                      <w:rFonts w:eastAsiaTheme="minorEastAsia"/>
                      <w:sz w:val="21"/>
                      <w:szCs w:val="21"/>
                    </w:rPr>
                  </w:pPr>
                  <w:r>
                    <w:rPr>
                      <w:rFonts w:hint="eastAsia" w:eastAsiaTheme="minorEastAsia"/>
                      <w:sz w:val="21"/>
                      <w:szCs w:val="21"/>
                    </w:rPr>
                    <w:t>2</w:t>
                  </w:r>
                </w:p>
              </w:tc>
              <w:tc>
                <w:tcPr>
                  <w:tcW w:w="596" w:type="pct"/>
                  <w:vMerge w:val="restart"/>
                  <w:shd w:val="clear" w:color="auto" w:fill="auto"/>
                  <w:vAlign w:val="center"/>
                </w:tcPr>
                <w:p w14:paraId="348520EB">
                  <w:pPr>
                    <w:jc w:val="center"/>
                    <w:rPr>
                      <w:rFonts w:eastAsiaTheme="minorEastAsia"/>
                      <w:sz w:val="21"/>
                      <w:szCs w:val="21"/>
                    </w:rPr>
                  </w:pPr>
                  <w:r>
                    <w:rPr>
                      <w:rFonts w:eastAsiaTheme="minorEastAsia"/>
                      <w:sz w:val="21"/>
                      <w:szCs w:val="21"/>
                    </w:rPr>
                    <w:t>非甲烷总烃</w:t>
                  </w:r>
                </w:p>
              </w:tc>
              <w:tc>
                <w:tcPr>
                  <w:tcW w:w="754" w:type="pct"/>
                  <w:shd w:val="clear" w:color="auto" w:fill="auto"/>
                  <w:vAlign w:val="center"/>
                </w:tcPr>
                <w:p w14:paraId="36C6F0E2">
                  <w:pPr>
                    <w:jc w:val="center"/>
                    <w:rPr>
                      <w:rFonts w:eastAsiaTheme="minorEastAsia"/>
                      <w:sz w:val="21"/>
                      <w:szCs w:val="21"/>
                    </w:rPr>
                  </w:pPr>
                  <w:r>
                    <w:rPr>
                      <w:rFonts w:eastAsiaTheme="minorEastAsia"/>
                      <w:sz w:val="21"/>
                      <w:szCs w:val="21"/>
                    </w:rPr>
                    <w:t>120</w:t>
                  </w:r>
                </w:p>
              </w:tc>
              <w:tc>
                <w:tcPr>
                  <w:tcW w:w="578" w:type="pct"/>
                  <w:shd w:val="clear" w:color="auto" w:fill="auto"/>
                  <w:vAlign w:val="center"/>
                </w:tcPr>
                <w:p w14:paraId="0FD34AB0">
                  <w:pPr>
                    <w:jc w:val="center"/>
                    <w:rPr>
                      <w:rFonts w:eastAsiaTheme="minorEastAsia"/>
                      <w:sz w:val="21"/>
                      <w:szCs w:val="21"/>
                    </w:rPr>
                  </w:pPr>
                  <w:r>
                    <w:rPr>
                      <w:rFonts w:hint="eastAsia" w:eastAsiaTheme="minorEastAsia"/>
                      <w:sz w:val="21"/>
                      <w:szCs w:val="21"/>
                    </w:rPr>
                    <w:t>35</w:t>
                  </w:r>
                </w:p>
              </w:tc>
              <w:tc>
                <w:tcPr>
                  <w:tcW w:w="640" w:type="pct"/>
                  <w:shd w:val="clear" w:color="auto" w:fill="auto"/>
                  <w:vAlign w:val="center"/>
                </w:tcPr>
                <w:p w14:paraId="091F4F4F">
                  <w:pPr>
                    <w:jc w:val="center"/>
                    <w:rPr>
                      <w:rFonts w:eastAsiaTheme="minorEastAsia"/>
                      <w:sz w:val="21"/>
                      <w:szCs w:val="21"/>
                    </w:rPr>
                  </w:pPr>
                  <w:r>
                    <w:rPr>
                      <w:rFonts w:hint="eastAsia" w:eastAsiaTheme="minorEastAsia"/>
                      <w:sz w:val="21"/>
                      <w:szCs w:val="21"/>
                    </w:rPr>
                    <w:t>38.25</w:t>
                  </w:r>
                  <w:r>
                    <w:rPr>
                      <w:rFonts w:hint="eastAsia" w:eastAsiaTheme="minorEastAsia"/>
                      <w:sz w:val="21"/>
                      <w:szCs w:val="21"/>
                      <w:vertAlign w:val="superscript"/>
                    </w:rPr>
                    <w:t>①</w:t>
                  </w:r>
                </w:p>
              </w:tc>
              <w:tc>
                <w:tcPr>
                  <w:tcW w:w="754" w:type="pct"/>
                  <w:shd w:val="clear" w:color="auto" w:fill="auto"/>
                  <w:vAlign w:val="center"/>
                </w:tcPr>
                <w:p w14:paraId="6A6EA1AA">
                  <w:pPr>
                    <w:jc w:val="center"/>
                    <w:rPr>
                      <w:sz w:val="21"/>
                      <w:szCs w:val="21"/>
                    </w:rPr>
                  </w:pPr>
                  <w:r>
                    <w:rPr>
                      <w:sz w:val="21"/>
                      <w:szCs w:val="21"/>
                    </w:rPr>
                    <w:t>4</w:t>
                  </w:r>
                </w:p>
              </w:tc>
              <w:tc>
                <w:tcPr>
                  <w:tcW w:w="447" w:type="pct"/>
                  <w:vMerge w:val="continue"/>
                  <w:shd w:val="clear" w:color="auto" w:fill="auto"/>
                  <w:vAlign w:val="center"/>
                </w:tcPr>
                <w:p w14:paraId="7D8FD5E3">
                  <w:pPr>
                    <w:jc w:val="center"/>
                    <w:rPr>
                      <w:sz w:val="21"/>
                      <w:szCs w:val="21"/>
                    </w:rPr>
                  </w:pPr>
                </w:p>
              </w:tc>
              <w:tc>
                <w:tcPr>
                  <w:tcW w:w="873" w:type="pct"/>
                  <w:vMerge w:val="continue"/>
                  <w:shd w:val="clear" w:color="auto" w:fill="auto"/>
                  <w:vAlign w:val="center"/>
                </w:tcPr>
                <w:p w14:paraId="48B9B7E2">
                  <w:pPr>
                    <w:jc w:val="center"/>
                    <w:rPr>
                      <w:rFonts w:eastAsiaTheme="minorEastAsia"/>
                      <w:sz w:val="21"/>
                      <w:szCs w:val="21"/>
                    </w:rPr>
                  </w:pPr>
                </w:p>
              </w:tc>
            </w:tr>
            <w:tr w14:paraId="34CC9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Merge w:val="continue"/>
                  <w:shd w:val="clear" w:color="auto" w:fill="auto"/>
                  <w:vAlign w:val="center"/>
                </w:tcPr>
                <w:p w14:paraId="4798CF91">
                  <w:pPr>
                    <w:jc w:val="center"/>
                    <w:rPr>
                      <w:rFonts w:eastAsiaTheme="minorEastAsia"/>
                      <w:sz w:val="21"/>
                      <w:szCs w:val="21"/>
                    </w:rPr>
                  </w:pPr>
                </w:p>
              </w:tc>
              <w:tc>
                <w:tcPr>
                  <w:tcW w:w="596" w:type="pct"/>
                  <w:vMerge w:val="continue"/>
                  <w:shd w:val="clear" w:color="auto" w:fill="auto"/>
                  <w:vAlign w:val="center"/>
                </w:tcPr>
                <w:p w14:paraId="4EFF5D21">
                  <w:pPr>
                    <w:jc w:val="center"/>
                    <w:rPr>
                      <w:rFonts w:eastAsiaTheme="minorEastAsia"/>
                      <w:sz w:val="21"/>
                      <w:szCs w:val="21"/>
                    </w:rPr>
                  </w:pPr>
                </w:p>
              </w:tc>
              <w:tc>
                <w:tcPr>
                  <w:tcW w:w="754" w:type="pct"/>
                  <w:shd w:val="clear" w:color="auto" w:fill="auto"/>
                  <w:vAlign w:val="center"/>
                </w:tcPr>
                <w:p w14:paraId="4F6EE516">
                  <w:pPr>
                    <w:jc w:val="center"/>
                    <w:rPr>
                      <w:rFonts w:eastAsiaTheme="minorEastAsia"/>
                      <w:sz w:val="21"/>
                      <w:szCs w:val="21"/>
                    </w:rPr>
                  </w:pPr>
                  <w:r>
                    <w:rPr>
                      <w:rFonts w:eastAsiaTheme="minorEastAsia"/>
                      <w:sz w:val="21"/>
                      <w:szCs w:val="21"/>
                    </w:rPr>
                    <w:t>/</w:t>
                  </w:r>
                </w:p>
              </w:tc>
              <w:tc>
                <w:tcPr>
                  <w:tcW w:w="578" w:type="pct"/>
                  <w:shd w:val="clear" w:color="auto" w:fill="auto"/>
                  <w:vAlign w:val="center"/>
                </w:tcPr>
                <w:p w14:paraId="470B4B52">
                  <w:pPr>
                    <w:jc w:val="center"/>
                    <w:rPr>
                      <w:rFonts w:eastAsiaTheme="minorEastAsia"/>
                      <w:sz w:val="21"/>
                      <w:szCs w:val="21"/>
                    </w:rPr>
                  </w:pPr>
                  <w:r>
                    <w:rPr>
                      <w:rFonts w:eastAsiaTheme="minorEastAsia"/>
                      <w:sz w:val="21"/>
                      <w:szCs w:val="21"/>
                    </w:rPr>
                    <w:t>/</w:t>
                  </w:r>
                </w:p>
              </w:tc>
              <w:tc>
                <w:tcPr>
                  <w:tcW w:w="640" w:type="pct"/>
                  <w:shd w:val="clear" w:color="auto" w:fill="auto"/>
                  <w:vAlign w:val="center"/>
                </w:tcPr>
                <w:p w14:paraId="05C03DF1">
                  <w:pPr>
                    <w:jc w:val="center"/>
                    <w:rPr>
                      <w:rFonts w:eastAsiaTheme="minorEastAsia"/>
                      <w:sz w:val="21"/>
                      <w:szCs w:val="21"/>
                    </w:rPr>
                  </w:pPr>
                  <w:r>
                    <w:rPr>
                      <w:rFonts w:eastAsiaTheme="minorEastAsia"/>
                      <w:sz w:val="21"/>
                      <w:szCs w:val="21"/>
                    </w:rPr>
                    <w:t>/</w:t>
                  </w:r>
                </w:p>
              </w:tc>
              <w:tc>
                <w:tcPr>
                  <w:tcW w:w="754" w:type="pct"/>
                  <w:shd w:val="clear" w:color="auto" w:fill="auto"/>
                  <w:vAlign w:val="center"/>
                </w:tcPr>
                <w:p w14:paraId="3DFA71F3">
                  <w:pPr>
                    <w:jc w:val="center"/>
                    <w:rPr>
                      <w:sz w:val="21"/>
                      <w:szCs w:val="21"/>
                    </w:rPr>
                  </w:pPr>
                  <w:r>
                    <w:rPr>
                      <w:sz w:val="21"/>
                      <w:szCs w:val="21"/>
                    </w:rPr>
                    <w:t>6</w:t>
                  </w:r>
                </w:p>
              </w:tc>
              <w:tc>
                <w:tcPr>
                  <w:tcW w:w="447" w:type="pct"/>
                  <w:shd w:val="clear" w:color="auto" w:fill="auto"/>
                  <w:vAlign w:val="center"/>
                </w:tcPr>
                <w:p w14:paraId="4E1171D0">
                  <w:pPr>
                    <w:jc w:val="center"/>
                    <w:rPr>
                      <w:sz w:val="21"/>
                      <w:szCs w:val="21"/>
                    </w:rPr>
                  </w:pPr>
                  <w:r>
                    <w:rPr>
                      <w:sz w:val="21"/>
                      <w:szCs w:val="21"/>
                    </w:rPr>
                    <w:t>厂房外1h平均浓度值</w:t>
                  </w:r>
                </w:p>
              </w:tc>
              <w:tc>
                <w:tcPr>
                  <w:tcW w:w="873" w:type="pct"/>
                  <w:vMerge w:val="restart"/>
                  <w:shd w:val="clear" w:color="auto" w:fill="auto"/>
                  <w:vAlign w:val="center"/>
                </w:tcPr>
                <w:p w14:paraId="670108FD">
                  <w:pPr>
                    <w:jc w:val="center"/>
                    <w:rPr>
                      <w:rFonts w:eastAsiaTheme="minorEastAsia"/>
                      <w:sz w:val="21"/>
                      <w:szCs w:val="21"/>
                    </w:rPr>
                  </w:pPr>
                  <w:r>
                    <w:rPr>
                      <w:rFonts w:eastAsiaTheme="minorEastAsia"/>
                      <w:sz w:val="21"/>
                      <w:szCs w:val="21"/>
                    </w:rPr>
                    <w:t>《挥发性有机物无组织排放控制标准》（GB</w:t>
                  </w:r>
                  <w:r>
                    <w:rPr>
                      <w:rFonts w:hint="eastAsia" w:eastAsiaTheme="minorEastAsia"/>
                      <w:sz w:val="21"/>
                      <w:szCs w:val="21"/>
                    </w:rPr>
                    <w:t xml:space="preserve"> </w:t>
                  </w:r>
                  <w:r>
                    <w:rPr>
                      <w:rFonts w:eastAsiaTheme="minorEastAsia"/>
                      <w:sz w:val="21"/>
                      <w:szCs w:val="21"/>
                    </w:rPr>
                    <w:t>37822-2019）</w:t>
                  </w:r>
                  <w:r>
                    <w:rPr>
                      <w:rFonts w:hint="eastAsia" w:eastAsiaTheme="minorEastAsia"/>
                      <w:sz w:val="21"/>
                      <w:szCs w:val="21"/>
                    </w:rPr>
                    <w:t>中表</w:t>
                  </w:r>
                  <w:r>
                    <w:rPr>
                      <w:rFonts w:eastAsiaTheme="minorEastAsia"/>
                      <w:sz w:val="21"/>
                      <w:szCs w:val="21"/>
                    </w:rPr>
                    <w:t>A.1</w:t>
                  </w:r>
                </w:p>
              </w:tc>
            </w:tr>
            <w:tr w14:paraId="66A66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vMerge w:val="continue"/>
                  <w:shd w:val="clear" w:color="auto" w:fill="auto"/>
                  <w:vAlign w:val="center"/>
                </w:tcPr>
                <w:p w14:paraId="4BE5FD7B">
                  <w:pPr>
                    <w:jc w:val="center"/>
                    <w:rPr>
                      <w:rFonts w:eastAsiaTheme="minorEastAsia"/>
                      <w:sz w:val="21"/>
                      <w:szCs w:val="21"/>
                    </w:rPr>
                  </w:pPr>
                </w:p>
              </w:tc>
              <w:tc>
                <w:tcPr>
                  <w:tcW w:w="596" w:type="pct"/>
                  <w:vMerge w:val="continue"/>
                  <w:shd w:val="clear" w:color="auto" w:fill="auto"/>
                  <w:vAlign w:val="center"/>
                </w:tcPr>
                <w:p w14:paraId="0F947417">
                  <w:pPr>
                    <w:jc w:val="center"/>
                    <w:rPr>
                      <w:rFonts w:eastAsiaTheme="minorEastAsia"/>
                      <w:sz w:val="21"/>
                      <w:szCs w:val="21"/>
                    </w:rPr>
                  </w:pPr>
                </w:p>
              </w:tc>
              <w:tc>
                <w:tcPr>
                  <w:tcW w:w="754" w:type="pct"/>
                  <w:shd w:val="clear" w:color="auto" w:fill="auto"/>
                  <w:vAlign w:val="center"/>
                </w:tcPr>
                <w:p w14:paraId="694BDC4F">
                  <w:pPr>
                    <w:jc w:val="center"/>
                    <w:rPr>
                      <w:rFonts w:eastAsiaTheme="minorEastAsia"/>
                      <w:sz w:val="21"/>
                      <w:szCs w:val="21"/>
                    </w:rPr>
                  </w:pPr>
                  <w:r>
                    <w:rPr>
                      <w:rFonts w:eastAsiaTheme="minorEastAsia"/>
                      <w:sz w:val="21"/>
                      <w:szCs w:val="21"/>
                    </w:rPr>
                    <w:t>/</w:t>
                  </w:r>
                </w:p>
              </w:tc>
              <w:tc>
                <w:tcPr>
                  <w:tcW w:w="578" w:type="pct"/>
                  <w:shd w:val="clear" w:color="auto" w:fill="auto"/>
                  <w:vAlign w:val="center"/>
                </w:tcPr>
                <w:p w14:paraId="6BC6678C">
                  <w:pPr>
                    <w:jc w:val="center"/>
                    <w:rPr>
                      <w:rFonts w:eastAsiaTheme="minorEastAsia"/>
                      <w:sz w:val="21"/>
                      <w:szCs w:val="21"/>
                    </w:rPr>
                  </w:pPr>
                  <w:r>
                    <w:rPr>
                      <w:rFonts w:eastAsiaTheme="minorEastAsia"/>
                      <w:sz w:val="21"/>
                      <w:szCs w:val="21"/>
                    </w:rPr>
                    <w:t>/</w:t>
                  </w:r>
                </w:p>
              </w:tc>
              <w:tc>
                <w:tcPr>
                  <w:tcW w:w="640" w:type="pct"/>
                  <w:shd w:val="clear" w:color="auto" w:fill="auto"/>
                  <w:vAlign w:val="center"/>
                </w:tcPr>
                <w:p w14:paraId="7611DE17">
                  <w:pPr>
                    <w:jc w:val="center"/>
                    <w:rPr>
                      <w:rFonts w:eastAsiaTheme="minorEastAsia"/>
                      <w:sz w:val="21"/>
                      <w:szCs w:val="21"/>
                    </w:rPr>
                  </w:pPr>
                  <w:r>
                    <w:rPr>
                      <w:rFonts w:eastAsiaTheme="minorEastAsia"/>
                      <w:sz w:val="21"/>
                      <w:szCs w:val="21"/>
                    </w:rPr>
                    <w:t>/</w:t>
                  </w:r>
                </w:p>
              </w:tc>
              <w:tc>
                <w:tcPr>
                  <w:tcW w:w="754" w:type="pct"/>
                  <w:shd w:val="clear" w:color="auto" w:fill="auto"/>
                  <w:vAlign w:val="center"/>
                </w:tcPr>
                <w:p w14:paraId="0F3B9C26">
                  <w:pPr>
                    <w:jc w:val="center"/>
                    <w:rPr>
                      <w:sz w:val="21"/>
                      <w:szCs w:val="21"/>
                    </w:rPr>
                  </w:pPr>
                  <w:r>
                    <w:rPr>
                      <w:rFonts w:hint="eastAsia"/>
                      <w:sz w:val="21"/>
                      <w:szCs w:val="21"/>
                    </w:rPr>
                    <w:t>20</w:t>
                  </w:r>
                </w:p>
              </w:tc>
              <w:tc>
                <w:tcPr>
                  <w:tcW w:w="447" w:type="pct"/>
                  <w:shd w:val="clear" w:color="auto" w:fill="auto"/>
                  <w:vAlign w:val="center"/>
                </w:tcPr>
                <w:p w14:paraId="7DC430F1">
                  <w:pPr>
                    <w:jc w:val="center"/>
                    <w:rPr>
                      <w:sz w:val="21"/>
                      <w:szCs w:val="21"/>
                    </w:rPr>
                  </w:pPr>
                  <w:r>
                    <w:rPr>
                      <w:sz w:val="21"/>
                      <w:szCs w:val="21"/>
                    </w:rPr>
                    <w:t>厂房外任意一次浓度值</w:t>
                  </w:r>
                </w:p>
              </w:tc>
              <w:tc>
                <w:tcPr>
                  <w:tcW w:w="873" w:type="pct"/>
                  <w:vMerge w:val="continue"/>
                  <w:shd w:val="clear" w:color="auto" w:fill="auto"/>
                  <w:vAlign w:val="center"/>
                </w:tcPr>
                <w:p w14:paraId="63BB7BAD">
                  <w:pPr>
                    <w:jc w:val="center"/>
                    <w:rPr>
                      <w:rFonts w:eastAsiaTheme="minorEastAsia"/>
                      <w:sz w:val="21"/>
                      <w:szCs w:val="21"/>
                    </w:rPr>
                  </w:pPr>
                </w:p>
              </w:tc>
            </w:tr>
            <w:tr w14:paraId="2DDAA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shd w:val="clear" w:color="auto" w:fill="auto"/>
                  <w:vAlign w:val="center"/>
                </w:tcPr>
                <w:p w14:paraId="4F77BF57">
                  <w:pPr>
                    <w:jc w:val="center"/>
                    <w:rPr>
                      <w:rFonts w:eastAsiaTheme="minorEastAsia"/>
                      <w:sz w:val="21"/>
                      <w:szCs w:val="21"/>
                    </w:rPr>
                  </w:pPr>
                  <w:r>
                    <w:rPr>
                      <w:rFonts w:hint="eastAsia" w:eastAsiaTheme="minorEastAsia"/>
                      <w:sz w:val="21"/>
                      <w:szCs w:val="21"/>
                    </w:rPr>
                    <w:t>3</w:t>
                  </w:r>
                </w:p>
              </w:tc>
              <w:tc>
                <w:tcPr>
                  <w:tcW w:w="596" w:type="pct"/>
                  <w:shd w:val="clear" w:color="auto" w:fill="auto"/>
                  <w:vAlign w:val="center"/>
                </w:tcPr>
                <w:p w14:paraId="27AD82AE">
                  <w:pPr>
                    <w:jc w:val="center"/>
                    <w:rPr>
                      <w:rFonts w:eastAsiaTheme="minorEastAsia"/>
                      <w:sz w:val="21"/>
                      <w:szCs w:val="21"/>
                    </w:rPr>
                  </w:pPr>
                  <w:r>
                    <w:rPr>
                      <w:rFonts w:hint="eastAsia" w:eastAsiaTheme="minorEastAsia"/>
                      <w:sz w:val="21"/>
                      <w:szCs w:val="21"/>
                    </w:rPr>
                    <w:t>硫酸雾</w:t>
                  </w:r>
                </w:p>
              </w:tc>
              <w:tc>
                <w:tcPr>
                  <w:tcW w:w="754" w:type="pct"/>
                  <w:shd w:val="clear" w:color="auto" w:fill="auto"/>
                  <w:vAlign w:val="center"/>
                </w:tcPr>
                <w:p w14:paraId="79BF1144">
                  <w:pPr>
                    <w:jc w:val="center"/>
                    <w:rPr>
                      <w:rFonts w:eastAsiaTheme="minorEastAsia"/>
                      <w:sz w:val="21"/>
                      <w:szCs w:val="21"/>
                    </w:rPr>
                  </w:pPr>
                  <w:r>
                    <w:rPr>
                      <w:rFonts w:hint="eastAsia" w:eastAsiaTheme="minorEastAsia"/>
                      <w:sz w:val="21"/>
                      <w:szCs w:val="21"/>
                    </w:rPr>
                    <w:t>45</w:t>
                  </w:r>
                </w:p>
              </w:tc>
              <w:tc>
                <w:tcPr>
                  <w:tcW w:w="578" w:type="pct"/>
                  <w:shd w:val="clear" w:color="auto" w:fill="auto"/>
                  <w:vAlign w:val="center"/>
                </w:tcPr>
                <w:p w14:paraId="6976560C">
                  <w:pPr>
                    <w:jc w:val="center"/>
                  </w:pPr>
                  <w:r>
                    <w:rPr>
                      <w:rFonts w:hint="eastAsia" w:eastAsiaTheme="minorEastAsia"/>
                      <w:sz w:val="21"/>
                      <w:szCs w:val="21"/>
                    </w:rPr>
                    <w:t>35</w:t>
                  </w:r>
                </w:p>
              </w:tc>
              <w:tc>
                <w:tcPr>
                  <w:tcW w:w="640" w:type="pct"/>
                  <w:shd w:val="clear" w:color="auto" w:fill="auto"/>
                  <w:vAlign w:val="center"/>
                </w:tcPr>
                <w:p w14:paraId="35CCFE30">
                  <w:pPr>
                    <w:jc w:val="center"/>
                    <w:rPr>
                      <w:rFonts w:eastAsiaTheme="minorEastAsia"/>
                      <w:sz w:val="21"/>
                      <w:szCs w:val="21"/>
                    </w:rPr>
                  </w:pPr>
                  <w:r>
                    <w:rPr>
                      <w:rFonts w:hint="eastAsia" w:eastAsiaTheme="minorEastAsia"/>
                      <w:sz w:val="21"/>
                      <w:szCs w:val="21"/>
                    </w:rPr>
                    <w:t>2.975</w:t>
                  </w:r>
                  <w:r>
                    <w:rPr>
                      <w:rFonts w:hint="eastAsia" w:eastAsiaTheme="minorEastAsia"/>
                      <w:sz w:val="21"/>
                      <w:szCs w:val="21"/>
                      <w:vertAlign w:val="superscript"/>
                    </w:rPr>
                    <w:t>①</w:t>
                  </w:r>
                </w:p>
              </w:tc>
              <w:tc>
                <w:tcPr>
                  <w:tcW w:w="754" w:type="pct"/>
                  <w:shd w:val="clear" w:color="auto" w:fill="auto"/>
                  <w:vAlign w:val="center"/>
                </w:tcPr>
                <w:p w14:paraId="232B22F7">
                  <w:pPr>
                    <w:jc w:val="center"/>
                    <w:rPr>
                      <w:sz w:val="21"/>
                      <w:szCs w:val="21"/>
                    </w:rPr>
                  </w:pPr>
                  <w:r>
                    <w:rPr>
                      <w:rFonts w:hint="eastAsia"/>
                      <w:sz w:val="21"/>
                      <w:szCs w:val="21"/>
                    </w:rPr>
                    <w:t>1.2</w:t>
                  </w:r>
                </w:p>
              </w:tc>
              <w:tc>
                <w:tcPr>
                  <w:tcW w:w="447" w:type="pct"/>
                  <w:vMerge w:val="restart"/>
                  <w:shd w:val="clear" w:color="auto" w:fill="auto"/>
                  <w:vAlign w:val="center"/>
                </w:tcPr>
                <w:p w14:paraId="066A48BC">
                  <w:pPr>
                    <w:jc w:val="center"/>
                    <w:rPr>
                      <w:sz w:val="21"/>
                      <w:szCs w:val="21"/>
                    </w:rPr>
                  </w:pPr>
                  <w:r>
                    <w:rPr>
                      <w:sz w:val="21"/>
                      <w:szCs w:val="21"/>
                    </w:rPr>
                    <w:t>周界外最高浓度限值</w:t>
                  </w:r>
                </w:p>
              </w:tc>
              <w:tc>
                <w:tcPr>
                  <w:tcW w:w="873" w:type="pct"/>
                  <w:vMerge w:val="restart"/>
                  <w:shd w:val="clear" w:color="auto" w:fill="auto"/>
                  <w:vAlign w:val="center"/>
                </w:tcPr>
                <w:p w14:paraId="12AD2DEF">
                  <w:pPr>
                    <w:jc w:val="center"/>
                    <w:rPr>
                      <w:rFonts w:eastAsiaTheme="minorEastAsia"/>
                      <w:sz w:val="21"/>
                      <w:szCs w:val="21"/>
                    </w:rPr>
                  </w:pPr>
                  <w:r>
                    <w:rPr>
                      <w:rFonts w:eastAsiaTheme="minorEastAsia"/>
                      <w:sz w:val="21"/>
                      <w:szCs w:val="21"/>
                    </w:rPr>
                    <w:t>《大气污染物综合排放标准》（GB</w:t>
                  </w:r>
                  <w:r>
                    <w:rPr>
                      <w:rFonts w:hint="eastAsia" w:eastAsiaTheme="minorEastAsia"/>
                      <w:sz w:val="21"/>
                      <w:szCs w:val="21"/>
                    </w:rPr>
                    <w:t xml:space="preserve"> </w:t>
                  </w:r>
                  <w:r>
                    <w:rPr>
                      <w:rFonts w:eastAsiaTheme="minorEastAsia"/>
                      <w:sz w:val="21"/>
                      <w:szCs w:val="21"/>
                    </w:rPr>
                    <w:t>16297-1996）</w:t>
                  </w:r>
                  <w:r>
                    <w:rPr>
                      <w:rFonts w:hint="eastAsia" w:eastAsiaTheme="minorEastAsia"/>
                      <w:sz w:val="21"/>
                      <w:szCs w:val="21"/>
                    </w:rPr>
                    <w:t>表2</w:t>
                  </w:r>
                  <w:r>
                    <w:rPr>
                      <w:rFonts w:eastAsiaTheme="minorEastAsia"/>
                      <w:sz w:val="21"/>
                      <w:szCs w:val="21"/>
                    </w:rPr>
                    <w:t>二级标准</w:t>
                  </w:r>
                </w:p>
              </w:tc>
            </w:tr>
            <w:tr w14:paraId="52C5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shd w:val="clear" w:color="auto" w:fill="auto"/>
                  <w:vAlign w:val="center"/>
                </w:tcPr>
                <w:p w14:paraId="0FCB32E1">
                  <w:pPr>
                    <w:jc w:val="center"/>
                    <w:rPr>
                      <w:rFonts w:eastAsiaTheme="minorEastAsia"/>
                      <w:sz w:val="21"/>
                      <w:szCs w:val="21"/>
                    </w:rPr>
                  </w:pPr>
                  <w:r>
                    <w:rPr>
                      <w:rFonts w:hint="eastAsia" w:eastAsiaTheme="minorEastAsia"/>
                      <w:sz w:val="21"/>
                      <w:szCs w:val="21"/>
                    </w:rPr>
                    <w:t>4</w:t>
                  </w:r>
                </w:p>
              </w:tc>
              <w:tc>
                <w:tcPr>
                  <w:tcW w:w="596" w:type="pct"/>
                  <w:shd w:val="clear" w:color="auto" w:fill="auto"/>
                  <w:vAlign w:val="center"/>
                </w:tcPr>
                <w:p w14:paraId="4B23FF2C">
                  <w:pPr>
                    <w:jc w:val="center"/>
                    <w:rPr>
                      <w:rFonts w:eastAsiaTheme="minorEastAsia"/>
                      <w:sz w:val="21"/>
                      <w:szCs w:val="21"/>
                    </w:rPr>
                  </w:pPr>
                  <w:r>
                    <w:rPr>
                      <w:rFonts w:hint="eastAsia" w:eastAsiaTheme="minorEastAsia"/>
                      <w:sz w:val="21"/>
                      <w:szCs w:val="21"/>
                    </w:rPr>
                    <w:t>氯化氢</w:t>
                  </w:r>
                </w:p>
              </w:tc>
              <w:tc>
                <w:tcPr>
                  <w:tcW w:w="754" w:type="pct"/>
                  <w:shd w:val="clear" w:color="auto" w:fill="auto"/>
                  <w:vAlign w:val="center"/>
                </w:tcPr>
                <w:p w14:paraId="109D0DA3">
                  <w:pPr>
                    <w:jc w:val="center"/>
                    <w:rPr>
                      <w:rFonts w:eastAsiaTheme="minorEastAsia"/>
                      <w:sz w:val="21"/>
                      <w:szCs w:val="21"/>
                    </w:rPr>
                  </w:pPr>
                  <w:r>
                    <w:rPr>
                      <w:rFonts w:eastAsiaTheme="minorEastAsia"/>
                      <w:sz w:val="21"/>
                      <w:szCs w:val="21"/>
                    </w:rPr>
                    <w:t>1</w:t>
                  </w:r>
                  <w:r>
                    <w:rPr>
                      <w:rFonts w:hint="eastAsia" w:eastAsiaTheme="minorEastAsia"/>
                      <w:sz w:val="21"/>
                      <w:szCs w:val="21"/>
                    </w:rPr>
                    <w:t>0</w:t>
                  </w:r>
                  <w:r>
                    <w:rPr>
                      <w:rFonts w:eastAsiaTheme="minorEastAsia"/>
                      <w:sz w:val="21"/>
                      <w:szCs w:val="21"/>
                    </w:rPr>
                    <w:t>0</w:t>
                  </w:r>
                </w:p>
              </w:tc>
              <w:tc>
                <w:tcPr>
                  <w:tcW w:w="578" w:type="pct"/>
                  <w:shd w:val="clear" w:color="auto" w:fill="auto"/>
                  <w:vAlign w:val="center"/>
                </w:tcPr>
                <w:p w14:paraId="594A7492">
                  <w:pPr>
                    <w:jc w:val="center"/>
                  </w:pPr>
                  <w:r>
                    <w:rPr>
                      <w:rFonts w:hint="eastAsia" w:eastAsiaTheme="minorEastAsia"/>
                      <w:sz w:val="21"/>
                      <w:szCs w:val="21"/>
                    </w:rPr>
                    <w:t>35</w:t>
                  </w:r>
                </w:p>
              </w:tc>
              <w:tc>
                <w:tcPr>
                  <w:tcW w:w="640" w:type="pct"/>
                  <w:shd w:val="clear" w:color="auto" w:fill="auto"/>
                  <w:vAlign w:val="center"/>
                </w:tcPr>
                <w:p w14:paraId="43D06C01">
                  <w:pPr>
                    <w:jc w:val="center"/>
                    <w:rPr>
                      <w:rFonts w:eastAsiaTheme="minorEastAsia"/>
                      <w:sz w:val="21"/>
                      <w:szCs w:val="21"/>
                    </w:rPr>
                  </w:pPr>
                  <w:r>
                    <w:rPr>
                      <w:rFonts w:hint="eastAsia" w:eastAsiaTheme="minorEastAsia"/>
                      <w:sz w:val="21"/>
                      <w:szCs w:val="21"/>
                    </w:rPr>
                    <w:t>1</w:t>
                  </w:r>
                  <w:r>
                    <w:rPr>
                      <w:rFonts w:hint="eastAsia" w:eastAsiaTheme="minorEastAsia"/>
                      <w:sz w:val="21"/>
                      <w:szCs w:val="21"/>
                      <w:vertAlign w:val="superscript"/>
                    </w:rPr>
                    <w:t>①</w:t>
                  </w:r>
                </w:p>
              </w:tc>
              <w:tc>
                <w:tcPr>
                  <w:tcW w:w="754" w:type="pct"/>
                  <w:shd w:val="clear" w:color="auto" w:fill="auto"/>
                  <w:vAlign w:val="center"/>
                </w:tcPr>
                <w:p w14:paraId="5BA3FB9E">
                  <w:pPr>
                    <w:jc w:val="center"/>
                    <w:rPr>
                      <w:sz w:val="21"/>
                      <w:szCs w:val="21"/>
                    </w:rPr>
                  </w:pPr>
                  <w:r>
                    <w:rPr>
                      <w:rFonts w:hint="eastAsia"/>
                      <w:sz w:val="21"/>
                      <w:szCs w:val="21"/>
                    </w:rPr>
                    <w:t>0.2</w:t>
                  </w:r>
                </w:p>
              </w:tc>
              <w:tc>
                <w:tcPr>
                  <w:tcW w:w="447" w:type="pct"/>
                  <w:vMerge w:val="continue"/>
                  <w:shd w:val="clear" w:color="auto" w:fill="auto"/>
                  <w:vAlign w:val="center"/>
                </w:tcPr>
                <w:p w14:paraId="5A9D6ACB">
                  <w:pPr>
                    <w:jc w:val="center"/>
                    <w:rPr>
                      <w:sz w:val="21"/>
                      <w:szCs w:val="21"/>
                    </w:rPr>
                  </w:pPr>
                </w:p>
              </w:tc>
              <w:tc>
                <w:tcPr>
                  <w:tcW w:w="873" w:type="pct"/>
                  <w:vMerge w:val="continue"/>
                  <w:shd w:val="clear" w:color="auto" w:fill="auto"/>
                  <w:vAlign w:val="center"/>
                </w:tcPr>
                <w:p w14:paraId="7C1A4E2C">
                  <w:pPr>
                    <w:jc w:val="center"/>
                    <w:rPr>
                      <w:rFonts w:eastAsiaTheme="minorEastAsia"/>
                      <w:sz w:val="21"/>
                      <w:szCs w:val="21"/>
                    </w:rPr>
                  </w:pPr>
                </w:p>
              </w:tc>
            </w:tr>
            <w:tr w14:paraId="23F16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4" w:type="pct"/>
                  <w:shd w:val="clear" w:color="auto" w:fill="auto"/>
                  <w:vAlign w:val="center"/>
                </w:tcPr>
                <w:p w14:paraId="3D2F581C">
                  <w:pPr>
                    <w:jc w:val="center"/>
                    <w:rPr>
                      <w:rFonts w:eastAsiaTheme="minorEastAsia"/>
                      <w:sz w:val="21"/>
                      <w:szCs w:val="21"/>
                    </w:rPr>
                  </w:pPr>
                  <w:r>
                    <w:rPr>
                      <w:rFonts w:hint="eastAsia" w:eastAsiaTheme="minorEastAsia"/>
                      <w:sz w:val="21"/>
                      <w:szCs w:val="21"/>
                    </w:rPr>
                    <w:t>5</w:t>
                  </w:r>
                </w:p>
              </w:tc>
              <w:tc>
                <w:tcPr>
                  <w:tcW w:w="596" w:type="pct"/>
                  <w:shd w:val="clear" w:color="auto" w:fill="auto"/>
                  <w:vAlign w:val="center"/>
                </w:tcPr>
                <w:p w14:paraId="2ACDE144">
                  <w:pPr>
                    <w:jc w:val="center"/>
                    <w:rPr>
                      <w:rFonts w:eastAsiaTheme="minorEastAsia"/>
                      <w:sz w:val="21"/>
                      <w:szCs w:val="21"/>
                    </w:rPr>
                  </w:pPr>
                  <w:r>
                    <w:rPr>
                      <w:rFonts w:hint="eastAsia" w:eastAsiaTheme="minorEastAsia"/>
                      <w:sz w:val="21"/>
                      <w:szCs w:val="21"/>
                    </w:rPr>
                    <w:t>氮氧</w:t>
                  </w:r>
                </w:p>
                <w:p w14:paraId="154DAF10">
                  <w:pPr>
                    <w:jc w:val="center"/>
                    <w:rPr>
                      <w:rFonts w:eastAsiaTheme="minorEastAsia"/>
                      <w:sz w:val="21"/>
                      <w:szCs w:val="21"/>
                    </w:rPr>
                  </w:pPr>
                  <w:r>
                    <w:rPr>
                      <w:rFonts w:hint="eastAsia" w:eastAsiaTheme="minorEastAsia"/>
                      <w:sz w:val="21"/>
                      <w:szCs w:val="21"/>
                    </w:rPr>
                    <w:t>化物</w:t>
                  </w:r>
                </w:p>
              </w:tc>
              <w:tc>
                <w:tcPr>
                  <w:tcW w:w="754" w:type="pct"/>
                  <w:shd w:val="clear" w:color="auto" w:fill="auto"/>
                  <w:vAlign w:val="center"/>
                </w:tcPr>
                <w:p w14:paraId="32AB7937">
                  <w:pPr>
                    <w:jc w:val="center"/>
                    <w:rPr>
                      <w:rFonts w:eastAsiaTheme="minorEastAsia"/>
                      <w:sz w:val="21"/>
                      <w:szCs w:val="21"/>
                    </w:rPr>
                  </w:pPr>
                  <w:r>
                    <w:rPr>
                      <w:rFonts w:hint="eastAsia" w:eastAsiaTheme="minorEastAsia"/>
                      <w:sz w:val="21"/>
                      <w:szCs w:val="21"/>
                    </w:rPr>
                    <w:t>240</w:t>
                  </w:r>
                </w:p>
              </w:tc>
              <w:tc>
                <w:tcPr>
                  <w:tcW w:w="578" w:type="pct"/>
                  <w:shd w:val="clear" w:color="auto" w:fill="auto"/>
                  <w:vAlign w:val="center"/>
                </w:tcPr>
                <w:p w14:paraId="39C694DF">
                  <w:pPr>
                    <w:jc w:val="center"/>
                  </w:pPr>
                  <w:r>
                    <w:rPr>
                      <w:rFonts w:hint="eastAsia" w:eastAsiaTheme="minorEastAsia"/>
                      <w:sz w:val="21"/>
                      <w:szCs w:val="21"/>
                    </w:rPr>
                    <w:t>35</w:t>
                  </w:r>
                </w:p>
              </w:tc>
              <w:tc>
                <w:tcPr>
                  <w:tcW w:w="640" w:type="pct"/>
                  <w:shd w:val="clear" w:color="auto" w:fill="auto"/>
                  <w:vAlign w:val="center"/>
                </w:tcPr>
                <w:p w14:paraId="3654616A">
                  <w:pPr>
                    <w:jc w:val="center"/>
                    <w:rPr>
                      <w:rFonts w:eastAsiaTheme="minorEastAsia"/>
                      <w:sz w:val="21"/>
                      <w:szCs w:val="21"/>
                    </w:rPr>
                  </w:pPr>
                  <w:r>
                    <w:rPr>
                      <w:rFonts w:hint="eastAsia" w:eastAsiaTheme="minorEastAsia"/>
                      <w:sz w:val="21"/>
                      <w:szCs w:val="21"/>
                    </w:rPr>
                    <w:t>2.975</w:t>
                  </w:r>
                  <w:r>
                    <w:rPr>
                      <w:rFonts w:hint="eastAsia" w:eastAsiaTheme="minorEastAsia"/>
                      <w:sz w:val="21"/>
                      <w:szCs w:val="21"/>
                      <w:vertAlign w:val="superscript"/>
                    </w:rPr>
                    <w:t>①</w:t>
                  </w:r>
                </w:p>
              </w:tc>
              <w:tc>
                <w:tcPr>
                  <w:tcW w:w="754" w:type="pct"/>
                  <w:shd w:val="clear" w:color="auto" w:fill="auto"/>
                  <w:vAlign w:val="center"/>
                </w:tcPr>
                <w:p w14:paraId="7D195D41">
                  <w:pPr>
                    <w:jc w:val="center"/>
                    <w:rPr>
                      <w:sz w:val="21"/>
                      <w:szCs w:val="21"/>
                    </w:rPr>
                  </w:pPr>
                  <w:r>
                    <w:rPr>
                      <w:rFonts w:hint="eastAsia"/>
                      <w:sz w:val="21"/>
                      <w:szCs w:val="21"/>
                    </w:rPr>
                    <w:t>0.12</w:t>
                  </w:r>
                </w:p>
              </w:tc>
              <w:tc>
                <w:tcPr>
                  <w:tcW w:w="447" w:type="pct"/>
                  <w:vMerge w:val="continue"/>
                  <w:shd w:val="clear" w:color="auto" w:fill="auto"/>
                  <w:vAlign w:val="center"/>
                </w:tcPr>
                <w:p w14:paraId="5B3D4D83">
                  <w:pPr>
                    <w:jc w:val="center"/>
                    <w:rPr>
                      <w:sz w:val="21"/>
                      <w:szCs w:val="21"/>
                    </w:rPr>
                  </w:pPr>
                </w:p>
              </w:tc>
              <w:tc>
                <w:tcPr>
                  <w:tcW w:w="873" w:type="pct"/>
                  <w:vMerge w:val="continue"/>
                  <w:shd w:val="clear" w:color="auto" w:fill="auto"/>
                  <w:vAlign w:val="center"/>
                </w:tcPr>
                <w:p w14:paraId="4A253165">
                  <w:pPr>
                    <w:jc w:val="center"/>
                    <w:rPr>
                      <w:rFonts w:eastAsiaTheme="minorEastAsia"/>
                      <w:sz w:val="21"/>
                      <w:szCs w:val="21"/>
                    </w:rPr>
                  </w:pPr>
                </w:p>
              </w:tc>
            </w:tr>
            <w:tr w14:paraId="750C7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000" w:type="pct"/>
                  <w:gridSpan w:val="8"/>
                  <w:shd w:val="clear" w:color="auto" w:fill="auto"/>
                  <w:vAlign w:val="center"/>
                </w:tcPr>
                <w:p w14:paraId="2B984853">
                  <w:pPr>
                    <w:rPr>
                      <w:sz w:val="21"/>
                      <w:szCs w:val="21"/>
                    </w:rPr>
                  </w:pPr>
                  <w:r>
                    <w:rPr>
                      <w:rFonts w:hint="eastAsia"/>
                      <w:bCs/>
                      <w:kern w:val="0"/>
                      <w:sz w:val="21"/>
                      <w:szCs w:val="21"/>
                    </w:rPr>
                    <w:t>注①：根据《大气污染物综合排放标准》（GB 16297-1996）附录B，使用内插法计算排气筒的排放速率。同时根据《大气污染物综合排放标准》（GB 16297-1996）7.1：排气筒高度除须遵守表列排放速率标准值外，还应高出周围200m半径范围的建筑5m以上，不能达到该要求的排气筒，应按其高度对应的表列排放速率标准值严格50%执行。经现场调查，本项目周边200m范围内最高建筑为东北侧天地源兰樾坊，高度约92m，本项目排气筒高度均为35m，因此，本项目有组织非甲烷总烃、硫酸雾、氯化氢、氮氧化物排放速率限值加严50%。</w:t>
                  </w:r>
                </w:p>
              </w:tc>
            </w:tr>
          </w:tbl>
          <w:p w14:paraId="798B4F70">
            <w:pPr>
              <w:spacing w:line="360" w:lineRule="auto"/>
              <w:ind w:firstLine="482" w:firstLineChars="200"/>
              <w:rPr>
                <w:b/>
                <w:bCs/>
                <w:kern w:val="0"/>
                <w:lang w:bidi="ar"/>
              </w:rPr>
            </w:pPr>
            <w:r>
              <w:rPr>
                <w:rFonts w:hint="eastAsia"/>
                <w:b/>
                <w:bCs/>
                <w:kern w:val="0"/>
                <w:lang w:bidi="ar"/>
              </w:rPr>
              <w:t>2、废水</w:t>
            </w:r>
          </w:p>
          <w:p w14:paraId="684CDCF7">
            <w:pPr>
              <w:spacing w:line="360" w:lineRule="auto"/>
              <w:ind w:firstLine="480" w:firstLineChars="200"/>
              <w:rPr>
                <w:kern w:val="0"/>
              </w:rPr>
            </w:pPr>
            <w:r>
              <w:rPr>
                <w:rFonts w:hint="eastAsia"/>
                <w:kern w:val="0"/>
              </w:rPr>
              <w:t>本项目运营期实验器皿清洗废水（不含一次清洗废水）和剩余一般水样经4楼实验室水池下方排水管道收集，排入3楼污水处理间自建废水处理设备（酸碱中和，1t/d），经处理后排入园区化粪池；喷淋塔排水采用专用桶收集后转入废水处理设备，经处理后排入园区化粪池；生活污水和其他废水（地面清洁废水、职工工作服清洗废水、超纯水制备排放浓水）排入园区化粪池处理，最终经市政污水管网排入西安净水处理有限责任公司第六再生水厂。</w:t>
            </w:r>
          </w:p>
          <w:p w14:paraId="5B6E5AE7">
            <w:pPr>
              <w:spacing w:line="360" w:lineRule="auto"/>
              <w:ind w:firstLine="480" w:firstLineChars="200"/>
              <w:rPr>
                <w:kern w:val="0"/>
              </w:rPr>
            </w:pPr>
            <w:r>
              <w:rPr>
                <w:rFonts w:hint="eastAsia"/>
                <w:kern w:val="0"/>
              </w:rPr>
              <w:t>园区废水总排口执行《污水综合排放标准》（GB 8978-1996）三级标准和《污水排入城镇下水道水质标准》（GB/T 31962-2015）A级标准。</w:t>
            </w:r>
            <w:r>
              <w:rPr>
                <w:kern w:val="0"/>
              </w:rPr>
              <w:t>详见表3-</w:t>
            </w:r>
            <w:r>
              <w:rPr>
                <w:rFonts w:hint="eastAsia"/>
                <w:kern w:val="0"/>
              </w:rPr>
              <w:t>7</w:t>
            </w:r>
            <w:r>
              <w:rPr>
                <w:kern w:val="0"/>
              </w:rPr>
              <w:t>。</w:t>
            </w:r>
          </w:p>
          <w:p w14:paraId="283CF0EC">
            <w:pPr>
              <w:adjustRightInd w:val="0"/>
              <w:snapToGrid w:val="0"/>
              <w:jc w:val="center"/>
              <w:rPr>
                <w:b/>
                <w:sz w:val="21"/>
                <w:szCs w:val="21"/>
              </w:rPr>
            </w:pPr>
            <w:r>
              <w:rPr>
                <w:b/>
                <w:sz w:val="21"/>
                <w:szCs w:val="21"/>
              </w:rPr>
              <w:t>表3-</w:t>
            </w:r>
            <w:r>
              <w:rPr>
                <w:rFonts w:hint="eastAsia"/>
                <w:b/>
                <w:sz w:val="21"/>
                <w:szCs w:val="21"/>
              </w:rPr>
              <w:t>7</w:t>
            </w:r>
            <w:r>
              <w:rPr>
                <w:b/>
                <w:sz w:val="21"/>
                <w:szCs w:val="21"/>
              </w:rPr>
              <w:t xml:space="preserve">  运营期废水污染物排放标准</w:t>
            </w:r>
          </w:p>
          <w:tbl>
            <w:tblPr>
              <w:tblStyle w:val="23"/>
              <w:tblW w:w="80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800"/>
              <w:gridCol w:w="773"/>
              <w:gridCol w:w="787"/>
              <w:gridCol w:w="560"/>
              <w:gridCol w:w="827"/>
              <w:gridCol w:w="520"/>
              <w:gridCol w:w="520"/>
              <w:gridCol w:w="680"/>
              <w:gridCol w:w="493"/>
              <w:gridCol w:w="640"/>
            </w:tblGrid>
            <w:tr w14:paraId="4C6D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93" w:type="dxa"/>
                  <w:vMerge w:val="restart"/>
                  <w:vAlign w:val="center"/>
                </w:tcPr>
                <w:p w14:paraId="553CDE74">
                  <w:pPr>
                    <w:adjustRightInd w:val="0"/>
                    <w:snapToGrid w:val="0"/>
                    <w:jc w:val="center"/>
                    <w:rPr>
                      <w:b/>
                      <w:sz w:val="21"/>
                      <w:szCs w:val="21"/>
                    </w:rPr>
                  </w:pPr>
                  <w:r>
                    <w:rPr>
                      <w:rFonts w:hint="eastAsia"/>
                      <w:b/>
                      <w:sz w:val="21"/>
                      <w:szCs w:val="21"/>
                    </w:rPr>
                    <w:t>排放</w:t>
                  </w:r>
                </w:p>
                <w:p w14:paraId="4E5E01B6">
                  <w:pPr>
                    <w:adjustRightInd w:val="0"/>
                    <w:snapToGrid w:val="0"/>
                    <w:jc w:val="center"/>
                    <w:rPr>
                      <w:b/>
                      <w:sz w:val="21"/>
                      <w:szCs w:val="21"/>
                    </w:rPr>
                  </w:pPr>
                  <w:r>
                    <w:rPr>
                      <w:rFonts w:hint="eastAsia"/>
                      <w:b/>
                      <w:sz w:val="21"/>
                      <w:szCs w:val="21"/>
                    </w:rPr>
                    <w:t>标准</w:t>
                  </w:r>
                </w:p>
              </w:tc>
              <w:tc>
                <w:tcPr>
                  <w:tcW w:w="6600" w:type="dxa"/>
                  <w:gridSpan w:val="10"/>
                  <w:vAlign w:val="center"/>
                </w:tcPr>
                <w:p w14:paraId="1FE0748D">
                  <w:pPr>
                    <w:adjustRightInd w:val="0"/>
                    <w:snapToGrid w:val="0"/>
                    <w:jc w:val="center"/>
                    <w:rPr>
                      <w:b/>
                      <w:sz w:val="21"/>
                      <w:szCs w:val="21"/>
                    </w:rPr>
                  </w:pPr>
                  <w:r>
                    <w:rPr>
                      <w:rFonts w:hint="eastAsia"/>
                      <w:b/>
                      <w:sz w:val="21"/>
                      <w:szCs w:val="21"/>
                    </w:rPr>
                    <w:t>标准限值（mg/L）</w:t>
                  </w:r>
                </w:p>
              </w:tc>
            </w:tr>
            <w:tr w14:paraId="043F9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93" w:type="dxa"/>
                  <w:vMerge w:val="continue"/>
                  <w:vAlign w:val="center"/>
                </w:tcPr>
                <w:p w14:paraId="6DB488D1">
                  <w:pPr>
                    <w:adjustRightInd w:val="0"/>
                    <w:snapToGrid w:val="0"/>
                    <w:jc w:val="center"/>
                    <w:rPr>
                      <w:b/>
                      <w:sz w:val="21"/>
                      <w:szCs w:val="21"/>
                    </w:rPr>
                  </w:pPr>
                </w:p>
              </w:tc>
              <w:tc>
                <w:tcPr>
                  <w:tcW w:w="800" w:type="dxa"/>
                  <w:vAlign w:val="center"/>
                </w:tcPr>
                <w:p w14:paraId="210BC3B8">
                  <w:pPr>
                    <w:adjustRightInd w:val="0"/>
                    <w:snapToGrid w:val="0"/>
                    <w:jc w:val="center"/>
                    <w:rPr>
                      <w:b/>
                      <w:sz w:val="21"/>
                      <w:szCs w:val="21"/>
                    </w:rPr>
                  </w:pPr>
                  <w:r>
                    <w:rPr>
                      <w:b/>
                      <w:sz w:val="21"/>
                      <w:szCs w:val="21"/>
                    </w:rPr>
                    <w:t>pH</w:t>
                  </w:r>
                </w:p>
              </w:tc>
              <w:tc>
                <w:tcPr>
                  <w:tcW w:w="773" w:type="dxa"/>
                  <w:vAlign w:val="center"/>
                </w:tcPr>
                <w:p w14:paraId="615C34AB">
                  <w:pPr>
                    <w:adjustRightInd w:val="0"/>
                    <w:snapToGrid w:val="0"/>
                    <w:jc w:val="center"/>
                    <w:rPr>
                      <w:b/>
                      <w:sz w:val="21"/>
                      <w:szCs w:val="21"/>
                    </w:rPr>
                  </w:pPr>
                  <w:r>
                    <w:rPr>
                      <w:b/>
                      <w:sz w:val="21"/>
                      <w:szCs w:val="21"/>
                    </w:rPr>
                    <w:t>COD</w:t>
                  </w:r>
                </w:p>
              </w:tc>
              <w:tc>
                <w:tcPr>
                  <w:tcW w:w="787" w:type="dxa"/>
                  <w:vAlign w:val="center"/>
                </w:tcPr>
                <w:p w14:paraId="11F77350">
                  <w:pPr>
                    <w:adjustRightInd w:val="0"/>
                    <w:snapToGrid w:val="0"/>
                    <w:jc w:val="center"/>
                    <w:rPr>
                      <w:b/>
                      <w:sz w:val="21"/>
                      <w:szCs w:val="21"/>
                    </w:rPr>
                  </w:pPr>
                  <w:r>
                    <w:rPr>
                      <w:b/>
                      <w:sz w:val="21"/>
                      <w:szCs w:val="21"/>
                    </w:rPr>
                    <w:t>BOD</w:t>
                  </w:r>
                  <w:r>
                    <w:rPr>
                      <w:b/>
                      <w:sz w:val="21"/>
                      <w:szCs w:val="21"/>
                      <w:vertAlign w:val="subscript"/>
                    </w:rPr>
                    <w:t>5</w:t>
                  </w:r>
                </w:p>
              </w:tc>
              <w:tc>
                <w:tcPr>
                  <w:tcW w:w="560" w:type="dxa"/>
                  <w:vAlign w:val="center"/>
                </w:tcPr>
                <w:p w14:paraId="4A968F41">
                  <w:pPr>
                    <w:adjustRightInd w:val="0"/>
                    <w:snapToGrid w:val="0"/>
                    <w:jc w:val="center"/>
                    <w:rPr>
                      <w:b/>
                      <w:sz w:val="21"/>
                      <w:szCs w:val="21"/>
                    </w:rPr>
                  </w:pPr>
                  <w:r>
                    <w:rPr>
                      <w:b/>
                      <w:sz w:val="21"/>
                      <w:szCs w:val="21"/>
                    </w:rPr>
                    <w:t>SS</w:t>
                  </w:r>
                </w:p>
              </w:tc>
              <w:tc>
                <w:tcPr>
                  <w:tcW w:w="827" w:type="dxa"/>
                  <w:vAlign w:val="center"/>
                </w:tcPr>
                <w:p w14:paraId="041E8F3D">
                  <w:pPr>
                    <w:adjustRightInd w:val="0"/>
                    <w:snapToGrid w:val="0"/>
                    <w:jc w:val="center"/>
                    <w:rPr>
                      <w:b/>
                      <w:sz w:val="21"/>
                      <w:szCs w:val="21"/>
                    </w:rPr>
                  </w:pPr>
                  <w:r>
                    <w:rPr>
                      <w:b/>
                      <w:sz w:val="21"/>
                      <w:szCs w:val="21"/>
                    </w:rPr>
                    <w:t>NH</w:t>
                  </w:r>
                  <w:r>
                    <w:rPr>
                      <w:b/>
                      <w:sz w:val="21"/>
                      <w:szCs w:val="21"/>
                      <w:vertAlign w:val="subscript"/>
                    </w:rPr>
                    <w:t>3</w:t>
                  </w:r>
                  <w:r>
                    <w:rPr>
                      <w:b/>
                      <w:sz w:val="21"/>
                      <w:szCs w:val="21"/>
                    </w:rPr>
                    <w:t>-N</w:t>
                  </w:r>
                </w:p>
              </w:tc>
              <w:tc>
                <w:tcPr>
                  <w:tcW w:w="520" w:type="dxa"/>
                  <w:vAlign w:val="center"/>
                </w:tcPr>
                <w:p w14:paraId="665C2CB1">
                  <w:pPr>
                    <w:adjustRightInd w:val="0"/>
                    <w:snapToGrid w:val="0"/>
                    <w:jc w:val="center"/>
                    <w:rPr>
                      <w:b/>
                      <w:sz w:val="21"/>
                      <w:szCs w:val="21"/>
                    </w:rPr>
                  </w:pPr>
                  <w:r>
                    <w:rPr>
                      <w:b/>
                      <w:sz w:val="21"/>
                      <w:szCs w:val="21"/>
                    </w:rPr>
                    <w:t>TN</w:t>
                  </w:r>
                </w:p>
              </w:tc>
              <w:tc>
                <w:tcPr>
                  <w:tcW w:w="520" w:type="dxa"/>
                  <w:vAlign w:val="center"/>
                </w:tcPr>
                <w:p w14:paraId="68619574">
                  <w:pPr>
                    <w:adjustRightInd w:val="0"/>
                    <w:snapToGrid w:val="0"/>
                    <w:jc w:val="center"/>
                    <w:rPr>
                      <w:b/>
                      <w:sz w:val="21"/>
                      <w:szCs w:val="21"/>
                    </w:rPr>
                  </w:pPr>
                  <w:r>
                    <w:rPr>
                      <w:b/>
                      <w:sz w:val="21"/>
                      <w:szCs w:val="21"/>
                    </w:rPr>
                    <w:t>TP</w:t>
                  </w:r>
                </w:p>
              </w:tc>
              <w:tc>
                <w:tcPr>
                  <w:tcW w:w="680" w:type="dxa"/>
                  <w:vAlign w:val="center"/>
                </w:tcPr>
                <w:p w14:paraId="505F7274">
                  <w:pPr>
                    <w:adjustRightInd w:val="0"/>
                    <w:snapToGrid w:val="0"/>
                    <w:jc w:val="center"/>
                    <w:rPr>
                      <w:b/>
                      <w:sz w:val="21"/>
                      <w:szCs w:val="21"/>
                    </w:rPr>
                  </w:pPr>
                  <w:r>
                    <w:rPr>
                      <w:rFonts w:hint="eastAsia"/>
                      <w:b/>
                      <w:sz w:val="21"/>
                      <w:szCs w:val="21"/>
                    </w:rPr>
                    <w:t>阴离子表面活性剂</w:t>
                  </w:r>
                </w:p>
              </w:tc>
              <w:tc>
                <w:tcPr>
                  <w:tcW w:w="493" w:type="dxa"/>
                  <w:vAlign w:val="center"/>
                </w:tcPr>
                <w:p w14:paraId="61D1FD25">
                  <w:pPr>
                    <w:adjustRightInd w:val="0"/>
                    <w:snapToGrid w:val="0"/>
                    <w:jc w:val="center"/>
                    <w:rPr>
                      <w:b/>
                      <w:sz w:val="21"/>
                      <w:szCs w:val="21"/>
                    </w:rPr>
                  </w:pPr>
                  <w:r>
                    <w:rPr>
                      <w:rFonts w:hint="eastAsia"/>
                      <w:b/>
                      <w:sz w:val="21"/>
                      <w:szCs w:val="21"/>
                    </w:rPr>
                    <w:t>石油类</w:t>
                  </w:r>
                </w:p>
              </w:tc>
              <w:tc>
                <w:tcPr>
                  <w:tcW w:w="640" w:type="dxa"/>
                  <w:vAlign w:val="center"/>
                </w:tcPr>
                <w:p w14:paraId="1DC0B48C">
                  <w:pPr>
                    <w:adjustRightInd w:val="0"/>
                    <w:snapToGrid w:val="0"/>
                    <w:jc w:val="center"/>
                    <w:rPr>
                      <w:b/>
                      <w:sz w:val="21"/>
                      <w:szCs w:val="21"/>
                    </w:rPr>
                  </w:pPr>
                  <w:r>
                    <w:rPr>
                      <w:rFonts w:hint="eastAsia"/>
                      <w:b/>
                      <w:sz w:val="21"/>
                      <w:szCs w:val="21"/>
                    </w:rPr>
                    <w:t>溶解性总固体TDS</w:t>
                  </w:r>
                </w:p>
              </w:tc>
            </w:tr>
            <w:tr w14:paraId="2E345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93" w:type="dxa"/>
                  <w:vAlign w:val="center"/>
                </w:tcPr>
                <w:p w14:paraId="55CF3DF3">
                  <w:pPr>
                    <w:adjustRightInd w:val="0"/>
                    <w:snapToGrid w:val="0"/>
                    <w:jc w:val="center"/>
                    <w:rPr>
                      <w:sz w:val="21"/>
                      <w:szCs w:val="21"/>
                    </w:rPr>
                  </w:pPr>
                  <w:r>
                    <w:rPr>
                      <w:sz w:val="21"/>
                      <w:szCs w:val="21"/>
                    </w:rPr>
                    <w:t>《污水综合排放标准》（GB 8978-1996）三级标准</w:t>
                  </w:r>
                </w:p>
              </w:tc>
              <w:tc>
                <w:tcPr>
                  <w:tcW w:w="800" w:type="dxa"/>
                  <w:vAlign w:val="center"/>
                </w:tcPr>
                <w:p w14:paraId="5603A9A4">
                  <w:pPr>
                    <w:adjustRightInd w:val="0"/>
                    <w:snapToGrid w:val="0"/>
                    <w:jc w:val="center"/>
                    <w:rPr>
                      <w:sz w:val="21"/>
                      <w:szCs w:val="21"/>
                    </w:rPr>
                  </w:pPr>
                  <w:r>
                    <w:rPr>
                      <w:rFonts w:hint="eastAsia"/>
                      <w:sz w:val="21"/>
                      <w:szCs w:val="21"/>
                    </w:rPr>
                    <w:t>6~9</w:t>
                  </w:r>
                </w:p>
                <w:p w14:paraId="5F0195AD">
                  <w:pPr>
                    <w:adjustRightInd w:val="0"/>
                    <w:snapToGrid w:val="0"/>
                    <w:jc w:val="center"/>
                    <w:rPr>
                      <w:b/>
                      <w:sz w:val="21"/>
                      <w:szCs w:val="21"/>
                    </w:rPr>
                  </w:pPr>
                  <w:r>
                    <w:rPr>
                      <w:rFonts w:hint="eastAsia"/>
                      <w:sz w:val="21"/>
                      <w:szCs w:val="21"/>
                    </w:rPr>
                    <w:t>（无量纲）</w:t>
                  </w:r>
                </w:p>
              </w:tc>
              <w:tc>
                <w:tcPr>
                  <w:tcW w:w="773" w:type="dxa"/>
                  <w:vAlign w:val="center"/>
                </w:tcPr>
                <w:p w14:paraId="26C14AA9">
                  <w:pPr>
                    <w:adjustRightInd w:val="0"/>
                    <w:snapToGrid w:val="0"/>
                    <w:jc w:val="center"/>
                    <w:rPr>
                      <w:bCs/>
                      <w:sz w:val="21"/>
                      <w:szCs w:val="21"/>
                    </w:rPr>
                  </w:pPr>
                  <w:r>
                    <w:rPr>
                      <w:rFonts w:hint="eastAsia"/>
                      <w:bCs/>
                      <w:sz w:val="21"/>
                      <w:szCs w:val="21"/>
                    </w:rPr>
                    <w:t>500</w:t>
                  </w:r>
                </w:p>
              </w:tc>
              <w:tc>
                <w:tcPr>
                  <w:tcW w:w="787" w:type="dxa"/>
                  <w:vAlign w:val="center"/>
                </w:tcPr>
                <w:p w14:paraId="21019E6F">
                  <w:pPr>
                    <w:adjustRightInd w:val="0"/>
                    <w:snapToGrid w:val="0"/>
                    <w:jc w:val="center"/>
                    <w:rPr>
                      <w:bCs/>
                      <w:sz w:val="21"/>
                      <w:szCs w:val="21"/>
                    </w:rPr>
                  </w:pPr>
                  <w:r>
                    <w:rPr>
                      <w:rFonts w:hint="eastAsia"/>
                      <w:bCs/>
                      <w:sz w:val="21"/>
                      <w:szCs w:val="21"/>
                    </w:rPr>
                    <w:t>300</w:t>
                  </w:r>
                </w:p>
              </w:tc>
              <w:tc>
                <w:tcPr>
                  <w:tcW w:w="560" w:type="dxa"/>
                  <w:vAlign w:val="center"/>
                </w:tcPr>
                <w:p w14:paraId="026E6573">
                  <w:pPr>
                    <w:adjustRightInd w:val="0"/>
                    <w:snapToGrid w:val="0"/>
                    <w:jc w:val="center"/>
                    <w:rPr>
                      <w:bCs/>
                      <w:sz w:val="21"/>
                      <w:szCs w:val="21"/>
                    </w:rPr>
                  </w:pPr>
                  <w:r>
                    <w:rPr>
                      <w:rFonts w:hint="eastAsia"/>
                      <w:bCs/>
                      <w:sz w:val="21"/>
                      <w:szCs w:val="21"/>
                    </w:rPr>
                    <w:t>400</w:t>
                  </w:r>
                </w:p>
              </w:tc>
              <w:tc>
                <w:tcPr>
                  <w:tcW w:w="827" w:type="dxa"/>
                  <w:vAlign w:val="center"/>
                </w:tcPr>
                <w:p w14:paraId="281771F1">
                  <w:pPr>
                    <w:adjustRightInd w:val="0"/>
                    <w:snapToGrid w:val="0"/>
                    <w:jc w:val="center"/>
                    <w:rPr>
                      <w:bCs/>
                      <w:sz w:val="21"/>
                      <w:szCs w:val="21"/>
                    </w:rPr>
                  </w:pPr>
                  <w:r>
                    <w:rPr>
                      <w:rFonts w:hint="eastAsia"/>
                      <w:bCs/>
                      <w:sz w:val="21"/>
                      <w:szCs w:val="21"/>
                    </w:rPr>
                    <w:t>/</w:t>
                  </w:r>
                </w:p>
              </w:tc>
              <w:tc>
                <w:tcPr>
                  <w:tcW w:w="520" w:type="dxa"/>
                  <w:vAlign w:val="center"/>
                </w:tcPr>
                <w:p w14:paraId="27351A7F">
                  <w:pPr>
                    <w:adjustRightInd w:val="0"/>
                    <w:snapToGrid w:val="0"/>
                    <w:jc w:val="center"/>
                    <w:rPr>
                      <w:bCs/>
                      <w:sz w:val="21"/>
                      <w:szCs w:val="21"/>
                    </w:rPr>
                  </w:pPr>
                  <w:r>
                    <w:rPr>
                      <w:rFonts w:hint="eastAsia"/>
                      <w:bCs/>
                      <w:sz w:val="21"/>
                      <w:szCs w:val="21"/>
                    </w:rPr>
                    <w:t>/</w:t>
                  </w:r>
                </w:p>
              </w:tc>
              <w:tc>
                <w:tcPr>
                  <w:tcW w:w="520" w:type="dxa"/>
                  <w:vAlign w:val="center"/>
                </w:tcPr>
                <w:p w14:paraId="2DE54DF3">
                  <w:pPr>
                    <w:adjustRightInd w:val="0"/>
                    <w:snapToGrid w:val="0"/>
                    <w:jc w:val="center"/>
                    <w:rPr>
                      <w:bCs/>
                      <w:sz w:val="21"/>
                      <w:szCs w:val="21"/>
                    </w:rPr>
                  </w:pPr>
                  <w:r>
                    <w:rPr>
                      <w:rFonts w:hint="eastAsia"/>
                      <w:bCs/>
                      <w:sz w:val="21"/>
                      <w:szCs w:val="21"/>
                    </w:rPr>
                    <w:t>/</w:t>
                  </w:r>
                </w:p>
              </w:tc>
              <w:tc>
                <w:tcPr>
                  <w:tcW w:w="680" w:type="dxa"/>
                  <w:vAlign w:val="center"/>
                </w:tcPr>
                <w:p w14:paraId="61CC7122">
                  <w:pPr>
                    <w:adjustRightInd w:val="0"/>
                    <w:snapToGrid w:val="0"/>
                    <w:jc w:val="center"/>
                    <w:rPr>
                      <w:bCs/>
                      <w:sz w:val="21"/>
                      <w:szCs w:val="21"/>
                    </w:rPr>
                  </w:pPr>
                  <w:r>
                    <w:rPr>
                      <w:rFonts w:hint="eastAsia"/>
                      <w:bCs/>
                      <w:sz w:val="21"/>
                      <w:szCs w:val="21"/>
                    </w:rPr>
                    <w:t>20</w:t>
                  </w:r>
                </w:p>
              </w:tc>
              <w:tc>
                <w:tcPr>
                  <w:tcW w:w="493" w:type="dxa"/>
                  <w:vAlign w:val="center"/>
                </w:tcPr>
                <w:p w14:paraId="3ECDA01F">
                  <w:pPr>
                    <w:adjustRightInd w:val="0"/>
                    <w:snapToGrid w:val="0"/>
                    <w:jc w:val="center"/>
                    <w:rPr>
                      <w:bCs/>
                      <w:sz w:val="21"/>
                      <w:szCs w:val="21"/>
                    </w:rPr>
                  </w:pPr>
                  <w:r>
                    <w:rPr>
                      <w:rFonts w:hint="eastAsia"/>
                      <w:bCs/>
                      <w:sz w:val="21"/>
                      <w:szCs w:val="21"/>
                    </w:rPr>
                    <w:t>30</w:t>
                  </w:r>
                </w:p>
              </w:tc>
              <w:tc>
                <w:tcPr>
                  <w:tcW w:w="640" w:type="dxa"/>
                  <w:vAlign w:val="center"/>
                </w:tcPr>
                <w:p w14:paraId="6113C672">
                  <w:pPr>
                    <w:adjustRightInd w:val="0"/>
                    <w:snapToGrid w:val="0"/>
                    <w:jc w:val="center"/>
                    <w:rPr>
                      <w:bCs/>
                      <w:sz w:val="21"/>
                      <w:szCs w:val="21"/>
                    </w:rPr>
                  </w:pPr>
                  <w:r>
                    <w:rPr>
                      <w:rFonts w:hint="eastAsia"/>
                      <w:bCs/>
                      <w:sz w:val="21"/>
                      <w:szCs w:val="21"/>
                    </w:rPr>
                    <w:t>/</w:t>
                  </w:r>
                </w:p>
              </w:tc>
            </w:tr>
            <w:tr w14:paraId="7E282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93" w:type="dxa"/>
                  <w:vAlign w:val="center"/>
                </w:tcPr>
                <w:p w14:paraId="21B3D2F3">
                  <w:pPr>
                    <w:contextualSpacing/>
                    <w:jc w:val="center"/>
                    <w:rPr>
                      <w:sz w:val="21"/>
                      <w:szCs w:val="21"/>
                    </w:rPr>
                  </w:pPr>
                  <w:r>
                    <w:rPr>
                      <w:sz w:val="21"/>
                      <w:szCs w:val="21"/>
                    </w:rPr>
                    <w:t>《污水排入城镇下水道水质标准》（GB/T31962-2015）A级标准</w:t>
                  </w:r>
                </w:p>
              </w:tc>
              <w:tc>
                <w:tcPr>
                  <w:tcW w:w="800" w:type="dxa"/>
                  <w:vAlign w:val="center"/>
                </w:tcPr>
                <w:p w14:paraId="07BD5FCB">
                  <w:pPr>
                    <w:adjustRightInd w:val="0"/>
                    <w:snapToGrid w:val="0"/>
                    <w:jc w:val="center"/>
                    <w:rPr>
                      <w:sz w:val="21"/>
                      <w:szCs w:val="21"/>
                    </w:rPr>
                  </w:pPr>
                  <w:r>
                    <w:rPr>
                      <w:rFonts w:hint="eastAsia"/>
                      <w:sz w:val="21"/>
                      <w:szCs w:val="21"/>
                    </w:rPr>
                    <w:t>6.5~9.5</w:t>
                  </w:r>
                </w:p>
                <w:p w14:paraId="0342BF12">
                  <w:pPr>
                    <w:adjustRightInd w:val="0"/>
                    <w:snapToGrid w:val="0"/>
                    <w:jc w:val="center"/>
                    <w:rPr>
                      <w:b/>
                      <w:sz w:val="21"/>
                      <w:szCs w:val="21"/>
                    </w:rPr>
                  </w:pPr>
                  <w:r>
                    <w:rPr>
                      <w:rFonts w:hint="eastAsia"/>
                      <w:sz w:val="21"/>
                      <w:szCs w:val="21"/>
                    </w:rPr>
                    <w:t>（无量纲）</w:t>
                  </w:r>
                </w:p>
              </w:tc>
              <w:tc>
                <w:tcPr>
                  <w:tcW w:w="773" w:type="dxa"/>
                  <w:vAlign w:val="center"/>
                </w:tcPr>
                <w:p w14:paraId="4E922BF0">
                  <w:pPr>
                    <w:adjustRightInd w:val="0"/>
                    <w:snapToGrid w:val="0"/>
                    <w:jc w:val="center"/>
                    <w:rPr>
                      <w:bCs/>
                      <w:sz w:val="21"/>
                      <w:szCs w:val="21"/>
                    </w:rPr>
                  </w:pPr>
                  <w:r>
                    <w:rPr>
                      <w:rFonts w:hint="eastAsia"/>
                      <w:bCs/>
                      <w:sz w:val="21"/>
                      <w:szCs w:val="21"/>
                    </w:rPr>
                    <w:t>500</w:t>
                  </w:r>
                </w:p>
              </w:tc>
              <w:tc>
                <w:tcPr>
                  <w:tcW w:w="787" w:type="dxa"/>
                  <w:vAlign w:val="center"/>
                </w:tcPr>
                <w:p w14:paraId="69CCF9D4">
                  <w:pPr>
                    <w:adjustRightInd w:val="0"/>
                    <w:snapToGrid w:val="0"/>
                    <w:jc w:val="center"/>
                    <w:rPr>
                      <w:bCs/>
                      <w:sz w:val="21"/>
                      <w:szCs w:val="21"/>
                    </w:rPr>
                  </w:pPr>
                  <w:r>
                    <w:rPr>
                      <w:rFonts w:hint="eastAsia"/>
                      <w:bCs/>
                      <w:sz w:val="21"/>
                      <w:szCs w:val="21"/>
                    </w:rPr>
                    <w:t>350</w:t>
                  </w:r>
                </w:p>
              </w:tc>
              <w:tc>
                <w:tcPr>
                  <w:tcW w:w="560" w:type="dxa"/>
                  <w:vAlign w:val="center"/>
                </w:tcPr>
                <w:p w14:paraId="1A2ADE78">
                  <w:pPr>
                    <w:adjustRightInd w:val="0"/>
                    <w:snapToGrid w:val="0"/>
                    <w:jc w:val="center"/>
                    <w:rPr>
                      <w:bCs/>
                      <w:sz w:val="21"/>
                      <w:szCs w:val="21"/>
                    </w:rPr>
                  </w:pPr>
                  <w:r>
                    <w:rPr>
                      <w:rFonts w:hint="eastAsia"/>
                      <w:bCs/>
                      <w:sz w:val="21"/>
                      <w:szCs w:val="21"/>
                    </w:rPr>
                    <w:t>400</w:t>
                  </w:r>
                </w:p>
              </w:tc>
              <w:tc>
                <w:tcPr>
                  <w:tcW w:w="827" w:type="dxa"/>
                  <w:vAlign w:val="center"/>
                </w:tcPr>
                <w:p w14:paraId="48F561F2">
                  <w:pPr>
                    <w:adjustRightInd w:val="0"/>
                    <w:snapToGrid w:val="0"/>
                    <w:jc w:val="center"/>
                    <w:rPr>
                      <w:bCs/>
                      <w:sz w:val="21"/>
                      <w:szCs w:val="21"/>
                    </w:rPr>
                  </w:pPr>
                  <w:r>
                    <w:rPr>
                      <w:rFonts w:hint="eastAsia"/>
                      <w:bCs/>
                      <w:sz w:val="21"/>
                      <w:szCs w:val="21"/>
                    </w:rPr>
                    <w:t>45</w:t>
                  </w:r>
                </w:p>
              </w:tc>
              <w:tc>
                <w:tcPr>
                  <w:tcW w:w="520" w:type="dxa"/>
                  <w:vAlign w:val="center"/>
                </w:tcPr>
                <w:p w14:paraId="5623906D">
                  <w:pPr>
                    <w:adjustRightInd w:val="0"/>
                    <w:snapToGrid w:val="0"/>
                    <w:jc w:val="center"/>
                    <w:rPr>
                      <w:bCs/>
                      <w:sz w:val="21"/>
                      <w:szCs w:val="21"/>
                    </w:rPr>
                  </w:pPr>
                  <w:r>
                    <w:rPr>
                      <w:rFonts w:hint="eastAsia"/>
                      <w:bCs/>
                      <w:sz w:val="21"/>
                      <w:szCs w:val="21"/>
                    </w:rPr>
                    <w:t>70</w:t>
                  </w:r>
                </w:p>
              </w:tc>
              <w:tc>
                <w:tcPr>
                  <w:tcW w:w="520" w:type="dxa"/>
                  <w:vAlign w:val="center"/>
                </w:tcPr>
                <w:p w14:paraId="1C0B4522">
                  <w:pPr>
                    <w:adjustRightInd w:val="0"/>
                    <w:snapToGrid w:val="0"/>
                    <w:jc w:val="center"/>
                    <w:rPr>
                      <w:bCs/>
                      <w:sz w:val="21"/>
                      <w:szCs w:val="21"/>
                    </w:rPr>
                  </w:pPr>
                  <w:r>
                    <w:rPr>
                      <w:rFonts w:hint="eastAsia"/>
                      <w:bCs/>
                      <w:sz w:val="21"/>
                      <w:szCs w:val="21"/>
                    </w:rPr>
                    <w:t>8</w:t>
                  </w:r>
                </w:p>
              </w:tc>
              <w:tc>
                <w:tcPr>
                  <w:tcW w:w="680" w:type="dxa"/>
                  <w:vAlign w:val="center"/>
                </w:tcPr>
                <w:p w14:paraId="14E651B4">
                  <w:pPr>
                    <w:adjustRightInd w:val="0"/>
                    <w:snapToGrid w:val="0"/>
                    <w:jc w:val="center"/>
                    <w:rPr>
                      <w:bCs/>
                      <w:sz w:val="21"/>
                      <w:szCs w:val="21"/>
                    </w:rPr>
                  </w:pPr>
                  <w:r>
                    <w:rPr>
                      <w:rFonts w:hint="eastAsia"/>
                      <w:bCs/>
                      <w:sz w:val="21"/>
                      <w:szCs w:val="21"/>
                    </w:rPr>
                    <w:t>20</w:t>
                  </w:r>
                </w:p>
              </w:tc>
              <w:tc>
                <w:tcPr>
                  <w:tcW w:w="493" w:type="dxa"/>
                  <w:vAlign w:val="center"/>
                </w:tcPr>
                <w:p w14:paraId="48E76B8E">
                  <w:pPr>
                    <w:adjustRightInd w:val="0"/>
                    <w:snapToGrid w:val="0"/>
                    <w:jc w:val="center"/>
                    <w:rPr>
                      <w:bCs/>
                      <w:sz w:val="21"/>
                      <w:szCs w:val="21"/>
                    </w:rPr>
                  </w:pPr>
                  <w:r>
                    <w:rPr>
                      <w:rFonts w:hint="eastAsia"/>
                      <w:bCs/>
                      <w:sz w:val="21"/>
                      <w:szCs w:val="21"/>
                    </w:rPr>
                    <w:t>15</w:t>
                  </w:r>
                </w:p>
              </w:tc>
              <w:tc>
                <w:tcPr>
                  <w:tcW w:w="640" w:type="dxa"/>
                  <w:vAlign w:val="center"/>
                </w:tcPr>
                <w:p w14:paraId="27A483EC">
                  <w:pPr>
                    <w:adjustRightInd w:val="0"/>
                    <w:snapToGrid w:val="0"/>
                    <w:jc w:val="center"/>
                    <w:rPr>
                      <w:bCs/>
                      <w:sz w:val="21"/>
                      <w:szCs w:val="21"/>
                    </w:rPr>
                  </w:pPr>
                  <w:r>
                    <w:rPr>
                      <w:rFonts w:hint="eastAsia"/>
                      <w:bCs/>
                      <w:sz w:val="21"/>
                      <w:szCs w:val="21"/>
                    </w:rPr>
                    <w:t>1500</w:t>
                  </w:r>
                </w:p>
              </w:tc>
            </w:tr>
            <w:tr w14:paraId="30A00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93" w:type="dxa"/>
                  <w:vAlign w:val="center"/>
                </w:tcPr>
                <w:p w14:paraId="1976E2FC">
                  <w:pPr>
                    <w:adjustRightInd w:val="0"/>
                    <w:snapToGrid w:val="0"/>
                    <w:jc w:val="center"/>
                    <w:rPr>
                      <w:sz w:val="21"/>
                      <w:szCs w:val="21"/>
                    </w:rPr>
                  </w:pPr>
                  <w:r>
                    <w:rPr>
                      <w:rFonts w:hint="eastAsia"/>
                      <w:sz w:val="21"/>
                      <w:szCs w:val="21"/>
                    </w:rPr>
                    <w:t>本项目执行</w:t>
                  </w:r>
                </w:p>
              </w:tc>
              <w:tc>
                <w:tcPr>
                  <w:tcW w:w="800" w:type="dxa"/>
                  <w:vAlign w:val="center"/>
                </w:tcPr>
                <w:p w14:paraId="7B12E124">
                  <w:pPr>
                    <w:adjustRightInd w:val="0"/>
                    <w:snapToGrid w:val="0"/>
                    <w:jc w:val="center"/>
                    <w:rPr>
                      <w:sz w:val="21"/>
                      <w:szCs w:val="21"/>
                    </w:rPr>
                  </w:pPr>
                  <w:r>
                    <w:rPr>
                      <w:sz w:val="21"/>
                      <w:szCs w:val="21"/>
                    </w:rPr>
                    <w:t>6～9</w:t>
                  </w:r>
                </w:p>
                <w:p w14:paraId="1C171D96">
                  <w:pPr>
                    <w:adjustRightInd w:val="0"/>
                    <w:snapToGrid w:val="0"/>
                    <w:jc w:val="center"/>
                    <w:rPr>
                      <w:b/>
                      <w:sz w:val="21"/>
                      <w:szCs w:val="21"/>
                    </w:rPr>
                  </w:pPr>
                  <w:r>
                    <w:rPr>
                      <w:rFonts w:hint="eastAsia"/>
                      <w:sz w:val="21"/>
                      <w:szCs w:val="21"/>
                    </w:rPr>
                    <w:t>（无量纲）</w:t>
                  </w:r>
                </w:p>
              </w:tc>
              <w:tc>
                <w:tcPr>
                  <w:tcW w:w="773" w:type="dxa"/>
                  <w:vAlign w:val="center"/>
                </w:tcPr>
                <w:p w14:paraId="2D5144C4">
                  <w:pPr>
                    <w:adjustRightInd w:val="0"/>
                    <w:snapToGrid w:val="0"/>
                    <w:jc w:val="center"/>
                    <w:rPr>
                      <w:bCs/>
                      <w:sz w:val="21"/>
                      <w:szCs w:val="21"/>
                    </w:rPr>
                  </w:pPr>
                  <w:r>
                    <w:rPr>
                      <w:rFonts w:hint="eastAsia"/>
                      <w:bCs/>
                      <w:sz w:val="21"/>
                      <w:szCs w:val="21"/>
                    </w:rPr>
                    <w:t>500</w:t>
                  </w:r>
                </w:p>
              </w:tc>
              <w:tc>
                <w:tcPr>
                  <w:tcW w:w="787" w:type="dxa"/>
                  <w:vAlign w:val="center"/>
                </w:tcPr>
                <w:p w14:paraId="693BE0FE">
                  <w:pPr>
                    <w:adjustRightInd w:val="0"/>
                    <w:snapToGrid w:val="0"/>
                    <w:jc w:val="center"/>
                    <w:rPr>
                      <w:bCs/>
                      <w:sz w:val="21"/>
                      <w:szCs w:val="21"/>
                    </w:rPr>
                  </w:pPr>
                  <w:r>
                    <w:rPr>
                      <w:rFonts w:hint="eastAsia"/>
                      <w:bCs/>
                      <w:sz w:val="21"/>
                      <w:szCs w:val="21"/>
                    </w:rPr>
                    <w:t>300</w:t>
                  </w:r>
                </w:p>
              </w:tc>
              <w:tc>
                <w:tcPr>
                  <w:tcW w:w="560" w:type="dxa"/>
                  <w:vAlign w:val="center"/>
                </w:tcPr>
                <w:p w14:paraId="06E807CB">
                  <w:pPr>
                    <w:adjustRightInd w:val="0"/>
                    <w:snapToGrid w:val="0"/>
                    <w:jc w:val="center"/>
                    <w:rPr>
                      <w:bCs/>
                      <w:sz w:val="21"/>
                      <w:szCs w:val="21"/>
                    </w:rPr>
                  </w:pPr>
                  <w:r>
                    <w:rPr>
                      <w:rFonts w:hint="eastAsia"/>
                      <w:bCs/>
                      <w:sz w:val="21"/>
                      <w:szCs w:val="21"/>
                    </w:rPr>
                    <w:t>400</w:t>
                  </w:r>
                </w:p>
              </w:tc>
              <w:tc>
                <w:tcPr>
                  <w:tcW w:w="827" w:type="dxa"/>
                  <w:vAlign w:val="center"/>
                </w:tcPr>
                <w:p w14:paraId="3145B91A">
                  <w:pPr>
                    <w:adjustRightInd w:val="0"/>
                    <w:snapToGrid w:val="0"/>
                    <w:jc w:val="center"/>
                    <w:rPr>
                      <w:bCs/>
                      <w:sz w:val="21"/>
                      <w:szCs w:val="21"/>
                    </w:rPr>
                  </w:pPr>
                  <w:r>
                    <w:rPr>
                      <w:rFonts w:hint="eastAsia"/>
                      <w:bCs/>
                      <w:sz w:val="21"/>
                      <w:szCs w:val="21"/>
                    </w:rPr>
                    <w:t>45</w:t>
                  </w:r>
                </w:p>
              </w:tc>
              <w:tc>
                <w:tcPr>
                  <w:tcW w:w="520" w:type="dxa"/>
                  <w:vAlign w:val="center"/>
                </w:tcPr>
                <w:p w14:paraId="6FE7F7EA">
                  <w:pPr>
                    <w:adjustRightInd w:val="0"/>
                    <w:snapToGrid w:val="0"/>
                    <w:jc w:val="center"/>
                    <w:rPr>
                      <w:bCs/>
                      <w:sz w:val="21"/>
                      <w:szCs w:val="21"/>
                    </w:rPr>
                  </w:pPr>
                  <w:r>
                    <w:rPr>
                      <w:rFonts w:hint="eastAsia"/>
                      <w:bCs/>
                      <w:sz w:val="21"/>
                      <w:szCs w:val="21"/>
                    </w:rPr>
                    <w:t>70</w:t>
                  </w:r>
                </w:p>
              </w:tc>
              <w:tc>
                <w:tcPr>
                  <w:tcW w:w="520" w:type="dxa"/>
                  <w:vAlign w:val="center"/>
                </w:tcPr>
                <w:p w14:paraId="723C0DB3">
                  <w:pPr>
                    <w:adjustRightInd w:val="0"/>
                    <w:snapToGrid w:val="0"/>
                    <w:jc w:val="center"/>
                    <w:rPr>
                      <w:bCs/>
                      <w:sz w:val="21"/>
                      <w:szCs w:val="21"/>
                    </w:rPr>
                  </w:pPr>
                  <w:r>
                    <w:rPr>
                      <w:rFonts w:hint="eastAsia"/>
                      <w:bCs/>
                      <w:sz w:val="21"/>
                      <w:szCs w:val="21"/>
                    </w:rPr>
                    <w:t>8</w:t>
                  </w:r>
                </w:p>
              </w:tc>
              <w:tc>
                <w:tcPr>
                  <w:tcW w:w="680" w:type="dxa"/>
                  <w:vAlign w:val="center"/>
                </w:tcPr>
                <w:p w14:paraId="00480BA2">
                  <w:pPr>
                    <w:adjustRightInd w:val="0"/>
                    <w:snapToGrid w:val="0"/>
                    <w:jc w:val="center"/>
                    <w:rPr>
                      <w:bCs/>
                      <w:sz w:val="21"/>
                      <w:szCs w:val="21"/>
                    </w:rPr>
                  </w:pPr>
                  <w:r>
                    <w:rPr>
                      <w:rFonts w:hint="eastAsia"/>
                      <w:bCs/>
                      <w:sz w:val="21"/>
                      <w:szCs w:val="21"/>
                    </w:rPr>
                    <w:t>20</w:t>
                  </w:r>
                </w:p>
              </w:tc>
              <w:tc>
                <w:tcPr>
                  <w:tcW w:w="493" w:type="dxa"/>
                  <w:vAlign w:val="center"/>
                </w:tcPr>
                <w:p w14:paraId="48A0A7B2">
                  <w:pPr>
                    <w:adjustRightInd w:val="0"/>
                    <w:snapToGrid w:val="0"/>
                    <w:jc w:val="center"/>
                    <w:rPr>
                      <w:bCs/>
                      <w:sz w:val="21"/>
                      <w:szCs w:val="21"/>
                    </w:rPr>
                  </w:pPr>
                  <w:r>
                    <w:rPr>
                      <w:rFonts w:hint="eastAsia"/>
                      <w:bCs/>
                      <w:sz w:val="21"/>
                      <w:szCs w:val="21"/>
                    </w:rPr>
                    <w:t>15</w:t>
                  </w:r>
                </w:p>
              </w:tc>
              <w:tc>
                <w:tcPr>
                  <w:tcW w:w="640" w:type="dxa"/>
                  <w:vAlign w:val="center"/>
                </w:tcPr>
                <w:p w14:paraId="3A62CF18">
                  <w:pPr>
                    <w:adjustRightInd w:val="0"/>
                    <w:snapToGrid w:val="0"/>
                    <w:jc w:val="center"/>
                    <w:rPr>
                      <w:bCs/>
                      <w:sz w:val="21"/>
                      <w:szCs w:val="21"/>
                    </w:rPr>
                  </w:pPr>
                  <w:r>
                    <w:rPr>
                      <w:rFonts w:hint="eastAsia"/>
                      <w:bCs/>
                      <w:sz w:val="21"/>
                      <w:szCs w:val="21"/>
                    </w:rPr>
                    <w:t>1500</w:t>
                  </w:r>
                </w:p>
              </w:tc>
            </w:tr>
          </w:tbl>
          <w:p w14:paraId="3616FC5A">
            <w:pPr>
              <w:spacing w:line="360" w:lineRule="auto"/>
              <w:ind w:firstLine="482" w:firstLineChars="200"/>
              <w:rPr>
                <w:b/>
                <w:bCs/>
                <w:kern w:val="0"/>
                <w:lang w:bidi="ar"/>
              </w:rPr>
            </w:pPr>
            <w:r>
              <w:rPr>
                <w:rFonts w:hint="eastAsia"/>
                <w:b/>
                <w:bCs/>
                <w:kern w:val="0"/>
                <w:lang w:bidi="ar"/>
              </w:rPr>
              <w:t>3、噪声</w:t>
            </w:r>
          </w:p>
          <w:p w14:paraId="035F89C7">
            <w:pPr>
              <w:spacing w:line="360" w:lineRule="auto"/>
              <w:ind w:firstLine="480" w:firstLineChars="200"/>
              <w:rPr>
                <w:kern w:val="0"/>
              </w:rPr>
            </w:pPr>
            <w:r>
              <w:rPr>
                <w:rFonts w:hint="eastAsia"/>
                <w:kern w:val="0"/>
              </w:rPr>
              <w:t>本项目施工期噪声排放执行《建筑施工场界环境噪声排放标准》（GB 12523-2011）；运营期噪声排放执行《工业企业厂界环境噪声排放标准》（GB 12348-2008）中2类标准和4类标准，详见表3-8。</w:t>
            </w:r>
          </w:p>
          <w:p w14:paraId="59B05A39">
            <w:pPr>
              <w:adjustRightInd w:val="0"/>
              <w:snapToGrid w:val="0"/>
              <w:jc w:val="center"/>
              <w:rPr>
                <w:bCs/>
              </w:rPr>
            </w:pPr>
            <w:r>
              <w:rPr>
                <w:b/>
                <w:bCs/>
                <w:sz w:val="21"/>
                <w:szCs w:val="18"/>
              </w:rPr>
              <w:t>表3-</w:t>
            </w:r>
            <w:r>
              <w:rPr>
                <w:rFonts w:hint="eastAsia"/>
                <w:b/>
                <w:bCs/>
                <w:sz w:val="21"/>
                <w:szCs w:val="18"/>
              </w:rPr>
              <w:t>8</w:t>
            </w:r>
            <w:r>
              <w:rPr>
                <w:b/>
                <w:bCs/>
                <w:sz w:val="21"/>
                <w:szCs w:val="18"/>
              </w:rPr>
              <w:t xml:space="preserve">  噪声排放标准限值一览表 单位：dB（A）</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1293"/>
              <w:gridCol w:w="807"/>
              <w:gridCol w:w="1428"/>
              <w:gridCol w:w="3633"/>
            </w:tblGrid>
            <w:tr w14:paraId="446B9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75" w:type="pct"/>
                  <w:gridSpan w:val="2"/>
                  <w:shd w:val="clear" w:color="auto" w:fill="auto"/>
                  <w:vAlign w:val="center"/>
                </w:tcPr>
                <w:p w14:paraId="62286F57">
                  <w:pPr>
                    <w:jc w:val="center"/>
                    <w:rPr>
                      <w:b/>
                      <w:bCs/>
                      <w:sz w:val="21"/>
                      <w:szCs w:val="18"/>
                    </w:rPr>
                  </w:pPr>
                  <w:r>
                    <w:rPr>
                      <w:rFonts w:hint="eastAsia"/>
                      <w:b/>
                      <w:bCs/>
                      <w:sz w:val="21"/>
                      <w:szCs w:val="18"/>
                    </w:rPr>
                    <w:t>时段</w:t>
                  </w:r>
                </w:p>
              </w:tc>
              <w:tc>
                <w:tcPr>
                  <w:tcW w:w="1380" w:type="pct"/>
                  <w:gridSpan w:val="2"/>
                  <w:shd w:val="clear" w:color="auto" w:fill="auto"/>
                  <w:vAlign w:val="center"/>
                </w:tcPr>
                <w:p w14:paraId="7867235C">
                  <w:pPr>
                    <w:jc w:val="center"/>
                    <w:rPr>
                      <w:b/>
                      <w:bCs/>
                      <w:sz w:val="21"/>
                      <w:szCs w:val="18"/>
                    </w:rPr>
                  </w:pPr>
                  <w:r>
                    <w:rPr>
                      <w:b/>
                      <w:bCs/>
                      <w:sz w:val="21"/>
                      <w:szCs w:val="18"/>
                    </w:rPr>
                    <w:t>标准限值</w:t>
                  </w:r>
                </w:p>
              </w:tc>
              <w:tc>
                <w:tcPr>
                  <w:tcW w:w="2243" w:type="pct"/>
                  <w:shd w:val="clear" w:color="auto" w:fill="auto"/>
                  <w:vAlign w:val="center"/>
                </w:tcPr>
                <w:p w14:paraId="0F3DDBCE">
                  <w:pPr>
                    <w:jc w:val="center"/>
                    <w:rPr>
                      <w:b/>
                      <w:bCs/>
                      <w:sz w:val="21"/>
                      <w:szCs w:val="18"/>
                    </w:rPr>
                  </w:pPr>
                  <w:r>
                    <w:rPr>
                      <w:b/>
                      <w:bCs/>
                      <w:sz w:val="21"/>
                      <w:szCs w:val="18"/>
                    </w:rPr>
                    <w:t>执行标准</w:t>
                  </w:r>
                </w:p>
              </w:tc>
            </w:tr>
            <w:tr w14:paraId="58BD0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75" w:type="pct"/>
                  <w:gridSpan w:val="2"/>
                  <w:vMerge w:val="restart"/>
                  <w:shd w:val="clear" w:color="auto" w:fill="auto"/>
                  <w:vAlign w:val="center"/>
                </w:tcPr>
                <w:p w14:paraId="109BDEA7">
                  <w:pPr>
                    <w:jc w:val="center"/>
                    <w:rPr>
                      <w:b/>
                      <w:bCs/>
                      <w:sz w:val="21"/>
                      <w:szCs w:val="18"/>
                    </w:rPr>
                  </w:pPr>
                  <w:r>
                    <w:rPr>
                      <w:rFonts w:hint="eastAsia"/>
                      <w:sz w:val="21"/>
                      <w:szCs w:val="18"/>
                    </w:rPr>
                    <w:t>施工期</w:t>
                  </w:r>
                </w:p>
              </w:tc>
              <w:tc>
                <w:tcPr>
                  <w:tcW w:w="498" w:type="pct"/>
                  <w:shd w:val="clear" w:color="auto" w:fill="auto"/>
                  <w:vAlign w:val="center"/>
                </w:tcPr>
                <w:p w14:paraId="2F3D9263">
                  <w:pPr>
                    <w:jc w:val="center"/>
                    <w:rPr>
                      <w:sz w:val="21"/>
                      <w:szCs w:val="18"/>
                    </w:rPr>
                  </w:pPr>
                  <w:r>
                    <w:rPr>
                      <w:sz w:val="21"/>
                      <w:szCs w:val="18"/>
                    </w:rPr>
                    <w:t>昼间</w:t>
                  </w:r>
                </w:p>
              </w:tc>
              <w:tc>
                <w:tcPr>
                  <w:tcW w:w="881" w:type="pct"/>
                  <w:shd w:val="clear" w:color="auto" w:fill="auto"/>
                  <w:vAlign w:val="center"/>
                </w:tcPr>
                <w:p w14:paraId="32EAEC47">
                  <w:pPr>
                    <w:jc w:val="center"/>
                    <w:rPr>
                      <w:sz w:val="21"/>
                      <w:szCs w:val="18"/>
                    </w:rPr>
                  </w:pPr>
                  <w:r>
                    <w:rPr>
                      <w:sz w:val="21"/>
                      <w:szCs w:val="18"/>
                    </w:rPr>
                    <w:t>≤70dB（A）</w:t>
                  </w:r>
                </w:p>
              </w:tc>
              <w:tc>
                <w:tcPr>
                  <w:tcW w:w="2243" w:type="pct"/>
                  <w:vMerge w:val="restart"/>
                  <w:shd w:val="clear" w:color="auto" w:fill="auto"/>
                  <w:vAlign w:val="center"/>
                </w:tcPr>
                <w:p w14:paraId="197F4841">
                  <w:pPr>
                    <w:jc w:val="center"/>
                    <w:rPr>
                      <w:b/>
                      <w:bCs/>
                      <w:sz w:val="21"/>
                      <w:szCs w:val="18"/>
                    </w:rPr>
                  </w:pPr>
                  <w:r>
                    <w:rPr>
                      <w:sz w:val="21"/>
                      <w:szCs w:val="18"/>
                    </w:rPr>
                    <w:t>《建筑施工场界环境噪声排放标准》（GB</w:t>
                  </w:r>
                  <w:r>
                    <w:rPr>
                      <w:rFonts w:hint="eastAsia"/>
                      <w:sz w:val="21"/>
                      <w:szCs w:val="18"/>
                    </w:rPr>
                    <w:t xml:space="preserve"> </w:t>
                  </w:r>
                  <w:r>
                    <w:rPr>
                      <w:sz w:val="21"/>
                      <w:szCs w:val="18"/>
                    </w:rPr>
                    <w:t>12523-2011）</w:t>
                  </w:r>
                </w:p>
              </w:tc>
            </w:tr>
            <w:tr w14:paraId="0331C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75" w:type="pct"/>
                  <w:gridSpan w:val="2"/>
                  <w:vMerge w:val="continue"/>
                  <w:shd w:val="clear" w:color="auto" w:fill="auto"/>
                  <w:vAlign w:val="center"/>
                </w:tcPr>
                <w:p w14:paraId="4583C1EF">
                  <w:pPr>
                    <w:adjustRightInd w:val="0"/>
                    <w:snapToGrid w:val="0"/>
                    <w:jc w:val="center"/>
                    <w:rPr>
                      <w:b/>
                      <w:bCs/>
                      <w:sz w:val="21"/>
                      <w:szCs w:val="18"/>
                    </w:rPr>
                  </w:pPr>
                </w:p>
              </w:tc>
              <w:tc>
                <w:tcPr>
                  <w:tcW w:w="498" w:type="pct"/>
                  <w:shd w:val="clear" w:color="auto" w:fill="auto"/>
                  <w:vAlign w:val="center"/>
                </w:tcPr>
                <w:p w14:paraId="3045BD4F">
                  <w:pPr>
                    <w:adjustRightInd w:val="0"/>
                    <w:snapToGrid w:val="0"/>
                    <w:jc w:val="center"/>
                    <w:rPr>
                      <w:sz w:val="21"/>
                      <w:szCs w:val="18"/>
                    </w:rPr>
                  </w:pPr>
                  <w:r>
                    <w:rPr>
                      <w:sz w:val="21"/>
                      <w:szCs w:val="18"/>
                    </w:rPr>
                    <w:t>夜间</w:t>
                  </w:r>
                </w:p>
              </w:tc>
              <w:tc>
                <w:tcPr>
                  <w:tcW w:w="881" w:type="pct"/>
                  <w:shd w:val="clear" w:color="auto" w:fill="auto"/>
                  <w:vAlign w:val="center"/>
                </w:tcPr>
                <w:p w14:paraId="408A84FE">
                  <w:pPr>
                    <w:adjustRightInd w:val="0"/>
                    <w:snapToGrid w:val="0"/>
                    <w:jc w:val="center"/>
                    <w:rPr>
                      <w:sz w:val="21"/>
                      <w:szCs w:val="18"/>
                    </w:rPr>
                  </w:pPr>
                  <w:r>
                    <w:rPr>
                      <w:sz w:val="21"/>
                      <w:szCs w:val="18"/>
                    </w:rPr>
                    <w:t>≤55dB（A）</w:t>
                  </w:r>
                </w:p>
              </w:tc>
              <w:tc>
                <w:tcPr>
                  <w:tcW w:w="2243" w:type="pct"/>
                  <w:vMerge w:val="continue"/>
                  <w:shd w:val="clear" w:color="auto" w:fill="auto"/>
                  <w:vAlign w:val="center"/>
                </w:tcPr>
                <w:p w14:paraId="33BFF350">
                  <w:pPr>
                    <w:adjustRightInd w:val="0"/>
                    <w:snapToGrid w:val="0"/>
                    <w:jc w:val="center"/>
                    <w:rPr>
                      <w:b/>
                      <w:bCs/>
                      <w:sz w:val="21"/>
                      <w:szCs w:val="18"/>
                    </w:rPr>
                  </w:pPr>
                </w:p>
              </w:tc>
            </w:tr>
            <w:tr w14:paraId="5A99F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7" w:type="pct"/>
                  <w:vMerge w:val="restart"/>
                  <w:shd w:val="clear" w:color="auto" w:fill="auto"/>
                  <w:vAlign w:val="center"/>
                </w:tcPr>
                <w:p w14:paraId="01B2B5C3">
                  <w:pPr>
                    <w:jc w:val="center"/>
                    <w:rPr>
                      <w:sz w:val="21"/>
                      <w:szCs w:val="18"/>
                    </w:rPr>
                  </w:pPr>
                  <w:r>
                    <w:rPr>
                      <w:rFonts w:hint="eastAsia"/>
                      <w:sz w:val="21"/>
                      <w:szCs w:val="18"/>
                    </w:rPr>
                    <w:t>运营期</w:t>
                  </w:r>
                </w:p>
              </w:tc>
              <w:tc>
                <w:tcPr>
                  <w:tcW w:w="798" w:type="pct"/>
                  <w:vMerge w:val="restart"/>
                  <w:shd w:val="clear" w:color="auto" w:fill="auto"/>
                  <w:vAlign w:val="center"/>
                </w:tcPr>
                <w:p w14:paraId="49B90E2D">
                  <w:pPr>
                    <w:jc w:val="center"/>
                    <w:rPr>
                      <w:sz w:val="21"/>
                      <w:szCs w:val="18"/>
                    </w:rPr>
                  </w:pPr>
                  <w:r>
                    <w:rPr>
                      <w:rFonts w:hint="eastAsia"/>
                      <w:sz w:val="21"/>
                      <w:szCs w:val="18"/>
                    </w:rPr>
                    <w:t>东、西、北厂界</w:t>
                  </w:r>
                </w:p>
              </w:tc>
              <w:tc>
                <w:tcPr>
                  <w:tcW w:w="498" w:type="pct"/>
                  <w:shd w:val="clear" w:color="auto" w:fill="auto"/>
                  <w:vAlign w:val="center"/>
                </w:tcPr>
                <w:p w14:paraId="00500321">
                  <w:pPr>
                    <w:jc w:val="center"/>
                    <w:rPr>
                      <w:sz w:val="21"/>
                      <w:szCs w:val="18"/>
                    </w:rPr>
                  </w:pPr>
                  <w:r>
                    <w:rPr>
                      <w:sz w:val="21"/>
                      <w:szCs w:val="18"/>
                    </w:rPr>
                    <w:t>昼间</w:t>
                  </w:r>
                </w:p>
              </w:tc>
              <w:tc>
                <w:tcPr>
                  <w:tcW w:w="881" w:type="pct"/>
                  <w:shd w:val="clear" w:color="auto" w:fill="auto"/>
                  <w:vAlign w:val="center"/>
                </w:tcPr>
                <w:p w14:paraId="42F0DEEE">
                  <w:pPr>
                    <w:jc w:val="center"/>
                    <w:rPr>
                      <w:sz w:val="21"/>
                      <w:szCs w:val="18"/>
                    </w:rPr>
                  </w:pPr>
                  <w:r>
                    <w:rPr>
                      <w:sz w:val="21"/>
                      <w:szCs w:val="18"/>
                    </w:rPr>
                    <w:t>≤6</w:t>
                  </w:r>
                  <w:r>
                    <w:rPr>
                      <w:rFonts w:hint="eastAsia"/>
                      <w:sz w:val="21"/>
                      <w:szCs w:val="18"/>
                    </w:rPr>
                    <w:t>0</w:t>
                  </w:r>
                  <w:r>
                    <w:rPr>
                      <w:sz w:val="21"/>
                      <w:szCs w:val="18"/>
                    </w:rPr>
                    <w:t>dB（A）</w:t>
                  </w:r>
                </w:p>
              </w:tc>
              <w:tc>
                <w:tcPr>
                  <w:tcW w:w="2243" w:type="pct"/>
                  <w:vMerge w:val="restart"/>
                  <w:shd w:val="clear" w:color="auto" w:fill="auto"/>
                  <w:vAlign w:val="center"/>
                </w:tcPr>
                <w:p w14:paraId="2390B862">
                  <w:pPr>
                    <w:jc w:val="center"/>
                    <w:rPr>
                      <w:sz w:val="21"/>
                      <w:szCs w:val="18"/>
                    </w:rPr>
                  </w:pPr>
                  <w:r>
                    <w:rPr>
                      <w:sz w:val="21"/>
                      <w:szCs w:val="18"/>
                    </w:rPr>
                    <w:t>《工业企业厂界环境噪声排放标准》（GB</w:t>
                  </w:r>
                  <w:r>
                    <w:rPr>
                      <w:rFonts w:hint="eastAsia"/>
                      <w:sz w:val="21"/>
                      <w:szCs w:val="18"/>
                    </w:rPr>
                    <w:t xml:space="preserve"> </w:t>
                  </w:r>
                  <w:r>
                    <w:rPr>
                      <w:sz w:val="21"/>
                      <w:szCs w:val="18"/>
                    </w:rPr>
                    <w:t>12348-2008）</w:t>
                  </w:r>
                  <w:r>
                    <w:rPr>
                      <w:rFonts w:hint="eastAsia"/>
                      <w:sz w:val="21"/>
                      <w:szCs w:val="18"/>
                    </w:rPr>
                    <w:t>2</w:t>
                  </w:r>
                  <w:r>
                    <w:rPr>
                      <w:sz w:val="21"/>
                      <w:szCs w:val="18"/>
                    </w:rPr>
                    <w:t>类标准</w:t>
                  </w:r>
                </w:p>
              </w:tc>
            </w:tr>
            <w:tr w14:paraId="0A890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7" w:type="pct"/>
                  <w:vMerge w:val="continue"/>
                  <w:shd w:val="clear" w:color="auto" w:fill="auto"/>
                  <w:vAlign w:val="center"/>
                </w:tcPr>
                <w:p w14:paraId="527679FA">
                  <w:pPr>
                    <w:jc w:val="center"/>
                    <w:rPr>
                      <w:sz w:val="21"/>
                      <w:szCs w:val="18"/>
                    </w:rPr>
                  </w:pPr>
                </w:p>
              </w:tc>
              <w:tc>
                <w:tcPr>
                  <w:tcW w:w="798" w:type="pct"/>
                  <w:vMerge w:val="continue"/>
                  <w:shd w:val="clear" w:color="auto" w:fill="auto"/>
                  <w:vAlign w:val="center"/>
                </w:tcPr>
                <w:p w14:paraId="64192F57">
                  <w:pPr>
                    <w:jc w:val="center"/>
                    <w:rPr>
                      <w:sz w:val="21"/>
                      <w:szCs w:val="18"/>
                    </w:rPr>
                  </w:pPr>
                </w:p>
              </w:tc>
              <w:tc>
                <w:tcPr>
                  <w:tcW w:w="498" w:type="pct"/>
                  <w:shd w:val="clear" w:color="auto" w:fill="auto"/>
                  <w:vAlign w:val="center"/>
                </w:tcPr>
                <w:p w14:paraId="2E6FEEB7">
                  <w:pPr>
                    <w:adjustRightInd w:val="0"/>
                    <w:snapToGrid w:val="0"/>
                    <w:jc w:val="center"/>
                    <w:rPr>
                      <w:sz w:val="21"/>
                      <w:szCs w:val="18"/>
                    </w:rPr>
                  </w:pPr>
                  <w:r>
                    <w:rPr>
                      <w:sz w:val="21"/>
                      <w:szCs w:val="18"/>
                    </w:rPr>
                    <w:t>夜间</w:t>
                  </w:r>
                </w:p>
              </w:tc>
              <w:tc>
                <w:tcPr>
                  <w:tcW w:w="881" w:type="pct"/>
                  <w:shd w:val="clear" w:color="auto" w:fill="auto"/>
                  <w:vAlign w:val="center"/>
                </w:tcPr>
                <w:p w14:paraId="498DDDCD">
                  <w:pPr>
                    <w:adjustRightInd w:val="0"/>
                    <w:snapToGrid w:val="0"/>
                    <w:jc w:val="center"/>
                    <w:rPr>
                      <w:sz w:val="21"/>
                      <w:szCs w:val="18"/>
                    </w:rPr>
                  </w:pPr>
                  <w:r>
                    <w:rPr>
                      <w:sz w:val="21"/>
                      <w:szCs w:val="18"/>
                    </w:rPr>
                    <w:t>≤5</w:t>
                  </w:r>
                  <w:r>
                    <w:rPr>
                      <w:rFonts w:hint="eastAsia"/>
                      <w:sz w:val="21"/>
                      <w:szCs w:val="18"/>
                    </w:rPr>
                    <w:t>0</w:t>
                  </w:r>
                  <w:r>
                    <w:rPr>
                      <w:sz w:val="21"/>
                      <w:szCs w:val="18"/>
                    </w:rPr>
                    <w:t>dB（A）</w:t>
                  </w:r>
                </w:p>
              </w:tc>
              <w:tc>
                <w:tcPr>
                  <w:tcW w:w="2243" w:type="pct"/>
                  <w:vMerge w:val="continue"/>
                  <w:shd w:val="clear" w:color="auto" w:fill="auto"/>
                  <w:vAlign w:val="center"/>
                </w:tcPr>
                <w:p w14:paraId="666CF56F">
                  <w:pPr>
                    <w:jc w:val="center"/>
                    <w:rPr>
                      <w:sz w:val="21"/>
                      <w:szCs w:val="18"/>
                    </w:rPr>
                  </w:pPr>
                </w:p>
              </w:tc>
            </w:tr>
            <w:tr w14:paraId="3A9CB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7" w:type="pct"/>
                  <w:vMerge w:val="continue"/>
                  <w:shd w:val="clear" w:color="auto" w:fill="auto"/>
                  <w:vAlign w:val="center"/>
                </w:tcPr>
                <w:p w14:paraId="37DB183B">
                  <w:pPr>
                    <w:jc w:val="center"/>
                    <w:rPr>
                      <w:sz w:val="21"/>
                      <w:szCs w:val="18"/>
                    </w:rPr>
                  </w:pPr>
                </w:p>
              </w:tc>
              <w:tc>
                <w:tcPr>
                  <w:tcW w:w="798" w:type="pct"/>
                  <w:vMerge w:val="restart"/>
                  <w:shd w:val="clear" w:color="auto" w:fill="auto"/>
                  <w:vAlign w:val="center"/>
                </w:tcPr>
                <w:p w14:paraId="1092DB6F">
                  <w:pPr>
                    <w:jc w:val="center"/>
                    <w:rPr>
                      <w:sz w:val="21"/>
                      <w:szCs w:val="18"/>
                    </w:rPr>
                  </w:pPr>
                  <w:r>
                    <w:rPr>
                      <w:rFonts w:hint="eastAsia"/>
                      <w:sz w:val="21"/>
                      <w:szCs w:val="18"/>
                    </w:rPr>
                    <w:t>南厂界</w:t>
                  </w:r>
                </w:p>
              </w:tc>
              <w:tc>
                <w:tcPr>
                  <w:tcW w:w="498" w:type="pct"/>
                  <w:shd w:val="clear" w:color="auto" w:fill="auto"/>
                  <w:vAlign w:val="center"/>
                </w:tcPr>
                <w:p w14:paraId="0E2A0155">
                  <w:pPr>
                    <w:jc w:val="center"/>
                    <w:rPr>
                      <w:sz w:val="21"/>
                      <w:szCs w:val="18"/>
                    </w:rPr>
                  </w:pPr>
                  <w:r>
                    <w:rPr>
                      <w:sz w:val="21"/>
                      <w:szCs w:val="18"/>
                    </w:rPr>
                    <w:t>昼间</w:t>
                  </w:r>
                </w:p>
              </w:tc>
              <w:tc>
                <w:tcPr>
                  <w:tcW w:w="881" w:type="pct"/>
                  <w:shd w:val="clear" w:color="auto" w:fill="auto"/>
                  <w:vAlign w:val="center"/>
                </w:tcPr>
                <w:p w14:paraId="1254C1A9">
                  <w:pPr>
                    <w:jc w:val="center"/>
                    <w:rPr>
                      <w:sz w:val="21"/>
                      <w:szCs w:val="18"/>
                    </w:rPr>
                  </w:pPr>
                  <w:r>
                    <w:rPr>
                      <w:sz w:val="21"/>
                      <w:szCs w:val="18"/>
                    </w:rPr>
                    <w:t>≤</w:t>
                  </w:r>
                  <w:r>
                    <w:rPr>
                      <w:rFonts w:hint="eastAsia"/>
                      <w:sz w:val="21"/>
                      <w:szCs w:val="18"/>
                    </w:rPr>
                    <w:t>70</w:t>
                  </w:r>
                  <w:r>
                    <w:rPr>
                      <w:sz w:val="21"/>
                      <w:szCs w:val="18"/>
                    </w:rPr>
                    <w:t>dB（A）</w:t>
                  </w:r>
                </w:p>
              </w:tc>
              <w:tc>
                <w:tcPr>
                  <w:tcW w:w="2243" w:type="pct"/>
                  <w:vMerge w:val="restart"/>
                  <w:shd w:val="clear" w:color="auto" w:fill="auto"/>
                  <w:vAlign w:val="center"/>
                </w:tcPr>
                <w:p w14:paraId="086088EE">
                  <w:pPr>
                    <w:jc w:val="center"/>
                    <w:rPr>
                      <w:sz w:val="21"/>
                      <w:szCs w:val="18"/>
                    </w:rPr>
                  </w:pPr>
                  <w:r>
                    <w:rPr>
                      <w:sz w:val="21"/>
                      <w:szCs w:val="18"/>
                    </w:rPr>
                    <w:t>《工业企业厂界环境噪声排放标准》（GB</w:t>
                  </w:r>
                  <w:r>
                    <w:rPr>
                      <w:rFonts w:hint="eastAsia"/>
                      <w:sz w:val="21"/>
                      <w:szCs w:val="18"/>
                    </w:rPr>
                    <w:t xml:space="preserve"> </w:t>
                  </w:r>
                  <w:r>
                    <w:rPr>
                      <w:sz w:val="21"/>
                      <w:szCs w:val="18"/>
                    </w:rPr>
                    <w:t>12348-2008）</w:t>
                  </w:r>
                  <w:r>
                    <w:rPr>
                      <w:rFonts w:hint="eastAsia"/>
                      <w:sz w:val="21"/>
                      <w:szCs w:val="18"/>
                    </w:rPr>
                    <w:t>4</w:t>
                  </w:r>
                  <w:r>
                    <w:rPr>
                      <w:sz w:val="21"/>
                      <w:szCs w:val="18"/>
                    </w:rPr>
                    <w:t>类标准</w:t>
                  </w:r>
                </w:p>
              </w:tc>
            </w:tr>
            <w:tr w14:paraId="287AE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7" w:type="pct"/>
                  <w:vMerge w:val="continue"/>
                  <w:shd w:val="clear" w:color="auto" w:fill="auto"/>
                  <w:vAlign w:val="center"/>
                </w:tcPr>
                <w:p w14:paraId="380351CA">
                  <w:pPr>
                    <w:adjustRightInd w:val="0"/>
                    <w:snapToGrid w:val="0"/>
                    <w:jc w:val="center"/>
                    <w:rPr>
                      <w:sz w:val="21"/>
                      <w:szCs w:val="18"/>
                    </w:rPr>
                  </w:pPr>
                </w:p>
              </w:tc>
              <w:tc>
                <w:tcPr>
                  <w:tcW w:w="798" w:type="pct"/>
                  <w:vMerge w:val="continue"/>
                  <w:shd w:val="clear" w:color="auto" w:fill="auto"/>
                  <w:vAlign w:val="center"/>
                </w:tcPr>
                <w:p w14:paraId="7A7BBD2C">
                  <w:pPr>
                    <w:adjustRightInd w:val="0"/>
                    <w:snapToGrid w:val="0"/>
                    <w:jc w:val="center"/>
                    <w:rPr>
                      <w:sz w:val="21"/>
                      <w:szCs w:val="18"/>
                    </w:rPr>
                  </w:pPr>
                </w:p>
              </w:tc>
              <w:tc>
                <w:tcPr>
                  <w:tcW w:w="498" w:type="pct"/>
                  <w:shd w:val="clear" w:color="auto" w:fill="auto"/>
                  <w:vAlign w:val="center"/>
                </w:tcPr>
                <w:p w14:paraId="42B7B153">
                  <w:pPr>
                    <w:adjustRightInd w:val="0"/>
                    <w:snapToGrid w:val="0"/>
                    <w:jc w:val="center"/>
                    <w:rPr>
                      <w:sz w:val="21"/>
                      <w:szCs w:val="18"/>
                    </w:rPr>
                  </w:pPr>
                  <w:r>
                    <w:rPr>
                      <w:sz w:val="21"/>
                      <w:szCs w:val="18"/>
                    </w:rPr>
                    <w:t>夜间</w:t>
                  </w:r>
                </w:p>
              </w:tc>
              <w:tc>
                <w:tcPr>
                  <w:tcW w:w="881" w:type="pct"/>
                  <w:shd w:val="clear" w:color="auto" w:fill="auto"/>
                  <w:vAlign w:val="center"/>
                </w:tcPr>
                <w:p w14:paraId="4596BD76">
                  <w:pPr>
                    <w:adjustRightInd w:val="0"/>
                    <w:snapToGrid w:val="0"/>
                    <w:jc w:val="center"/>
                    <w:rPr>
                      <w:sz w:val="21"/>
                      <w:szCs w:val="18"/>
                    </w:rPr>
                  </w:pPr>
                  <w:r>
                    <w:rPr>
                      <w:sz w:val="21"/>
                      <w:szCs w:val="18"/>
                    </w:rPr>
                    <w:t>≤5</w:t>
                  </w:r>
                  <w:r>
                    <w:rPr>
                      <w:rFonts w:hint="eastAsia"/>
                      <w:sz w:val="21"/>
                      <w:szCs w:val="18"/>
                    </w:rPr>
                    <w:t>5</w:t>
                  </w:r>
                  <w:r>
                    <w:rPr>
                      <w:sz w:val="21"/>
                      <w:szCs w:val="18"/>
                    </w:rPr>
                    <w:t>dB（A）</w:t>
                  </w:r>
                </w:p>
              </w:tc>
              <w:tc>
                <w:tcPr>
                  <w:tcW w:w="2243" w:type="pct"/>
                  <w:vMerge w:val="continue"/>
                  <w:shd w:val="clear" w:color="auto" w:fill="auto"/>
                  <w:vAlign w:val="center"/>
                </w:tcPr>
                <w:p w14:paraId="1AEA121C">
                  <w:pPr>
                    <w:adjustRightInd w:val="0"/>
                    <w:snapToGrid w:val="0"/>
                    <w:jc w:val="center"/>
                    <w:rPr>
                      <w:sz w:val="21"/>
                      <w:szCs w:val="18"/>
                    </w:rPr>
                  </w:pPr>
                </w:p>
              </w:tc>
            </w:tr>
          </w:tbl>
          <w:p w14:paraId="3B5676A7">
            <w:pPr>
              <w:spacing w:line="360" w:lineRule="auto"/>
              <w:ind w:firstLine="482" w:firstLineChars="200"/>
              <w:rPr>
                <w:b/>
                <w:bCs/>
                <w:kern w:val="0"/>
                <w:lang w:bidi="ar"/>
              </w:rPr>
            </w:pPr>
            <w:r>
              <w:rPr>
                <w:rFonts w:hint="eastAsia"/>
                <w:b/>
                <w:bCs/>
                <w:kern w:val="0"/>
                <w:lang w:bidi="ar"/>
              </w:rPr>
              <w:t>4、固废</w:t>
            </w:r>
          </w:p>
          <w:p w14:paraId="3D443461">
            <w:pPr>
              <w:spacing w:line="360" w:lineRule="auto"/>
              <w:ind w:firstLine="480" w:firstLineChars="200"/>
            </w:pPr>
            <w:r>
              <w:rPr>
                <w:rFonts w:hint="eastAsia"/>
                <w:kern w:val="0"/>
              </w:rPr>
              <w:t>一般固体废物执行《一般工业固体废物贮存和填埋污染控制标准》（GB 18599-2020），危险废物执行《危险废物贮存污染控制标准》（GB 18597-2023）中有关要求。</w:t>
            </w:r>
          </w:p>
        </w:tc>
      </w:tr>
      <w:tr w14:paraId="2A2DF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2" w:hRule="atLeast"/>
          <w:jc w:val="center"/>
        </w:trPr>
        <w:tc>
          <w:tcPr>
            <w:tcW w:w="405" w:type="pct"/>
            <w:vAlign w:val="center"/>
          </w:tcPr>
          <w:p w14:paraId="60656AE4">
            <w:pPr>
              <w:adjustRightInd w:val="0"/>
              <w:snapToGrid w:val="0"/>
              <w:jc w:val="center"/>
            </w:pPr>
            <w:r>
              <w:t>总量控制指标</w:t>
            </w:r>
          </w:p>
        </w:tc>
        <w:tc>
          <w:tcPr>
            <w:tcW w:w="4594" w:type="pct"/>
            <w:vAlign w:val="center"/>
          </w:tcPr>
          <w:p w14:paraId="70D486E8">
            <w:pPr>
              <w:spacing w:line="360" w:lineRule="auto"/>
              <w:ind w:firstLine="480" w:firstLineChars="200"/>
              <w:rPr>
                <w:bCs/>
              </w:rPr>
            </w:pPr>
            <w:r>
              <w:rPr>
                <w:rFonts w:hint="eastAsia"/>
                <w:bCs/>
              </w:rPr>
              <w:t>根据《国家环境保护“十四五”规划基本思路》：根据质量改善需求，继续实施全国NOx、VOCs、COD、氨氮排放总量控制指标，进一步完善总量控制指标体系。</w:t>
            </w:r>
          </w:p>
          <w:p w14:paraId="3F65DEBF">
            <w:pPr>
              <w:spacing w:line="360" w:lineRule="auto"/>
              <w:ind w:firstLine="480" w:firstLineChars="200"/>
            </w:pPr>
            <w:r>
              <w:rPr>
                <w:rFonts w:hint="eastAsia"/>
                <w:szCs w:val="32"/>
              </w:rPr>
              <w:t>本项目实验器皿清洗废水（不含一次清洗废水）和剩余一般水样经4楼实验室水池下方排水管道收集，排入3楼污水处理间自建废水处理设备（酸碱中和，1t/d），经处理后排入园区化粪池；喷淋塔排水采用专用桶收集后转入废水处理设备，经处理后排入园区化粪池；生活污水和其他废水（地面清洁废水、职工工作服清洗废水、超纯水制备排放浓水）排入园区化粪池处理，最终经市政污水管网排入西安净水处理有限责任公司第六再生水厂。</w:t>
            </w:r>
          </w:p>
          <w:p w14:paraId="5A9355E8">
            <w:pPr>
              <w:spacing w:line="360" w:lineRule="auto"/>
              <w:ind w:firstLine="480" w:firstLineChars="200"/>
              <w:rPr>
                <w:kern w:val="21"/>
              </w:rPr>
            </w:pPr>
            <w:r>
              <w:t>结合本项目的排污情况，本次评价建议总量控制指标为：</w:t>
            </w:r>
            <w:r>
              <w:rPr>
                <w:rFonts w:hint="eastAsia"/>
                <w:color w:val="FF0000"/>
              </w:rPr>
              <w:t>NOx：0.0</w:t>
            </w:r>
            <w:r>
              <w:rPr>
                <w:rFonts w:hint="eastAsia"/>
                <w:color w:val="FF0000"/>
                <w:lang w:val="en-US" w:eastAsia="zh-CN"/>
              </w:rPr>
              <w:t>027</w:t>
            </w:r>
            <w:r>
              <w:rPr>
                <w:rFonts w:hint="eastAsia"/>
                <w:color w:val="FF0000"/>
              </w:rPr>
              <w:t>t/a，</w:t>
            </w:r>
            <w:r>
              <w:rPr>
                <w:color w:val="FF0000"/>
              </w:rPr>
              <w:t>VOC</w:t>
            </w:r>
            <w:r>
              <w:rPr>
                <w:color w:val="FF0000"/>
                <w:vertAlign w:val="subscript"/>
              </w:rPr>
              <w:t>s</w:t>
            </w:r>
            <w:r>
              <w:rPr>
                <w:color w:val="FF0000"/>
              </w:rPr>
              <w:t>：</w:t>
            </w:r>
            <w:r>
              <w:rPr>
                <w:rFonts w:hint="eastAsia"/>
                <w:color w:val="FF0000"/>
                <w:szCs w:val="21"/>
              </w:rPr>
              <w:t>0.0</w:t>
            </w:r>
            <w:r>
              <w:rPr>
                <w:rFonts w:hint="eastAsia"/>
                <w:color w:val="FF0000"/>
                <w:szCs w:val="21"/>
                <w:lang w:val="en-US" w:eastAsia="zh-CN"/>
              </w:rPr>
              <w:t>5778</w:t>
            </w:r>
            <w:r>
              <w:rPr>
                <w:color w:val="FF0000"/>
              </w:rPr>
              <w:t>t/a、COD：0.</w:t>
            </w:r>
            <w:r>
              <w:rPr>
                <w:rFonts w:hint="eastAsia"/>
                <w:color w:val="FF0000"/>
                <w:lang w:val="en-US" w:eastAsia="zh-CN"/>
              </w:rPr>
              <w:t>20</w:t>
            </w:r>
            <w:r>
              <w:rPr>
                <w:color w:val="FF0000"/>
              </w:rPr>
              <w:t>t/a、NH</w:t>
            </w:r>
            <w:r>
              <w:rPr>
                <w:color w:val="FF0000"/>
                <w:vertAlign w:val="subscript"/>
              </w:rPr>
              <w:t>3</w:t>
            </w:r>
            <w:r>
              <w:rPr>
                <w:color w:val="FF0000"/>
              </w:rPr>
              <w:t>-N：0.0</w:t>
            </w:r>
            <w:r>
              <w:rPr>
                <w:rFonts w:hint="eastAsia"/>
                <w:color w:val="FF0000"/>
                <w:lang w:val="en-US" w:eastAsia="zh-CN"/>
              </w:rPr>
              <w:t>32</w:t>
            </w:r>
            <w:r>
              <w:rPr>
                <w:color w:val="FF0000"/>
              </w:rPr>
              <w:t>t/a</w:t>
            </w:r>
            <w:r>
              <w:rPr>
                <w:color w:val="000000" w:themeColor="text1"/>
                <w14:textFill>
                  <w14:solidFill>
                    <w14:schemeClr w14:val="tx1"/>
                  </w14:solidFill>
                </w14:textFill>
              </w:rPr>
              <w:t>。</w:t>
            </w:r>
          </w:p>
        </w:tc>
      </w:tr>
    </w:tbl>
    <w:p w14:paraId="7F343E65">
      <w:pPr>
        <w:rPr>
          <w:b/>
          <w:bCs/>
          <w:sz w:val="28"/>
          <w:szCs w:val="28"/>
        </w:rPr>
        <w:sectPr>
          <w:pgSz w:w="11906" w:h="16838"/>
          <w:pgMar w:top="1701" w:right="1531" w:bottom="1701" w:left="1531" w:header="851" w:footer="992" w:gutter="0"/>
          <w:cols w:space="425" w:num="1"/>
          <w:docGrid w:type="lines" w:linePitch="312" w:charSpace="0"/>
        </w:sectPr>
      </w:pPr>
    </w:p>
    <w:p w14:paraId="7B0DB3A0">
      <w:pPr>
        <w:pStyle w:val="18"/>
        <w:jc w:val="center"/>
        <w:outlineLvl w:val="0"/>
        <w:rPr>
          <w:rFonts w:ascii="黑体" w:hAnsi="黑体" w:eastAsia="黑体" w:cs="Times New Roman"/>
          <w:snapToGrid w:val="0"/>
          <w:kern w:val="0"/>
          <w:sz w:val="30"/>
          <w:szCs w:val="30"/>
        </w:rPr>
      </w:pPr>
      <w:bookmarkStart w:id="5" w:name="_Toc4888"/>
      <w:r>
        <w:rPr>
          <w:rFonts w:hint="eastAsia" w:ascii="黑体" w:hAnsi="黑体" w:eastAsia="黑体" w:cs="Times New Roman"/>
          <w:snapToGrid w:val="0"/>
          <w:kern w:val="0"/>
          <w:sz w:val="30"/>
          <w:szCs w:val="30"/>
        </w:rPr>
        <w:t>四、主要环境影响和保护措施</w:t>
      </w:r>
      <w:bookmarkEnd w:id="5"/>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8317"/>
      </w:tblGrid>
      <w:tr w14:paraId="777F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91" w:hRule="atLeast"/>
          <w:jc w:val="center"/>
        </w:trPr>
        <w:tc>
          <w:tcPr>
            <w:tcW w:w="410" w:type="pct"/>
            <w:vAlign w:val="center"/>
          </w:tcPr>
          <w:p w14:paraId="542D7221">
            <w:pPr>
              <w:pStyle w:val="18"/>
              <w:adjustRightInd w:val="0"/>
              <w:snapToGrid w:val="0"/>
              <w:spacing w:before="0" w:beforeAutospacing="0" w:after="0" w:afterAutospacing="0"/>
              <w:jc w:val="center"/>
              <w:rPr>
                <w:bCs/>
              </w:rPr>
            </w:pPr>
            <w:r>
              <w:rPr>
                <w:rFonts w:ascii="Times New Roman" w:hAnsi="Times New Roman" w:eastAsia="宋体" w:cs="Times New Roman"/>
                <w:szCs w:val="24"/>
              </w:rPr>
              <w:t>施工期环境保护措施</w:t>
            </w:r>
          </w:p>
        </w:tc>
        <w:tc>
          <w:tcPr>
            <w:tcW w:w="4589" w:type="pct"/>
            <w:vAlign w:val="center"/>
          </w:tcPr>
          <w:p w14:paraId="2FF48F6E">
            <w:pPr>
              <w:spacing w:line="360" w:lineRule="auto"/>
              <w:ind w:firstLine="480" w:firstLineChars="200"/>
            </w:pPr>
            <w:r>
              <w:t>本项目依托现有厂房进行</w:t>
            </w:r>
            <w:r>
              <w:rPr>
                <w:rFonts w:hint="eastAsia"/>
              </w:rPr>
              <w:t>装修</w:t>
            </w:r>
            <w:r>
              <w:t>改造，施工期主要进行内部给水、排水、供电管道的建设，进行防渗作业，建设墙体隔断，安装调试实验设备及配套设施。施工</w:t>
            </w:r>
            <w:r>
              <w:rPr>
                <w:rFonts w:hint="eastAsia"/>
              </w:rPr>
              <w:t>期对环境的影响</w:t>
            </w:r>
            <w:r>
              <w:t>主要为</w:t>
            </w:r>
            <w:r>
              <w:rPr>
                <w:rFonts w:hint="eastAsia"/>
              </w:rPr>
              <w:t>施工废气、</w:t>
            </w:r>
            <w:r>
              <w:t>施工废水</w:t>
            </w:r>
            <w:r>
              <w:rPr>
                <w:rFonts w:hint="eastAsia"/>
              </w:rPr>
              <w:t>、</w:t>
            </w:r>
            <w:r>
              <w:t>施工机械噪声</w:t>
            </w:r>
            <w:r>
              <w:rPr>
                <w:rFonts w:hint="eastAsia"/>
              </w:rPr>
              <w:t>、固体废物</w:t>
            </w:r>
            <w:r>
              <w:t>等。施工期主要采取的污染防治措施如下：</w:t>
            </w:r>
          </w:p>
          <w:p w14:paraId="4CCE1869">
            <w:pPr>
              <w:widowControl/>
              <w:spacing w:line="360" w:lineRule="auto"/>
              <w:ind w:firstLine="482" w:firstLineChars="200"/>
              <w:jc w:val="left"/>
              <w:rPr>
                <w:b/>
                <w:kern w:val="0"/>
              </w:rPr>
            </w:pPr>
            <w:r>
              <w:rPr>
                <w:rFonts w:hint="eastAsia"/>
                <w:b/>
                <w:kern w:val="0"/>
              </w:rPr>
              <w:t>1、施工废气防治措施</w:t>
            </w:r>
          </w:p>
          <w:p w14:paraId="27D99070">
            <w:pPr>
              <w:spacing w:line="360" w:lineRule="auto"/>
              <w:ind w:firstLine="480" w:firstLineChars="200"/>
            </w:pPr>
            <w:r>
              <w:t>项目施工期废气主要为室内装修时产生的废气，为减少施工废气对环境空气的影响，</w:t>
            </w:r>
            <w:r>
              <w:rPr>
                <w:rFonts w:hint="eastAsia"/>
              </w:rPr>
              <w:t>评价</w:t>
            </w:r>
            <w:r>
              <w:t>提出以下建议进行控制：</w:t>
            </w:r>
          </w:p>
          <w:p w14:paraId="7EEBA92C">
            <w:pPr>
              <w:spacing w:line="360" w:lineRule="auto"/>
              <w:ind w:firstLine="480" w:firstLineChars="200"/>
            </w:pPr>
            <w:r>
              <w:rPr>
                <w:rFonts w:hint="eastAsia" w:ascii="宋体" w:hAnsi="宋体" w:cs="宋体"/>
              </w:rPr>
              <w:t>①</w:t>
            </w:r>
            <w:r>
              <w:t>装修材料应随用随运，装修垃圾等应尽</w:t>
            </w:r>
            <w:r>
              <w:rPr>
                <w:rFonts w:hint="eastAsia"/>
              </w:rPr>
              <w:t>量在</w:t>
            </w:r>
            <w:r>
              <w:t>厂房内</w:t>
            </w:r>
            <w:r>
              <w:rPr>
                <w:rFonts w:hint="eastAsia"/>
              </w:rPr>
              <w:t>放</w:t>
            </w:r>
            <w:r>
              <w:t>置，</w:t>
            </w:r>
            <w:r>
              <w:rPr>
                <w:rFonts w:hint="eastAsia"/>
              </w:rPr>
              <w:t>并</w:t>
            </w:r>
            <w:r>
              <w:t>应及时运走处理，或集中收集并采取桶装或遮盖的方式减少扬尘的产生。</w:t>
            </w:r>
          </w:p>
          <w:p w14:paraId="4F0C1BE2">
            <w:pPr>
              <w:spacing w:line="360" w:lineRule="auto"/>
              <w:ind w:firstLine="480" w:firstLineChars="200"/>
            </w:pPr>
            <w:r>
              <w:rPr>
                <w:rFonts w:hint="eastAsia" w:ascii="宋体" w:hAnsi="宋体" w:cs="宋体"/>
              </w:rPr>
              <w:t>②</w:t>
            </w:r>
            <w:r>
              <w:t>施工期室内装修材料应使用绿色环保型涂料，减少有机废气的产生，勤通风，降低室内废气浓度。</w:t>
            </w:r>
          </w:p>
          <w:p w14:paraId="50166FE2">
            <w:pPr>
              <w:spacing w:line="360" w:lineRule="auto"/>
              <w:ind w:firstLine="480" w:firstLineChars="200"/>
            </w:pPr>
            <w:r>
              <w:t>项目施工范围小且处于室内、施工期短、产生的废气量较少</w:t>
            </w:r>
            <w:r>
              <w:rPr>
                <w:rFonts w:hint="eastAsia"/>
              </w:rPr>
              <w:t>，采取洒水抑尘等措施，经</w:t>
            </w:r>
            <w:r>
              <w:t>环境空气自然扩散、稀释后，对周围</w:t>
            </w:r>
            <w:r>
              <w:rPr>
                <w:rFonts w:hint="eastAsia"/>
              </w:rPr>
              <w:t>大气</w:t>
            </w:r>
            <w:r>
              <w:t>环境产生的影响较小。</w:t>
            </w:r>
          </w:p>
          <w:p w14:paraId="13407FC3">
            <w:pPr>
              <w:widowControl/>
              <w:spacing w:line="360" w:lineRule="auto"/>
              <w:ind w:firstLine="482" w:firstLineChars="200"/>
              <w:jc w:val="left"/>
              <w:rPr>
                <w:b/>
                <w:kern w:val="0"/>
              </w:rPr>
            </w:pPr>
            <w:r>
              <w:rPr>
                <w:rFonts w:hint="eastAsia"/>
                <w:b/>
                <w:kern w:val="0"/>
              </w:rPr>
              <w:t>2、施工废水防治措施</w:t>
            </w:r>
          </w:p>
          <w:p w14:paraId="47796F33">
            <w:pPr>
              <w:widowControl/>
              <w:spacing w:line="360" w:lineRule="auto"/>
              <w:ind w:firstLine="480" w:firstLineChars="200"/>
              <w:jc w:val="left"/>
              <w:rPr>
                <w:kern w:val="0"/>
              </w:rPr>
            </w:pPr>
            <w:r>
              <w:rPr>
                <w:kern w:val="0"/>
              </w:rPr>
              <w:t>施工期无生产废水产生，主要为施工人员生活污水，经园</w:t>
            </w:r>
            <w:r>
              <w:rPr>
                <w:rFonts w:hint="eastAsia"/>
                <w:kern w:val="0"/>
              </w:rPr>
              <w:t>区化粪池处理</w:t>
            </w:r>
            <w:r>
              <w:rPr>
                <w:kern w:val="0"/>
              </w:rPr>
              <w:t>后排入市政污水管网，最终进入</w:t>
            </w:r>
            <w:r>
              <w:rPr>
                <w:rFonts w:hint="eastAsia"/>
                <w:kern w:val="0"/>
              </w:rPr>
              <w:t>西安净水处理有限责任公司第六再生水厂</w:t>
            </w:r>
            <w:r>
              <w:rPr>
                <w:kern w:val="0"/>
              </w:rPr>
              <w:t>集中处理。</w:t>
            </w:r>
          </w:p>
          <w:p w14:paraId="6E5C7185">
            <w:pPr>
              <w:widowControl/>
              <w:spacing w:line="360" w:lineRule="auto"/>
              <w:ind w:firstLine="482" w:firstLineChars="200"/>
              <w:jc w:val="left"/>
              <w:rPr>
                <w:b/>
                <w:kern w:val="0"/>
              </w:rPr>
            </w:pPr>
            <w:r>
              <w:rPr>
                <w:rFonts w:hint="eastAsia"/>
                <w:b/>
                <w:kern w:val="0"/>
              </w:rPr>
              <w:t>3、施工噪声防治措施</w:t>
            </w:r>
          </w:p>
          <w:p w14:paraId="7441C8E4">
            <w:pPr>
              <w:spacing w:line="360" w:lineRule="auto"/>
              <w:ind w:firstLine="480" w:firstLineChars="200"/>
              <w:rPr>
                <w:kern w:val="0"/>
              </w:rPr>
            </w:pPr>
            <w:r>
              <w:rPr>
                <w:rFonts w:hint="eastAsia"/>
                <w:kern w:val="0"/>
              </w:rPr>
              <w:t>施工期噪声主要来源于</w:t>
            </w:r>
            <w:r>
              <w:rPr>
                <w:kern w:val="0"/>
              </w:rPr>
              <w:t>室内装修阶段使用</w:t>
            </w:r>
            <w:r>
              <w:rPr>
                <w:rFonts w:hint="eastAsia"/>
                <w:kern w:val="0"/>
              </w:rPr>
              <w:t>的</w:t>
            </w:r>
            <w:r>
              <w:rPr>
                <w:kern w:val="0"/>
              </w:rPr>
              <w:t>切割机、电钻等机械</w:t>
            </w:r>
            <w:r>
              <w:rPr>
                <w:rFonts w:hint="eastAsia"/>
                <w:kern w:val="0"/>
              </w:rPr>
              <w:t>设备运转和运输车辆等机械噪声</w:t>
            </w:r>
            <w:r>
              <w:rPr>
                <w:kern w:val="0"/>
              </w:rPr>
              <w:t>。</w:t>
            </w:r>
            <w:r>
              <w:rPr>
                <w:rFonts w:hint="eastAsia"/>
                <w:kern w:val="0"/>
              </w:rPr>
              <w:t>噪声具有临时性、阶段性和不固定性等特点，随着施工期的结束，施工噪声对周围环境的影响也将停止。</w:t>
            </w:r>
            <w:r>
              <w:rPr>
                <w:kern w:val="0"/>
              </w:rPr>
              <w:t>采取以下</w:t>
            </w:r>
            <w:r>
              <w:rPr>
                <w:rFonts w:hint="eastAsia"/>
                <w:kern w:val="0"/>
              </w:rPr>
              <w:t>噪声防治</w:t>
            </w:r>
            <w:r>
              <w:rPr>
                <w:kern w:val="0"/>
              </w:rPr>
              <w:t>措施：</w:t>
            </w:r>
          </w:p>
          <w:p w14:paraId="21BFBFCE">
            <w:pPr>
              <w:spacing w:line="360" w:lineRule="auto"/>
              <w:ind w:firstLine="480" w:firstLineChars="200"/>
              <w:rPr>
                <w:kern w:val="0"/>
              </w:rPr>
            </w:pPr>
            <w:r>
              <w:rPr>
                <w:rFonts w:hint="eastAsia" w:ascii="宋体" w:hAnsi="宋体" w:cs="宋体"/>
                <w:kern w:val="0"/>
              </w:rPr>
              <w:t>①</w:t>
            </w:r>
            <w:r>
              <w:rPr>
                <w:kern w:val="0"/>
              </w:rPr>
              <w:t>合理安排施工作业，尽量缩短施工期。</w:t>
            </w:r>
          </w:p>
          <w:p w14:paraId="755A6669">
            <w:pPr>
              <w:spacing w:line="360" w:lineRule="auto"/>
              <w:ind w:firstLine="480" w:firstLineChars="200"/>
              <w:rPr>
                <w:kern w:val="0"/>
              </w:rPr>
            </w:pPr>
            <w:r>
              <w:rPr>
                <w:rFonts w:hint="eastAsia" w:ascii="宋体" w:hAnsi="宋体" w:cs="宋体"/>
                <w:kern w:val="0"/>
              </w:rPr>
              <w:t>②</w:t>
            </w:r>
            <w:r>
              <w:rPr>
                <w:kern w:val="0"/>
              </w:rPr>
              <w:t>在室内装修时，进行钻、切工序时应注意关窗，避免噪声通过门窗发散，尽量缩短使用时间，减少噪声向周围辐射。</w:t>
            </w:r>
          </w:p>
          <w:p w14:paraId="4FC80AA5">
            <w:pPr>
              <w:spacing w:line="360" w:lineRule="auto"/>
              <w:ind w:firstLine="480" w:firstLineChars="200"/>
              <w:rPr>
                <w:kern w:val="0"/>
              </w:rPr>
            </w:pPr>
            <w:r>
              <w:rPr>
                <w:rFonts w:hint="eastAsia" w:ascii="宋体" w:hAnsi="宋体" w:cs="宋体"/>
                <w:kern w:val="0"/>
              </w:rPr>
              <w:t>③</w:t>
            </w:r>
            <w:r>
              <w:rPr>
                <w:kern w:val="0"/>
              </w:rPr>
              <w:t>合理安排施工时间，严禁夜间施工。</w:t>
            </w:r>
          </w:p>
          <w:p w14:paraId="059B7932">
            <w:pPr>
              <w:spacing w:line="360" w:lineRule="auto"/>
              <w:ind w:firstLine="480" w:firstLineChars="200"/>
              <w:rPr>
                <w:kern w:val="0"/>
              </w:rPr>
            </w:pPr>
            <w:r>
              <w:rPr>
                <w:rFonts w:hint="eastAsia"/>
                <w:kern w:val="0"/>
              </w:rPr>
              <w:t>评价</w:t>
            </w:r>
            <w:r>
              <w:rPr>
                <w:kern w:val="0"/>
              </w:rPr>
              <w:t>要求施工期间</w:t>
            </w:r>
            <w:r>
              <w:rPr>
                <w:rFonts w:hint="eastAsia"/>
                <w:kern w:val="0"/>
              </w:rPr>
              <w:t>加强管理，</w:t>
            </w:r>
            <w:r>
              <w:rPr>
                <w:kern w:val="0"/>
              </w:rPr>
              <w:t>文明施工，严格按当地管理部门批准的时间施工，尤其是需要动用高噪声、大</w:t>
            </w:r>
            <w:r>
              <w:rPr>
                <w:rFonts w:hint="eastAsia"/>
                <w:kern w:val="0"/>
              </w:rPr>
              <w:t>振</w:t>
            </w:r>
            <w:r>
              <w:rPr>
                <w:kern w:val="0"/>
              </w:rPr>
              <w:t>动的设备时尽量避开午休、集中办公等需要安静环境的时段，如设备安装时候的钻孔、安装等。</w:t>
            </w:r>
          </w:p>
          <w:p w14:paraId="52F956FC">
            <w:pPr>
              <w:widowControl/>
              <w:spacing w:line="360" w:lineRule="auto"/>
              <w:ind w:firstLine="482" w:firstLineChars="200"/>
              <w:jc w:val="left"/>
              <w:rPr>
                <w:b/>
                <w:kern w:val="0"/>
              </w:rPr>
            </w:pPr>
            <w:r>
              <w:rPr>
                <w:rFonts w:hint="eastAsia"/>
                <w:b/>
                <w:kern w:val="0"/>
              </w:rPr>
              <w:t>4、施工固废处置措施</w:t>
            </w:r>
          </w:p>
          <w:p w14:paraId="3DE0828F">
            <w:pPr>
              <w:spacing w:line="360" w:lineRule="auto"/>
              <w:ind w:firstLine="480" w:firstLineChars="200"/>
              <w:rPr>
                <w:kern w:val="0"/>
              </w:rPr>
            </w:pPr>
            <w:r>
              <w:rPr>
                <w:kern w:val="0"/>
              </w:rPr>
              <w:t>项目施工过程中产生的固体废物主要包括</w:t>
            </w:r>
            <w:r>
              <w:rPr>
                <w:rFonts w:hint="eastAsia"/>
                <w:kern w:val="0"/>
              </w:rPr>
              <w:t>建筑垃圾及施工人员</w:t>
            </w:r>
            <w:r>
              <w:rPr>
                <w:kern w:val="0"/>
              </w:rPr>
              <w:t>生活垃圾，为减轻固体废物对环境造成的影响，施工期可采用以下防治措施：</w:t>
            </w:r>
          </w:p>
          <w:p w14:paraId="3D2F52E4">
            <w:pPr>
              <w:spacing w:line="360" w:lineRule="auto"/>
              <w:ind w:firstLine="480" w:firstLineChars="200"/>
              <w:rPr>
                <w:rFonts w:ascii="宋体" w:hAnsi="宋体" w:cs="宋体"/>
                <w:kern w:val="0"/>
              </w:rPr>
            </w:pPr>
            <w:r>
              <w:rPr>
                <w:rFonts w:hint="eastAsia" w:ascii="宋体" w:hAnsi="宋体" w:cs="宋体"/>
                <w:kern w:val="0"/>
              </w:rPr>
              <w:t>①施工建筑垃圾尽可能回收利用，不能回收利用的暂时存放于施工区域内指定的临时堆存点，送往当地</w:t>
            </w:r>
            <w:r>
              <w:rPr>
                <w:rFonts w:hint="eastAsia"/>
                <w:kern w:val="0"/>
                <w:szCs w:val="21"/>
              </w:rPr>
              <w:t>城建部门</w:t>
            </w:r>
            <w:r>
              <w:rPr>
                <w:rFonts w:hint="eastAsia" w:ascii="宋体" w:hAnsi="宋体" w:cs="宋体"/>
                <w:kern w:val="0"/>
              </w:rPr>
              <w:t>指定的建筑垃圾填埋场处置；</w:t>
            </w:r>
          </w:p>
          <w:p w14:paraId="2896676F">
            <w:pPr>
              <w:spacing w:line="360" w:lineRule="auto"/>
              <w:ind w:firstLine="480" w:firstLineChars="200"/>
              <w:rPr>
                <w:color w:val="auto"/>
                <w:kern w:val="0"/>
              </w:rPr>
            </w:pPr>
            <w:r>
              <w:rPr>
                <w:rFonts w:hint="eastAsia" w:ascii="宋体" w:hAnsi="宋体" w:cs="宋体"/>
                <w:color w:val="auto"/>
                <w:kern w:val="0"/>
              </w:rPr>
              <w:t>②</w:t>
            </w:r>
            <w:r>
              <w:rPr>
                <w:color w:val="auto"/>
                <w:kern w:val="0"/>
              </w:rPr>
              <w:t>施工人员生活垃圾集中堆放，及时运送至园区垃圾集中点。</w:t>
            </w:r>
          </w:p>
          <w:p w14:paraId="3AE87D63">
            <w:pPr>
              <w:spacing w:line="360" w:lineRule="auto"/>
              <w:ind w:firstLine="480" w:firstLineChars="200"/>
              <w:rPr>
                <w:kern w:val="0"/>
              </w:rPr>
            </w:pPr>
            <w:r>
              <w:rPr>
                <w:rFonts w:hint="eastAsia" w:ascii="宋体" w:hAnsi="宋体" w:cs="宋体"/>
                <w:kern w:val="0"/>
              </w:rPr>
              <w:t>③</w:t>
            </w:r>
            <w:r>
              <w:rPr>
                <w:kern w:val="0"/>
              </w:rPr>
              <w:t>车辆运输散体物料和废弃物时，应密闭、覆盖，不得沿途漏撒。</w:t>
            </w:r>
          </w:p>
          <w:p w14:paraId="21EA3132">
            <w:pPr>
              <w:spacing w:line="360" w:lineRule="auto"/>
              <w:ind w:firstLine="480" w:firstLineChars="200"/>
              <w:rPr>
                <w:kern w:val="0"/>
              </w:rPr>
            </w:pPr>
            <w:r>
              <w:rPr>
                <w:kern w:val="0"/>
              </w:rPr>
              <w:t>通过上述措施，施工期产生的固体废物能得到有效控制，对周边环境影响较小。</w:t>
            </w:r>
          </w:p>
          <w:p w14:paraId="362A6D35">
            <w:pPr>
              <w:spacing w:line="360" w:lineRule="auto"/>
              <w:ind w:firstLine="480" w:firstLineChars="200"/>
              <w:rPr>
                <w:kern w:val="0"/>
              </w:rPr>
            </w:pPr>
          </w:p>
          <w:p w14:paraId="5B70FBAB">
            <w:pPr>
              <w:spacing w:line="360" w:lineRule="auto"/>
              <w:ind w:firstLine="480" w:firstLineChars="200"/>
              <w:rPr>
                <w:kern w:val="0"/>
              </w:rPr>
            </w:pPr>
          </w:p>
          <w:p w14:paraId="071ED714">
            <w:pPr>
              <w:spacing w:line="360" w:lineRule="auto"/>
              <w:ind w:firstLine="480" w:firstLineChars="200"/>
              <w:rPr>
                <w:kern w:val="0"/>
              </w:rPr>
            </w:pPr>
          </w:p>
          <w:p w14:paraId="3FC3A6F1">
            <w:pPr>
              <w:spacing w:line="360" w:lineRule="auto"/>
              <w:ind w:firstLine="480" w:firstLineChars="200"/>
              <w:rPr>
                <w:kern w:val="0"/>
              </w:rPr>
            </w:pPr>
          </w:p>
          <w:p w14:paraId="78D6FCC1">
            <w:pPr>
              <w:spacing w:line="360" w:lineRule="auto"/>
              <w:ind w:firstLine="480" w:firstLineChars="200"/>
              <w:rPr>
                <w:kern w:val="0"/>
              </w:rPr>
            </w:pPr>
          </w:p>
          <w:p w14:paraId="0A033958">
            <w:pPr>
              <w:spacing w:line="360" w:lineRule="auto"/>
              <w:ind w:firstLine="480" w:firstLineChars="200"/>
              <w:rPr>
                <w:kern w:val="0"/>
              </w:rPr>
            </w:pPr>
          </w:p>
          <w:p w14:paraId="02AF89D4">
            <w:pPr>
              <w:spacing w:line="360" w:lineRule="auto"/>
              <w:ind w:firstLine="480" w:firstLineChars="200"/>
              <w:rPr>
                <w:kern w:val="0"/>
              </w:rPr>
            </w:pPr>
          </w:p>
          <w:p w14:paraId="0AB54C7B">
            <w:pPr>
              <w:spacing w:line="360" w:lineRule="auto"/>
              <w:ind w:firstLine="480" w:firstLineChars="200"/>
              <w:rPr>
                <w:kern w:val="0"/>
              </w:rPr>
            </w:pPr>
          </w:p>
          <w:p w14:paraId="03F58A77">
            <w:pPr>
              <w:spacing w:line="360" w:lineRule="auto"/>
              <w:ind w:firstLine="480" w:firstLineChars="200"/>
              <w:rPr>
                <w:kern w:val="0"/>
              </w:rPr>
            </w:pPr>
          </w:p>
          <w:p w14:paraId="5F6F2645">
            <w:pPr>
              <w:spacing w:line="360" w:lineRule="auto"/>
              <w:ind w:firstLine="480" w:firstLineChars="200"/>
              <w:rPr>
                <w:kern w:val="0"/>
              </w:rPr>
            </w:pPr>
          </w:p>
          <w:p w14:paraId="1ADDF58E">
            <w:pPr>
              <w:spacing w:line="360" w:lineRule="auto"/>
              <w:ind w:firstLine="480" w:firstLineChars="200"/>
              <w:rPr>
                <w:kern w:val="0"/>
              </w:rPr>
            </w:pPr>
          </w:p>
          <w:p w14:paraId="11029330">
            <w:pPr>
              <w:spacing w:line="360" w:lineRule="auto"/>
              <w:ind w:firstLine="480" w:firstLineChars="200"/>
              <w:rPr>
                <w:kern w:val="0"/>
              </w:rPr>
            </w:pPr>
          </w:p>
          <w:p w14:paraId="4193931E">
            <w:pPr>
              <w:spacing w:line="360" w:lineRule="auto"/>
              <w:ind w:firstLine="480" w:firstLineChars="200"/>
              <w:rPr>
                <w:kern w:val="0"/>
              </w:rPr>
            </w:pPr>
          </w:p>
          <w:p w14:paraId="749A5A09">
            <w:pPr>
              <w:spacing w:line="360" w:lineRule="auto"/>
              <w:ind w:firstLine="480" w:firstLineChars="200"/>
              <w:rPr>
                <w:kern w:val="0"/>
              </w:rPr>
            </w:pPr>
          </w:p>
          <w:p w14:paraId="45C13E2B">
            <w:pPr>
              <w:spacing w:line="360" w:lineRule="auto"/>
              <w:ind w:firstLine="480" w:firstLineChars="200"/>
              <w:rPr>
                <w:kern w:val="0"/>
              </w:rPr>
            </w:pPr>
          </w:p>
          <w:p w14:paraId="01212E22">
            <w:pPr>
              <w:spacing w:line="360" w:lineRule="auto"/>
              <w:ind w:firstLine="480" w:firstLineChars="200"/>
              <w:rPr>
                <w:kern w:val="0"/>
              </w:rPr>
            </w:pPr>
          </w:p>
          <w:p w14:paraId="6B1CF932">
            <w:pPr>
              <w:spacing w:line="360" w:lineRule="auto"/>
            </w:pPr>
          </w:p>
        </w:tc>
      </w:tr>
      <w:tr w14:paraId="76EEE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 w:type="pct"/>
            <w:vAlign w:val="center"/>
          </w:tcPr>
          <w:p w14:paraId="7E42F062">
            <w:pPr>
              <w:adjustRightInd w:val="0"/>
              <w:snapToGrid w:val="0"/>
              <w:jc w:val="center"/>
            </w:pPr>
            <w:r>
              <w:t>运营期环境影响和保护措施</w:t>
            </w:r>
          </w:p>
        </w:tc>
        <w:tc>
          <w:tcPr>
            <w:tcW w:w="4589" w:type="pct"/>
          </w:tcPr>
          <w:p w14:paraId="471973E5">
            <w:pPr>
              <w:tabs>
                <w:tab w:val="left" w:pos="3836"/>
              </w:tabs>
              <w:spacing w:line="360" w:lineRule="auto"/>
              <w:ind w:firstLine="482" w:firstLineChars="200"/>
              <w:rPr>
                <w:b/>
                <w:bCs/>
                <w:szCs w:val="21"/>
              </w:rPr>
            </w:pPr>
            <w:r>
              <w:rPr>
                <w:rFonts w:hint="eastAsia"/>
                <w:b/>
                <w:bCs/>
                <w:szCs w:val="21"/>
              </w:rPr>
              <w:t>1</w:t>
            </w:r>
            <w:r>
              <w:rPr>
                <w:b/>
                <w:bCs/>
                <w:szCs w:val="21"/>
              </w:rPr>
              <w:t>、废气</w:t>
            </w:r>
          </w:p>
          <w:p w14:paraId="150E3059">
            <w:pPr>
              <w:tabs>
                <w:tab w:val="left" w:pos="3836"/>
              </w:tabs>
              <w:spacing w:line="360" w:lineRule="auto"/>
              <w:ind w:firstLine="480"/>
            </w:pPr>
            <w:r>
              <w:rPr>
                <w:rFonts w:hint="eastAsia"/>
              </w:rPr>
              <w:t>（1）产排污环节、污染物种类、污染物产生量、排放量和浓度</w:t>
            </w:r>
          </w:p>
          <w:p w14:paraId="68303295">
            <w:pPr>
              <w:tabs>
                <w:tab w:val="left" w:pos="3836"/>
              </w:tabs>
              <w:spacing w:line="360" w:lineRule="auto"/>
              <w:ind w:firstLine="480"/>
              <w:rPr>
                <w:rFonts w:hint="eastAsia"/>
              </w:rPr>
            </w:pPr>
            <w:r>
              <w:rPr>
                <w:rFonts w:hint="eastAsia"/>
              </w:rPr>
              <w:t>本</w:t>
            </w:r>
            <w:r>
              <w:t>项目</w:t>
            </w:r>
            <w:r>
              <w:rPr>
                <w:rFonts w:hint="eastAsia"/>
              </w:rPr>
              <w:t>有机前处理及实验检验过程会产生少量挥发性有机</w:t>
            </w:r>
            <w:r>
              <w:t>废气</w:t>
            </w:r>
            <w:r>
              <w:rPr>
                <w:rFonts w:hint="eastAsia"/>
              </w:rPr>
              <w:t>（以非甲烷总烃计）；无机前处理会产生少量无机酸性废气（硫酸雾、氯化氢、氮氧化物）；固废、土壤制备过程中会产生少量粉尘（颗粒物）。</w:t>
            </w:r>
          </w:p>
          <w:p w14:paraId="7CF422D1">
            <w:pPr>
              <w:widowControl/>
              <w:numPr>
                <w:ilvl w:val="255"/>
                <w:numId w:val="0"/>
              </w:numPr>
              <w:spacing w:line="360" w:lineRule="auto"/>
              <w:ind w:firstLine="480" w:firstLineChars="200"/>
              <w:jc w:val="left"/>
              <w:rPr>
                <w:rFonts w:hint="eastAsia"/>
                <w:color w:val="FF0000"/>
              </w:rPr>
            </w:pPr>
            <w:r>
              <w:rPr>
                <w:rFonts w:hint="eastAsia"/>
                <w:color w:val="FF0000"/>
                <w:kern w:val="0"/>
                <w:lang w:val="en-US" w:eastAsia="zh-CN" w:bidi="ar"/>
              </w:rPr>
              <w:t>根据现有项目源强核算结果，非甲烷总烃产生量为96.3kg/a，氯化氢产生量为37.5kg/a，硫酸雾产生量为3.19kg/a。本项目为迁建项目，故非甲烷总烃、氯化氢、硫酸雾产生量按现有项目产生量取值。</w:t>
            </w:r>
          </w:p>
          <w:p w14:paraId="5FF9B51F">
            <w:pPr>
              <w:widowControl/>
              <w:spacing w:line="360" w:lineRule="auto"/>
              <w:ind w:firstLine="480" w:firstLineChars="200"/>
              <w:jc w:val="left"/>
              <w:rPr>
                <w:kern w:val="0"/>
                <w:lang w:bidi="ar"/>
              </w:rPr>
            </w:pPr>
            <w:r>
              <w:rPr>
                <w:rFonts w:hint="eastAsia" w:ascii="宋体" w:hAnsi="宋体" w:cs="宋体"/>
                <w:kern w:val="0"/>
                <w:lang w:bidi="ar"/>
              </w:rPr>
              <w:t>①</w:t>
            </w:r>
            <w:r>
              <w:rPr>
                <w:rFonts w:hint="eastAsia"/>
                <w:kern w:val="0"/>
                <w:lang w:bidi="ar"/>
              </w:rPr>
              <w:t>有机废气（以非甲烷总烃计）</w:t>
            </w:r>
          </w:p>
          <w:p w14:paraId="0A37F12A">
            <w:pPr>
              <w:widowControl/>
              <w:numPr>
                <w:ilvl w:val="255"/>
                <w:numId w:val="0"/>
              </w:numPr>
              <w:spacing w:line="360" w:lineRule="auto"/>
              <w:ind w:firstLine="480" w:firstLineChars="200"/>
              <w:jc w:val="left"/>
              <w:rPr>
                <w:kern w:val="0"/>
                <w:lang w:bidi="ar"/>
              </w:rPr>
            </w:pPr>
            <w:r>
              <w:rPr>
                <w:rFonts w:hint="eastAsia"/>
                <w:kern w:val="0"/>
                <w:lang w:bidi="ar"/>
              </w:rPr>
              <w:t>项目运营期实验室溶液配制、检测过程中会产生少量挥发性气体，由于检测项目的不同，消耗的试剂也不同，但总体上各类试剂消耗量均较小，且试剂均</w:t>
            </w:r>
            <w:r>
              <w:t>保存在封闭式试剂瓶中</w:t>
            </w:r>
            <w:r>
              <w:rPr>
                <w:rFonts w:hint="eastAsia"/>
                <w:kern w:val="0"/>
                <w:lang w:bidi="ar"/>
              </w:rPr>
              <w:t>，只有在使用过程中才会在操作台上短时间打开试剂瓶，随后立即封闭。</w:t>
            </w:r>
          </w:p>
          <w:p w14:paraId="2C0CAFA0">
            <w:pPr>
              <w:widowControl/>
              <w:numPr>
                <w:ilvl w:val="255"/>
                <w:numId w:val="0"/>
              </w:numPr>
              <w:spacing w:line="360" w:lineRule="auto"/>
              <w:ind w:firstLine="480" w:firstLineChars="200"/>
              <w:jc w:val="left"/>
              <w:rPr>
                <w:rFonts w:hint="default"/>
                <w:color w:val="auto"/>
                <w:kern w:val="0"/>
                <w:lang w:val="en-US" w:bidi="ar"/>
              </w:rPr>
            </w:pPr>
            <w:r>
              <w:rPr>
                <w:rFonts w:hint="eastAsia"/>
                <w:kern w:val="0"/>
                <w:lang w:bidi="ar"/>
              </w:rPr>
              <w:t>本项目实验过程中涉及的挥发性试剂主要为正己烷、环己烷、乙酸乙酯、乙腈、无水乙醇、异戊烷、甲醇等。</w:t>
            </w:r>
            <w:r>
              <w:rPr>
                <w:rFonts w:hint="eastAsia"/>
                <w:color w:val="FF0000"/>
                <w:kern w:val="0"/>
                <w:lang w:val="en-US" w:eastAsia="zh-CN" w:bidi="ar"/>
              </w:rPr>
              <w:t>本项目非甲烷总烃产生量按现有项目非甲烷总烃产生量</w:t>
            </w:r>
            <w:r>
              <w:rPr>
                <w:rFonts w:hint="eastAsia"/>
                <w:color w:val="FF0000"/>
                <w:kern w:val="0"/>
                <w:lang w:val="en-US" w:eastAsia="zh-CN" w:bidi="ar"/>
              </w:rPr>
              <w:t>96.3kg/a取值，有机试剂年使用时间按250h计，则非甲烷总烃产生量为</w:t>
            </w:r>
            <w:r>
              <w:rPr>
                <w:rFonts w:hint="eastAsia"/>
                <w:color w:val="FF0000"/>
                <w:kern w:val="0"/>
                <w:lang w:val="en-US" w:eastAsia="zh-CN" w:bidi="ar"/>
              </w:rPr>
              <w:t>0.385kg/h。</w:t>
            </w:r>
          </w:p>
          <w:p w14:paraId="32FC03C0">
            <w:pPr>
              <w:widowControl/>
              <w:spacing w:line="360" w:lineRule="auto"/>
              <w:ind w:firstLine="480" w:firstLineChars="200"/>
              <w:jc w:val="left"/>
              <w:rPr>
                <w:szCs w:val="21"/>
              </w:rPr>
            </w:pPr>
            <w:r>
              <w:rPr>
                <w:rFonts w:hint="eastAsia"/>
                <w:kern w:val="0"/>
                <w:lang w:bidi="ar"/>
              </w:rPr>
              <w:t>环评要求实验操作人员严格按照实验室操作规范进行溶剂操作工作，尽可能减少原辅材料的挥发。本项目有机实验室设置通风橱18个，色谱1~4室共设置</w:t>
            </w:r>
            <w:r>
              <w:rPr>
                <w:rFonts w:hint="eastAsia"/>
                <w:kern w:val="0"/>
                <w:lang w:eastAsia="zh-CN" w:bidi="ar"/>
              </w:rPr>
              <w:t>万向罩</w:t>
            </w:r>
            <w:r>
              <w:rPr>
                <w:rFonts w:hint="eastAsia"/>
                <w:kern w:val="0"/>
                <w:lang w:bidi="ar"/>
              </w:rPr>
              <w:t>12个，</w:t>
            </w:r>
            <w:r>
              <w:t>实验</w:t>
            </w:r>
            <w:r>
              <w:rPr>
                <w:rFonts w:hint="eastAsia"/>
              </w:rPr>
              <w:t>操作</w:t>
            </w:r>
            <w:r>
              <w:rPr>
                <w:rFonts w:hint="eastAsia" w:ascii="宋体" w:hAnsi="宋体" w:cs="宋体"/>
                <w:kern w:val="0"/>
                <w:lang w:bidi="ar"/>
              </w:rPr>
              <w:t>在通风橱内/</w:t>
            </w:r>
            <w:r>
              <w:rPr>
                <w:rFonts w:hint="eastAsia" w:ascii="宋体" w:hAnsi="宋体" w:cs="宋体"/>
                <w:kern w:val="0"/>
                <w:lang w:eastAsia="zh-CN" w:bidi="ar"/>
              </w:rPr>
              <w:t>万向罩</w:t>
            </w:r>
            <w:r>
              <w:rPr>
                <w:rFonts w:hint="eastAsia" w:ascii="宋体" w:hAnsi="宋体" w:cs="宋体"/>
                <w:kern w:val="0"/>
                <w:lang w:bidi="ar"/>
              </w:rPr>
              <w:t>下进行，所有废气统一收集、处置后排放，少量废气以无组织形式逸散。实验前提前开启通风橱/</w:t>
            </w:r>
            <w:r>
              <w:rPr>
                <w:rFonts w:hint="eastAsia" w:ascii="宋体" w:hAnsi="宋体" w:cs="宋体"/>
                <w:kern w:val="0"/>
                <w:lang w:eastAsia="zh-CN" w:bidi="ar"/>
              </w:rPr>
              <w:t>万向罩</w:t>
            </w:r>
            <w:r>
              <w:rPr>
                <w:rFonts w:hint="eastAsia" w:ascii="宋体" w:hAnsi="宋体" w:cs="宋体"/>
                <w:kern w:val="0"/>
                <w:lang w:bidi="ar"/>
              </w:rPr>
              <w:t>，实验结束后运行一段时间后再关闭。通风橱/</w:t>
            </w:r>
            <w:r>
              <w:rPr>
                <w:rFonts w:hint="eastAsia" w:ascii="宋体" w:hAnsi="宋体" w:cs="宋体"/>
                <w:kern w:val="0"/>
                <w:lang w:eastAsia="zh-CN" w:bidi="ar"/>
              </w:rPr>
              <w:t>万向罩</w:t>
            </w:r>
            <w:r>
              <w:rPr>
                <w:rFonts w:hint="eastAsia" w:ascii="宋体" w:hAnsi="宋体" w:cs="宋体"/>
                <w:kern w:val="0"/>
                <w:lang w:bidi="ar"/>
              </w:rPr>
              <w:t>上方设置排风管道，有机废气经机械强制抽风进入排气管道后汇集到总管道，</w:t>
            </w:r>
            <w:r>
              <w:rPr>
                <w:rFonts w:hint="eastAsia"/>
                <w:szCs w:val="21"/>
              </w:rPr>
              <w:t>引至楼顶两级活性炭吸附装置处理后经35m高排气筒排</w:t>
            </w:r>
            <w:r>
              <w:rPr>
                <w:rFonts w:hint="eastAsia"/>
                <w:color w:val="auto"/>
                <w:szCs w:val="21"/>
              </w:rPr>
              <w:t>放</w:t>
            </w:r>
            <w:r>
              <w:rPr>
                <w:color w:val="auto"/>
                <w:kern w:val="0"/>
                <w:lang w:bidi="ar"/>
              </w:rPr>
              <w:t>。</w:t>
            </w:r>
            <w:r>
              <w:rPr>
                <w:rFonts w:hint="eastAsia"/>
                <w:color w:val="auto"/>
              </w:rPr>
              <w:t>本项目使用通风橱、</w:t>
            </w:r>
            <w:r>
              <w:rPr>
                <w:rFonts w:hint="eastAsia"/>
                <w:color w:val="auto"/>
                <w:lang w:eastAsia="zh-CN"/>
              </w:rPr>
              <w:t>万向罩</w:t>
            </w:r>
            <w:r>
              <w:rPr>
                <w:rFonts w:hint="eastAsia"/>
                <w:color w:val="auto"/>
              </w:rPr>
              <w:t>收集废气，且敞开面控制风速不小于0.5m/s，故废气收集效率按80%取值</w:t>
            </w:r>
            <w:r>
              <w:rPr>
                <w:rFonts w:hint="eastAsia"/>
                <w:color w:val="auto"/>
                <w:lang w:eastAsia="zh-CN"/>
              </w:rPr>
              <w:t>。</w:t>
            </w:r>
            <w:r>
              <w:rPr>
                <w:rFonts w:hint="eastAsia"/>
                <w:color w:val="auto"/>
              </w:rPr>
              <w:t>两级活</w:t>
            </w:r>
            <w:r>
              <w:rPr>
                <w:rFonts w:hint="eastAsia"/>
              </w:rPr>
              <w:t>性炭吸附装置处理效率按50%计</w:t>
            </w:r>
            <w:r>
              <w:rPr>
                <w:rFonts w:hint="eastAsia"/>
                <w:szCs w:val="21"/>
              </w:rPr>
              <w:t>，</w:t>
            </w:r>
            <w:r>
              <w:rPr>
                <w:rFonts w:hint="eastAsia"/>
              </w:rPr>
              <w:t>风机风量为18000m</w:t>
            </w:r>
            <w:r>
              <w:rPr>
                <w:rFonts w:hint="eastAsia"/>
                <w:vertAlign w:val="superscript"/>
              </w:rPr>
              <w:t>3</w:t>
            </w:r>
            <w:r>
              <w:rPr>
                <w:rFonts w:hint="eastAsia"/>
              </w:rPr>
              <w:t>/h，</w:t>
            </w:r>
            <w:r>
              <w:rPr>
                <w:rFonts w:hint="eastAsia"/>
                <w:szCs w:val="21"/>
              </w:rPr>
              <w:t>则项目非甲烷总烃排放情况见表4-1。</w:t>
            </w:r>
          </w:p>
          <w:p w14:paraId="56DF845B">
            <w:pPr>
              <w:tabs>
                <w:tab w:val="left" w:pos="3836"/>
              </w:tabs>
              <w:jc w:val="center"/>
              <w:rPr>
                <w:b/>
                <w:bCs/>
                <w:sz w:val="21"/>
                <w:szCs w:val="18"/>
              </w:rPr>
            </w:pPr>
          </w:p>
          <w:p w14:paraId="206970DF">
            <w:pPr>
              <w:tabs>
                <w:tab w:val="left" w:pos="3836"/>
              </w:tabs>
              <w:jc w:val="center"/>
              <w:rPr>
                <w:b/>
                <w:bCs/>
                <w:sz w:val="21"/>
                <w:szCs w:val="18"/>
              </w:rPr>
            </w:pPr>
          </w:p>
          <w:p w14:paraId="6AFF7941">
            <w:pPr>
              <w:tabs>
                <w:tab w:val="left" w:pos="3836"/>
              </w:tabs>
              <w:jc w:val="center"/>
              <w:rPr>
                <w:b/>
                <w:bCs/>
                <w:sz w:val="21"/>
                <w:szCs w:val="18"/>
              </w:rPr>
            </w:pPr>
            <w:r>
              <w:rPr>
                <w:b/>
                <w:bCs/>
                <w:sz w:val="21"/>
                <w:szCs w:val="18"/>
              </w:rPr>
              <w:t>表4-</w:t>
            </w:r>
            <w:r>
              <w:rPr>
                <w:rFonts w:hint="eastAsia"/>
                <w:b/>
                <w:bCs/>
                <w:sz w:val="21"/>
                <w:szCs w:val="18"/>
              </w:rPr>
              <w:t>1</w:t>
            </w:r>
            <w:r>
              <w:rPr>
                <w:b/>
                <w:bCs/>
                <w:sz w:val="21"/>
                <w:szCs w:val="18"/>
              </w:rPr>
              <w:t xml:space="preserve">  项目</w:t>
            </w:r>
            <w:r>
              <w:rPr>
                <w:rFonts w:hint="eastAsia"/>
                <w:b/>
                <w:bCs/>
                <w:sz w:val="21"/>
                <w:szCs w:val="18"/>
              </w:rPr>
              <w:t>非甲烷总烃产排</w:t>
            </w:r>
            <w:r>
              <w:rPr>
                <w:b/>
                <w:bCs/>
                <w:sz w:val="21"/>
                <w:szCs w:val="18"/>
              </w:rPr>
              <w:t>情况一览表</w:t>
            </w:r>
          </w:p>
          <w:tbl>
            <w:tblPr>
              <w:tblStyle w:val="23"/>
              <w:tblW w:w="81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
              <w:gridCol w:w="453"/>
              <w:gridCol w:w="453"/>
              <w:gridCol w:w="494"/>
              <w:gridCol w:w="480"/>
              <w:gridCol w:w="586"/>
              <w:gridCol w:w="1066"/>
              <w:gridCol w:w="667"/>
              <w:gridCol w:w="453"/>
              <w:gridCol w:w="467"/>
              <w:gridCol w:w="680"/>
              <w:gridCol w:w="533"/>
              <w:gridCol w:w="533"/>
              <w:gridCol w:w="454"/>
              <w:gridCol w:w="413"/>
            </w:tblGrid>
            <w:tr w14:paraId="3F1A7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vAlign w:val="center"/>
                </w:tcPr>
                <w:p w14:paraId="3C869635">
                  <w:pPr>
                    <w:tabs>
                      <w:tab w:val="left" w:pos="3836"/>
                    </w:tabs>
                    <w:jc w:val="center"/>
                    <w:rPr>
                      <w:b/>
                      <w:bCs/>
                      <w:sz w:val="21"/>
                      <w:szCs w:val="21"/>
                    </w:rPr>
                  </w:pPr>
                  <w:r>
                    <w:rPr>
                      <w:b/>
                      <w:bCs/>
                      <w:sz w:val="21"/>
                      <w:szCs w:val="21"/>
                    </w:rPr>
                    <w:t>产排污环节</w:t>
                  </w:r>
                </w:p>
              </w:tc>
              <w:tc>
                <w:tcPr>
                  <w:tcW w:w="453" w:type="dxa"/>
                  <w:vMerge w:val="restart"/>
                  <w:vAlign w:val="center"/>
                </w:tcPr>
                <w:p w14:paraId="13144875">
                  <w:pPr>
                    <w:tabs>
                      <w:tab w:val="left" w:pos="3836"/>
                    </w:tabs>
                    <w:jc w:val="center"/>
                    <w:rPr>
                      <w:b/>
                      <w:bCs/>
                      <w:sz w:val="21"/>
                      <w:szCs w:val="21"/>
                    </w:rPr>
                  </w:pPr>
                  <w:r>
                    <w:rPr>
                      <w:b/>
                      <w:bCs/>
                      <w:sz w:val="21"/>
                      <w:szCs w:val="21"/>
                    </w:rPr>
                    <w:t>污染源</w:t>
                  </w:r>
                </w:p>
              </w:tc>
              <w:tc>
                <w:tcPr>
                  <w:tcW w:w="453" w:type="dxa"/>
                  <w:vMerge w:val="restart"/>
                  <w:vAlign w:val="center"/>
                </w:tcPr>
                <w:p w14:paraId="0356F664">
                  <w:pPr>
                    <w:tabs>
                      <w:tab w:val="left" w:pos="3836"/>
                    </w:tabs>
                    <w:jc w:val="center"/>
                    <w:rPr>
                      <w:b/>
                      <w:bCs/>
                      <w:sz w:val="21"/>
                      <w:szCs w:val="21"/>
                    </w:rPr>
                  </w:pPr>
                  <w:r>
                    <w:rPr>
                      <w:b/>
                      <w:bCs/>
                      <w:sz w:val="21"/>
                      <w:szCs w:val="21"/>
                    </w:rPr>
                    <w:t>污染物</w:t>
                  </w:r>
                </w:p>
              </w:tc>
              <w:tc>
                <w:tcPr>
                  <w:tcW w:w="1560" w:type="dxa"/>
                  <w:gridSpan w:val="3"/>
                  <w:vAlign w:val="center"/>
                </w:tcPr>
                <w:p w14:paraId="58BE2C48">
                  <w:pPr>
                    <w:tabs>
                      <w:tab w:val="left" w:pos="3836"/>
                    </w:tabs>
                    <w:jc w:val="center"/>
                    <w:rPr>
                      <w:b/>
                      <w:bCs/>
                      <w:sz w:val="21"/>
                      <w:szCs w:val="21"/>
                    </w:rPr>
                  </w:pPr>
                  <w:r>
                    <w:rPr>
                      <w:b/>
                      <w:bCs/>
                      <w:sz w:val="21"/>
                      <w:szCs w:val="21"/>
                    </w:rPr>
                    <w:t>污染物产生</w:t>
                  </w:r>
                </w:p>
              </w:tc>
              <w:tc>
                <w:tcPr>
                  <w:tcW w:w="3333" w:type="dxa"/>
                  <w:gridSpan w:val="5"/>
                  <w:vAlign w:val="center"/>
                </w:tcPr>
                <w:p w14:paraId="58B8EBE0">
                  <w:pPr>
                    <w:tabs>
                      <w:tab w:val="left" w:pos="3836"/>
                    </w:tabs>
                    <w:jc w:val="center"/>
                    <w:rPr>
                      <w:b/>
                      <w:bCs/>
                      <w:sz w:val="21"/>
                      <w:szCs w:val="21"/>
                    </w:rPr>
                  </w:pPr>
                  <w:r>
                    <w:rPr>
                      <w:b/>
                      <w:bCs/>
                      <w:sz w:val="21"/>
                      <w:szCs w:val="21"/>
                    </w:rPr>
                    <w:t>治理</w:t>
                  </w:r>
                  <w:r>
                    <w:rPr>
                      <w:rFonts w:hint="eastAsia"/>
                      <w:b/>
                      <w:bCs/>
                      <w:sz w:val="21"/>
                      <w:szCs w:val="21"/>
                    </w:rPr>
                    <w:t>措施</w:t>
                  </w:r>
                </w:p>
              </w:tc>
              <w:tc>
                <w:tcPr>
                  <w:tcW w:w="1933" w:type="dxa"/>
                  <w:gridSpan w:val="4"/>
                  <w:vAlign w:val="center"/>
                </w:tcPr>
                <w:p w14:paraId="61E52B74">
                  <w:pPr>
                    <w:tabs>
                      <w:tab w:val="left" w:pos="3836"/>
                    </w:tabs>
                    <w:jc w:val="center"/>
                    <w:rPr>
                      <w:b/>
                      <w:bCs/>
                      <w:sz w:val="21"/>
                      <w:szCs w:val="21"/>
                    </w:rPr>
                  </w:pPr>
                  <w:r>
                    <w:rPr>
                      <w:b/>
                      <w:bCs/>
                      <w:sz w:val="21"/>
                      <w:szCs w:val="21"/>
                    </w:rPr>
                    <w:t>污染物排放</w:t>
                  </w:r>
                </w:p>
              </w:tc>
            </w:tr>
            <w:tr w14:paraId="4027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0FD0AC85">
                  <w:pPr>
                    <w:tabs>
                      <w:tab w:val="left" w:pos="3836"/>
                    </w:tabs>
                    <w:jc w:val="center"/>
                    <w:rPr>
                      <w:b/>
                      <w:bCs/>
                      <w:sz w:val="21"/>
                      <w:szCs w:val="21"/>
                    </w:rPr>
                  </w:pPr>
                </w:p>
              </w:tc>
              <w:tc>
                <w:tcPr>
                  <w:tcW w:w="453" w:type="dxa"/>
                  <w:vMerge w:val="continue"/>
                  <w:vAlign w:val="center"/>
                </w:tcPr>
                <w:p w14:paraId="0AC91238">
                  <w:pPr>
                    <w:autoSpaceDE w:val="0"/>
                    <w:adjustRightInd w:val="0"/>
                    <w:snapToGrid w:val="0"/>
                    <w:jc w:val="center"/>
                    <w:rPr>
                      <w:b/>
                      <w:bCs/>
                      <w:sz w:val="21"/>
                      <w:szCs w:val="21"/>
                    </w:rPr>
                  </w:pPr>
                </w:p>
              </w:tc>
              <w:tc>
                <w:tcPr>
                  <w:tcW w:w="453" w:type="dxa"/>
                  <w:vMerge w:val="continue"/>
                  <w:vAlign w:val="center"/>
                </w:tcPr>
                <w:p w14:paraId="238F6AB4">
                  <w:pPr>
                    <w:autoSpaceDE w:val="0"/>
                    <w:adjustRightInd w:val="0"/>
                    <w:snapToGrid w:val="0"/>
                    <w:jc w:val="center"/>
                    <w:rPr>
                      <w:b/>
                      <w:bCs/>
                      <w:sz w:val="21"/>
                      <w:szCs w:val="21"/>
                    </w:rPr>
                  </w:pPr>
                </w:p>
              </w:tc>
              <w:tc>
                <w:tcPr>
                  <w:tcW w:w="494" w:type="dxa"/>
                  <w:vAlign w:val="center"/>
                </w:tcPr>
                <w:p w14:paraId="1F4450A0">
                  <w:pPr>
                    <w:autoSpaceDE w:val="0"/>
                    <w:adjustRightInd w:val="0"/>
                    <w:snapToGrid w:val="0"/>
                    <w:jc w:val="center"/>
                    <w:rPr>
                      <w:b/>
                      <w:bCs/>
                      <w:sz w:val="21"/>
                      <w:szCs w:val="21"/>
                    </w:rPr>
                  </w:pPr>
                  <w:r>
                    <w:rPr>
                      <w:b/>
                      <w:bCs/>
                      <w:sz w:val="21"/>
                      <w:szCs w:val="21"/>
                    </w:rPr>
                    <w:t>产生量kg/a</w:t>
                  </w:r>
                </w:p>
              </w:tc>
              <w:tc>
                <w:tcPr>
                  <w:tcW w:w="480" w:type="dxa"/>
                  <w:vAlign w:val="center"/>
                </w:tcPr>
                <w:p w14:paraId="3EE8C02F">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586" w:type="dxa"/>
                  <w:vAlign w:val="center"/>
                </w:tcPr>
                <w:p w14:paraId="7DA28388">
                  <w:pPr>
                    <w:autoSpaceDE w:val="0"/>
                    <w:adjustRightInd w:val="0"/>
                    <w:snapToGrid w:val="0"/>
                    <w:jc w:val="center"/>
                    <w:rPr>
                      <w:b/>
                      <w:bCs/>
                      <w:sz w:val="21"/>
                      <w:szCs w:val="21"/>
                    </w:rPr>
                  </w:pPr>
                  <w:r>
                    <w:rPr>
                      <w:b/>
                      <w:bCs/>
                      <w:sz w:val="21"/>
                      <w:szCs w:val="21"/>
                    </w:rPr>
                    <w:t>速率kg/h</w:t>
                  </w:r>
                </w:p>
              </w:tc>
              <w:tc>
                <w:tcPr>
                  <w:tcW w:w="1066" w:type="dxa"/>
                  <w:vAlign w:val="center"/>
                </w:tcPr>
                <w:p w14:paraId="38CA8967">
                  <w:pPr>
                    <w:tabs>
                      <w:tab w:val="left" w:pos="3836"/>
                    </w:tabs>
                    <w:jc w:val="center"/>
                    <w:rPr>
                      <w:b/>
                      <w:bCs/>
                      <w:sz w:val="21"/>
                      <w:szCs w:val="21"/>
                    </w:rPr>
                  </w:pPr>
                  <w:r>
                    <w:rPr>
                      <w:b/>
                      <w:bCs/>
                      <w:sz w:val="21"/>
                      <w:szCs w:val="21"/>
                    </w:rPr>
                    <w:t>治理</w:t>
                  </w:r>
                </w:p>
                <w:p w14:paraId="7A6493F9">
                  <w:pPr>
                    <w:tabs>
                      <w:tab w:val="left" w:pos="3836"/>
                    </w:tabs>
                    <w:jc w:val="center"/>
                    <w:rPr>
                      <w:b/>
                      <w:bCs/>
                      <w:sz w:val="21"/>
                      <w:szCs w:val="21"/>
                    </w:rPr>
                  </w:pPr>
                  <w:r>
                    <w:rPr>
                      <w:b/>
                      <w:bCs/>
                      <w:sz w:val="21"/>
                      <w:szCs w:val="21"/>
                    </w:rPr>
                    <w:t>工艺</w:t>
                  </w:r>
                </w:p>
              </w:tc>
              <w:tc>
                <w:tcPr>
                  <w:tcW w:w="667" w:type="dxa"/>
                  <w:vAlign w:val="center"/>
                </w:tcPr>
                <w:p w14:paraId="7C718BB0">
                  <w:pPr>
                    <w:tabs>
                      <w:tab w:val="left" w:pos="3836"/>
                    </w:tabs>
                    <w:jc w:val="center"/>
                    <w:rPr>
                      <w:b/>
                      <w:bCs/>
                      <w:sz w:val="21"/>
                      <w:szCs w:val="21"/>
                    </w:rPr>
                  </w:pPr>
                  <w:r>
                    <w:rPr>
                      <w:b/>
                      <w:bCs/>
                      <w:sz w:val="21"/>
                      <w:szCs w:val="21"/>
                    </w:rPr>
                    <w:t>处理能力m</w:t>
                  </w:r>
                  <w:r>
                    <w:rPr>
                      <w:b/>
                      <w:bCs/>
                      <w:sz w:val="21"/>
                      <w:szCs w:val="21"/>
                      <w:vertAlign w:val="superscript"/>
                    </w:rPr>
                    <w:t>3</w:t>
                  </w:r>
                  <w:r>
                    <w:rPr>
                      <w:b/>
                      <w:bCs/>
                      <w:sz w:val="21"/>
                      <w:szCs w:val="21"/>
                    </w:rPr>
                    <w:t>/h</w:t>
                  </w:r>
                </w:p>
              </w:tc>
              <w:tc>
                <w:tcPr>
                  <w:tcW w:w="453" w:type="dxa"/>
                  <w:vAlign w:val="center"/>
                </w:tcPr>
                <w:p w14:paraId="4A67F6BA">
                  <w:pPr>
                    <w:autoSpaceDE w:val="0"/>
                    <w:adjustRightInd w:val="0"/>
                    <w:snapToGrid w:val="0"/>
                    <w:jc w:val="center"/>
                    <w:rPr>
                      <w:b/>
                      <w:bCs/>
                      <w:sz w:val="21"/>
                      <w:szCs w:val="21"/>
                    </w:rPr>
                  </w:pPr>
                  <w:r>
                    <w:rPr>
                      <w:b/>
                      <w:bCs/>
                      <w:sz w:val="21"/>
                      <w:szCs w:val="21"/>
                    </w:rPr>
                    <w:t>收集效率%</w:t>
                  </w:r>
                </w:p>
              </w:tc>
              <w:tc>
                <w:tcPr>
                  <w:tcW w:w="467" w:type="dxa"/>
                  <w:vAlign w:val="center"/>
                </w:tcPr>
                <w:p w14:paraId="2372157C">
                  <w:pPr>
                    <w:autoSpaceDE w:val="0"/>
                    <w:adjustRightInd w:val="0"/>
                    <w:snapToGrid w:val="0"/>
                    <w:jc w:val="center"/>
                    <w:rPr>
                      <w:b/>
                      <w:bCs/>
                      <w:sz w:val="21"/>
                      <w:szCs w:val="21"/>
                    </w:rPr>
                  </w:pPr>
                  <w:r>
                    <w:rPr>
                      <w:b/>
                      <w:bCs/>
                      <w:sz w:val="21"/>
                      <w:szCs w:val="21"/>
                    </w:rPr>
                    <w:t>去除效率%</w:t>
                  </w:r>
                </w:p>
              </w:tc>
              <w:tc>
                <w:tcPr>
                  <w:tcW w:w="680" w:type="dxa"/>
                  <w:vAlign w:val="center"/>
                </w:tcPr>
                <w:p w14:paraId="757176A3">
                  <w:pPr>
                    <w:autoSpaceDE w:val="0"/>
                    <w:adjustRightInd w:val="0"/>
                    <w:snapToGrid w:val="0"/>
                    <w:jc w:val="center"/>
                    <w:rPr>
                      <w:b/>
                      <w:bCs/>
                      <w:sz w:val="21"/>
                      <w:szCs w:val="21"/>
                    </w:rPr>
                  </w:pPr>
                  <w:r>
                    <w:rPr>
                      <w:b/>
                      <w:bCs/>
                      <w:sz w:val="21"/>
                      <w:szCs w:val="21"/>
                    </w:rPr>
                    <w:t>是否为可行技术</w:t>
                  </w:r>
                </w:p>
              </w:tc>
              <w:tc>
                <w:tcPr>
                  <w:tcW w:w="533" w:type="dxa"/>
                  <w:vAlign w:val="center"/>
                </w:tcPr>
                <w:p w14:paraId="0E6364FF">
                  <w:pPr>
                    <w:autoSpaceDE w:val="0"/>
                    <w:adjustRightInd w:val="0"/>
                    <w:snapToGrid w:val="0"/>
                    <w:jc w:val="center"/>
                    <w:rPr>
                      <w:b/>
                      <w:bCs/>
                      <w:sz w:val="21"/>
                      <w:szCs w:val="21"/>
                    </w:rPr>
                  </w:pPr>
                  <w:r>
                    <w:rPr>
                      <w:b/>
                      <w:bCs/>
                      <w:sz w:val="21"/>
                      <w:szCs w:val="21"/>
                    </w:rPr>
                    <w:t>排放量kg/a</w:t>
                  </w:r>
                </w:p>
              </w:tc>
              <w:tc>
                <w:tcPr>
                  <w:tcW w:w="533" w:type="dxa"/>
                  <w:vAlign w:val="center"/>
                </w:tcPr>
                <w:p w14:paraId="3BE70081">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454" w:type="dxa"/>
                  <w:vAlign w:val="center"/>
                </w:tcPr>
                <w:p w14:paraId="60380A92">
                  <w:pPr>
                    <w:autoSpaceDE w:val="0"/>
                    <w:adjustRightInd w:val="0"/>
                    <w:snapToGrid w:val="0"/>
                    <w:jc w:val="center"/>
                    <w:rPr>
                      <w:b/>
                      <w:bCs/>
                      <w:sz w:val="21"/>
                      <w:szCs w:val="21"/>
                    </w:rPr>
                  </w:pPr>
                  <w:r>
                    <w:rPr>
                      <w:b/>
                      <w:bCs/>
                      <w:sz w:val="21"/>
                      <w:szCs w:val="21"/>
                    </w:rPr>
                    <w:t>速率kg/h</w:t>
                  </w:r>
                </w:p>
              </w:tc>
              <w:tc>
                <w:tcPr>
                  <w:tcW w:w="413" w:type="dxa"/>
                  <w:vAlign w:val="center"/>
                </w:tcPr>
                <w:p w14:paraId="0F5FD005">
                  <w:pPr>
                    <w:autoSpaceDE w:val="0"/>
                    <w:adjustRightInd w:val="0"/>
                    <w:snapToGrid w:val="0"/>
                    <w:jc w:val="center"/>
                    <w:rPr>
                      <w:b/>
                      <w:bCs/>
                      <w:sz w:val="21"/>
                      <w:szCs w:val="21"/>
                    </w:rPr>
                  </w:pPr>
                  <w:r>
                    <w:rPr>
                      <w:b/>
                      <w:bCs/>
                      <w:sz w:val="21"/>
                      <w:szCs w:val="21"/>
                    </w:rPr>
                    <w:t>排放形式</w:t>
                  </w:r>
                </w:p>
              </w:tc>
            </w:tr>
            <w:tr w14:paraId="7BEA2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shd w:val="clear" w:color="auto" w:fill="auto"/>
                  <w:vAlign w:val="center"/>
                </w:tcPr>
                <w:p w14:paraId="30BF1024">
                  <w:pPr>
                    <w:tabs>
                      <w:tab w:val="left" w:pos="3836"/>
                    </w:tabs>
                    <w:jc w:val="center"/>
                    <w:rPr>
                      <w:sz w:val="21"/>
                      <w:szCs w:val="21"/>
                    </w:rPr>
                  </w:pPr>
                  <w:r>
                    <w:rPr>
                      <w:rFonts w:hint="eastAsia"/>
                      <w:sz w:val="21"/>
                      <w:szCs w:val="21"/>
                    </w:rPr>
                    <w:t>有机</w:t>
                  </w:r>
                  <w:r>
                    <w:rPr>
                      <w:sz w:val="21"/>
                      <w:szCs w:val="21"/>
                    </w:rPr>
                    <w:t>前处理</w:t>
                  </w:r>
                  <w:r>
                    <w:rPr>
                      <w:rFonts w:hint="eastAsia"/>
                      <w:sz w:val="21"/>
                      <w:szCs w:val="21"/>
                    </w:rPr>
                    <w:t>及实验过程</w:t>
                  </w:r>
                </w:p>
              </w:tc>
              <w:tc>
                <w:tcPr>
                  <w:tcW w:w="453" w:type="dxa"/>
                  <w:shd w:val="clear" w:color="auto" w:fill="auto"/>
                  <w:vAlign w:val="center"/>
                </w:tcPr>
                <w:p w14:paraId="073C6D43">
                  <w:pPr>
                    <w:tabs>
                      <w:tab w:val="left" w:pos="3836"/>
                    </w:tabs>
                    <w:jc w:val="center"/>
                    <w:rPr>
                      <w:sz w:val="21"/>
                      <w:szCs w:val="21"/>
                    </w:rPr>
                  </w:pPr>
                  <w:r>
                    <w:rPr>
                      <w:sz w:val="21"/>
                      <w:szCs w:val="21"/>
                    </w:rPr>
                    <w:t>DA001</w:t>
                  </w:r>
                </w:p>
              </w:tc>
              <w:tc>
                <w:tcPr>
                  <w:tcW w:w="453" w:type="dxa"/>
                  <w:vMerge w:val="restart"/>
                  <w:shd w:val="clear" w:color="auto" w:fill="auto"/>
                  <w:vAlign w:val="center"/>
                </w:tcPr>
                <w:p w14:paraId="177934AF">
                  <w:pPr>
                    <w:tabs>
                      <w:tab w:val="left" w:pos="3836"/>
                    </w:tabs>
                    <w:jc w:val="center"/>
                    <w:rPr>
                      <w:sz w:val="21"/>
                      <w:szCs w:val="21"/>
                    </w:rPr>
                  </w:pPr>
                  <w:r>
                    <w:rPr>
                      <w:sz w:val="21"/>
                      <w:szCs w:val="21"/>
                    </w:rPr>
                    <w:t>非甲烷总烃</w:t>
                  </w:r>
                </w:p>
              </w:tc>
              <w:tc>
                <w:tcPr>
                  <w:tcW w:w="494" w:type="dxa"/>
                  <w:shd w:val="clear" w:color="auto" w:fill="auto"/>
                  <w:vAlign w:val="center"/>
                </w:tcPr>
                <w:p w14:paraId="1A9E17B5">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77.04</w:t>
                  </w:r>
                </w:p>
              </w:tc>
              <w:tc>
                <w:tcPr>
                  <w:tcW w:w="480" w:type="dxa"/>
                  <w:shd w:val="clear" w:color="auto" w:fill="auto"/>
                  <w:vAlign w:val="center"/>
                </w:tcPr>
                <w:p w14:paraId="259EA5A7">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17.12</w:t>
                  </w:r>
                </w:p>
              </w:tc>
              <w:tc>
                <w:tcPr>
                  <w:tcW w:w="586" w:type="dxa"/>
                  <w:shd w:val="clear" w:color="auto" w:fill="auto"/>
                  <w:vAlign w:val="center"/>
                </w:tcPr>
                <w:p w14:paraId="412FBFE3">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0.31</w:t>
                  </w:r>
                </w:p>
              </w:tc>
              <w:tc>
                <w:tcPr>
                  <w:tcW w:w="1066" w:type="dxa"/>
                  <w:shd w:val="clear" w:color="auto" w:fill="auto"/>
                  <w:vAlign w:val="center"/>
                </w:tcPr>
                <w:p w14:paraId="580C90D3">
                  <w:pPr>
                    <w:tabs>
                      <w:tab w:val="left" w:pos="3836"/>
                    </w:tabs>
                    <w:jc w:val="center"/>
                    <w:rPr>
                      <w:sz w:val="21"/>
                      <w:szCs w:val="21"/>
                    </w:rPr>
                  </w:pPr>
                  <w:r>
                    <w:rPr>
                      <w:sz w:val="21"/>
                      <w:szCs w:val="21"/>
                    </w:rPr>
                    <w:t>通风橱/</w:t>
                  </w:r>
                  <w:r>
                    <w:rPr>
                      <w:rFonts w:hint="eastAsia"/>
                      <w:sz w:val="21"/>
                      <w:szCs w:val="21"/>
                      <w:lang w:eastAsia="zh-CN"/>
                    </w:rPr>
                    <w:t>万向罩</w:t>
                  </w:r>
                  <w:r>
                    <w:rPr>
                      <w:sz w:val="21"/>
                      <w:szCs w:val="21"/>
                    </w:rPr>
                    <w:t>+</w:t>
                  </w:r>
                  <w:r>
                    <w:rPr>
                      <w:rFonts w:hint="eastAsia"/>
                      <w:sz w:val="21"/>
                      <w:szCs w:val="21"/>
                    </w:rPr>
                    <w:t>两级</w:t>
                  </w:r>
                  <w:r>
                    <w:rPr>
                      <w:sz w:val="21"/>
                      <w:szCs w:val="21"/>
                    </w:rPr>
                    <w:t>活性炭吸附装置+35m高排气筒</w:t>
                  </w:r>
                </w:p>
              </w:tc>
              <w:tc>
                <w:tcPr>
                  <w:tcW w:w="667" w:type="dxa"/>
                  <w:shd w:val="clear" w:color="auto" w:fill="auto"/>
                  <w:vAlign w:val="center"/>
                </w:tcPr>
                <w:p w14:paraId="39FBB642">
                  <w:pPr>
                    <w:tabs>
                      <w:tab w:val="left" w:pos="3836"/>
                    </w:tabs>
                    <w:jc w:val="center"/>
                    <w:rPr>
                      <w:sz w:val="21"/>
                      <w:szCs w:val="21"/>
                    </w:rPr>
                  </w:pPr>
                  <w:r>
                    <w:rPr>
                      <w:sz w:val="21"/>
                      <w:szCs w:val="21"/>
                    </w:rPr>
                    <w:t>18000</w:t>
                  </w:r>
                </w:p>
              </w:tc>
              <w:tc>
                <w:tcPr>
                  <w:tcW w:w="453" w:type="dxa"/>
                  <w:shd w:val="clear" w:color="auto" w:fill="auto"/>
                  <w:vAlign w:val="center"/>
                </w:tcPr>
                <w:p w14:paraId="329628F2">
                  <w:pPr>
                    <w:tabs>
                      <w:tab w:val="left" w:pos="3836"/>
                    </w:tabs>
                    <w:jc w:val="center"/>
                    <w:rPr>
                      <w:sz w:val="21"/>
                      <w:szCs w:val="21"/>
                    </w:rPr>
                  </w:pPr>
                  <w:r>
                    <w:rPr>
                      <w:sz w:val="21"/>
                      <w:szCs w:val="21"/>
                    </w:rPr>
                    <w:t>80</w:t>
                  </w:r>
                </w:p>
              </w:tc>
              <w:tc>
                <w:tcPr>
                  <w:tcW w:w="467" w:type="dxa"/>
                  <w:shd w:val="clear" w:color="auto" w:fill="auto"/>
                  <w:vAlign w:val="center"/>
                </w:tcPr>
                <w:p w14:paraId="5BD4CD40">
                  <w:pPr>
                    <w:tabs>
                      <w:tab w:val="left" w:pos="3836"/>
                    </w:tabs>
                    <w:jc w:val="center"/>
                    <w:rPr>
                      <w:sz w:val="21"/>
                      <w:szCs w:val="21"/>
                    </w:rPr>
                  </w:pPr>
                  <w:r>
                    <w:rPr>
                      <w:sz w:val="21"/>
                      <w:szCs w:val="21"/>
                    </w:rPr>
                    <w:t>50</w:t>
                  </w:r>
                </w:p>
              </w:tc>
              <w:tc>
                <w:tcPr>
                  <w:tcW w:w="680" w:type="dxa"/>
                  <w:shd w:val="clear" w:color="auto" w:fill="auto"/>
                  <w:vAlign w:val="center"/>
                </w:tcPr>
                <w:p w14:paraId="145FD0B3">
                  <w:pPr>
                    <w:tabs>
                      <w:tab w:val="left" w:pos="3836"/>
                    </w:tabs>
                    <w:jc w:val="center"/>
                    <w:rPr>
                      <w:sz w:val="21"/>
                      <w:szCs w:val="21"/>
                    </w:rPr>
                  </w:pPr>
                  <w:r>
                    <w:rPr>
                      <w:sz w:val="21"/>
                      <w:szCs w:val="21"/>
                    </w:rPr>
                    <w:t>是</w:t>
                  </w:r>
                </w:p>
              </w:tc>
              <w:tc>
                <w:tcPr>
                  <w:tcW w:w="533" w:type="dxa"/>
                  <w:shd w:val="clear" w:color="auto" w:fill="auto"/>
                  <w:vAlign w:val="center"/>
                </w:tcPr>
                <w:p w14:paraId="40347004">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38.52</w:t>
                  </w:r>
                </w:p>
              </w:tc>
              <w:tc>
                <w:tcPr>
                  <w:tcW w:w="533" w:type="dxa"/>
                  <w:shd w:val="clear" w:color="auto" w:fill="auto"/>
                  <w:vAlign w:val="center"/>
                </w:tcPr>
                <w:p w14:paraId="1DA8159E">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8.56</w:t>
                  </w:r>
                </w:p>
              </w:tc>
              <w:tc>
                <w:tcPr>
                  <w:tcW w:w="454" w:type="dxa"/>
                  <w:shd w:val="clear" w:color="auto" w:fill="auto"/>
                  <w:vAlign w:val="center"/>
                </w:tcPr>
                <w:p w14:paraId="5AB936A4">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0.155</w:t>
                  </w:r>
                </w:p>
              </w:tc>
              <w:tc>
                <w:tcPr>
                  <w:tcW w:w="413" w:type="dxa"/>
                  <w:shd w:val="clear" w:color="auto" w:fill="auto"/>
                  <w:vAlign w:val="center"/>
                </w:tcPr>
                <w:p w14:paraId="7DB2AAE9">
                  <w:pPr>
                    <w:tabs>
                      <w:tab w:val="left" w:pos="3836"/>
                    </w:tabs>
                    <w:jc w:val="center"/>
                    <w:rPr>
                      <w:sz w:val="21"/>
                      <w:szCs w:val="21"/>
                    </w:rPr>
                  </w:pPr>
                  <w:r>
                    <w:rPr>
                      <w:sz w:val="21"/>
                      <w:szCs w:val="21"/>
                    </w:rPr>
                    <w:t>有组织</w:t>
                  </w:r>
                </w:p>
              </w:tc>
            </w:tr>
            <w:tr w14:paraId="13A2C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6B730121">
                  <w:pPr>
                    <w:tabs>
                      <w:tab w:val="left" w:pos="3836"/>
                    </w:tabs>
                    <w:jc w:val="center"/>
                    <w:rPr>
                      <w:sz w:val="21"/>
                      <w:szCs w:val="21"/>
                    </w:rPr>
                  </w:pPr>
                </w:p>
              </w:tc>
              <w:tc>
                <w:tcPr>
                  <w:tcW w:w="453" w:type="dxa"/>
                  <w:shd w:val="clear" w:color="auto" w:fill="auto"/>
                  <w:vAlign w:val="center"/>
                </w:tcPr>
                <w:p w14:paraId="54F7F414">
                  <w:pPr>
                    <w:tabs>
                      <w:tab w:val="left" w:pos="3836"/>
                    </w:tabs>
                    <w:jc w:val="center"/>
                    <w:rPr>
                      <w:sz w:val="21"/>
                      <w:szCs w:val="21"/>
                    </w:rPr>
                  </w:pPr>
                  <w:r>
                    <w:rPr>
                      <w:sz w:val="21"/>
                      <w:szCs w:val="21"/>
                    </w:rPr>
                    <w:t>实验室</w:t>
                  </w:r>
                </w:p>
              </w:tc>
              <w:tc>
                <w:tcPr>
                  <w:tcW w:w="453" w:type="dxa"/>
                  <w:vMerge w:val="continue"/>
                  <w:vAlign w:val="center"/>
                </w:tcPr>
                <w:p w14:paraId="7E2EE6FE">
                  <w:pPr>
                    <w:tabs>
                      <w:tab w:val="left" w:pos="3836"/>
                    </w:tabs>
                    <w:jc w:val="center"/>
                    <w:rPr>
                      <w:sz w:val="21"/>
                      <w:szCs w:val="21"/>
                    </w:rPr>
                  </w:pPr>
                </w:p>
              </w:tc>
              <w:tc>
                <w:tcPr>
                  <w:tcW w:w="494" w:type="dxa"/>
                  <w:shd w:val="clear" w:color="auto" w:fill="auto"/>
                  <w:vAlign w:val="center"/>
                </w:tcPr>
                <w:p w14:paraId="3084F8BF">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19.26</w:t>
                  </w:r>
                </w:p>
              </w:tc>
              <w:tc>
                <w:tcPr>
                  <w:tcW w:w="480" w:type="dxa"/>
                  <w:shd w:val="clear" w:color="auto" w:fill="auto"/>
                  <w:vAlign w:val="center"/>
                </w:tcPr>
                <w:p w14:paraId="2B754025">
                  <w:pPr>
                    <w:tabs>
                      <w:tab w:val="left" w:pos="3836"/>
                    </w:tabs>
                    <w:jc w:val="center"/>
                    <w:rPr>
                      <w:color w:val="FF0000"/>
                      <w:sz w:val="21"/>
                      <w:szCs w:val="21"/>
                    </w:rPr>
                  </w:pPr>
                  <w:r>
                    <w:rPr>
                      <w:color w:val="FF0000"/>
                      <w:sz w:val="21"/>
                      <w:szCs w:val="21"/>
                    </w:rPr>
                    <w:t>/</w:t>
                  </w:r>
                </w:p>
              </w:tc>
              <w:tc>
                <w:tcPr>
                  <w:tcW w:w="586" w:type="dxa"/>
                  <w:shd w:val="clear" w:color="auto" w:fill="auto"/>
                  <w:vAlign w:val="center"/>
                </w:tcPr>
                <w:p w14:paraId="3606EE49">
                  <w:pPr>
                    <w:tabs>
                      <w:tab w:val="left" w:pos="3836"/>
                    </w:tabs>
                    <w:jc w:val="center"/>
                    <w:rPr>
                      <w:rFonts w:hint="default" w:eastAsia="宋体"/>
                      <w:color w:val="FF0000"/>
                      <w:sz w:val="21"/>
                      <w:szCs w:val="21"/>
                      <w:lang w:val="en-US" w:eastAsia="zh-CN"/>
                    </w:rPr>
                  </w:pPr>
                  <w:r>
                    <w:rPr>
                      <w:rFonts w:hint="eastAsia"/>
                      <w:color w:val="FF0000"/>
                      <w:sz w:val="21"/>
                      <w:szCs w:val="21"/>
                      <w:lang w:val="en-US" w:eastAsia="zh-CN"/>
                    </w:rPr>
                    <w:t>0.077</w:t>
                  </w:r>
                </w:p>
              </w:tc>
              <w:tc>
                <w:tcPr>
                  <w:tcW w:w="1066" w:type="dxa"/>
                  <w:shd w:val="clear" w:color="auto" w:fill="auto"/>
                  <w:vAlign w:val="center"/>
                </w:tcPr>
                <w:p w14:paraId="3F152A9C">
                  <w:pPr>
                    <w:tabs>
                      <w:tab w:val="left" w:pos="3836"/>
                    </w:tabs>
                    <w:jc w:val="center"/>
                    <w:rPr>
                      <w:sz w:val="21"/>
                      <w:szCs w:val="21"/>
                    </w:rPr>
                  </w:pPr>
                  <w:r>
                    <w:rPr>
                      <w:sz w:val="21"/>
                      <w:szCs w:val="21"/>
                    </w:rPr>
                    <w:t>通风换气</w:t>
                  </w:r>
                </w:p>
              </w:tc>
              <w:tc>
                <w:tcPr>
                  <w:tcW w:w="667" w:type="dxa"/>
                  <w:shd w:val="clear" w:color="auto" w:fill="auto"/>
                  <w:vAlign w:val="center"/>
                </w:tcPr>
                <w:p w14:paraId="4A97E6BE">
                  <w:pPr>
                    <w:tabs>
                      <w:tab w:val="left" w:pos="3836"/>
                    </w:tabs>
                    <w:jc w:val="center"/>
                    <w:rPr>
                      <w:sz w:val="21"/>
                      <w:szCs w:val="21"/>
                    </w:rPr>
                  </w:pPr>
                  <w:r>
                    <w:rPr>
                      <w:sz w:val="21"/>
                      <w:szCs w:val="21"/>
                    </w:rPr>
                    <w:t>/</w:t>
                  </w:r>
                </w:p>
              </w:tc>
              <w:tc>
                <w:tcPr>
                  <w:tcW w:w="453" w:type="dxa"/>
                  <w:shd w:val="clear" w:color="auto" w:fill="auto"/>
                  <w:vAlign w:val="center"/>
                </w:tcPr>
                <w:p w14:paraId="29B28A3A">
                  <w:pPr>
                    <w:tabs>
                      <w:tab w:val="left" w:pos="3836"/>
                    </w:tabs>
                    <w:jc w:val="center"/>
                    <w:rPr>
                      <w:sz w:val="21"/>
                      <w:szCs w:val="21"/>
                    </w:rPr>
                  </w:pPr>
                  <w:r>
                    <w:rPr>
                      <w:sz w:val="21"/>
                      <w:szCs w:val="21"/>
                    </w:rPr>
                    <w:t>/</w:t>
                  </w:r>
                </w:p>
              </w:tc>
              <w:tc>
                <w:tcPr>
                  <w:tcW w:w="467" w:type="dxa"/>
                  <w:shd w:val="clear" w:color="auto" w:fill="auto"/>
                  <w:vAlign w:val="center"/>
                </w:tcPr>
                <w:p w14:paraId="152F586D">
                  <w:pPr>
                    <w:tabs>
                      <w:tab w:val="left" w:pos="3836"/>
                    </w:tabs>
                    <w:jc w:val="center"/>
                    <w:rPr>
                      <w:sz w:val="21"/>
                      <w:szCs w:val="21"/>
                    </w:rPr>
                  </w:pPr>
                  <w:r>
                    <w:rPr>
                      <w:sz w:val="21"/>
                      <w:szCs w:val="21"/>
                    </w:rPr>
                    <w:t>/</w:t>
                  </w:r>
                </w:p>
              </w:tc>
              <w:tc>
                <w:tcPr>
                  <w:tcW w:w="680" w:type="dxa"/>
                  <w:shd w:val="clear" w:color="auto" w:fill="auto"/>
                  <w:vAlign w:val="center"/>
                </w:tcPr>
                <w:p w14:paraId="0B7BDCD0">
                  <w:pPr>
                    <w:tabs>
                      <w:tab w:val="left" w:pos="3836"/>
                    </w:tabs>
                    <w:jc w:val="center"/>
                    <w:rPr>
                      <w:sz w:val="21"/>
                      <w:szCs w:val="21"/>
                    </w:rPr>
                  </w:pPr>
                  <w:r>
                    <w:rPr>
                      <w:sz w:val="21"/>
                      <w:szCs w:val="21"/>
                    </w:rPr>
                    <w:t>/</w:t>
                  </w:r>
                </w:p>
              </w:tc>
              <w:tc>
                <w:tcPr>
                  <w:tcW w:w="533" w:type="dxa"/>
                  <w:shd w:val="clear" w:color="auto" w:fill="auto"/>
                  <w:vAlign w:val="center"/>
                </w:tcPr>
                <w:p w14:paraId="00CAB563">
                  <w:pPr>
                    <w:tabs>
                      <w:tab w:val="left" w:pos="3836"/>
                    </w:tabs>
                    <w:jc w:val="center"/>
                    <w:rPr>
                      <w:rFonts w:hint="default"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19.26</w:t>
                  </w:r>
                </w:p>
              </w:tc>
              <w:tc>
                <w:tcPr>
                  <w:tcW w:w="533" w:type="dxa"/>
                  <w:shd w:val="clear" w:color="auto" w:fill="auto"/>
                  <w:vAlign w:val="center"/>
                </w:tcPr>
                <w:p w14:paraId="4E8A44BD">
                  <w:pPr>
                    <w:tabs>
                      <w:tab w:val="left" w:pos="3836"/>
                    </w:tabs>
                    <w:jc w:val="center"/>
                    <w:rPr>
                      <w:rFonts w:ascii="Times New Roman" w:hAnsi="Times New Roman" w:eastAsia="宋体" w:cs="Times New Roman"/>
                      <w:color w:val="FF0000"/>
                      <w:kern w:val="2"/>
                      <w:sz w:val="21"/>
                      <w:szCs w:val="21"/>
                      <w:lang w:val="en-US" w:eastAsia="zh-CN" w:bidi="ar-SA"/>
                    </w:rPr>
                  </w:pPr>
                  <w:r>
                    <w:rPr>
                      <w:color w:val="FF0000"/>
                      <w:sz w:val="21"/>
                      <w:szCs w:val="21"/>
                    </w:rPr>
                    <w:t>/</w:t>
                  </w:r>
                </w:p>
              </w:tc>
              <w:tc>
                <w:tcPr>
                  <w:tcW w:w="454" w:type="dxa"/>
                  <w:shd w:val="clear" w:color="auto" w:fill="auto"/>
                  <w:vAlign w:val="center"/>
                </w:tcPr>
                <w:p w14:paraId="45E6F65E">
                  <w:pPr>
                    <w:tabs>
                      <w:tab w:val="left" w:pos="3836"/>
                    </w:tabs>
                    <w:jc w:val="center"/>
                    <w:rPr>
                      <w:rFonts w:hint="default"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0.077</w:t>
                  </w:r>
                </w:p>
              </w:tc>
              <w:tc>
                <w:tcPr>
                  <w:tcW w:w="413" w:type="dxa"/>
                  <w:shd w:val="clear" w:color="auto" w:fill="auto"/>
                  <w:vAlign w:val="center"/>
                </w:tcPr>
                <w:p w14:paraId="788A1081">
                  <w:pPr>
                    <w:tabs>
                      <w:tab w:val="left" w:pos="3836"/>
                    </w:tabs>
                    <w:jc w:val="center"/>
                    <w:rPr>
                      <w:sz w:val="21"/>
                      <w:szCs w:val="21"/>
                    </w:rPr>
                  </w:pPr>
                  <w:r>
                    <w:rPr>
                      <w:sz w:val="21"/>
                      <w:szCs w:val="21"/>
                    </w:rPr>
                    <w:t>无组织</w:t>
                  </w:r>
                </w:p>
              </w:tc>
            </w:tr>
          </w:tbl>
          <w:p w14:paraId="7CB28CFE">
            <w:pPr>
              <w:widowControl/>
              <w:spacing w:line="360" w:lineRule="auto"/>
              <w:ind w:firstLine="480" w:firstLineChars="200"/>
              <w:rPr>
                <w:rFonts w:hint="default" w:eastAsia="宋体"/>
                <w:szCs w:val="21"/>
                <w:lang w:val="en-US" w:eastAsia="zh-CN"/>
              </w:rPr>
            </w:pPr>
            <w:r>
              <w:rPr>
                <w:rFonts w:hint="eastAsia"/>
                <w:szCs w:val="21"/>
              </w:rPr>
              <w:t>由上表可知，本项目有机检测过程中产生的非甲烷总烃经通风橱/</w:t>
            </w:r>
            <w:r>
              <w:rPr>
                <w:rFonts w:hint="eastAsia"/>
                <w:szCs w:val="21"/>
                <w:lang w:eastAsia="zh-CN"/>
              </w:rPr>
              <w:t>万向罩</w:t>
            </w:r>
            <w:r>
              <w:rPr>
                <w:rFonts w:hint="eastAsia"/>
                <w:szCs w:val="21"/>
              </w:rPr>
              <w:t>+活性炭吸附装置处理后通过35m高排气筒（DA001）能够达标排放，排放速率满足</w:t>
            </w:r>
            <w:r>
              <w:rPr>
                <w:szCs w:val="21"/>
              </w:rPr>
              <w:t>《大气污染物综合排放标准》（GB</w:t>
            </w:r>
            <w:r>
              <w:rPr>
                <w:rFonts w:hint="eastAsia"/>
                <w:szCs w:val="21"/>
              </w:rPr>
              <w:t xml:space="preserve"> </w:t>
            </w:r>
            <w:r>
              <w:rPr>
                <w:szCs w:val="21"/>
              </w:rPr>
              <w:t>16297-1996）</w:t>
            </w:r>
            <w:r>
              <w:rPr>
                <w:rFonts w:hint="eastAsia"/>
                <w:szCs w:val="21"/>
              </w:rPr>
              <w:t>表2中非甲烷总烃35m高排气筒限值（采用内插法计算）的50%。</w:t>
            </w:r>
            <w:r>
              <w:rPr>
                <w:rFonts w:hint="eastAsia"/>
                <w:color w:val="FF0000"/>
                <w:szCs w:val="21"/>
                <w:lang w:val="en-US" w:eastAsia="zh-CN"/>
              </w:rPr>
              <w:t>本项目非甲烷总烃排放量与现有项目非甲烷总烃排放量的差异是因为本项目使用两级活性炭吸附装置，污染物去除效率高。</w:t>
            </w:r>
          </w:p>
          <w:p w14:paraId="40A36C18">
            <w:pPr>
              <w:spacing w:line="360" w:lineRule="auto"/>
              <w:ind w:firstLine="480" w:firstLineChars="200"/>
              <w:rPr>
                <w:rFonts w:hint="eastAsia"/>
              </w:rPr>
            </w:pPr>
            <w:r>
              <w:t>②</w:t>
            </w:r>
            <w:r>
              <w:rPr>
                <w:rFonts w:hint="eastAsia"/>
              </w:rPr>
              <w:t>无机酸性废气</w:t>
            </w:r>
          </w:p>
          <w:p w14:paraId="665858F7">
            <w:pPr>
              <w:numPr>
                <w:ilvl w:val="0"/>
                <w:numId w:val="8"/>
              </w:numPr>
              <w:spacing w:line="360" w:lineRule="auto"/>
              <w:ind w:firstLine="480" w:firstLineChars="200"/>
            </w:pPr>
            <w:r>
              <w:rPr>
                <w:rFonts w:hint="eastAsia"/>
                <w:lang w:val="en-US" w:eastAsia="zh-CN"/>
              </w:rPr>
              <w:t>氯化氢</w:t>
            </w:r>
          </w:p>
          <w:p w14:paraId="2D321056">
            <w:pPr>
              <w:spacing w:line="360" w:lineRule="auto"/>
              <w:ind w:firstLine="480" w:firstLineChars="200"/>
              <w:rPr>
                <w:rFonts w:hint="eastAsia"/>
              </w:rPr>
            </w:pPr>
            <w:r>
              <w:rPr>
                <w:rFonts w:hint="eastAsia"/>
              </w:rPr>
              <w:t>盐酸主要用于样品前处理，</w:t>
            </w:r>
            <w:r>
              <w:rPr>
                <w:rFonts w:hint="eastAsia"/>
                <w:color w:val="FF0000"/>
                <w:kern w:val="0"/>
                <w:lang w:val="en-US" w:eastAsia="zh-CN" w:bidi="ar"/>
              </w:rPr>
              <w:t>本项目氯化氢产生量按现有项目氯化氢产生量37.5kg/a取值，盐酸年使用时间按500h计，则氯化氢产生量为0.075kg/h。</w:t>
            </w:r>
          </w:p>
          <w:p w14:paraId="6C0FB186">
            <w:pPr>
              <w:widowControl/>
              <w:spacing w:line="360" w:lineRule="auto"/>
              <w:ind w:firstLine="480" w:firstLineChars="200"/>
              <w:jc w:val="left"/>
            </w:pPr>
            <w:r>
              <w:rPr>
                <w:rFonts w:hint="eastAsia"/>
              </w:rPr>
              <w:t>本项目理化+无机实验室</w:t>
            </w:r>
            <w:r>
              <w:rPr>
                <w:rFonts w:hint="eastAsia"/>
                <w:kern w:val="0"/>
                <w:lang w:bidi="ar"/>
              </w:rPr>
              <w:t>设置通风橱18个，光谱1~2室共设置吸风罩6个，小设备1~3室共设置</w:t>
            </w:r>
            <w:r>
              <w:rPr>
                <w:rFonts w:hint="eastAsia"/>
                <w:kern w:val="0"/>
                <w:lang w:eastAsia="zh-CN" w:bidi="ar"/>
              </w:rPr>
              <w:t>万向罩</w:t>
            </w:r>
            <w:r>
              <w:rPr>
                <w:rFonts w:hint="eastAsia"/>
                <w:kern w:val="0"/>
                <w:lang w:bidi="ar"/>
              </w:rPr>
              <w:t>8个，</w:t>
            </w:r>
            <w:r>
              <w:t>实验</w:t>
            </w:r>
            <w:r>
              <w:rPr>
                <w:rFonts w:hint="eastAsia"/>
              </w:rPr>
              <w:t>操作</w:t>
            </w:r>
            <w:r>
              <w:rPr>
                <w:rFonts w:hint="eastAsia" w:ascii="宋体" w:hAnsi="宋体" w:cs="宋体"/>
                <w:kern w:val="0"/>
                <w:lang w:bidi="ar"/>
              </w:rPr>
              <w:t>在通风橱内/</w:t>
            </w:r>
            <w:r>
              <w:rPr>
                <w:rFonts w:hint="eastAsia" w:ascii="宋体" w:hAnsi="宋体" w:cs="宋体"/>
                <w:kern w:val="0"/>
                <w:lang w:eastAsia="zh-CN" w:bidi="ar"/>
              </w:rPr>
              <w:t>万向罩</w:t>
            </w:r>
            <w:r>
              <w:rPr>
                <w:rFonts w:hint="eastAsia" w:ascii="宋体" w:hAnsi="宋体" w:cs="宋体"/>
                <w:kern w:val="0"/>
                <w:lang w:bidi="ar"/>
              </w:rPr>
              <w:t>下/吸风罩下进行，所有废气统一收集、处置后排放，少量废气以无组织形式逸散。实验前提前开启通风橱/</w:t>
            </w:r>
            <w:r>
              <w:rPr>
                <w:rFonts w:hint="eastAsia" w:ascii="宋体" w:hAnsi="宋体" w:cs="宋体"/>
                <w:kern w:val="0"/>
                <w:lang w:eastAsia="zh-CN" w:bidi="ar"/>
              </w:rPr>
              <w:t>万向罩</w:t>
            </w:r>
            <w:r>
              <w:rPr>
                <w:rFonts w:hint="eastAsia" w:ascii="宋体" w:hAnsi="宋体" w:cs="宋体"/>
                <w:kern w:val="0"/>
                <w:lang w:bidi="ar"/>
              </w:rPr>
              <w:t>/吸风罩，实验结束后运行一段时间后再行关闭。通风橱/</w:t>
            </w:r>
            <w:r>
              <w:rPr>
                <w:rFonts w:hint="eastAsia" w:ascii="宋体" w:hAnsi="宋体" w:cs="宋体"/>
                <w:kern w:val="0"/>
                <w:lang w:eastAsia="zh-CN" w:bidi="ar"/>
              </w:rPr>
              <w:t>万向罩</w:t>
            </w:r>
            <w:r>
              <w:rPr>
                <w:rFonts w:hint="eastAsia" w:ascii="宋体" w:hAnsi="宋体" w:cs="宋体"/>
                <w:kern w:val="0"/>
                <w:lang w:bidi="ar"/>
              </w:rPr>
              <w:t>/吸风罩上方设置排风管道，废气经机械强制抽风进入排气管道后汇集到总管道，</w:t>
            </w:r>
            <w:r>
              <w:rPr>
                <w:rFonts w:hint="eastAsia"/>
                <w:szCs w:val="21"/>
              </w:rPr>
              <w:t>引至楼顶喷淋塔装置处理后经35m高排气筒排放</w:t>
            </w:r>
            <w:r>
              <w:rPr>
                <w:kern w:val="0"/>
                <w:lang w:bidi="ar"/>
              </w:rPr>
              <w:t>。</w:t>
            </w:r>
            <w:r>
              <w:rPr>
                <w:rFonts w:hint="eastAsia"/>
                <w:szCs w:val="21"/>
              </w:rPr>
              <w:t>废气收集效率按80%计，喷淋塔处理效率按80%计，</w:t>
            </w:r>
            <w:r>
              <w:rPr>
                <w:szCs w:val="21"/>
              </w:rPr>
              <w:t>风机风量为</w:t>
            </w:r>
            <w:r>
              <w:rPr>
                <w:rFonts w:hint="eastAsia"/>
                <w:szCs w:val="21"/>
              </w:rPr>
              <w:t>18000</w:t>
            </w:r>
            <w:r>
              <w:rPr>
                <w:szCs w:val="21"/>
              </w:rPr>
              <w:t>m</w:t>
            </w:r>
            <w:r>
              <w:rPr>
                <w:szCs w:val="21"/>
                <w:vertAlign w:val="superscript"/>
              </w:rPr>
              <w:t>3</w:t>
            </w:r>
            <w:r>
              <w:rPr>
                <w:szCs w:val="21"/>
              </w:rPr>
              <w:t>/h</w:t>
            </w:r>
            <w:r>
              <w:rPr>
                <w:rFonts w:hint="eastAsia"/>
                <w:szCs w:val="21"/>
              </w:rPr>
              <w:t>，则</w:t>
            </w:r>
            <w:r>
              <w:rPr>
                <w:rFonts w:hint="eastAsia"/>
              </w:rPr>
              <w:t>本项目氯化氢产排情况</w:t>
            </w:r>
            <w:r>
              <w:rPr>
                <w:rFonts w:hint="eastAsia"/>
                <w:szCs w:val="21"/>
              </w:rPr>
              <w:t>见表4-</w:t>
            </w:r>
            <w:r>
              <w:rPr>
                <w:rFonts w:hint="eastAsia"/>
                <w:szCs w:val="21"/>
                <w:lang w:val="en-US" w:eastAsia="zh-CN"/>
              </w:rPr>
              <w:t>2</w:t>
            </w:r>
            <w:r>
              <w:rPr>
                <w:rFonts w:hint="eastAsia"/>
                <w:szCs w:val="21"/>
              </w:rPr>
              <w:t>。</w:t>
            </w:r>
          </w:p>
          <w:p w14:paraId="4CBDDD06">
            <w:pPr>
              <w:tabs>
                <w:tab w:val="left" w:pos="3836"/>
              </w:tabs>
              <w:jc w:val="center"/>
              <w:rPr>
                <w:b/>
                <w:bCs/>
                <w:sz w:val="21"/>
                <w:szCs w:val="18"/>
              </w:rPr>
            </w:pPr>
            <w:r>
              <w:rPr>
                <w:b/>
                <w:bCs/>
                <w:sz w:val="21"/>
                <w:szCs w:val="18"/>
              </w:rPr>
              <w:t>表4-</w:t>
            </w:r>
            <w:r>
              <w:rPr>
                <w:rFonts w:hint="eastAsia"/>
                <w:b/>
                <w:bCs/>
                <w:sz w:val="21"/>
                <w:szCs w:val="18"/>
                <w:lang w:val="en-US" w:eastAsia="zh-CN"/>
              </w:rPr>
              <w:t>2</w:t>
            </w:r>
            <w:r>
              <w:rPr>
                <w:rFonts w:hint="eastAsia"/>
                <w:b/>
                <w:bCs/>
                <w:sz w:val="21"/>
                <w:szCs w:val="18"/>
              </w:rPr>
              <w:t xml:space="preserve">  </w:t>
            </w:r>
            <w:r>
              <w:rPr>
                <w:b/>
                <w:bCs/>
                <w:sz w:val="21"/>
                <w:szCs w:val="18"/>
              </w:rPr>
              <w:t>项目</w:t>
            </w:r>
            <w:r>
              <w:rPr>
                <w:rFonts w:hint="eastAsia"/>
                <w:b/>
                <w:bCs/>
                <w:sz w:val="21"/>
                <w:szCs w:val="18"/>
              </w:rPr>
              <w:t>氯化氢产排</w:t>
            </w:r>
            <w:r>
              <w:rPr>
                <w:b/>
                <w:bCs/>
                <w:sz w:val="21"/>
                <w:szCs w:val="18"/>
              </w:rPr>
              <w:t>情况一览表</w:t>
            </w:r>
          </w:p>
          <w:tbl>
            <w:tblPr>
              <w:tblStyle w:val="23"/>
              <w:tblW w:w="81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
              <w:gridCol w:w="453"/>
              <w:gridCol w:w="453"/>
              <w:gridCol w:w="494"/>
              <w:gridCol w:w="480"/>
              <w:gridCol w:w="586"/>
              <w:gridCol w:w="1066"/>
              <w:gridCol w:w="667"/>
              <w:gridCol w:w="453"/>
              <w:gridCol w:w="467"/>
              <w:gridCol w:w="680"/>
              <w:gridCol w:w="533"/>
              <w:gridCol w:w="533"/>
              <w:gridCol w:w="454"/>
              <w:gridCol w:w="413"/>
            </w:tblGrid>
            <w:tr w14:paraId="5D2BD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vAlign w:val="center"/>
                </w:tcPr>
                <w:p w14:paraId="15A8408D">
                  <w:pPr>
                    <w:tabs>
                      <w:tab w:val="left" w:pos="3836"/>
                    </w:tabs>
                    <w:jc w:val="center"/>
                    <w:rPr>
                      <w:b/>
                      <w:bCs/>
                      <w:sz w:val="21"/>
                      <w:szCs w:val="21"/>
                    </w:rPr>
                  </w:pPr>
                  <w:r>
                    <w:rPr>
                      <w:b/>
                      <w:bCs/>
                      <w:sz w:val="21"/>
                      <w:szCs w:val="21"/>
                    </w:rPr>
                    <w:t>产排污环节</w:t>
                  </w:r>
                </w:p>
              </w:tc>
              <w:tc>
                <w:tcPr>
                  <w:tcW w:w="453" w:type="dxa"/>
                  <w:vMerge w:val="restart"/>
                  <w:vAlign w:val="center"/>
                </w:tcPr>
                <w:p w14:paraId="47C891A2">
                  <w:pPr>
                    <w:tabs>
                      <w:tab w:val="left" w:pos="3836"/>
                    </w:tabs>
                    <w:jc w:val="center"/>
                    <w:rPr>
                      <w:b/>
                      <w:bCs/>
                      <w:sz w:val="21"/>
                      <w:szCs w:val="21"/>
                    </w:rPr>
                  </w:pPr>
                  <w:r>
                    <w:rPr>
                      <w:b/>
                      <w:bCs/>
                      <w:sz w:val="21"/>
                      <w:szCs w:val="21"/>
                    </w:rPr>
                    <w:t>污染源</w:t>
                  </w:r>
                </w:p>
              </w:tc>
              <w:tc>
                <w:tcPr>
                  <w:tcW w:w="453" w:type="dxa"/>
                  <w:vMerge w:val="restart"/>
                  <w:vAlign w:val="center"/>
                </w:tcPr>
                <w:p w14:paraId="23A168D0">
                  <w:pPr>
                    <w:tabs>
                      <w:tab w:val="left" w:pos="3836"/>
                    </w:tabs>
                    <w:jc w:val="center"/>
                    <w:rPr>
                      <w:b/>
                      <w:bCs/>
                      <w:sz w:val="21"/>
                      <w:szCs w:val="21"/>
                    </w:rPr>
                  </w:pPr>
                  <w:r>
                    <w:rPr>
                      <w:b/>
                      <w:bCs/>
                      <w:sz w:val="21"/>
                      <w:szCs w:val="21"/>
                    </w:rPr>
                    <w:t>污染物</w:t>
                  </w:r>
                </w:p>
              </w:tc>
              <w:tc>
                <w:tcPr>
                  <w:tcW w:w="1560" w:type="dxa"/>
                  <w:gridSpan w:val="3"/>
                  <w:vAlign w:val="center"/>
                </w:tcPr>
                <w:p w14:paraId="23326494">
                  <w:pPr>
                    <w:tabs>
                      <w:tab w:val="left" w:pos="3836"/>
                    </w:tabs>
                    <w:jc w:val="center"/>
                    <w:rPr>
                      <w:b/>
                      <w:bCs/>
                      <w:sz w:val="21"/>
                      <w:szCs w:val="21"/>
                    </w:rPr>
                  </w:pPr>
                  <w:r>
                    <w:rPr>
                      <w:b/>
                      <w:bCs/>
                      <w:sz w:val="21"/>
                      <w:szCs w:val="21"/>
                    </w:rPr>
                    <w:t>污染物产生</w:t>
                  </w:r>
                </w:p>
              </w:tc>
              <w:tc>
                <w:tcPr>
                  <w:tcW w:w="3333" w:type="dxa"/>
                  <w:gridSpan w:val="5"/>
                  <w:vAlign w:val="center"/>
                </w:tcPr>
                <w:p w14:paraId="2A55B896">
                  <w:pPr>
                    <w:tabs>
                      <w:tab w:val="left" w:pos="3836"/>
                    </w:tabs>
                    <w:jc w:val="center"/>
                    <w:rPr>
                      <w:b/>
                      <w:bCs/>
                      <w:sz w:val="21"/>
                      <w:szCs w:val="21"/>
                    </w:rPr>
                  </w:pPr>
                  <w:r>
                    <w:rPr>
                      <w:b/>
                      <w:bCs/>
                      <w:sz w:val="21"/>
                      <w:szCs w:val="21"/>
                    </w:rPr>
                    <w:t>治理</w:t>
                  </w:r>
                  <w:r>
                    <w:rPr>
                      <w:rFonts w:hint="eastAsia"/>
                      <w:b/>
                      <w:bCs/>
                      <w:sz w:val="21"/>
                      <w:szCs w:val="21"/>
                    </w:rPr>
                    <w:t>措施</w:t>
                  </w:r>
                </w:p>
              </w:tc>
              <w:tc>
                <w:tcPr>
                  <w:tcW w:w="1933" w:type="dxa"/>
                  <w:gridSpan w:val="4"/>
                  <w:vAlign w:val="center"/>
                </w:tcPr>
                <w:p w14:paraId="7383208C">
                  <w:pPr>
                    <w:tabs>
                      <w:tab w:val="left" w:pos="3836"/>
                    </w:tabs>
                    <w:jc w:val="center"/>
                    <w:rPr>
                      <w:b/>
                      <w:bCs/>
                      <w:sz w:val="21"/>
                      <w:szCs w:val="21"/>
                    </w:rPr>
                  </w:pPr>
                  <w:r>
                    <w:rPr>
                      <w:b/>
                      <w:bCs/>
                      <w:sz w:val="21"/>
                      <w:szCs w:val="21"/>
                    </w:rPr>
                    <w:t>污染物排放</w:t>
                  </w:r>
                </w:p>
              </w:tc>
            </w:tr>
            <w:tr w14:paraId="2BD94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0C2C7E06">
                  <w:pPr>
                    <w:tabs>
                      <w:tab w:val="left" w:pos="3836"/>
                    </w:tabs>
                    <w:jc w:val="center"/>
                    <w:rPr>
                      <w:b/>
                      <w:bCs/>
                      <w:sz w:val="21"/>
                      <w:szCs w:val="21"/>
                    </w:rPr>
                  </w:pPr>
                </w:p>
              </w:tc>
              <w:tc>
                <w:tcPr>
                  <w:tcW w:w="453" w:type="dxa"/>
                  <w:vMerge w:val="continue"/>
                  <w:vAlign w:val="center"/>
                </w:tcPr>
                <w:p w14:paraId="697A6CA3">
                  <w:pPr>
                    <w:autoSpaceDE w:val="0"/>
                    <w:adjustRightInd w:val="0"/>
                    <w:snapToGrid w:val="0"/>
                    <w:jc w:val="center"/>
                    <w:rPr>
                      <w:b/>
                      <w:bCs/>
                      <w:sz w:val="21"/>
                      <w:szCs w:val="21"/>
                    </w:rPr>
                  </w:pPr>
                </w:p>
              </w:tc>
              <w:tc>
                <w:tcPr>
                  <w:tcW w:w="453" w:type="dxa"/>
                  <w:vMerge w:val="continue"/>
                  <w:vAlign w:val="center"/>
                </w:tcPr>
                <w:p w14:paraId="2A6BDD25">
                  <w:pPr>
                    <w:autoSpaceDE w:val="0"/>
                    <w:adjustRightInd w:val="0"/>
                    <w:snapToGrid w:val="0"/>
                    <w:jc w:val="center"/>
                    <w:rPr>
                      <w:b/>
                      <w:bCs/>
                      <w:sz w:val="21"/>
                      <w:szCs w:val="21"/>
                    </w:rPr>
                  </w:pPr>
                </w:p>
              </w:tc>
              <w:tc>
                <w:tcPr>
                  <w:tcW w:w="494" w:type="dxa"/>
                  <w:vAlign w:val="center"/>
                </w:tcPr>
                <w:p w14:paraId="278DB1A1">
                  <w:pPr>
                    <w:autoSpaceDE w:val="0"/>
                    <w:adjustRightInd w:val="0"/>
                    <w:snapToGrid w:val="0"/>
                    <w:jc w:val="center"/>
                    <w:rPr>
                      <w:b/>
                      <w:bCs/>
                      <w:sz w:val="21"/>
                      <w:szCs w:val="21"/>
                    </w:rPr>
                  </w:pPr>
                  <w:r>
                    <w:rPr>
                      <w:b/>
                      <w:bCs/>
                      <w:sz w:val="21"/>
                      <w:szCs w:val="21"/>
                    </w:rPr>
                    <w:t>产生量kg/a</w:t>
                  </w:r>
                </w:p>
              </w:tc>
              <w:tc>
                <w:tcPr>
                  <w:tcW w:w="480" w:type="dxa"/>
                  <w:vAlign w:val="center"/>
                </w:tcPr>
                <w:p w14:paraId="0629A675">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586" w:type="dxa"/>
                  <w:vAlign w:val="center"/>
                </w:tcPr>
                <w:p w14:paraId="153D20AA">
                  <w:pPr>
                    <w:autoSpaceDE w:val="0"/>
                    <w:adjustRightInd w:val="0"/>
                    <w:snapToGrid w:val="0"/>
                    <w:jc w:val="center"/>
                    <w:rPr>
                      <w:b/>
                      <w:bCs/>
                      <w:sz w:val="21"/>
                      <w:szCs w:val="21"/>
                    </w:rPr>
                  </w:pPr>
                  <w:r>
                    <w:rPr>
                      <w:b/>
                      <w:bCs/>
                      <w:sz w:val="21"/>
                      <w:szCs w:val="21"/>
                    </w:rPr>
                    <w:t>速率kg/h</w:t>
                  </w:r>
                </w:p>
              </w:tc>
              <w:tc>
                <w:tcPr>
                  <w:tcW w:w="1066" w:type="dxa"/>
                  <w:vAlign w:val="center"/>
                </w:tcPr>
                <w:p w14:paraId="4F547D0C">
                  <w:pPr>
                    <w:tabs>
                      <w:tab w:val="left" w:pos="3836"/>
                    </w:tabs>
                    <w:jc w:val="center"/>
                    <w:rPr>
                      <w:b/>
                      <w:bCs/>
                      <w:sz w:val="21"/>
                      <w:szCs w:val="21"/>
                    </w:rPr>
                  </w:pPr>
                  <w:r>
                    <w:rPr>
                      <w:b/>
                      <w:bCs/>
                      <w:sz w:val="21"/>
                      <w:szCs w:val="21"/>
                    </w:rPr>
                    <w:t>治理</w:t>
                  </w:r>
                </w:p>
                <w:p w14:paraId="3EFCF91C">
                  <w:pPr>
                    <w:tabs>
                      <w:tab w:val="left" w:pos="3836"/>
                    </w:tabs>
                    <w:jc w:val="center"/>
                    <w:rPr>
                      <w:b/>
                      <w:bCs/>
                      <w:sz w:val="21"/>
                      <w:szCs w:val="21"/>
                    </w:rPr>
                  </w:pPr>
                  <w:r>
                    <w:rPr>
                      <w:b/>
                      <w:bCs/>
                      <w:sz w:val="21"/>
                      <w:szCs w:val="21"/>
                    </w:rPr>
                    <w:t>工艺</w:t>
                  </w:r>
                </w:p>
              </w:tc>
              <w:tc>
                <w:tcPr>
                  <w:tcW w:w="667" w:type="dxa"/>
                  <w:vAlign w:val="center"/>
                </w:tcPr>
                <w:p w14:paraId="171AE8E6">
                  <w:pPr>
                    <w:tabs>
                      <w:tab w:val="left" w:pos="3836"/>
                    </w:tabs>
                    <w:jc w:val="center"/>
                    <w:rPr>
                      <w:b/>
                      <w:bCs/>
                      <w:sz w:val="21"/>
                      <w:szCs w:val="21"/>
                    </w:rPr>
                  </w:pPr>
                  <w:r>
                    <w:rPr>
                      <w:b/>
                      <w:bCs/>
                      <w:sz w:val="21"/>
                      <w:szCs w:val="21"/>
                    </w:rPr>
                    <w:t>处理能力m</w:t>
                  </w:r>
                  <w:r>
                    <w:rPr>
                      <w:b/>
                      <w:bCs/>
                      <w:sz w:val="21"/>
                      <w:szCs w:val="21"/>
                      <w:vertAlign w:val="superscript"/>
                    </w:rPr>
                    <w:t>3</w:t>
                  </w:r>
                  <w:r>
                    <w:rPr>
                      <w:b/>
                      <w:bCs/>
                      <w:sz w:val="21"/>
                      <w:szCs w:val="21"/>
                    </w:rPr>
                    <w:t>/h</w:t>
                  </w:r>
                </w:p>
              </w:tc>
              <w:tc>
                <w:tcPr>
                  <w:tcW w:w="453" w:type="dxa"/>
                  <w:vAlign w:val="center"/>
                </w:tcPr>
                <w:p w14:paraId="30DCD5DF">
                  <w:pPr>
                    <w:autoSpaceDE w:val="0"/>
                    <w:adjustRightInd w:val="0"/>
                    <w:snapToGrid w:val="0"/>
                    <w:jc w:val="center"/>
                    <w:rPr>
                      <w:b/>
                      <w:bCs/>
                      <w:sz w:val="21"/>
                      <w:szCs w:val="21"/>
                    </w:rPr>
                  </w:pPr>
                  <w:r>
                    <w:rPr>
                      <w:b/>
                      <w:bCs/>
                      <w:sz w:val="21"/>
                      <w:szCs w:val="21"/>
                    </w:rPr>
                    <w:t>收集效率%</w:t>
                  </w:r>
                </w:p>
              </w:tc>
              <w:tc>
                <w:tcPr>
                  <w:tcW w:w="467" w:type="dxa"/>
                  <w:vAlign w:val="center"/>
                </w:tcPr>
                <w:p w14:paraId="72D4BE7E">
                  <w:pPr>
                    <w:autoSpaceDE w:val="0"/>
                    <w:adjustRightInd w:val="0"/>
                    <w:snapToGrid w:val="0"/>
                    <w:jc w:val="center"/>
                    <w:rPr>
                      <w:b/>
                      <w:bCs/>
                      <w:sz w:val="21"/>
                      <w:szCs w:val="21"/>
                    </w:rPr>
                  </w:pPr>
                  <w:r>
                    <w:rPr>
                      <w:b/>
                      <w:bCs/>
                      <w:sz w:val="21"/>
                      <w:szCs w:val="21"/>
                    </w:rPr>
                    <w:t>去除效率%</w:t>
                  </w:r>
                </w:p>
              </w:tc>
              <w:tc>
                <w:tcPr>
                  <w:tcW w:w="680" w:type="dxa"/>
                  <w:vAlign w:val="center"/>
                </w:tcPr>
                <w:p w14:paraId="58D52E32">
                  <w:pPr>
                    <w:autoSpaceDE w:val="0"/>
                    <w:adjustRightInd w:val="0"/>
                    <w:snapToGrid w:val="0"/>
                    <w:jc w:val="center"/>
                    <w:rPr>
                      <w:b/>
                      <w:bCs/>
                      <w:sz w:val="21"/>
                      <w:szCs w:val="21"/>
                    </w:rPr>
                  </w:pPr>
                  <w:r>
                    <w:rPr>
                      <w:b/>
                      <w:bCs/>
                      <w:sz w:val="21"/>
                      <w:szCs w:val="21"/>
                    </w:rPr>
                    <w:t>是否为可行技术</w:t>
                  </w:r>
                </w:p>
              </w:tc>
              <w:tc>
                <w:tcPr>
                  <w:tcW w:w="533" w:type="dxa"/>
                  <w:vAlign w:val="center"/>
                </w:tcPr>
                <w:p w14:paraId="3781BD26">
                  <w:pPr>
                    <w:autoSpaceDE w:val="0"/>
                    <w:adjustRightInd w:val="0"/>
                    <w:snapToGrid w:val="0"/>
                    <w:jc w:val="center"/>
                    <w:rPr>
                      <w:b/>
                      <w:bCs/>
                      <w:sz w:val="21"/>
                      <w:szCs w:val="21"/>
                    </w:rPr>
                  </w:pPr>
                  <w:r>
                    <w:rPr>
                      <w:b/>
                      <w:bCs/>
                      <w:sz w:val="21"/>
                      <w:szCs w:val="21"/>
                    </w:rPr>
                    <w:t>排放量kg/a</w:t>
                  </w:r>
                </w:p>
              </w:tc>
              <w:tc>
                <w:tcPr>
                  <w:tcW w:w="533" w:type="dxa"/>
                  <w:vAlign w:val="center"/>
                </w:tcPr>
                <w:p w14:paraId="1D5B941E">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454" w:type="dxa"/>
                  <w:vAlign w:val="center"/>
                </w:tcPr>
                <w:p w14:paraId="2A81FE6D">
                  <w:pPr>
                    <w:autoSpaceDE w:val="0"/>
                    <w:adjustRightInd w:val="0"/>
                    <w:snapToGrid w:val="0"/>
                    <w:jc w:val="center"/>
                    <w:rPr>
                      <w:b/>
                      <w:bCs/>
                      <w:sz w:val="21"/>
                      <w:szCs w:val="21"/>
                    </w:rPr>
                  </w:pPr>
                  <w:r>
                    <w:rPr>
                      <w:b/>
                      <w:bCs/>
                      <w:sz w:val="21"/>
                      <w:szCs w:val="21"/>
                    </w:rPr>
                    <w:t>速率kg/h</w:t>
                  </w:r>
                </w:p>
              </w:tc>
              <w:tc>
                <w:tcPr>
                  <w:tcW w:w="413" w:type="dxa"/>
                  <w:vAlign w:val="center"/>
                </w:tcPr>
                <w:p w14:paraId="20E129DB">
                  <w:pPr>
                    <w:autoSpaceDE w:val="0"/>
                    <w:adjustRightInd w:val="0"/>
                    <w:snapToGrid w:val="0"/>
                    <w:jc w:val="center"/>
                    <w:rPr>
                      <w:b/>
                      <w:bCs/>
                      <w:sz w:val="21"/>
                      <w:szCs w:val="21"/>
                    </w:rPr>
                  </w:pPr>
                  <w:r>
                    <w:rPr>
                      <w:b/>
                      <w:bCs/>
                      <w:sz w:val="21"/>
                      <w:szCs w:val="21"/>
                    </w:rPr>
                    <w:t>排放形式</w:t>
                  </w:r>
                </w:p>
              </w:tc>
            </w:tr>
            <w:tr w14:paraId="5385D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shd w:val="clear" w:color="auto" w:fill="auto"/>
                  <w:vAlign w:val="center"/>
                </w:tcPr>
                <w:p w14:paraId="188671D1">
                  <w:pPr>
                    <w:tabs>
                      <w:tab w:val="left" w:pos="3836"/>
                    </w:tabs>
                    <w:jc w:val="center"/>
                    <w:rPr>
                      <w:sz w:val="21"/>
                      <w:szCs w:val="21"/>
                    </w:rPr>
                  </w:pPr>
                  <w:r>
                    <w:rPr>
                      <w:sz w:val="21"/>
                      <w:szCs w:val="21"/>
                    </w:rPr>
                    <w:t>无机前处理</w:t>
                  </w:r>
                </w:p>
              </w:tc>
              <w:tc>
                <w:tcPr>
                  <w:tcW w:w="453" w:type="dxa"/>
                  <w:shd w:val="clear" w:color="auto" w:fill="auto"/>
                  <w:vAlign w:val="center"/>
                </w:tcPr>
                <w:p w14:paraId="552A1ABA">
                  <w:pPr>
                    <w:tabs>
                      <w:tab w:val="left" w:pos="3836"/>
                    </w:tabs>
                    <w:jc w:val="center"/>
                    <w:rPr>
                      <w:sz w:val="21"/>
                      <w:szCs w:val="21"/>
                    </w:rPr>
                  </w:pPr>
                  <w:r>
                    <w:rPr>
                      <w:sz w:val="21"/>
                      <w:szCs w:val="21"/>
                    </w:rPr>
                    <w:t>DA00</w:t>
                  </w:r>
                  <w:r>
                    <w:rPr>
                      <w:rFonts w:hint="eastAsia"/>
                      <w:sz w:val="21"/>
                      <w:szCs w:val="21"/>
                    </w:rPr>
                    <w:t>2</w:t>
                  </w:r>
                </w:p>
              </w:tc>
              <w:tc>
                <w:tcPr>
                  <w:tcW w:w="453" w:type="dxa"/>
                  <w:vMerge w:val="restart"/>
                  <w:shd w:val="clear" w:color="auto" w:fill="auto"/>
                  <w:vAlign w:val="center"/>
                </w:tcPr>
                <w:p w14:paraId="4081A3BB">
                  <w:pPr>
                    <w:tabs>
                      <w:tab w:val="left" w:pos="3836"/>
                    </w:tabs>
                    <w:jc w:val="center"/>
                    <w:rPr>
                      <w:sz w:val="21"/>
                      <w:szCs w:val="21"/>
                    </w:rPr>
                  </w:pPr>
                  <w:r>
                    <w:rPr>
                      <w:rFonts w:hint="eastAsia"/>
                      <w:sz w:val="21"/>
                      <w:szCs w:val="18"/>
                    </w:rPr>
                    <w:t>氯化氢</w:t>
                  </w:r>
                </w:p>
              </w:tc>
              <w:tc>
                <w:tcPr>
                  <w:tcW w:w="494" w:type="dxa"/>
                  <w:shd w:val="clear" w:color="auto" w:fill="auto"/>
                  <w:vAlign w:val="center"/>
                </w:tcPr>
                <w:p w14:paraId="658544B4">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30</w:t>
                  </w:r>
                </w:p>
              </w:tc>
              <w:tc>
                <w:tcPr>
                  <w:tcW w:w="480" w:type="dxa"/>
                  <w:shd w:val="clear" w:color="auto" w:fill="auto"/>
                  <w:vAlign w:val="center"/>
                </w:tcPr>
                <w:p w14:paraId="2D2EAC70">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3.33</w:t>
                  </w:r>
                </w:p>
              </w:tc>
              <w:tc>
                <w:tcPr>
                  <w:tcW w:w="586" w:type="dxa"/>
                  <w:shd w:val="clear" w:color="auto" w:fill="auto"/>
                  <w:vAlign w:val="center"/>
                </w:tcPr>
                <w:p w14:paraId="3E4E9503">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0.06</w:t>
                  </w:r>
                </w:p>
              </w:tc>
              <w:tc>
                <w:tcPr>
                  <w:tcW w:w="1066" w:type="dxa"/>
                  <w:shd w:val="clear" w:color="auto" w:fill="auto"/>
                  <w:vAlign w:val="center"/>
                </w:tcPr>
                <w:p w14:paraId="69093FFC">
                  <w:pPr>
                    <w:tabs>
                      <w:tab w:val="left" w:pos="3836"/>
                    </w:tabs>
                    <w:jc w:val="center"/>
                    <w:rPr>
                      <w:sz w:val="21"/>
                      <w:szCs w:val="21"/>
                    </w:rPr>
                  </w:pPr>
                  <w:r>
                    <w:rPr>
                      <w:rFonts w:hint="eastAsia"/>
                      <w:sz w:val="21"/>
                      <w:szCs w:val="21"/>
                    </w:rPr>
                    <w:t>通风橱/</w:t>
                  </w:r>
                  <w:r>
                    <w:rPr>
                      <w:rFonts w:hint="eastAsia"/>
                      <w:sz w:val="21"/>
                      <w:szCs w:val="21"/>
                      <w:lang w:eastAsia="zh-CN"/>
                    </w:rPr>
                    <w:t>万向罩</w:t>
                  </w:r>
                  <w:r>
                    <w:rPr>
                      <w:rFonts w:hint="eastAsia"/>
                      <w:sz w:val="21"/>
                      <w:szCs w:val="21"/>
                    </w:rPr>
                    <w:t>/吸风罩+喷淋塔装置+35m高排气筒</w:t>
                  </w:r>
                </w:p>
              </w:tc>
              <w:tc>
                <w:tcPr>
                  <w:tcW w:w="667" w:type="dxa"/>
                  <w:shd w:val="clear" w:color="auto" w:fill="auto"/>
                  <w:vAlign w:val="center"/>
                </w:tcPr>
                <w:p w14:paraId="53F00123">
                  <w:pPr>
                    <w:tabs>
                      <w:tab w:val="left" w:pos="3836"/>
                    </w:tabs>
                    <w:jc w:val="center"/>
                    <w:rPr>
                      <w:sz w:val="21"/>
                      <w:szCs w:val="21"/>
                    </w:rPr>
                  </w:pPr>
                  <w:r>
                    <w:rPr>
                      <w:sz w:val="21"/>
                      <w:szCs w:val="21"/>
                    </w:rPr>
                    <w:t>18000</w:t>
                  </w:r>
                </w:p>
              </w:tc>
              <w:tc>
                <w:tcPr>
                  <w:tcW w:w="453" w:type="dxa"/>
                  <w:shd w:val="clear" w:color="auto" w:fill="auto"/>
                  <w:vAlign w:val="center"/>
                </w:tcPr>
                <w:p w14:paraId="6C71B495">
                  <w:pPr>
                    <w:tabs>
                      <w:tab w:val="left" w:pos="3836"/>
                    </w:tabs>
                    <w:jc w:val="center"/>
                    <w:rPr>
                      <w:sz w:val="21"/>
                      <w:szCs w:val="21"/>
                    </w:rPr>
                  </w:pPr>
                  <w:r>
                    <w:rPr>
                      <w:sz w:val="21"/>
                      <w:szCs w:val="21"/>
                    </w:rPr>
                    <w:t>80</w:t>
                  </w:r>
                </w:p>
              </w:tc>
              <w:tc>
                <w:tcPr>
                  <w:tcW w:w="467" w:type="dxa"/>
                  <w:shd w:val="clear" w:color="auto" w:fill="auto"/>
                  <w:vAlign w:val="center"/>
                </w:tcPr>
                <w:p w14:paraId="3F90DA55">
                  <w:pPr>
                    <w:tabs>
                      <w:tab w:val="left" w:pos="3836"/>
                    </w:tabs>
                    <w:jc w:val="center"/>
                    <w:rPr>
                      <w:sz w:val="21"/>
                      <w:szCs w:val="21"/>
                    </w:rPr>
                  </w:pPr>
                  <w:r>
                    <w:rPr>
                      <w:rFonts w:hint="eastAsia"/>
                      <w:sz w:val="21"/>
                      <w:szCs w:val="21"/>
                    </w:rPr>
                    <w:t>8</w:t>
                  </w:r>
                  <w:r>
                    <w:rPr>
                      <w:sz w:val="21"/>
                      <w:szCs w:val="21"/>
                    </w:rPr>
                    <w:t>0</w:t>
                  </w:r>
                </w:p>
              </w:tc>
              <w:tc>
                <w:tcPr>
                  <w:tcW w:w="680" w:type="dxa"/>
                  <w:shd w:val="clear" w:color="auto" w:fill="auto"/>
                  <w:vAlign w:val="center"/>
                </w:tcPr>
                <w:p w14:paraId="62E4F71A">
                  <w:pPr>
                    <w:tabs>
                      <w:tab w:val="left" w:pos="3836"/>
                    </w:tabs>
                    <w:jc w:val="center"/>
                    <w:rPr>
                      <w:sz w:val="21"/>
                      <w:szCs w:val="21"/>
                    </w:rPr>
                  </w:pPr>
                  <w:r>
                    <w:rPr>
                      <w:sz w:val="21"/>
                      <w:szCs w:val="21"/>
                    </w:rPr>
                    <w:t>是</w:t>
                  </w:r>
                </w:p>
              </w:tc>
              <w:tc>
                <w:tcPr>
                  <w:tcW w:w="533" w:type="dxa"/>
                  <w:shd w:val="clear" w:color="auto" w:fill="auto"/>
                  <w:vAlign w:val="center"/>
                </w:tcPr>
                <w:p w14:paraId="326050E8">
                  <w:pPr>
                    <w:tabs>
                      <w:tab w:val="left" w:pos="3836"/>
                    </w:tabs>
                    <w:jc w:val="center"/>
                    <w:rPr>
                      <w:rFonts w:hint="eastAsia" w:eastAsia="宋体"/>
                      <w:color w:val="FF0000"/>
                      <w:sz w:val="21"/>
                      <w:szCs w:val="18"/>
                      <w:lang w:val="en-US" w:eastAsia="zh-CN"/>
                    </w:rPr>
                  </w:pPr>
                  <w:r>
                    <w:rPr>
                      <w:rFonts w:hint="eastAsia"/>
                      <w:color w:val="FF0000"/>
                      <w:sz w:val="21"/>
                      <w:szCs w:val="18"/>
                      <w:lang w:val="en-US" w:eastAsia="zh-CN"/>
                    </w:rPr>
                    <w:t>6</w:t>
                  </w:r>
                </w:p>
              </w:tc>
              <w:tc>
                <w:tcPr>
                  <w:tcW w:w="533" w:type="dxa"/>
                  <w:shd w:val="clear" w:color="auto" w:fill="auto"/>
                  <w:vAlign w:val="center"/>
                </w:tcPr>
                <w:p w14:paraId="5F58B995">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0.67</w:t>
                  </w:r>
                </w:p>
              </w:tc>
              <w:tc>
                <w:tcPr>
                  <w:tcW w:w="454" w:type="dxa"/>
                  <w:shd w:val="clear" w:color="auto" w:fill="auto"/>
                  <w:vAlign w:val="center"/>
                </w:tcPr>
                <w:p w14:paraId="03FD56F9">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0.012</w:t>
                  </w:r>
                </w:p>
              </w:tc>
              <w:tc>
                <w:tcPr>
                  <w:tcW w:w="413" w:type="dxa"/>
                  <w:shd w:val="clear" w:color="auto" w:fill="auto"/>
                  <w:vAlign w:val="center"/>
                </w:tcPr>
                <w:p w14:paraId="0F0165E5">
                  <w:pPr>
                    <w:tabs>
                      <w:tab w:val="left" w:pos="3836"/>
                    </w:tabs>
                    <w:jc w:val="center"/>
                    <w:rPr>
                      <w:sz w:val="21"/>
                      <w:szCs w:val="21"/>
                    </w:rPr>
                  </w:pPr>
                  <w:r>
                    <w:rPr>
                      <w:sz w:val="21"/>
                      <w:szCs w:val="21"/>
                    </w:rPr>
                    <w:t>有组织</w:t>
                  </w:r>
                </w:p>
              </w:tc>
            </w:tr>
            <w:tr w14:paraId="01F9A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085645DD">
                  <w:pPr>
                    <w:tabs>
                      <w:tab w:val="left" w:pos="3836"/>
                    </w:tabs>
                    <w:jc w:val="center"/>
                    <w:rPr>
                      <w:sz w:val="21"/>
                      <w:szCs w:val="21"/>
                    </w:rPr>
                  </w:pPr>
                </w:p>
              </w:tc>
              <w:tc>
                <w:tcPr>
                  <w:tcW w:w="453" w:type="dxa"/>
                  <w:shd w:val="clear" w:color="auto" w:fill="auto"/>
                  <w:vAlign w:val="center"/>
                </w:tcPr>
                <w:p w14:paraId="39DBEF37">
                  <w:pPr>
                    <w:tabs>
                      <w:tab w:val="left" w:pos="3836"/>
                    </w:tabs>
                    <w:jc w:val="center"/>
                    <w:rPr>
                      <w:sz w:val="21"/>
                      <w:szCs w:val="21"/>
                    </w:rPr>
                  </w:pPr>
                  <w:r>
                    <w:rPr>
                      <w:sz w:val="21"/>
                      <w:szCs w:val="21"/>
                    </w:rPr>
                    <w:t>实验室</w:t>
                  </w:r>
                </w:p>
              </w:tc>
              <w:tc>
                <w:tcPr>
                  <w:tcW w:w="453" w:type="dxa"/>
                  <w:vMerge w:val="continue"/>
                  <w:vAlign w:val="center"/>
                </w:tcPr>
                <w:p w14:paraId="558BB5DA">
                  <w:pPr>
                    <w:tabs>
                      <w:tab w:val="left" w:pos="3836"/>
                    </w:tabs>
                    <w:jc w:val="center"/>
                    <w:rPr>
                      <w:sz w:val="21"/>
                      <w:szCs w:val="21"/>
                    </w:rPr>
                  </w:pPr>
                </w:p>
              </w:tc>
              <w:tc>
                <w:tcPr>
                  <w:tcW w:w="494" w:type="dxa"/>
                  <w:shd w:val="clear" w:color="auto" w:fill="auto"/>
                  <w:vAlign w:val="center"/>
                </w:tcPr>
                <w:p w14:paraId="6A17528F">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7.5</w:t>
                  </w:r>
                </w:p>
              </w:tc>
              <w:tc>
                <w:tcPr>
                  <w:tcW w:w="480" w:type="dxa"/>
                  <w:shd w:val="clear" w:color="auto" w:fill="auto"/>
                  <w:vAlign w:val="center"/>
                </w:tcPr>
                <w:p w14:paraId="53E9F4FB">
                  <w:pPr>
                    <w:tabs>
                      <w:tab w:val="left" w:pos="3836"/>
                    </w:tabs>
                    <w:jc w:val="center"/>
                    <w:rPr>
                      <w:color w:val="FF0000"/>
                      <w:sz w:val="21"/>
                      <w:szCs w:val="18"/>
                    </w:rPr>
                  </w:pPr>
                  <w:r>
                    <w:rPr>
                      <w:rFonts w:hint="eastAsia"/>
                      <w:color w:val="FF0000"/>
                      <w:sz w:val="21"/>
                      <w:szCs w:val="18"/>
                    </w:rPr>
                    <w:t>/</w:t>
                  </w:r>
                </w:p>
              </w:tc>
              <w:tc>
                <w:tcPr>
                  <w:tcW w:w="586" w:type="dxa"/>
                  <w:shd w:val="clear" w:color="auto" w:fill="auto"/>
                  <w:vAlign w:val="center"/>
                </w:tcPr>
                <w:p w14:paraId="356060FF">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0.015</w:t>
                  </w:r>
                </w:p>
              </w:tc>
              <w:tc>
                <w:tcPr>
                  <w:tcW w:w="1066" w:type="dxa"/>
                  <w:shd w:val="clear" w:color="auto" w:fill="auto"/>
                  <w:vAlign w:val="center"/>
                </w:tcPr>
                <w:p w14:paraId="13B23E33">
                  <w:pPr>
                    <w:tabs>
                      <w:tab w:val="left" w:pos="3836"/>
                    </w:tabs>
                    <w:jc w:val="center"/>
                    <w:rPr>
                      <w:sz w:val="21"/>
                      <w:szCs w:val="21"/>
                    </w:rPr>
                  </w:pPr>
                  <w:r>
                    <w:rPr>
                      <w:sz w:val="21"/>
                      <w:szCs w:val="21"/>
                    </w:rPr>
                    <w:t>通风换气</w:t>
                  </w:r>
                </w:p>
              </w:tc>
              <w:tc>
                <w:tcPr>
                  <w:tcW w:w="667" w:type="dxa"/>
                  <w:shd w:val="clear" w:color="auto" w:fill="auto"/>
                  <w:vAlign w:val="center"/>
                </w:tcPr>
                <w:p w14:paraId="20E3105F">
                  <w:pPr>
                    <w:tabs>
                      <w:tab w:val="left" w:pos="3836"/>
                    </w:tabs>
                    <w:jc w:val="center"/>
                    <w:rPr>
                      <w:sz w:val="21"/>
                      <w:szCs w:val="21"/>
                    </w:rPr>
                  </w:pPr>
                  <w:r>
                    <w:rPr>
                      <w:sz w:val="21"/>
                      <w:szCs w:val="21"/>
                    </w:rPr>
                    <w:t>/</w:t>
                  </w:r>
                </w:p>
              </w:tc>
              <w:tc>
                <w:tcPr>
                  <w:tcW w:w="453" w:type="dxa"/>
                  <w:shd w:val="clear" w:color="auto" w:fill="auto"/>
                  <w:vAlign w:val="center"/>
                </w:tcPr>
                <w:p w14:paraId="5764141A">
                  <w:pPr>
                    <w:tabs>
                      <w:tab w:val="left" w:pos="3836"/>
                    </w:tabs>
                    <w:jc w:val="center"/>
                    <w:rPr>
                      <w:sz w:val="21"/>
                      <w:szCs w:val="21"/>
                    </w:rPr>
                  </w:pPr>
                  <w:r>
                    <w:rPr>
                      <w:sz w:val="21"/>
                      <w:szCs w:val="21"/>
                    </w:rPr>
                    <w:t>/</w:t>
                  </w:r>
                </w:p>
              </w:tc>
              <w:tc>
                <w:tcPr>
                  <w:tcW w:w="467" w:type="dxa"/>
                  <w:shd w:val="clear" w:color="auto" w:fill="auto"/>
                  <w:vAlign w:val="center"/>
                </w:tcPr>
                <w:p w14:paraId="153478FF">
                  <w:pPr>
                    <w:tabs>
                      <w:tab w:val="left" w:pos="3836"/>
                    </w:tabs>
                    <w:jc w:val="center"/>
                    <w:rPr>
                      <w:sz w:val="21"/>
                      <w:szCs w:val="21"/>
                    </w:rPr>
                  </w:pPr>
                  <w:r>
                    <w:rPr>
                      <w:sz w:val="21"/>
                      <w:szCs w:val="21"/>
                    </w:rPr>
                    <w:t>/</w:t>
                  </w:r>
                </w:p>
              </w:tc>
              <w:tc>
                <w:tcPr>
                  <w:tcW w:w="680" w:type="dxa"/>
                  <w:shd w:val="clear" w:color="auto" w:fill="auto"/>
                  <w:vAlign w:val="center"/>
                </w:tcPr>
                <w:p w14:paraId="6FB71AB4">
                  <w:pPr>
                    <w:tabs>
                      <w:tab w:val="left" w:pos="3836"/>
                    </w:tabs>
                    <w:jc w:val="center"/>
                    <w:rPr>
                      <w:sz w:val="21"/>
                      <w:szCs w:val="21"/>
                    </w:rPr>
                  </w:pPr>
                  <w:r>
                    <w:rPr>
                      <w:sz w:val="21"/>
                      <w:szCs w:val="21"/>
                    </w:rPr>
                    <w:t>/</w:t>
                  </w:r>
                </w:p>
              </w:tc>
              <w:tc>
                <w:tcPr>
                  <w:tcW w:w="533" w:type="dxa"/>
                  <w:shd w:val="clear" w:color="auto" w:fill="auto"/>
                  <w:vAlign w:val="center"/>
                </w:tcPr>
                <w:p w14:paraId="496F71D4">
                  <w:pPr>
                    <w:tabs>
                      <w:tab w:val="left" w:pos="3836"/>
                    </w:tabs>
                    <w:jc w:val="center"/>
                    <w:rPr>
                      <w:rFonts w:hint="default" w:ascii="Times New Roman" w:hAnsi="Times New Roman" w:eastAsia="宋体" w:cs="Times New Roman"/>
                      <w:color w:val="FF0000"/>
                      <w:kern w:val="2"/>
                      <w:sz w:val="21"/>
                      <w:szCs w:val="18"/>
                      <w:lang w:val="en-US" w:eastAsia="zh-CN" w:bidi="ar-SA"/>
                    </w:rPr>
                  </w:pPr>
                  <w:r>
                    <w:rPr>
                      <w:rFonts w:hint="eastAsia"/>
                      <w:color w:val="FF0000"/>
                      <w:sz w:val="21"/>
                      <w:szCs w:val="18"/>
                      <w:lang w:val="en-US" w:eastAsia="zh-CN"/>
                    </w:rPr>
                    <w:t>7.5</w:t>
                  </w:r>
                </w:p>
              </w:tc>
              <w:tc>
                <w:tcPr>
                  <w:tcW w:w="533" w:type="dxa"/>
                  <w:shd w:val="clear" w:color="auto" w:fill="auto"/>
                  <w:vAlign w:val="center"/>
                </w:tcPr>
                <w:p w14:paraId="250B29F1">
                  <w:pPr>
                    <w:tabs>
                      <w:tab w:val="left" w:pos="3836"/>
                    </w:tabs>
                    <w:jc w:val="center"/>
                    <w:rPr>
                      <w:rFonts w:ascii="Times New Roman" w:hAnsi="Times New Roman" w:eastAsia="宋体" w:cs="Times New Roman"/>
                      <w:color w:val="FF0000"/>
                      <w:kern w:val="2"/>
                      <w:sz w:val="21"/>
                      <w:szCs w:val="18"/>
                      <w:lang w:val="en-US" w:eastAsia="zh-CN" w:bidi="ar-SA"/>
                    </w:rPr>
                  </w:pPr>
                  <w:r>
                    <w:rPr>
                      <w:rFonts w:hint="eastAsia"/>
                      <w:color w:val="FF0000"/>
                      <w:sz w:val="21"/>
                      <w:szCs w:val="18"/>
                    </w:rPr>
                    <w:t>/</w:t>
                  </w:r>
                </w:p>
              </w:tc>
              <w:tc>
                <w:tcPr>
                  <w:tcW w:w="454" w:type="dxa"/>
                  <w:shd w:val="clear" w:color="auto" w:fill="auto"/>
                  <w:vAlign w:val="center"/>
                </w:tcPr>
                <w:p w14:paraId="55ED7242">
                  <w:pPr>
                    <w:tabs>
                      <w:tab w:val="left" w:pos="3836"/>
                    </w:tabs>
                    <w:jc w:val="center"/>
                    <w:rPr>
                      <w:rFonts w:hint="default" w:ascii="Times New Roman" w:hAnsi="Times New Roman" w:eastAsia="宋体" w:cs="Times New Roman"/>
                      <w:color w:val="FF0000"/>
                      <w:kern w:val="2"/>
                      <w:sz w:val="21"/>
                      <w:szCs w:val="18"/>
                      <w:lang w:val="en-US" w:eastAsia="zh-CN" w:bidi="ar-SA"/>
                    </w:rPr>
                  </w:pPr>
                  <w:r>
                    <w:rPr>
                      <w:rFonts w:hint="eastAsia"/>
                      <w:color w:val="FF0000"/>
                      <w:sz w:val="21"/>
                      <w:szCs w:val="18"/>
                      <w:lang w:val="en-US" w:eastAsia="zh-CN"/>
                    </w:rPr>
                    <w:t>0.015</w:t>
                  </w:r>
                </w:p>
              </w:tc>
              <w:tc>
                <w:tcPr>
                  <w:tcW w:w="413" w:type="dxa"/>
                  <w:shd w:val="clear" w:color="auto" w:fill="auto"/>
                  <w:vAlign w:val="center"/>
                </w:tcPr>
                <w:p w14:paraId="15E4AF50">
                  <w:pPr>
                    <w:tabs>
                      <w:tab w:val="left" w:pos="3836"/>
                    </w:tabs>
                    <w:jc w:val="center"/>
                    <w:rPr>
                      <w:sz w:val="21"/>
                      <w:szCs w:val="21"/>
                    </w:rPr>
                  </w:pPr>
                  <w:r>
                    <w:rPr>
                      <w:sz w:val="21"/>
                      <w:szCs w:val="21"/>
                    </w:rPr>
                    <w:t>无组织</w:t>
                  </w:r>
                </w:p>
              </w:tc>
            </w:tr>
          </w:tbl>
          <w:p w14:paraId="0FC5FEBE">
            <w:pPr>
              <w:widowControl/>
              <w:spacing w:line="360" w:lineRule="auto"/>
              <w:ind w:firstLine="480" w:firstLineChars="200"/>
              <w:rPr>
                <w:szCs w:val="21"/>
              </w:rPr>
            </w:pPr>
            <w:r>
              <w:rPr>
                <w:rFonts w:hint="eastAsia"/>
                <w:szCs w:val="21"/>
              </w:rPr>
              <w:t>由上表可知，本项目无机检测过程中产生的氯化氢经通风橱/</w:t>
            </w:r>
            <w:r>
              <w:rPr>
                <w:rFonts w:hint="eastAsia"/>
                <w:szCs w:val="21"/>
                <w:lang w:eastAsia="zh-CN"/>
              </w:rPr>
              <w:t>万向罩</w:t>
            </w:r>
            <w:r>
              <w:rPr>
                <w:rFonts w:hint="eastAsia"/>
                <w:szCs w:val="21"/>
              </w:rPr>
              <w:t>/吸风罩+喷淋塔装置处理后通过35m高排气筒（DA002）能够达标排放，排放速率满足</w:t>
            </w:r>
            <w:r>
              <w:rPr>
                <w:szCs w:val="21"/>
              </w:rPr>
              <w:t>《大气污染物综合排放标准》（GB</w:t>
            </w:r>
            <w:r>
              <w:rPr>
                <w:rFonts w:hint="eastAsia"/>
                <w:szCs w:val="21"/>
              </w:rPr>
              <w:t xml:space="preserve"> </w:t>
            </w:r>
            <w:r>
              <w:rPr>
                <w:szCs w:val="21"/>
              </w:rPr>
              <w:t>16297-1996）</w:t>
            </w:r>
            <w:r>
              <w:rPr>
                <w:rFonts w:hint="eastAsia"/>
                <w:szCs w:val="21"/>
              </w:rPr>
              <w:t>表2中氯化氢35m高排气筒限值（采用内插法计算）的50%。</w:t>
            </w:r>
          </w:p>
          <w:p w14:paraId="2E608993">
            <w:pPr>
              <w:numPr>
                <w:ilvl w:val="0"/>
                <w:numId w:val="8"/>
              </w:numPr>
              <w:spacing w:line="360" w:lineRule="auto"/>
              <w:ind w:firstLine="480" w:firstLineChars="200"/>
            </w:pPr>
            <w:r>
              <w:rPr>
                <w:rFonts w:hint="eastAsia"/>
              </w:rPr>
              <w:t>硫酸雾</w:t>
            </w:r>
          </w:p>
          <w:p w14:paraId="04B95FFA">
            <w:pPr>
              <w:spacing w:line="360" w:lineRule="auto"/>
              <w:ind w:firstLine="480" w:firstLineChars="200"/>
            </w:pPr>
            <w:r>
              <w:rPr>
                <w:rFonts w:hint="eastAsia"/>
              </w:rPr>
              <w:t>硫酸主要用于样品前处理，</w:t>
            </w:r>
            <w:r>
              <w:rPr>
                <w:rFonts w:hint="eastAsia"/>
                <w:color w:val="FF0000"/>
                <w:kern w:val="0"/>
                <w:lang w:val="en-US" w:eastAsia="zh-CN" w:bidi="ar"/>
              </w:rPr>
              <w:t>本项目硫酸雾产生量按现有项目硫酸雾产生量3.19kg/a取值，硫酸年使用时间按500h计，</w:t>
            </w:r>
            <w:r>
              <w:rPr>
                <w:rFonts w:hint="eastAsia"/>
              </w:rPr>
              <w:t>则硫酸雾产生量为0.0</w:t>
            </w:r>
            <w:r>
              <w:rPr>
                <w:rFonts w:hint="eastAsia"/>
                <w:lang w:val="en-US" w:eastAsia="zh-CN"/>
              </w:rPr>
              <w:t>064</w:t>
            </w:r>
            <w:r>
              <w:rPr>
                <w:rFonts w:hint="eastAsia"/>
              </w:rPr>
              <w:t>kg/</w:t>
            </w:r>
            <w:r>
              <w:rPr>
                <w:rFonts w:hint="eastAsia"/>
                <w:lang w:val="en-US" w:eastAsia="zh-CN"/>
              </w:rPr>
              <w:t>h</w:t>
            </w:r>
            <w:r>
              <w:rPr>
                <w:rFonts w:hint="eastAsia"/>
              </w:rPr>
              <w:t>。</w:t>
            </w:r>
          </w:p>
          <w:p w14:paraId="636B144A">
            <w:pPr>
              <w:widowControl/>
              <w:spacing w:line="360" w:lineRule="auto"/>
              <w:ind w:firstLine="480" w:firstLineChars="200"/>
              <w:jc w:val="left"/>
              <w:rPr>
                <w:szCs w:val="21"/>
              </w:rPr>
            </w:pPr>
            <w:r>
              <w:rPr>
                <w:rFonts w:hint="eastAsia"/>
              </w:rPr>
              <w:t>本项目理化+无机实验室</w:t>
            </w:r>
            <w:r>
              <w:rPr>
                <w:rFonts w:hint="eastAsia"/>
                <w:kern w:val="0"/>
                <w:lang w:bidi="ar"/>
              </w:rPr>
              <w:t>设置通风橱18个，光谱1~2室共设置吸风罩6个，小设备1~3室共设置</w:t>
            </w:r>
            <w:r>
              <w:rPr>
                <w:rFonts w:hint="eastAsia"/>
                <w:kern w:val="0"/>
                <w:lang w:eastAsia="zh-CN" w:bidi="ar"/>
              </w:rPr>
              <w:t>万向罩</w:t>
            </w:r>
            <w:r>
              <w:rPr>
                <w:rFonts w:hint="eastAsia"/>
                <w:kern w:val="0"/>
                <w:lang w:bidi="ar"/>
              </w:rPr>
              <w:t>8个，</w:t>
            </w:r>
            <w:r>
              <w:t>实验</w:t>
            </w:r>
            <w:r>
              <w:rPr>
                <w:rFonts w:hint="eastAsia"/>
              </w:rPr>
              <w:t>操作</w:t>
            </w:r>
            <w:r>
              <w:rPr>
                <w:rFonts w:hint="eastAsia" w:ascii="宋体" w:hAnsi="宋体" w:cs="宋体"/>
                <w:kern w:val="0"/>
                <w:lang w:bidi="ar"/>
              </w:rPr>
              <w:t>在通风橱内/</w:t>
            </w:r>
            <w:r>
              <w:rPr>
                <w:rFonts w:hint="eastAsia" w:ascii="宋体" w:hAnsi="宋体" w:cs="宋体"/>
                <w:kern w:val="0"/>
                <w:lang w:eastAsia="zh-CN" w:bidi="ar"/>
              </w:rPr>
              <w:t>万向罩</w:t>
            </w:r>
            <w:r>
              <w:rPr>
                <w:rFonts w:hint="eastAsia" w:ascii="宋体" w:hAnsi="宋体" w:cs="宋体"/>
                <w:kern w:val="0"/>
                <w:lang w:bidi="ar"/>
              </w:rPr>
              <w:t>下/吸风罩下进行，所有废气统一收集、处置后排放，少量废气以无组织形式逸散。实验前提前开启通风橱/</w:t>
            </w:r>
            <w:r>
              <w:rPr>
                <w:rFonts w:hint="eastAsia" w:ascii="宋体" w:hAnsi="宋体" w:cs="宋体"/>
                <w:kern w:val="0"/>
                <w:lang w:eastAsia="zh-CN" w:bidi="ar"/>
              </w:rPr>
              <w:t>万向罩</w:t>
            </w:r>
            <w:r>
              <w:rPr>
                <w:rFonts w:hint="eastAsia" w:ascii="宋体" w:hAnsi="宋体" w:cs="宋体"/>
                <w:kern w:val="0"/>
                <w:lang w:bidi="ar"/>
              </w:rPr>
              <w:t>/吸风罩，实验结束后运行一段时间后再行关闭。通风橱/</w:t>
            </w:r>
            <w:r>
              <w:rPr>
                <w:rFonts w:hint="eastAsia" w:ascii="宋体" w:hAnsi="宋体" w:cs="宋体"/>
                <w:kern w:val="0"/>
                <w:lang w:eastAsia="zh-CN" w:bidi="ar"/>
              </w:rPr>
              <w:t>万向罩</w:t>
            </w:r>
            <w:r>
              <w:rPr>
                <w:rFonts w:hint="eastAsia" w:ascii="宋体" w:hAnsi="宋体" w:cs="宋体"/>
                <w:kern w:val="0"/>
                <w:lang w:bidi="ar"/>
              </w:rPr>
              <w:t>/吸风罩上方设置排风管道，废气经机械强制抽风进入排气管道后汇集到总管道，</w:t>
            </w:r>
            <w:r>
              <w:rPr>
                <w:rFonts w:hint="eastAsia"/>
                <w:szCs w:val="21"/>
              </w:rPr>
              <w:t>引至楼顶喷淋塔装置处理后经35m高排气筒排放</w:t>
            </w:r>
            <w:r>
              <w:rPr>
                <w:color w:val="000000" w:themeColor="text1"/>
                <w:kern w:val="0"/>
                <w:lang w:bidi="ar"/>
                <w14:textFill>
                  <w14:solidFill>
                    <w14:schemeClr w14:val="tx1"/>
                  </w14:solidFill>
                </w14:textFill>
              </w:rPr>
              <w:t>。</w:t>
            </w:r>
            <w:r>
              <w:rPr>
                <w:rFonts w:hint="eastAsia"/>
                <w:color w:val="000000" w:themeColor="text1"/>
                <w14:textFill>
                  <w14:solidFill>
                    <w14:schemeClr w14:val="tx1"/>
                  </w14:solidFill>
                </w14:textFill>
              </w:rPr>
              <w:t>本项目使用通风橱、</w:t>
            </w:r>
            <w:r>
              <w:rPr>
                <w:rFonts w:hint="eastAsia"/>
                <w:color w:val="000000" w:themeColor="text1"/>
                <w:lang w:eastAsia="zh-CN"/>
                <w14:textFill>
                  <w14:solidFill>
                    <w14:schemeClr w14:val="tx1"/>
                  </w14:solidFill>
                </w14:textFill>
              </w:rPr>
              <w:t>万向罩</w:t>
            </w:r>
            <w:r>
              <w:rPr>
                <w:rFonts w:hint="eastAsia"/>
                <w:color w:val="000000" w:themeColor="text1"/>
                <w14:textFill>
                  <w14:solidFill>
                    <w14:schemeClr w14:val="tx1"/>
                  </w14:solidFill>
                </w14:textFill>
              </w:rPr>
              <w:t>、吸风罩收集废气，且敞开面控制风速不小于0.5m/s，故废气收集效率按80%计。</w:t>
            </w:r>
            <w:r>
              <w:rPr>
                <w:rFonts w:hint="eastAsia"/>
                <w:color w:val="000000" w:themeColor="text1"/>
                <w:szCs w:val="21"/>
                <w14:textFill>
                  <w14:solidFill>
                    <w14:schemeClr w14:val="tx1"/>
                  </w14:solidFill>
                </w14:textFill>
              </w:rPr>
              <w:t>喷淋塔处理效率按80%计，</w:t>
            </w:r>
            <w:r>
              <w:rPr>
                <w:color w:val="000000" w:themeColor="text1"/>
                <w:szCs w:val="21"/>
                <w14:textFill>
                  <w14:solidFill>
                    <w14:schemeClr w14:val="tx1"/>
                  </w14:solidFill>
                </w14:textFill>
              </w:rPr>
              <w:t>风机风量为</w:t>
            </w:r>
            <w:r>
              <w:rPr>
                <w:rFonts w:hint="eastAsia"/>
                <w:color w:val="000000" w:themeColor="text1"/>
                <w:szCs w:val="21"/>
                <w14:textFill>
                  <w14:solidFill>
                    <w14:schemeClr w14:val="tx1"/>
                  </w14:solidFill>
                </w14:textFill>
              </w:rPr>
              <w:t>18000</w:t>
            </w:r>
            <w:r>
              <w:rPr>
                <w:color w:val="000000" w:themeColor="text1"/>
                <w:szCs w:val="21"/>
                <w14:textFill>
                  <w14:solidFill>
                    <w14:schemeClr w14:val="tx1"/>
                  </w14:solidFill>
                </w14:textFill>
              </w:rPr>
              <w:t>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w:t>
            </w:r>
            <w:r>
              <w:rPr>
                <w:rFonts w:hint="eastAsia"/>
                <w:color w:val="000000" w:themeColor="text1"/>
                <w:szCs w:val="21"/>
                <w14:textFill>
                  <w14:solidFill>
                    <w14:schemeClr w14:val="tx1"/>
                  </w14:solidFill>
                </w14:textFill>
              </w:rPr>
              <w:t>，则</w:t>
            </w:r>
            <w:r>
              <w:rPr>
                <w:rFonts w:hint="eastAsia"/>
              </w:rPr>
              <w:t>本项目硫酸雾产排情况</w:t>
            </w:r>
            <w:r>
              <w:rPr>
                <w:rFonts w:hint="eastAsia"/>
                <w:szCs w:val="21"/>
              </w:rPr>
              <w:t>见表4-</w:t>
            </w:r>
            <w:r>
              <w:rPr>
                <w:rFonts w:hint="eastAsia"/>
                <w:szCs w:val="21"/>
                <w:lang w:val="en-US" w:eastAsia="zh-CN"/>
              </w:rPr>
              <w:t>3</w:t>
            </w:r>
            <w:r>
              <w:rPr>
                <w:rFonts w:hint="eastAsia"/>
                <w:szCs w:val="21"/>
              </w:rPr>
              <w:t>。</w:t>
            </w:r>
          </w:p>
          <w:p w14:paraId="40044B74">
            <w:pPr>
              <w:tabs>
                <w:tab w:val="left" w:pos="3836"/>
              </w:tabs>
              <w:jc w:val="center"/>
              <w:rPr>
                <w:b/>
                <w:bCs/>
                <w:sz w:val="21"/>
                <w:szCs w:val="18"/>
              </w:rPr>
            </w:pPr>
          </w:p>
          <w:p w14:paraId="1C10436B">
            <w:pPr>
              <w:tabs>
                <w:tab w:val="left" w:pos="3836"/>
              </w:tabs>
              <w:jc w:val="center"/>
              <w:rPr>
                <w:szCs w:val="21"/>
              </w:rPr>
            </w:pPr>
            <w:r>
              <w:rPr>
                <w:b/>
                <w:bCs/>
                <w:sz w:val="21"/>
                <w:szCs w:val="18"/>
              </w:rPr>
              <w:t>表4-</w:t>
            </w:r>
            <w:r>
              <w:rPr>
                <w:rFonts w:hint="eastAsia"/>
                <w:b/>
                <w:bCs/>
                <w:sz w:val="21"/>
                <w:szCs w:val="18"/>
                <w:lang w:val="en-US" w:eastAsia="zh-CN"/>
              </w:rPr>
              <w:t>3</w:t>
            </w:r>
            <w:r>
              <w:rPr>
                <w:b/>
                <w:bCs/>
                <w:sz w:val="21"/>
                <w:szCs w:val="18"/>
              </w:rPr>
              <w:t xml:space="preserve">  项目</w:t>
            </w:r>
            <w:r>
              <w:rPr>
                <w:rFonts w:hint="eastAsia"/>
                <w:b/>
                <w:bCs/>
                <w:sz w:val="21"/>
                <w:szCs w:val="18"/>
              </w:rPr>
              <w:t>硫酸雾产排</w:t>
            </w:r>
            <w:r>
              <w:rPr>
                <w:b/>
                <w:bCs/>
                <w:sz w:val="21"/>
                <w:szCs w:val="18"/>
              </w:rPr>
              <w:t>情况一览表</w:t>
            </w:r>
          </w:p>
          <w:tbl>
            <w:tblPr>
              <w:tblStyle w:val="23"/>
              <w:tblW w:w="81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
              <w:gridCol w:w="453"/>
              <w:gridCol w:w="453"/>
              <w:gridCol w:w="494"/>
              <w:gridCol w:w="480"/>
              <w:gridCol w:w="586"/>
              <w:gridCol w:w="1066"/>
              <w:gridCol w:w="667"/>
              <w:gridCol w:w="453"/>
              <w:gridCol w:w="467"/>
              <w:gridCol w:w="680"/>
              <w:gridCol w:w="533"/>
              <w:gridCol w:w="533"/>
              <w:gridCol w:w="454"/>
              <w:gridCol w:w="413"/>
            </w:tblGrid>
            <w:tr w14:paraId="1713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vAlign w:val="center"/>
                </w:tcPr>
                <w:p w14:paraId="45AB583A">
                  <w:pPr>
                    <w:tabs>
                      <w:tab w:val="left" w:pos="3836"/>
                    </w:tabs>
                    <w:jc w:val="center"/>
                    <w:rPr>
                      <w:b/>
                      <w:bCs/>
                      <w:sz w:val="21"/>
                      <w:szCs w:val="21"/>
                    </w:rPr>
                  </w:pPr>
                  <w:r>
                    <w:rPr>
                      <w:b/>
                      <w:bCs/>
                      <w:sz w:val="21"/>
                      <w:szCs w:val="21"/>
                    </w:rPr>
                    <w:t>产排污环节</w:t>
                  </w:r>
                </w:p>
              </w:tc>
              <w:tc>
                <w:tcPr>
                  <w:tcW w:w="453" w:type="dxa"/>
                  <w:vMerge w:val="restart"/>
                  <w:vAlign w:val="center"/>
                </w:tcPr>
                <w:p w14:paraId="3F527609">
                  <w:pPr>
                    <w:tabs>
                      <w:tab w:val="left" w:pos="3836"/>
                    </w:tabs>
                    <w:jc w:val="center"/>
                    <w:rPr>
                      <w:b/>
                      <w:bCs/>
                      <w:sz w:val="21"/>
                      <w:szCs w:val="21"/>
                    </w:rPr>
                  </w:pPr>
                  <w:r>
                    <w:rPr>
                      <w:b/>
                      <w:bCs/>
                      <w:sz w:val="21"/>
                      <w:szCs w:val="21"/>
                    </w:rPr>
                    <w:t>污染源</w:t>
                  </w:r>
                </w:p>
              </w:tc>
              <w:tc>
                <w:tcPr>
                  <w:tcW w:w="453" w:type="dxa"/>
                  <w:vMerge w:val="restart"/>
                  <w:vAlign w:val="center"/>
                </w:tcPr>
                <w:p w14:paraId="590E6F0C">
                  <w:pPr>
                    <w:tabs>
                      <w:tab w:val="left" w:pos="3836"/>
                    </w:tabs>
                    <w:jc w:val="center"/>
                    <w:rPr>
                      <w:b/>
                      <w:bCs/>
                      <w:sz w:val="21"/>
                      <w:szCs w:val="21"/>
                    </w:rPr>
                  </w:pPr>
                  <w:r>
                    <w:rPr>
                      <w:b/>
                      <w:bCs/>
                      <w:sz w:val="21"/>
                      <w:szCs w:val="21"/>
                    </w:rPr>
                    <w:t>污染物</w:t>
                  </w:r>
                </w:p>
              </w:tc>
              <w:tc>
                <w:tcPr>
                  <w:tcW w:w="1560" w:type="dxa"/>
                  <w:gridSpan w:val="3"/>
                  <w:vAlign w:val="center"/>
                </w:tcPr>
                <w:p w14:paraId="5D063352">
                  <w:pPr>
                    <w:tabs>
                      <w:tab w:val="left" w:pos="3836"/>
                    </w:tabs>
                    <w:jc w:val="center"/>
                    <w:rPr>
                      <w:b/>
                      <w:bCs/>
                      <w:sz w:val="21"/>
                      <w:szCs w:val="21"/>
                    </w:rPr>
                  </w:pPr>
                  <w:r>
                    <w:rPr>
                      <w:b/>
                      <w:bCs/>
                      <w:sz w:val="21"/>
                      <w:szCs w:val="21"/>
                    </w:rPr>
                    <w:t>污染物产生</w:t>
                  </w:r>
                </w:p>
              </w:tc>
              <w:tc>
                <w:tcPr>
                  <w:tcW w:w="3333" w:type="dxa"/>
                  <w:gridSpan w:val="5"/>
                  <w:vAlign w:val="center"/>
                </w:tcPr>
                <w:p w14:paraId="7EFFDB0D">
                  <w:pPr>
                    <w:tabs>
                      <w:tab w:val="left" w:pos="3836"/>
                    </w:tabs>
                    <w:jc w:val="center"/>
                    <w:rPr>
                      <w:b/>
                      <w:bCs/>
                      <w:sz w:val="21"/>
                      <w:szCs w:val="21"/>
                    </w:rPr>
                  </w:pPr>
                  <w:r>
                    <w:rPr>
                      <w:b/>
                      <w:bCs/>
                      <w:sz w:val="21"/>
                      <w:szCs w:val="21"/>
                    </w:rPr>
                    <w:t>治理</w:t>
                  </w:r>
                  <w:r>
                    <w:rPr>
                      <w:rFonts w:hint="eastAsia"/>
                      <w:b/>
                      <w:bCs/>
                      <w:sz w:val="21"/>
                      <w:szCs w:val="21"/>
                    </w:rPr>
                    <w:t>措施</w:t>
                  </w:r>
                </w:p>
              </w:tc>
              <w:tc>
                <w:tcPr>
                  <w:tcW w:w="1933" w:type="dxa"/>
                  <w:gridSpan w:val="4"/>
                  <w:vAlign w:val="center"/>
                </w:tcPr>
                <w:p w14:paraId="45AE09D5">
                  <w:pPr>
                    <w:tabs>
                      <w:tab w:val="left" w:pos="3836"/>
                    </w:tabs>
                    <w:jc w:val="center"/>
                    <w:rPr>
                      <w:b/>
                      <w:bCs/>
                      <w:sz w:val="21"/>
                      <w:szCs w:val="21"/>
                    </w:rPr>
                  </w:pPr>
                  <w:r>
                    <w:rPr>
                      <w:b/>
                      <w:bCs/>
                      <w:sz w:val="21"/>
                      <w:szCs w:val="21"/>
                    </w:rPr>
                    <w:t>污染物排放</w:t>
                  </w:r>
                </w:p>
              </w:tc>
            </w:tr>
            <w:tr w14:paraId="05C9C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497D8127">
                  <w:pPr>
                    <w:tabs>
                      <w:tab w:val="left" w:pos="3836"/>
                    </w:tabs>
                    <w:jc w:val="center"/>
                    <w:rPr>
                      <w:b/>
                      <w:bCs/>
                      <w:sz w:val="21"/>
                      <w:szCs w:val="21"/>
                    </w:rPr>
                  </w:pPr>
                </w:p>
              </w:tc>
              <w:tc>
                <w:tcPr>
                  <w:tcW w:w="453" w:type="dxa"/>
                  <w:vMerge w:val="continue"/>
                  <w:vAlign w:val="center"/>
                </w:tcPr>
                <w:p w14:paraId="365EA4B7">
                  <w:pPr>
                    <w:autoSpaceDE w:val="0"/>
                    <w:adjustRightInd w:val="0"/>
                    <w:snapToGrid w:val="0"/>
                    <w:jc w:val="center"/>
                    <w:rPr>
                      <w:b/>
                      <w:bCs/>
                      <w:sz w:val="21"/>
                      <w:szCs w:val="21"/>
                    </w:rPr>
                  </w:pPr>
                </w:p>
              </w:tc>
              <w:tc>
                <w:tcPr>
                  <w:tcW w:w="453" w:type="dxa"/>
                  <w:vMerge w:val="continue"/>
                  <w:vAlign w:val="center"/>
                </w:tcPr>
                <w:p w14:paraId="01ABB2B5">
                  <w:pPr>
                    <w:autoSpaceDE w:val="0"/>
                    <w:adjustRightInd w:val="0"/>
                    <w:snapToGrid w:val="0"/>
                    <w:jc w:val="center"/>
                    <w:rPr>
                      <w:b/>
                      <w:bCs/>
                      <w:sz w:val="21"/>
                      <w:szCs w:val="21"/>
                    </w:rPr>
                  </w:pPr>
                </w:p>
              </w:tc>
              <w:tc>
                <w:tcPr>
                  <w:tcW w:w="494" w:type="dxa"/>
                  <w:vAlign w:val="center"/>
                </w:tcPr>
                <w:p w14:paraId="3C49928D">
                  <w:pPr>
                    <w:autoSpaceDE w:val="0"/>
                    <w:adjustRightInd w:val="0"/>
                    <w:snapToGrid w:val="0"/>
                    <w:jc w:val="center"/>
                    <w:rPr>
                      <w:b/>
                      <w:bCs/>
                      <w:sz w:val="21"/>
                      <w:szCs w:val="21"/>
                    </w:rPr>
                  </w:pPr>
                  <w:r>
                    <w:rPr>
                      <w:b/>
                      <w:bCs/>
                      <w:sz w:val="21"/>
                      <w:szCs w:val="21"/>
                    </w:rPr>
                    <w:t>产生量kg/a</w:t>
                  </w:r>
                </w:p>
              </w:tc>
              <w:tc>
                <w:tcPr>
                  <w:tcW w:w="480" w:type="dxa"/>
                  <w:vAlign w:val="center"/>
                </w:tcPr>
                <w:p w14:paraId="168B99A7">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586" w:type="dxa"/>
                  <w:vAlign w:val="center"/>
                </w:tcPr>
                <w:p w14:paraId="7B7B1578">
                  <w:pPr>
                    <w:autoSpaceDE w:val="0"/>
                    <w:adjustRightInd w:val="0"/>
                    <w:snapToGrid w:val="0"/>
                    <w:jc w:val="center"/>
                    <w:rPr>
                      <w:b/>
                      <w:bCs/>
                      <w:sz w:val="21"/>
                      <w:szCs w:val="21"/>
                    </w:rPr>
                  </w:pPr>
                  <w:r>
                    <w:rPr>
                      <w:b/>
                      <w:bCs/>
                      <w:sz w:val="21"/>
                      <w:szCs w:val="21"/>
                    </w:rPr>
                    <w:t>速率kg/h</w:t>
                  </w:r>
                </w:p>
              </w:tc>
              <w:tc>
                <w:tcPr>
                  <w:tcW w:w="1066" w:type="dxa"/>
                  <w:vAlign w:val="center"/>
                </w:tcPr>
                <w:p w14:paraId="33F1D525">
                  <w:pPr>
                    <w:tabs>
                      <w:tab w:val="left" w:pos="3836"/>
                    </w:tabs>
                    <w:jc w:val="center"/>
                    <w:rPr>
                      <w:b/>
                      <w:bCs/>
                      <w:sz w:val="21"/>
                      <w:szCs w:val="21"/>
                    </w:rPr>
                  </w:pPr>
                  <w:r>
                    <w:rPr>
                      <w:b/>
                      <w:bCs/>
                      <w:sz w:val="21"/>
                      <w:szCs w:val="21"/>
                    </w:rPr>
                    <w:t>治理</w:t>
                  </w:r>
                </w:p>
                <w:p w14:paraId="0ADE7F8B">
                  <w:pPr>
                    <w:tabs>
                      <w:tab w:val="left" w:pos="3836"/>
                    </w:tabs>
                    <w:jc w:val="center"/>
                    <w:rPr>
                      <w:b/>
                      <w:bCs/>
                      <w:sz w:val="21"/>
                      <w:szCs w:val="21"/>
                    </w:rPr>
                  </w:pPr>
                  <w:r>
                    <w:rPr>
                      <w:b/>
                      <w:bCs/>
                      <w:sz w:val="21"/>
                      <w:szCs w:val="21"/>
                    </w:rPr>
                    <w:t>工艺</w:t>
                  </w:r>
                </w:p>
              </w:tc>
              <w:tc>
                <w:tcPr>
                  <w:tcW w:w="667" w:type="dxa"/>
                  <w:vAlign w:val="center"/>
                </w:tcPr>
                <w:p w14:paraId="64300ABC">
                  <w:pPr>
                    <w:tabs>
                      <w:tab w:val="left" w:pos="3836"/>
                    </w:tabs>
                    <w:jc w:val="center"/>
                    <w:rPr>
                      <w:b/>
                      <w:bCs/>
                      <w:sz w:val="21"/>
                      <w:szCs w:val="21"/>
                    </w:rPr>
                  </w:pPr>
                  <w:r>
                    <w:rPr>
                      <w:b/>
                      <w:bCs/>
                      <w:sz w:val="21"/>
                      <w:szCs w:val="21"/>
                    </w:rPr>
                    <w:t>处理能力m</w:t>
                  </w:r>
                  <w:r>
                    <w:rPr>
                      <w:b/>
                      <w:bCs/>
                      <w:sz w:val="21"/>
                      <w:szCs w:val="21"/>
                      <w:vertAlign w:val="superscript"/>
                    </w:rPr>
                    <w:t>3</w:t>
                  </w:r>
                  <w:r>
                    <w:rPr>
                      <w:b/>
                      <w:bCs/>
                      <w:sz w:val="21"/>
                      <w:szCs w:val="21"/>
                    </w:rPr>
                    <w:t>/h</w:t>
                  </w:r>
                </w:p>
              </w:tc>
              <w:tc>
                <w:tcPr>
                  <w:tcW w:w="453" w:type="dxa"/>
                  <w:vAlign w:val="center"/>
                </w:tcPr>
                <w:p w14:paraId="6CD369A2">
                  <w:pPr>
                    <w:autoSpaceDE w:val="0"/>
                    <w:adjustRightInd w:val="0"/>
                    <w:snapToGrid w:val="0"/>
                    <w:jc w:val="center"/>
                    <w:rPr>
                      <w:b/>
                      <w:bCs/>
                      <w:sz w:val="21"/>
                      <w:szCs w:val="21"/>
                    </w:rPr>
                  </w:pPr>
                  <w:r>
                    <w:rPr>
                      <w:b/>
                      <w:bCs/>
                      <w:sz w:val="21"/>
                      <w:szCs w:val="21"/>
                    </w:rPr>
                    <w:t>收集效率%</w:t>
                  </w:r>
                </w:p>
              </w:tc>
              <w:tc>
                <w:tcPr>
                  <w:tcW w:w="467" w:type="dxa"/>
                  <w:vAlign w:val="center"/>
                </w:tcPr>
                <w:p w14:paraId="47F25290">
                  <w:pPr>
                    <w:autoSpaceDE w:val="0"/>
                    <w:adjustRightInd w:val="0"/>
                    <w:snapToGrid w:val="0"/>
                    <w:jc w:val="center"/>
                    <w:rPr>
                      <w:b/>
                      <w:bCs/>
                      <w:sz w:val="21"/>
                      <w:szCs w:val="21"/>
                    </w:rPr>
                  </w:pPr>
                  <w:r>
                    <w:rPr>
                      <w:b/>
                      <w:bCs/>
                      <w:sz w:val="21"/>
                      <w:szCs w:val="21"/>
                    </w:rPr>
                    <w:t>去除效率%</w:t>
                  </w:r>
                </w:p>
              </w:tc>
              <w:tc>
                <w:tcPr>
                  <w:tcW w:w="680" w:type="dxa"/>
                  <w:vAlign w:val="center"/>
                </w:tcPr>
                <w:p w14:paraId="623750EC">
                  <w:pPr>
                    <w:autoSpaceDE w:val="0"/>
                    <w:adjustRightInd w:val="0"/>
                    <w:snapToGrid w:val="0"/>
                    <w:jc w:val="center"/>
                    <w:rPr>
                      <w:b/>
                      <w:bCs/>
                      <w:sz w:val="21"/>
                      <w:szCs w:val="21"/>
                    </w:rPr>
                  </w:pPr>
                  <w:r>
                    <w:rPr>
                      <w:b/>
                      <w:bCs/>
                      <w:sz w:val="21"/>
                      <w:szCs w:val="21"/>
                    </w:rPr>
                    <w:t>是否为可行技术</w:t>
                  </w:r>
                </w:p>
              </w:tc>
              <w:tc>
                <w:tcPr>
                  <w:tcW w:w="533" w:type="dxa"/>
                  <w:vAlign w:val="center"/>
                </w:tcPr>
                <w:p w14:paraId="34B26F72">
                  <w:pPr>
                    <w:autoSpaceDE w:val="0"/>
                    <w:adjustRightInd w:val="0"/>
                    <w:snapToGrid w:val="0"/>
                    <w:jc w:val="center"/>
                    <w:rPr>
                      <w:b/>
                      <w:bCs/>
                      <w:sz w:val="21"/>
                      <w:szCs w:val="21"/>
                    </w:rPr>
                  </w:pPr>
                  <w:r>
                    <w:rPr>
                      <w:b/>
                      <w:bCs/>
                      <w:sz w:val="21"/>
                      <w:szCs w:val="21"/>
                    </w:rPr>
                    <w:t>排放量kg/a</w:t>
                  </w:r>
                </w:p>
              </w:tc>
              <w:tc>
                <w:tcPr>
                  <w:tcW w:w="533" w:type="dxa"/>
                  <w:vAlign w:val="center"/>
                </w:tcPr>
                <w:p w14:paraId="6ADCFCBB">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454" w:type="dxa"/>
                  <w:vAlign w:val="center"/>
                </w:tcPr>
                <w:p w14:paraId="46763E12">
                  <w:pPr>
                    <w:autoSpaceDE w:val="0"/>
                    <w:adjustRightInd w:val="0"/>
                    <w:snapToGrid w:val="0"/>
                    <w:jc w:val="center"/>
                    <w:rPr>
                      <w:b/>
                      <w:bCs/>
                      <w:sz w:val="21"/>
                      <w:szCs w:val="21"/>
                    </w:rPr>
                  </w:pPr>
                  <w:r>
                    <w:rPr>
                      <w:b/>
                      <w:bCs/>
                      <w:sz w:val="21"/>
                      <w:szCs w:val="21"/>
                    </w:rPr>
                    <w:t>速率kg/h</w:t>
                  </w:r>
                </w:p>
              </w:tc>
              <w:tc>
                <w:tcPr>
                  <w:tcW w:w="413" w:type="dxa"/>
                  <w:vAlign w:val="center"/>
                </w:tcPr>
                <w:p w14:paraId="65339C30">
                  <w:pPr>
                    <w:autoSpaceDE w:val="0"/>
                    <w:adjustRightInd w:val="0"/>
                    <w:snapToGrid w:val="0"/>
                    <w:jc w:val="center"/>
                    <w:rPr>
                      <w:b/>
                      <w:bCs/>
                      <w:sz w:val="21"/>
                      <w:szCs w:val="21"/>
                    </w:rPr>
                  </w:pPr>
                  <w:r>
                    <w:rPr>
                      <w:b/>
                      <w:bCs/>
                      <w:sz w:val="21"/>
                      <w:szCs w:val="21"/>
                    </w:rPr>
                    <w:t>排放形式</w:t>
                  </w:r>
                </w:p>
              </w:tc>
            </w:tr>
            <w:tr w14:paraId="76F25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shd w:val="clear" w:color="auto" w:fill="auto"/>
                  <w:vAlign w:val="center"/>
                </w:tcPr>
                <w:p w14:paraId="7E029BE1">
                  <w:pPr>
                    <w:tabs>
                      <w:tab w:val="left" w:pos="3836"/>
                    </w:tabs>
                    <w:jc w:val="center"/>
                    <w:rPr>
                      <w:sz w:val="21"/>
                      <w:szCs w:val="21"/>
                    </w:rPr>
                  </w:pPr>
                  <w:r>
                    <w:rPr>
                      <w:sz w:val="21"/>
                      <w:szCs w:val="21"/>
                    </w:rPr>
                    <w:t>无机前处理</w:t>
                  </w:r>
                </w:p>
              </w:tc>
              <w:tc>
                <w:tcPr>
                  <w:tcW w:w="453" w:type="dxa"/>
                  <w:shd w:val="clear" w:color="auto" w:fill="auto"/>
                  <w:vAlign w:val="center"/>
                </w:tcPr>
                <w:p w14:paraId="0DE1F756">
                  <w:pPr>
                    <w:tabs>
                      <w:tab w:val="left" w:pos="3836"/>
                    </w:tabs>
                    <w:jc w:val="center"/>
                    <w:rPr>
                      <w:sz w:val="21"/>
                      <w:szCs w:val="21"/>
                    </w:rPr>
                  </w:pPr>
                  <w:r>
                    <w:rPr>
                      <w:sz w:val="21"/>
                      <w:szCs w:val="21"/>
                    </w:rPr>
                    <w:t>DA00</w:t>
                  </w:r>
                  <w:r>
                    <w:rPr>
                      <w:rFonts w:hint="eastAsia"/>
                      <w:sz w:val="21"/>
                      <w:szCs w:val="21"/>
                    </w:rPr>
                    <w:t>2</w:t>
                  </w:r>
                </w:p>
              </w:tc>
              <w:tc>
                <w:tcPr>
                  <w:tcW w:w="453" w:type="dxa"/>
                  <w:vMerge w:val="restart"/>
                  <w:shd w:val="clear" w:color="auto" w:fill="auto"/>
                  <w:vAlign w:val="center"/>
                </w:tcPr>
                <w:p w14:paraId="1CCD43F5">
                  <w:pPr>
                    <w:tabs>
                      <w:tab w:val="left" w:pos="3836"/>
                    </w:tabs>
                    <w:jc w:val="center"/>
                    <w:rPr>
                      <w:sz w:val="21"/>
                      <w:szCs w:val="21"/>
                    </w:rPr>
                  </w:pPr>
                  <w:r>
                    <w:rPr>
                      <w:rFonts w:hint="eastAsia"/>
                      <w:sz w:val="21"/>
                      <w:szCs w:val="18"/>
                    </w:rPr>
                    <w:t>硫酸雾</w:t>
                  </w:r>
                </w:p>
              </w:tc>
              <w:tc>
                <w:tcPr>
                  <w:tcW w:w="494" w:type="dxa"/>
                  <w:shd w:val="clear" w:color="auto" w:fill="auto"/>
                  <w:vAlign w:val="center"/>
                </w:tcPr>
                <w:p w14:paraId="46B5A18E">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2.55</w:t>
                  </w:r>
                </w:p>
              </w:tc>
              <w:tc>
                <w:tcPr>
                  <w:tcW w:w="480" w:type="dxa"/>
                  <w:shd w:val="clear" w:color="auto" w:fill="auto"/>
                  <w:vAlign w:val="center"/>
                </w:tcPr>
                <w:p w14:paraId="4A033DEC">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0.28</w:t>
                  </w:r>
                </w:p>
              </w:tc>
              <w:tc>
                <w:tcPr>
                  <w:tcW w:w="586" w:type="dxa"/>
                  <w:shd w:val="clear" w:color="auto" w:fill="auto"/>
                  <w:vAlign w:val="center"/>
                </w:tcPr>
                <w:p w14:paraId="47BEFB9D">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0.0051</w:t>
                  </w:r>
                </w:p>
              </w:tc>
              <w:tc>
                <w:tcPr>
                  <w:tcW w:w="1066" w:type="dxa"/>
                  <w:shd w:val="clear" w:color="auto" w:fill="auto"/>
                  <w:vAlign w:val="center"/>
                </w:tcPr>
                <w:p w14:paraId="7FB05E76">
                  <w:pPr>
                    <w:tabs>
                      <w:tab w:val="left" w:pos="3836"/>
                    </w:tabs>
                    <w:jc w:val="center"/>
                    <w:rPr>
                      <w:sz w:val="21"/>
                      <w:szCs w:val="21"/>
                    </w:rPr>
                  </w:pPr>
                  <w:r>
                    <w:rPr>
                      <w:rFonts w:hint="eastAsia"/>
                      <w:sz w:val="21"/>
                      <w:szCs w:val="21"/>
                    </w:rPr>
                    <w:t>通风橱/</w:t>
                  </w:r>
                  <w:r>
                    <w:rPr>
                      <w:rFonts w:hint="eastAsia"/>
                      <w:sz w:val="21"/>
                      <w:szCs w:val="21"/>
                      <w:lang w:eastAsia="zh-CN"/>
                    </w:rPr>
                    <w:t>万向罩</w:t>
                  </w:r>
                  <w:r>
                    <w:rPr>
                      <w:rFonts w:hint="eastAsia"/>
                      <w:sz w:val="21"/>
                      <w:szCs w:val="21"/>
                    </w:rPr>
                    <w:t>/吸风罩+喷淋塔装置+35m高排气筒</w:t>
                  </w:r>
                </w:p>
              </w:tc>
              <w:tc>
                <w:tcPr>
                  <w:tcW w:w="667" w:type="dxa"/>
                  <w:shd w:val="clear" w:color="auto" w:fill="auto"/>
                  <w:vAlign w:val="center"/>
                </w:tcPr>
                <w:p w14:paraId="7A17FA6F">
                  <w:pPr>
                    <w:tabs>
                      <w:tab w:val="left" w:pos="3836"/>
                    </w:tabs>
                    <w:jc w:val="center"/>
                    <w:rPr>
                      <w:sz w:val="21"/>
                      <w:szCs w:val="21"/>
                    </w:rPr>
                  </w:pPr>
                  <w:r>
                    <w:rPr>
                      <w:sz w:val="21"/>
                      <w:szCs w:val="21"/>
                    </w:rPr>
                    <w:t>18000</w:t>
                  </w:r>
                </w:p>
              </w:tc>
              <w:tc>
                <w:tcPr>
                  <w:tcW w:w="453" w:type="dxa"/>
                  <w:shd w:val="clear" w:color="auto" w:fill="auto"/>
                  <w:vAlign w:val="center"/>
                </w:tcPr>
                <w:p w14:paraId="3D7849DA">
                  <w:pPr>
                    <w:tabs>
                      <w:tab w:val="left" w:pos="3836"/>
                    </w:tabs>
                    <w:jc w:val="center"/>
                    <w:rPr>
                      <w:sz w:val="21"/>
                      <w:szCs w:val="21"/>
                    </w:rPr>
                  </w:pPr>
                  <w:r>
                    <w:rPr>
                      <w:sz w:val="21"/>
                      <w:szCs w:val="21"/>
                    </w:rPr>
                    <w:t>80</w:t>
                  </w:r>
                </w:p>
              </w:tc>
              <w:tc>
                <w:tcPr>
                  <w:tcW w:w="467" w:type="dxa"/>
                  <w:shd w:val="clear" w:color="auto" w:fill="auto"/>
                  <w:vAlign w:val="center"/>
                </w:tcPr>
                <w:p w14:paraId="0E3E7620">
                  <w:pPr>
                    <w:tabs>
                      <w:tab w:val="left" w:pos="3836"/>
                    </w:tabs>
                    <w:jc w:val="center"/>
                    <w:rPr>
                      <w:sz w:val="21"/>
                      <w:szCs w:val="21"/>
                    </w:rPr>
                  </w:pPr>
                  <w:r>
                    <w:rPr>
                      <w:rFonts w:hint="eastAsia"/>
                      <w:sz w:val="21"/>
                      <w:szCs w:val="21"/>
                    </w:rPr>
                    <w:t>8</w:t>
                  </w:r>
                  <w:r>
                    <w:rPr>
                      <w:sz w:val="21"/>
                      <w:szCs w:val="21"/>
                    </w:rPr>
                    <w:t>0</w:t>
                  </w:r>
                </w:p>
              </w:tc>
              <w:tc>
                <w:tcPr>
                  <w:tcW w:w="680" w:type="dxa"/>
                  <w:shd w:val="clear" w:color="auto" w:fill="auto"/>
                  <w:vAlign w:val="center"/>
                </w:tcPr>
                <w:p w14:paraId="6FDD0A62">
                  <w:pPr>
                    <w:tabs>
                      <w:tab w:val="left" w:pos="3836"/>
                    </w:tabs>
                    <w:jc w:val="center"/>
                    <w:rPr>
                      <w:sz w:val="21"/>
                      <w:szCs w:val="21"/>
                    </w:rPr>
                  </w:pPr>
                  <w:r>
                    <w:rPr>
                      <w:sz w:val="21"/>
                      <w:szCs w:val="21"/>
                    </w:rPr>
                    <w:t>是</w:t>
                  </w:r>
                </w:p>
              </w:tc>
              <w:tc>
                <w:tcPr>
                  <w:tcW w:w="533" w:type="dxa"/>
                  <w:shd w:val="clear" w:color="auto" w:fill="auto"/>
                  <w:vAlign w:val="center"/>
                </w:tcPr>
                <w:p w14:paraId="4F423644">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0.51</w:t>
                  </w:r>
                </w:p>
              </w:tc>
              <w:tc>
                <w:tcPr>
                  <w:tcW w:w="533" w:type="dxa"/>
                  <w:shd w:val="clear" w:color="auto" w:fill="auto"/>
                  <w:vAlign w:val="center"/>
                </w:tcPr>
                <w:p w14:paraId="520961CE">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0.056</w:t>
                  </w:r>
                </w:p>
              </w:tc>
              <w:tc>
                <w:tcPr>
                  <w:tcW w:w="454" w:type="dxa"/>
                  <w:shd w:val="clear" w:color="auto" w:fill="auto"/>
                  <w:vAlign w:val="center"/>
                </w:tcPr>
                <w:p w14:paraId="7A44CF17">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0.00102</w:t>
                  </w:r>
                </w:p>
              </w:tc>
              <w:tc>
                <w:tcPr>
                  <w:tcW w:w="413" w:type="dxa"/>
                  <w:shd w:val="clear" w:color="auto" w:fill="auto"/>
                  <w:vAlign w:val="center"/>
                </w:tcPr>
                <w:p w14:paraId="4C791323">
                  <w:pPr>
                    <w:tabs>
                      <w:tab w:val="left" w:pos="3836"/>
                    </w:tabs>
                    <w:jc w:val="center"/>
                    <w:rPr>
                      <w:sz w:val="21"/>
                      <w:szCs w:val="21"/>
                    </w:rPr>
                  </w:pPr>
                  <w:r>
                    <w:rPr>
                      <w:sz w:val="21"/>
                      <w:szCs w:val="21"/>
                    </w:rPr>
                    <w:t>有组织</w:t>
                  </w:r>
                </w:p>
              </w:tc>
            </w:tr>
            <w:tr w14:paraId="3FC3B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480662BC">
                  <w:pPr>
                    <w:tabs>
                      <w:tab w:val="left" w:pos="3836"/>
                    </w:tabs>
                    <w:jc w:val="center"/>
                    <w:rPr>
                      <w:sz w:val="21"/>
                      <w:szCs w:val="21"/>
                    </w:rPr>
                  </w:pPr>
                </w:p>
              </w:tc>
              <w:tc>
                <w:tcPr>
                  <w:tcW w:w="453" w:type="dxa"/>
                  <w:shd w:val="clear" w:color="auto" w:fill="auto"/>
                  <w:vAlign w:val="center"/>
                </w:tcPr>
                <w:p w14:paraId="14E316F3">
                  <w:pPr>
                    <w:tabs>
                      <w:tab w:val="left" w:pos="3836"/>
                    </w:tabs>
                    <w:jc w:val="center"/>
                    <w:rPr>
                      <w:sz w:val="21"/>
                      <w:szCs w:val="21"/>
                    </w:rPr>
                  </w:pPr>
                  <w:r>
                    <w:rPr>
                      <w:sz w:val="21"/>
                      <w:szCs w:val="21"/>
                    </w:rPr>
                    <w:t>实验室</w:t>
                  </w:r>
                </w:p>
              </w:tc>
              <w:tc>
                <w:tcPr>
                  <w:tcW w:w="453" w:type="dxa"/>
                  <w:vMerge w:val="continue"/>
                  <w:vAlign w:val="center"/>
                </w:tcPr>
                <w:p w14:paraId="4E9809E2">
                  <w:pPr>
                    <w:tabs>
                      <w:tab w:val="left" w:pos="3836"/>
                    </w:tabs>
                    <w:jc w:val="center"/>
                    <w:rPr>
                      <w:sz w:val="21"/>
                      <w:szCs w:val="21"/>
                    </w:rPr>
                  </w:pPr>
                </w:p>
              </w:tc>
              <w:tc>
                <w:tcPr>
                  <w:tcW w:w="494" w:type="dxa"/>
                  <w:shd w:val="clear" w:color="auto" w:fill="auto"/>
                  <w:vAlign w:val="center"/>
                </w:tcPr>
                <w:p w14:paraId="41FE8FA6">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0.64</w:t>
                  </w:r>
                </w:p>
              </w:tc>
              <w:tc>
                <w:tcPr>
                  <w:tcW w:w="480" w:type="dxa"/>
                  <w:shd w:val="clear" w:color="auto" w:fill="auto"/>
                  <w:vAlign w:val="center"/>
                </w:tcPr>
                <w:p w14:paraId="61992D7B">
                  <w:pPr>
                    <w:tabs>
                      <w:tab w:val="left" w:pos="3836"/>
                    </w:tabs>
                    <w:jc w:val="center"/>
                    <w:rPr>
                      <w:color w:val="FF0000"/>
                      <w:sz w:val="21"/>
                      <w:szCs w:val="18"/>
                    </w:rPr>
                  </w:pPr>
                  <w:r>
                    <w:rPr>
                      <w:rFonts w:hint="eastAsia"/>
                      <w:color w:val="FF0000"/>
                      <w:sz w:val="21"/>
                      <w:szCs w:val="18"/>
                    </w:rPr>
                    <w:t>/</w:t>
                  </w:r>
                </w:p>
              </w:tc>
              <w:tc>
                <w:tcPr>
                  <w:tcW w:w="586" w:type="dxa"/>
                  <w:shd w:val="clear" w:color="auto" w:fill="auto"/>
                  <w:vAlign w:val="center"/>
                </w:tcPr>
                <w:p w14:paraId="49536DA1">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0.0013</w:t>
                  </w:r>
                </w:p>
              </w:tc>
              <w:tc>
                <w:tcPr>
                  <w:tcW w:w="1066" w:type="dxa"/>
                  <w:shd w:val="clear" w:color="auto" w:fill="auto"/>
                  <w:vAlign w:val="center"/>
                </w:tcPr>
                <w:p w14:paraId="2D7A3CEB">
                  <w:pPr>
                    <w:tabs>
                      <w:tab w:val="left" w:pos="3836"/>
                    </w:tabs>
                    <w:jc w:val="center"/>
                    <w:rPr>
                      <w:sz w:val="21"/>
                      <w:szCs w:val="21"/>
                    </w:rPr>
                  </w:pPr>
                  <w:r>
                    <w:rPr>
                      <w:sz w:val="21"/>
                      <w:szCs w:val="21"/>
                    </w:rPr>
                    <w:t>通风换气</w:t>
                  </w:r>
                </w:p>
              </w:tc>
              <w:tc>
                <w:tcPr>
                  <w:tcW w:w="667" w:type="dxa"/>
                  <w:shd w:val="clear" w:color="auto" w:fill="auto"/>
                  <w:vAlign w:val="center"/>
                </w:tcPr>
                <w:p w14:paraId="7D2927D6">
                  <w:pPr>
                    <w:tabs>
                      <w:tab w:val="left" w:pos="3836"/>
                    </w:tabs>
                    <w:jc w:val="center"/>
                    <w:rPr>
                      <w:sz w:val="21"/>
                      <w:szCs w:val="21"/>
                    </w:rPr>
                  </w:pPr>
                  <w:r>
                    <w:rPr>
                      <w:sz w:val="21"/>
                      <w:szCs w:val="21"/>
                    </w:rPr>
                    <w:t>/</w:t>
                  </w:r>
                </w:p>
              </w:tc>
              <w:tc>
                <w:tcPr>
                  <w:tcW w:w="453" w:type="dxa"/>
                  <w:shd w:val="clear" w:color="auto" w:fill="auto"/>
                  <w:vAlign w:val="center"/>
                </w:tcPr>
                <w:p w14:paraId="4B9CC8D7">
                  <w:pPr>
                    <w:tabs>
                      <w:tab w:val="left" w:pos="3836"/>
                    </w:tabs>
                    <w:jc w:val="center"/>
                    <w:rPr>
                      <w:sz w:val="21"/>
                      <w:szCs w:val="21"/>
                    </w:rPr>
                  </w:pPr>
                  <w:r>
                    <w:rPr>
                      <w:sz w:val="21"/>
                      <w:szCs w:val="21"/>
                    </w:rPr>
                    <w:t>/</w:t>
                  </w:r>
                </w:p>
              </w:tc>
              <w:tc>
                <w:tcPr>
                  <w:tcW w:w="467" w:type="dxa"/>
                  <w:shd w:val="clear" w:color="auto" w:fill="auto"/>
                  <w:vAlign w:val="center"/>
                </w:tcPr>
                <w:p w14:paraId="27AE748A">
                  <w:pPr>
                    <w:tabs>
                      <w:tab w:val="left" w:pos="3836"/>
                    </w:tabs>
                    <w:jc w:val="center"/>
                    <w:rPr>
                      <w:sz w:val="21"/>
                      <w:szCs w:val="21"/>
                    </w:rPr>
                  </w:pPr>
                  <w:r>
                    <w:rPr>
                      <w:sz w:val="21"/>
                      <w:szCs w:val="21"/>
                    </w:rPr>
                    <w:t>/</w:t>
                  </w:r>
                </w:p>
              </w:tc>
              <w:tc>
                <w:tcPr>
                  <w:tcW w:w="680" w:type="dxa"/>
                  <w:shd w:val="clear" w:color="auto" w:fill="auto"/>
                  <w:vAlign w:val="center"/>
                </w:tcPr>
                <w:p w14:paraId="7C82ED5D">
                  <w:pPr>
                    <w:tabs>
                      <w:tab w:val="left" w:pos="3836"/>
                    </w:tabs>
                    <w:jc w:val="center"/>
                    <w:rPr>
                      <w:sz w:val="21"/>
                      <w:szCs w:val="21"/>
                    </w:rPr>
                  </w:pPr>
                  <w:r>
                    <w:rPr>
                      <w:sz w:val="21"/>
                      <w:szCs w:val="21"/>
                    </w:rPr>
                    <w:t>/</w:t>
                  </w:r>
                </w:p>
              </w:tc>
              <w:tc>
                <w:tcPr>
                  <w:tcW w:w="533" w:type="dxa"/>
                  <w:shd w:val="clear" w:color="auto" w:fill="auto"/>
                  <w:vAlign w:val="center"/>
                </w:tcPr>
                <w:p w14:paraId="37236614">
                  <w:pPr>
                    <w:tabs>
                      <w:tab w:val="left" w:pos="3836"/>
                    </w:tabs>
                    <w:jc w:val="center"/>
                    <w:rPr>
                      <w:color w:val="FF0000"/>
                      <w:sz w:val="21"/>
                      <w:szCs w:val="18"/>
                    </w:rPr>
                  </w:pPr>
                  <w:r>
                    <w:rPr>
                      <w:rFonts w:hint="eastAsia"/>
                      <w:color w:val="FF0000"/>
                      <w:sz w:val="21"/>
                      <w:szCs w:val="18"/>
                      <w:lang w:val="en-US" w:eastAsia="zh-CN"/>
                    </w:rPr>
                    <w:t>0.64</w:t>
                  </w:r>
                </w:p>
              </w:tc>
              <w:tc>
                <w:tcPr>
                  <w:tcW w:w="533" w:type="dxa"/>
                  <w:shd w:val="clear" w:color="auto" w:fill="auto"/>
                  <w:vAlign w:val="center"/>
                </w:tcPr>
                <w:p w14:paraId="123CAC3B">
                  <w:pPr>
                    <w:tabs>
                      <w:tab w:val="left" w:pos="3836"/>
                    </w:tabs>
                    <w:jc w:val="center"/>
                    <w:rPr>
                      <w:color w:val="FF0000"/>
                      <w:sz w:val="21"/>
                      <w:szCs w:val="18"/>
                    </w:rPr>
                  </w:pPr>
                  <w:r>
                    <w:rPr>
                      <w:rFonts w:hint="eastAsia"/>
                      <w:color w:val="FF0000"/>
                      <w:sz w:val="21"/>
                      <w:szCs w:val="18"/>
                    </w:rPr>
                    <w:t>/</w:t>
                  </w:r>
                </w:p>
              </w:tc>
              <w:tc>
                <w:tcPr>
                  <w:tcW w:w="454" w:type="dxa"/>
                  <w:shd w:val="clear" w:color="auto" w:fill="auto"/>
                  <w:vAlign w:val="center"/>
                </w:tcPr>
                <w:p w14:paraId="6E5A1532">
                  <w:pPr>
                    <w:tabs>
                      <w:tab w:val="left" w:pos="3836"/>
                    </w:tabs>
                    <w:jc w:val="center"/>
                    <w:rPr>
                      <w:color w:val="FF0000"/>
                      <w:sz w:val="21"/>
                      <w:szCs w:val="18"/>
                    </w:rPr>
                  </w:pPr>
                  <w:r>
                    <w:rPr>
                      <w:rFonts w:hint="eastAsia"/>
                      <w:color w:val="FF0000"/>
                      <w:sz w:val="21"/>
                      <w:szCs w:val="18"/>
                      <w:lang w:val="en-US" w:eastAsia="zh-CN"/>
                    </w:rPr>
                    <w:t>0.0013</w:t>
                  </w:r>
                </w:p>
              </w:tc>
              <w:tc>
                <w:tcPr>
                  <w:tcW w:w="413" w:type="dxa"/>
                  <w:shd w:val="clear" w:color="auto" w:fill="auto"/>
                  <w:vAlign w:val="center"/>
                </w:tcPr>
                <w:p w14:paraId="458F0D6B">
                  <w:pPr>
                    <w:tabs>
                      <w:tab w:val="left" w:pos="3836"/>
                    </w:tabs>
                    <w:jc w:val="center"/>
                    <w:rPr>
                      <w:sz w:val="21"/>
                      <w:szCs w:val="21"/>
                    </w:rPr>
                  </w:pPr>
                  <w:r>
                    <w:rPr>
                      <w:sz w:val="21"/>
                      <w:szCs w:val="21"/>
                    </w:rPr>
                    <w:t>无组织</w:t>
                  </w:r>
                </w:p>
              </w:tc>
            </w:tr>
          </w:tbl>
          <w:p w14:paraId="795CD13D">
            <w:pPr>
              <w:widowControl/>
              <w:spacing w:line="360" w:lineRule="auto"/>
              <w:ind w:firstLine="480" w:firstLineChars="200"/>
              <w:rPr>
                <w:szCs w:val="21"/>
              </w:rPr>
            </w:pPr>
            <w:r>
              <w:rPr>
                <w:rFonts w:hint="eastAsia"/>
                <w:szCs w:val="21"/>
              </w:rPr>
              <w:t>由上表可知，本项目无机检测过程中产生的硫酸雾经喷淋塔装置处理后通过35m高排气筒（DA002）能够达标排放，排放速率满足</w:t>
            </w:r>
            <w:r>
              <w:rPr>
                <w:szCs w:val="21"/>
              </w:rPr>
              <w:t>《大气污染物综合排放标准》（GB</w:t>
            </w:r>
            <w:r>
              <w:rPr>
                <w:rFonts w:hint="eastAsia"/>
                <w:szCs w:val="21"/>
              </w:rPr>
              <w:t xml:space="preserve"> </w:t>
            </w:r>
            <w:r>
              <w:rPr>
                <w:szCs w:val="21"/>
              </w:rPr>
              <w:t>16297-1996）</w:t>
            </w:r>
            <w:r>
              <w:rPr>
                <w:rFonts w:hint="eastAsia"/>
                <w:szCs w:val="21"/>
              </w:rPr>
              <w:t>表2中硫酸雾35m高排气筒限值（采用内插法计算）的50%。</w:t>
            </w:r>
          </w:p>
          <w:p w14:paraId="6372C894">
            <w:pPr>
              <w:numPr>
                <w:ilvl w:val="0"/>
                <w:numId w:val="8"/>
              </w:numPr>
              <w:spacing w:line="360" w:lineRule="auto"/>
              <w:ind w:firstLine="480" w:firstLineChars="200"/>
            </w:pPr>
            <w:r>
              <w:rPr>
                <w:rFonts w:hint="eastAsia"/>
                <w:lang w:val="en-US" w:eastAsia="zh-CN"/>
              </w:rPr>
              <w:t>氮氧化物</w:t>
            </w:r>
          </w:p>
          <w:p w14:paraId="42C3EA5E">
            <w:pPr>
              <w:spacing w:line="360" w:lineRule="auto"/>
              <w:ind w:firstLine="480" w:firstLineChars="200"/>
            </w:pPr>
            <w:r>
              <w:rPr>
                <w:rFonts w:hint="eastAsia"/>
              </w:rPr>
              <w:t>实验过程使用的硝酸为极易挥发的溶剂，由于本项目无源强核算技术指南及排污许可证申请与核发技术规范要求，本次评价参考《环境统计手册》中酸洗工艺的酸液蒸发量计算公式计算无机酸性废气的产生量：</w:t>
            </w:r>
          </w:p>
          <w:p w14:paraId="3C57F4A4">
            <w:pPr>
              <w:jc w:val="center"/>
            </w:pPr>
            <w:r>
              <w:rPr>
                <w:position w:val="-10"/>
              </w:rPr>
              <w:object>
                <v:shape id="_x0000_i1042" o:spt="75" type="#_x0000_t75" style="height:17pt;width:185pt;" o:ole="t" filled="f" o:preferrelative="t" stroked="f" coordsize="21600,21600">
                  <v:path/>
                  <v:fill on="f" focussize="0,0"/>
                  <v:stroke on="f" joinstyle="miter"/>
                  <v:imagedata r:id="rId13" o:title=""/>
                  <o:lock v:ext="edit" aspectratio="t"/>
                  <w10:wrap type="none"/>
                  <w10:anchorlock/>
                </v:shape>
                <o:OLEObject Type="Embed" ProgID="Equation.3" ShapeID="_x0000_i1042" DrawAspect="Content" ObjectID="_1468075725" r:id="rId12">
                  <o:LockedField>false</o:LockedField>
                </o:OLEObject>
              </w:object>
            </w:r>
          </w:p>
          <w:p w14:paraId="099B1AE6">
            <w:pPr>
              <w:spacing w:line="360" w:lineRule="auto"/>
              <w:ind w:firstLine="480" w:firstLineChars="200"/>
            </w:pPr>
            <w:r>
              <w:rPr>
                <w:rFonts w:hint="eastAsia"/>
              </w:rPr>
              <w:t>式中：G</w:t>
            </w:r>
            <w:r>
              <w:rPr>
                <w:rFonts w:hint="eastAsia"/>
                <w:vertAlign w:val="subscript"/>
              </w:rPr>
              <w:t>z</w:t>
            </w:r>
            <w:r>
              <w:rPr>
                <w:rFonts w:hint="eastAsia"/>
              </w:rPr>
              <w:t>—溶液的蒸发量，kg/h；</w:t>
            </w:r>
          </w:p>
          <w:p w14:paraId="03B089AA">
            <w:pPr>
              <w:spacing w:line="360" w:lineRule="auto"/>
              <w:ind w:firstLine="1200" w:firstLineChars="500"/>
            </w:pPr>
            <w:r>
              <w:rPr>
                <w:rFonts w:hint="eastAsia"/>
              </w:rPr>
              <w:t>M—液体的分子量；</w:t>
            </w:r>
          </w:p>
          <w:p w14:paraId="17F12B32">
            <w:pPr>
              <w:spacing w:line="360" w:lineRule="auto"/>
              <w:ind w:firstLine="1200" w:firstLineChars="500"/>
            </w:pPr>
            <w:r>
              <w:rPr>
                <w:rFonts w:hint="eastAsia"/>
              </w:rPr>
              <w:t>V—溶液表面上的空气流速，m/s；</w:t>
            </w:r>
          </w:p>
          <w:p w14:paraId="64E9B3C4">
            <w:pPr>
              <w:spacing w:line="360" w:lineRule="auto"/>
              <w:ind w:firstLine="1200" w:firstLineChars="500"/>
            </w:pPr>
            <w:r>
              <w:rPr>
                <w:rFonts w:hint="eastAsia"/>
              </w:rPr>
              <w:t>P</w:t>
            </w:r>
            <w:r>
              <w:rPr>
                <w:rFonts w:hint="eastAsia"/>
                <w:vertAlign w:val="subscript"/>
              </w:rPr>
              <w:t>H</w:t>
            </w:r>
            <w:r>
              <w:rPr>
                <w:rFonts w:hint="eastAsia"/>
              </w:rPr>
              <w:t>—相应于液体温度下空气的饱和蒸汽压力，mmHg；</w:t>
            </w:r>
          </w:p>
          <w:p w14:paraId="7E91E460">
            <w:pPr>
              <w:spacing w:line="360" w:lineRule="auto"/>
              <w:ind w:firstLine="1200" w:firstLineChars="500"/>
            </w:pPr>
            <w:r>
              <w:rPr>
                <w:rFonts w:hint="eastAsia"/>
              </w:rPr>
              <w:t>F—溶液蒸发面的表面积，m</w:t>
            </w:r>
            <w:r>
              <w:rPr>
                <w:rFonts w:hint="eastAsia"/>
                <w:vertAlign w:val="superscript"/>
              </w:rPr>
              <w:t>2</w:t>
            </w:r>
            <w:r>
              <w:rPr>
                <w:rFonts w:hint="eastAsia"/>
              </w:rPr>
              <w:t>。</w:t>
            </w:r>
          </w:p>
          <w:p w14:paraId="123A3B77">
            <w:pPr>
              <w:spacing w:line="360" w:lineRule="auto"/>
              <w:ind w:firstLine="480" w:firstLineChars="200"/>
            </w:pPr>
            <w:r>
              <w:rPr>
                <w:rFonts w:hint="eastAsia"/>
              </w:rPr>
              <w:t>产生源强：硝酸分子量M取63，V取值0.5m/s，P</w:t>
            </w:r>
            <w:r>
              <w:rPr>
                <w:rFonts w:hint="eastAsia"/>
                <w:vertAlign w:val="subscript"/>
              </w:rPr>
              <w:t>H</w:t>
            </w:r>
            <w:r>
              <w:rPr>
                <w:rFonts w:hint="eastAsia"/>
              </w:rPr>
              <w:t>取值41.0mmHg（平均使用浓度按照50%，温度80</w:t>
            </w:r>
            <w:r>
              <w:t>℃</w:t>
            </w:r>
            <w:r>
              <w:rPr>
                <w:rFonts w:hint="eastAsia"/>
              </w:rPr>
              <w:t>查表所得），溶液蒸发面积根据实验条件及容器规格按照半径5cm计算，F取值0.00785m</w:t>
            </w:r>
            <w:r>
              <w:rPr>
                <w:rFonts w:hint="eastAsia"/>
                <w:vertAlign w:val="superscript"/>
              </w:rPr>
              <w:t>2</w:t>
            </w:r>
            <w:r>
              <w:rPr>
                <w:rFonts w:hint="eastAsia"/>
              </w:rPr>
              <w:t>，则计算得氮氧化物产生源强为0.015kg/h。项目硝酸年用量为37L（52.54kg）。硝酸同样主要用于样品前处理，硝酸年使用时间</w:t>
            </w:r>
            <w:r>
              <w:rPr>
                <w:rFonts w:hint="eastAsia"/>
                <w:lang w:val="en-US" w:eastAsia="zh-CN"/>
              </w:rPr>
              <w:t>按500</w:t>
            </w:r>
            <w:r>
              <w:rPr>
                <w:rFonts w:hint="eastAsia"/>
              </w:rPr>
              <w:t>h计，则氮氧化物产生量为</w:t>
            </w:r>
            <w:r>
              <w:rPr>
                <w:rFonts w:hint="eastAsia"/>
                <w:lang w:val="en-US" w:eastAsia="zh-CN"/>
              </w:rPr>
              <w:t>7.5</w:t>
            </w:r>
            <w:r>
              <w:rPr>
                <w:rFonts w:hint="eastAsia"/>
              </w:rPr>
              <w:t>kg/a。</w:t>
            </w:r>
          </w:p>
          <w:p w14:paraId="0E40FB39">
            <w:pPr>
              <w:widowControl/>
              <w:spacing w:line="360" w:lineRule="auto"/>
              <w:ind w:firstLine="480" w:firstLineChars="200"/>
              <w:jc w:val="left"/>
            </w:pPr>
            <w:r>
              <w:rPr>
                <w:rFonts w:hint="eastAsia"/>
              </w:rPr>
              <w:t>本项目理化+无机实验室</w:t>
            </w:r>
            <w:r>
              <w:rPr>
                <w:rFonts w:hint="eastAsia"/>
                <w:kern w:val="0"/>
                <w:lang w:bidi="ar"/>
              </w:rPr>
              <w:t>设置通风橱18个，光谱1~2室共设置吸风罩6个，小设备1~3室共设置</w:t>
            </w:r>
            <w:r>
              <w:rPr>
                <w:rFonts w:hint="eastAsia"/>
                <w:kern w:val="0"/>
                <w:lang w:eastAsia="zh-CN" w:bidi="ar"/>
              </w:rPr>
              <w:t>万向罩</w:t>
            </w:r>
            <w:r>
              <w:rPr>
                <w:rFonts w:hint="eastAsia"/>
                <w:kern w:val="0"/>
                <w:lang w:bidi="ar"/>
              </w:rPr>
              <w:t>8个，</w:t>
            </w:r>
            <w:r>
              <w:t>实验</w:t>
            </w:r>
            <w:r>
              <w:rPr>
                <w:rFonts w:hint="eastAsia"/>
              </w:rPr>
              <w:t>操作</w:t>
            </w:r>
            <w:r>
              <w:rPr>
                <w:rFonts w:hint="eastAsia" w:ascii="宋体" w:hAnsi="宋体" w:cs="宋体"/>
                <w:kern w:val="0"/>
                <w:lang w:bidi="ar"/>
              </w:rPr>
              <w:t>在通风橱内/</w:t>
            </w:r>
            <w:r>
              <w:rPr>
                <w:rFonts w:hint="eastAsia" w:ascii="宋体" w:hAnsi="宋体" w:cs="宋体"/>
                <w:kern w:val="0"/>
                <w:lang w:eastAsia="zh-CN" w:bidi="ar"/>
              </w:rPr>
              <w:t>万向罩</w:t>
            </w:r>
            <w:r>
              <w:rPr>
                <w:rFonts w:hint="eastAsia" w:ascii="宋体" w:hAnsi="宋体" w:cs="宋体"/>
                <w:kern w:val="0"/>
                <w:lang w:bidi="ar"/>
              </w:rPr>
              <w:t>下/吸风罩下进行，所有废气统一收集、处置后排放，少量废气以无组织形式逸散。实验前提前开启通风橱/</w:t>
            </w:r>
            <w:r>
              <w:rPr>
                <w:rFonts w:hint="eastAsia" w:ascii="宋体" w:hAnsi="宋体" w:cs="宋体"/>
                <w:kern w:val="0"/>
                <w:lang w:eastAsia="zh-CN" w:bidi="ar"/>
              </w:rPr>
              <w:t>万向罩</w:t>
            </w:r>
            <w:r>
              <w:rPr>
                <w:rFonts w:hint="eastAsia" w:ascii="宋体" w:hAnsi="宋体" w:cs="宋体"/>
                <w:kern w:val="0"/>
                <w:lang w:bidi="ar"/>
              </w:rPr>
              <w:t>/吸风罩，实验结束后运行一段时间后再行关闭。通风橱/</w:t>
            </w:r>
            <w:r>
              <w:rPr>
                <w:rFonts w:hint="eastAsia" w:ascii="宋体" w:hAnsi="宋体" w:cs="宋体"/>
                <w:kern w:val="0"/>
                <w:lang w:eastAsia="zh-CN" w:bidi="ar"/>
              </w:rPr>
              <w:t>万向罩</w:t>
            </w:r>
            <w:r>
              <w:rPr>
                <w:rFonts w:hint="eastAsia" w:ascii="宋体" w:hAnsi="宋体" w:cs="宋体"/>
                <w:kern w:val="0"/>
                <w:lang w:bidi="ar"/>
              </w:rPr>
              <w:t>/吸风罩上方设置排风管道，废气经机械强制抽风进入排气管道后汇集到总管道，</w:t>
            </w:r>
            <w:r>
              <w:rPr>
                <w:rFonts w:hint="eastAsia"/>
                <w:szCs w:val="21"/>
              </w:rPr>
              <w:t>引至楼顶喷淋塔装置处理后经35m高排气筒排放</w:t>
            </w:r>
            <w:r>
              <w:rPr>
                <w:kern w:val="0"/>
                <w:lang w:bidi="ar"/>
              </w:rPr>
              <w:t>。</w:t>
            </w:r>
            <w:r>
              <w:rPr>
                <w:rFonts w:hint="eastAsia"/>
                <w:szCs w:val="21"/>
              </w:rPr>
              <w:t>废气收集效率按80%计，喷淋塔处理效率按80%计，</w:t>
            </w:r>
            <w:r>
              <w:rPr>
                <w:szCs w:val="21"/>
              </w:rPr>
              <w:t>风机风量为</w:t>
            </w:r>
            <w:r>
              <w:rPr>
                <w:rFonts w:hint="eastAsia"/>
                <w:szCs w:val="21"/>
              </w:rPr>
              <w:t>18000</w:t>
            </w:r>
            <w:r>
              <w:rPr>
                <w:szCs w:val="21"/>
              </w:rPr>
              <w:t>m</w:t>
            </w:r>
            <w:r>
              <w:rPr>
                <w:szCs w:val="21"/>
                <w:vertAlign w:val="superscript"/>
              </w:rPr>
              <w:t>3</w:t>
            </w:r>
            <w:r>
              <w:rPr>
                <w:szCs w:val="21"/>
              </w:rPr>
              <w:t>/h</w:t>
            </w:r>
            <w:r>
              <w:rPr>
                <w:rFonts w:hint="eastAsia"/>
                <w:szCs w:val="21"/>
              </w:rPr>
              <w:t>，则</w:t>
            </w:r>
            <w:r>
              <w:rPr>
                <w:rFonts w:hint="eastAsia"/>
              </w:rPr>
              <w:t>本项目氮氧化物产排情况</w:t>
            </w:r>
            <w:r>
              <w:rPr>
                <w:rFonts w:hint="eastAsia"/>
                <w:szCs w:val="21"/>
              </w:rPr>
              <w:t>见表4-4。</w:t>
            </w:r>
          </w:p>
          <w:p w14:paraId="4954C60D">
            <w:pPr>
              <w:tabs>
                <w:tab w:val="left" w:pos="3836"/>
              </w:tabs>
              <w:jc w:val="center"/>
              <w:rPr>
                <w:b/>
                <w:bCs/>
                <w:sz w:val="21"/>
                <w:szCs w:val="18"/>
              </w:rPr>
            </w:pPr>
            <w:r>
              <w:rPr>
                <w:b/>
                <w:bCs/>
                <w:sz w:val="21"/>
                <w:szCs w:val="18"/>
              </w:rPr>
              <w:t>表4-</w:t>
            </w:r>
            <w:r>
              <w:rPr>
                <w:rFonts w:hint="eastAsia"/>
                <w:b/>
                <w:bCs/>
                <w:sz w:val="21"/>
                <w:szCs w:val="18"/>
              </w:rPr>
              <w:t>4</w:t>
            </w:r>
            <w:r>
              <w:rPr>
                <w:b/>
                <w:bCs/>
                <w:sz w:val="21"/>
                <w:szCs w:val="18"/>
              </w:rPr>
              <w:t xml:space="preserve">  项目</w:t>
            </w:r>
            <w:r>
              <w:rPr>
                <w:rFonts w:hint="eastAsia"/>
                <w:b/>
                <w:bCs/>
                <w:sz w:val="21"/>
                <w:szCs w:val="18"/>
              </w:rPr>
              <w:t>氮氧化物产排</w:t>
            </w:r>
            <w:r>
              <w:rPr>
                <w:b/>
                <w:bCs/>
                <w:sz w:val="21"/>
                <w:szCs w:val="18"/>
              </w:rPr>
              <w:t>情况一览表</w:t>
            </w:r>
          </w:p>
          <w:tbl>
            <w:tblPr>
              <w:tblStyle w:val="23"/>
              <w:tblW w:w="81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
              <w:gridCol w:w="453"/>
              <w:gridCol w:w="453"/>
              <w:gridCol w:w="494"/>
              <w:gridCol w:w="480"/>
              <w:gridCol w:w="586"/>
              <w:gridCol w:w="1066"/>
              <w:gridCol w:w="667"/>
              <w:gridCol w:w="453"/>
              <w:gridCol w:w="467"/>
              <w:gridCol w:w="680"/>
              <w:gridCol w:w="533"/>
              <w:gridCol w:w="533"/>
              <w:gridCol w:w="454"/>
              <w:gridCol w:w="413"/>
            </w:tblGrid>
            <w:tr w14:paraId="17FF7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vAlign w:val="center"/>
                </w:tcPr>
                <w:p w14:paraId="637D8AEE">
                  <w:pPr>
                    <w:tabs>
                      <w:tab w:val="left" w:pos="3836"/>
                    </w:tabs>
                    <w:jc w:val="center"/>
                    <w:rPr>
                      <w:b/>
                      <w:bCs/>
                      <w:sz w:val="21"/>
                      <w:szCs w:val="21"/>
                    </w:rPr>
                  </w:pPr>
                  <w:r>
                    <w:rPr>
                      <w:b/>
                      <w:bCs/>
                      <w:sz w:val="21"/>
                      <w:szCs w:val="21"/>
                    </w:rPr>
                    <w:t>产排污环节</w:t>
                  </w:r>
                </w:p>
              </w:tc>
              <w:tc>
                <w:tcPr>
                  <w:tcW w:w="453" w:type="dxa"/>
                  <w:vMerge w:val="restart"/>
                  <w:vAlign w:val="center"/>
                </w:tcPr>
                <w:p w14:paraId="6A209BAE">
                  <w:pPr>
                    <w:tabs>
                      <w:tab w:val="left" w:pos="3836"/>
                    </w:tabs>
                    <w:jc w:val="center"/>
                    <w:rPr>
                      <w:b/>
                      <w:bCs/>
                      <w:sz w:val="21"/>
                      <w:szCs w:val="21"/>
                    </w:rPr>
                  </w:pPr>
                  <w:r>
                    <w:rPr>
                      <w:b/>
                      <w:bCs/>
                      <w:sz w:val="21"/>
                      <w:szCs w:val="21"/>
                    </w:rPr>
                    <w:t>污染源</w:t>
                  </w:r>
                </w:p>
              </w:tc>
              <w:tc>
                <w:tcPr>
                  <w:tcW w:w="453" w:type="dxa"/>
                  <w:vMerge w:val="restart"/>
                  <w:vAlign w:val="center"/>
                </w:tcPr>
                <w:p w14:paraId="06B307EB">
                  <w:pPr>
                    <w:tabs>
                      <w:tab w:val="left" w:pos="3836"/>
                    </w:tabs>
                    <w:jc w:val="center"/>
                    <w:rPr>
                      <w:b/>
                      <w:bCs/>
                      <w:sz w:val="21"/>
                      <w:szCs w:val="21"/>
                    </w:rPr>
                  </w:pPr>
                  <w:r>
                    <w:rPr>
                      <w:b/>
                      <w:bCs/>
                      <w:sz w:val="21"/>
                      <w:szCs w:val="21"/>
                    </w:rPr>
                    <w:t>污染物</w:t>
                  </w:r>
                </w:p>
              </w:tc>
              <w:tc>
                <w:tcPr>
                  <w:tcW w:w="1560" w:type="dxa"/>
                  <w:gridSpan w:val="3"/>
                  <w:vAlign w:val="center"/>
                </w:tcPr>
                <w:p w14:paraId="469CD1E5">
                  <w:pPr>
                    <w:tabs>
                      <w:tab w:val="left" w:pos="3836"/>
                    </w:tabs>
                    <w:jc w:val="center"/>
                    <w:rPr>
                      <w:b/>
                      <w:bCs/>
                      <w:sz w:val="21"/>
                      <w:szCs w:val="21"/>
                    </w:rPr>
                  </w:pPr>
                  <w:r>
                    <w:rPr>
                      <w:b/>
                      <w:bCs/>
                      <w:sz w:val="21"/>
                      <w:szCs w:val="21"/>
                    </w:rPr>
                    <w:t>污染物产生</w:t>
                  </w:r>
                </w:p>
              </w:tc>
              <w:tc>
                <w:tcPr>
                  <w:tcW w:w="3333" w:type="dxa"/>
                  <w:gridSpan w:val="5"/>
                  <w:vAlign w:val="center"/>
                </w:tcPr>
                <w:p w14:paraId="273F8E2F">
                  <w:pPr>
                    <w:tabs>
                      <w:tab w:val="left" w:pos="3836"/>
                    </w:tabs>
                    <w:jc w:val="center"/>
                    <w:rPr>
                      <w:b/>
                      <w:bCs/>
                      <w:sz w:val="21"/>
                      <w:szCs w:val="21"/>
                    </w:rPr>
                  </w:pPr>
                  <w:r>
                    <w:rPr>
                      <w:b/>
                      <w:bCs/>
                      <w:sz w:val="21"/>
                      <w:szCs w:val="21"/>
                    </w:rPr>
                    <w:t>治理</w:t>
                  </w:r>
                  <w:r>
                    <w:rPr>
                      <w:rFonts w:hint="eastAsia"/>
                      <w:b/>
                      <w:bCs/>
                      <w:sz w:val="21"/>
                      <w:szCs w:val="21"/>
                    </w:rPr>
                    <w:t>措施</w:t>
                  </w:r>
                </w:p>
              </w:tc>
              <w:tc>
                <w:tcPr>
                  <w:tcW w:w="1933" w:type="dxa"/>
                  <w:gridSpan w:val="4"/>
                  <w:vAlign w:val="center"/>
                </w:tcPr>
                <w:p w14:paraId="265CCA8F">
                  <w:pPr>
                    <w:tabs>
                      <w:tab w:val="left" w:pos="3836"/>
                    </w:tabs>
                    <w:jc w:val="center"/>
                    <w:rPr>
                      <w:b/>
                      <w:bCs/>
                      <w:sz w:val="21"/>
                      <w:szCs w:val="21"/>
                    </w:rPr>
                  </w:pPr>
                  <w:r>
                    <w:rPr>
                      <w:b/>
                      <w:bCs/>
                      <w:sz w:val="21"/>
                      <w:szCs w:val="21"/>
                    </w:rPr>
                    <w:t>污染物排放</w:t>
                  </w:r>
                </w:p>
              </w:tc>
            </w:tr>
            <w:tr w14:paraId="7F255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6DF6229E">
                  <w:pPr>
                    <w:tabs>
                      <w:tab w:val="left" w:pos="3836"/>
                    </w:tabs>
                    <w:jc w:val="center"/>
                    <w:rPr>
                      <w:b/>
                      <w:bCs/>
                      <w:sz w:val="21"/>
                      <w:szCs w:val="21"/>
                    </w:rPr>
                  </w:pPr>
                </w:p>
              </w:tc>
              <w:tc>
                <w:tcPr>
                  <w:tcW w:w="453" w:type="dxa"/>
                  <w:vMerge w:val="continue"/>
                  <w:vAlign w:val="center"/>
                </w:tcPr>
                <w:p w14:paraId="5401E32F">
                  <w:pPr>
                    <w:autoSpaceDE w:val="0"/>
                    <w:adjustRightInd w:val="0"/>
                    <w:snapToGrid w:val="0"/>
                    <w:jc w:val="center"/>
                    <w:rPr>
                      <w:b/>
                      <w:bCs/>
                      <w:sz w:val="21"/>
                      <w:szCs w:val="21"/>
                    </w:rPr>
                  </w:pPr>
                </w:p>
              </w:tc>
              <w:tc>
                <w:tcPr>
                  <w:tcW w:w="453" w:type="dxa"/>
                  <w:vMerge w:val="continue"/>
                  <w:vAlign w:val="center"/>
                </w:tcPr>
                <w:p w14:paraId="5401F37E">
                  <w:pPr>
                    <w:autoSpaceDE w:val="0"/>
                    <w:adjustRightInd w:val="0"/>
                    <w:snapToGrid w:val="0"/>
                    <w:jc w:val="center"/>
                    <w:rPr>
                      <w:b/>
                      <w:bCs/>
                      <w:sz w:val="21"/>
                      <w:szCs w:val="21"/>
                    </w:rPr>
                  </w:pPr>
                </w:p>
              </w:tc>
              <w:tc>
                <w:tcPr>
                  <w:tcW w:w="494" w:type="dxa"/>
                  <w:vAlign w:val="center"/>
                </w:tcPr>
                <w:p w14:paraId="66CC1C01">
                  <w:pPr>
                    <w:autoSpaceDE w:val="0"/>
                    <w:adjustRightInd w:val="0"/>
                    <w:snapToGrid w:val="0"/>
                    <w:jc w:val="center"/>
                    <w:rPr>
                      <w:b/>
                      <w:bCs/>
                      <w:sz w:val="21"/>
                      <w:szCs w:val="21"/>
                    </w:rPr>
                  </w:pPr>
                  <w:r>
                    <w:rPr>
                      <w:b/>
                      <w:bCs/>
                      <w:sz w:val="21"/>
                      <w:szCs w:val="21"/>
                    </w:rPr>
                    <w:t>产生量kg/a</w:t>
                  </w:r>
                </w:p>
              </w:tc>
              <w:tc>
                <w:tcPr>
                  <w:tcW w:w="480" w:type="dxa"/>
                  <w:vAlign w:val="center"/>
                </w:tcPr>
                <w:p w14:paraId="7EE7A7D4">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586" w:type="dxa"/>
                  <w:vAlign w:val="center"/>
                </w:tcPr>
                <w:p w14:paraId="36ED78DE">
                  <w:pPr>
                    <w:autoSpaceDE w:val="0"/>
                    <w:adjustRightInd w:val="0"/>
                    <w:snapToGrid w:val="0"/>
                    <w:jc w:val="center"/>
                    <w:rPr>
                      <w:b/>
                      <w:bCs/>
                      <w:sz w:val="21"/>
                      <w:szCs w:val="21"/>
                    </w:rPr>
                  </w:pPr>
                  <w:r>
                    <w:rPr>
                      <w:b/>
                      <w:bCs/>
                      <w:sz w:val="21"/>
                      <w:szCs w:val="21"/>
                    </w:rPr>
                    <w:t>速率kg/h</w:t>
                  </w:r>
                </w:p>
              </w:tc>
              <w:tc>
                <w:tcPr>
                  <w:tcW w:w="1066" w:type="dxa"/>
                  <w:vAlign w:val="center"/>
                </w:tcPr>
                <w:p w14:paraId="6BCB4EE4">
                  <w:pPr>
                    <w:tabs>
                      <w:tab w:val="left" w:pos="3836"/>
                    </w:tabs>
                    <w:jc w:val="center"/>
                    <w:rPr>
                      <w:b/>
                      <w:bCs/>
                      <w:sz w:val="21"/>
                      <w:szCs w:val="21"/>
                    </w:rPr>
                  </w:pPr>
                  <w:r>
                    <w:rPr>
                      <w:b/>
                      <w:bCs/>
                      <w:sz w:val="21"/>
                      <w:szCs w:val="21"/>
                    </w:rPr>
                    <w:t>治理</w:t>
                  </w:r>
                </w:p>
                <w:p w14:paraId="31B65F1C">
                  <w:pPr>
                    <w:tabs>
                      <w:tab w:val="left" w:pos="3836"/>
                    </w:tabs>
                    <w:jc w:val="center"/>
                    <w:rPr>
                      <w:b/>
                      <w:bCs/>
                      <w:sz w:val="21"/>
                      <w:szCs w:val="21"/>
                    </w:rPr>
                  </w:pPr>
                  <w:r>
                    <w:rPr>
                      <w:b/>
                      <w:bCs/>
                      <w:sz w:val="21"/>
                      <w:szCs w:val="21"/>
                    </w:rPr>
                    <w:t>工艺</w:t>
                  </w:r>
                </w:p>
              </w:tc>
              <w:tc>
                <w:tcPr>
                  <w:tcW w:w="667" w:type="dxa"/>
                  <w:vAlign w:val="center"/>
                </w:tcPr>
                <w:p w14:paraId="7B8D6BB2">
                  <w:pPr>
                    <w:tabs>
                      <w:tab w:val="left" w:pos="3836"/>
                    </w:tabs>
                    <w:jc w:val="center"/>
                    <w:rPr>
                      <w:b/>
                      <w:bCs/>
                      <w:sz w:val="21"/>
                      <w:szCs w:val="21"/>
                    </w:rPr>
                  </w:pPr>
                  <w:r>
                    <w:rPr>
                      <w:b/>
                      <w:bCs/>
                      <w:sz w:val="21"/>
                      <w:szCs w:val="21"/>
                    </w:rPr>
                    <w:t>处理能力m</w:t>
                  </w:r>
                  <w:r>
                    <w:rPr>
                      <w:b/>
                      <w:bCs/>
                      <w:sz w:val="21"/>
                      <w:szCs w:val="21"/>
                      <w:vertAlign w:val="superscript"/>
                    </w:rPr>
                    <w:t>3</w:t>
                  </w:r>
                  <w:r>
                    <w:rPr>
                      <w:b/>
                      <w:bCs/>
                      <w:sz w:val="21"/>
                      <w:szCs w:val="21"/>
                    </w:rPr>
                    <w:t>/h</w:t>
                  </w:r>
                </w:p>
              </w:tc>
              <w:tc>
                <w:tcPr>
                  <w:tcW w:w="453" w:type="dxa"/>
                  <w:vAlign w:val="center"/>
                </w:tcPr>
                <w:p w14:paraId="5772B2E9">
                  <w:pPr>
                    <w:autoSpaceDE w:val="0"/>
                    <w:adjustRightInd w:val="0"/>
                    <w:snapToGrid w:val="0"/>
                    <w:jc w:val="center"/>
                    <w:rPr>
                      <w:b/>
                      <w:bCs/>
                      <w:sz w:val="21"/>
                      <w:szCs w:val="21"/>
                    </w:rPr>
                  </w:pPr>
                  <w:r>
                    <w:rPr>
                      <w:b/>
                      <w:bCs/>
                      <w:sz w:val="21"/>
                      <w:szCs w:val="21"/>
                    </w:rPr>
                    <w:t>收集效率%</w:t>
                  </w:r>
                </w:p>
              </w:tc>
              <w:tc>
                <w:tcPr>
                  <w:tcW w:w="467" w:type="dxa"/>
                  <w:vAlign w:val="center"/>
                </w:tcPr>
                <w:p w14:paraId="2748C2E1">
                  <w:pPr>
                    <w:autoSpaceDE w:val="0"/>
                    <w:adjustRightInd w:val="0"/>
                    <w:snapToGrid w:val="0"/>
                    <w:jc w:val="center"/>
                    <w:rPr>
                      <w:b/>
                      <w:bCs/>
                      <w:sz w:val="21"/>
                      <w:szCs w:val="21"/>
                    </w:rPr>
                  </w:pPr>
                  <w:r>
                    <w:rPr>
                      <w:b/>
                      <w:bCs/>
                      <w:sz w:val="21"/>
                      <w:szCs w:val="21"/>
                    </w:rPr>
                    <w:t>去除效率%</w:t>
                  </w:r>
                </w:p>
              </w:tc>
              <w:tc>
                <w:tcPr>
                  <w:tcW w:w="680" w:type="dxa"/>
                  <w:vAlign w:val="center"/>
                </w:tcPr>
                <w:p w14:paraId="23806CC3">
                  <w:pPr>
                    <w:autoSpaceDE w:val="0"/>
                    <w:adjustRightInd w:val="0"/>
                    <w:snapToGrid w:val="0"/>
                    <w:jc w:val="center"/>
                    <w:rPr>
                      <w:b/>
                      <w:bCs/>
                      <w:sz w:val="21"/>
                      <w:szCs w:val="21"/>
                    </w:rPr>
                  </w:pPr>
                  <w:r>
                    <w:rPr>
                      <w:b/>
                      <w:bCs/>
                      <w:sz w:val="21"/>
                      <w:szCs w:val="21"/>
                    </w:rPr>
                    <w:t>是否为可行技术</w:t>
                  </w:r>
                </w:p>
              </w:tc>
              <w:tc>
                <w:tcPr>
                  <w:tcW w:w="533" w:type="dxa"/>
                  <w:vAlign w:val="center"/>
                </w:tcPr>
                <w:p w14:paraId="1405D44D">
                  <w:pPr>
                    <w:autoSpaceDE w:val="0"/>
                    <w:adjustRightInd w:val="0"/>
                    <w:snapToGrid w:val="0"/>
                    <w:jc w:val="center"/>
                    <w:rPr>
                      <w:b/>
                      <w:bCs/>
                      <w:sz w:val="21"/>
                      <w:szCs w:val="21"/>
                    </w:rPr>
                  </w:pPr>
                  <w:r>
                    <w:rPr>
                      <w:b/>
                      <w:bCs/>
                      <w:sz w:val="21"/>
                      <w:szCs w:val="21"/>
                    </w:rPr>
                    <w:t>排放量kg/a</w:t>
                  </w:r>
                </w:p>
              </w:tc>
              <w:tc>
                <w:tcPr>
                  <w:tcW w:w="533" w:type="dxa"/>
                  <w:vAlign w:val="center"/>
                </w:tcPr>
                <w:p w14:paraId="68922DED">
                  <w:pPr>
                    <w:autoSpaceDE w:val="0"/>
                    <w:adjustRightInd w:val="0"/>
                    <w:snapToGrid w:val="0"/>
                    <w:jc w:val="center"/>
                    <w:rPr>
                      <w:b/>
                      <w:bCs/>
                      <w:sz w:val="21"/>
                      <w:szCs w:val="21"/>
                    </w:rPr>
                  </w:pPr>
                  <w:r>
                    <w:rPr>
                      <w:b/>
                      <w:bCs/>
                      <w:sz w:val="21"/>
                      <w:szCs w:val="21"/>
                    </w:rPr>
                    <w:t>浓度mg/m</w:t>
                  </w:r>
                  <w:r>
                    <w:rPr>
                      <w:b/>
                      <w:bCs/>
                      <w:sz w:val="21"/>
                      <w:szCs w:val="21"/>
                      <w:vertAlign w:val="superscript"/>
                    </w:rPr>
                    <w:t>3</w:t>
                  </w:r>
                </w:p>
              </w:tc>
              <w:tc>
                <w:tcPr>
                  <w:tcW w:w="454" w:type="dxa"/>
                  <w:vAlign w:val="center"/>
                </w:tcPr>
                <w:p w14:paraId="64C15A2D">
                  <w:pPr>
                    <w:autoSpaceDE w:val="0"/>
                    <w:adjustRightInd w:val="0"/>
                    <w:snapToGrid w:val="0"/>
                    <w:jc w:val="center"/>
                    <w:rPr>
                      <w:b/>
                      <w:bCs/>
                      <w:sz w:val="21"/>
                      <w:szCs w:val="21"/>
                    </w:rPr>
                  </w:pPr>
                  <w:r>
                    <w:rPr>
                      <w:b/>
                      <w:bCs/>
                      <w:sz w:val="21"/>
                      <w:szCs w:val="21"/>
                    </w:rPr>
                    <w:t>速率kg/h</w:t>
                  </w:r>
                </w:p>
              </w:tc>
              <w:tc>
                <w:tcPr>
                  <w:tcW w:w="413" w:type="dxa"/>
                  <w:vAlign w:val="center"/>
                </w:tcPr>
                <w:p w14:paraId="1056C106">
                  <w:pPr>
                    <w:autoSpaceDE w:val="0"/>
                    <w:adjustRightInd w:val="0"/>
                    <w:snapToGrid w:val="0"/>
                    <w:jc w:val="center"/>
                    <w:rPr>
                      <w:b/>
                      <w:bCs/>
                      <w:sz w:val="21"/>
                      <w:szCs w:val="21"/>
                    </w:rPr>
                  </w:pPr>
                  <w:r>
                    <w:rPr>
                      <w:b/>
                      <w:bCs/>
                      <w:sz w:val="21"/>
                      <w:szCs w:val="21"/>
                    </w:rPr>
                    <w:t>排放形式</w:t>
                  </w:r>
                </w:p>
              </w:tc>
            </w:tr>
            <w:tr w14:paraId="5BB26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restart"/>
                  <w:vAlign w:val="center"/>
                </w:tcPr>
                <w:p w14:paraId="1025C03B">
                  <w:pPr>
                    <w:tabs>
                      <w:tab w:val="left" w:pos="3836"/>
                    </w:tabs>
                    <w:jc w:val="center"/>
                    <w:rPr>
                      <w:sz w:val="21"/>
                      <w:szCs w:val="21"/>
                    </w:rPr>
                  </w:pPr>
                  <w:r>
                    <w:rPr>
                      <w:sz w:val="21"/>
                      <w:szCs w:val="21"/>
                    </w:rPr>
                    <w:t>无机前处理</w:t>
                  </w:r>
                </w:p>
              </w:tc>
              <w:tc>
                <w:tcPr>
                  <w:tcW w:w="453" w:type="dxa"/>
                  <w:vAlign w:val="center"/>
                </w:tcPr>
                <w:p w14:paraId="30073ABC">
                  <w:pPr>
                    <w:tabs>
                      <w:tab w:val="left" w:pos="3836"/>
                    </w:tabs>
                    <w:jc w:val="center"/>
                    <w:rPr>
                      <w:sz w:val="21"/>
                      <w:szCs w:val="21"/>
                    </w:rPr>
                  </w:pPr>
                  <w:r>
                    <w:rPr>
                      <w:sz w:val="21"/>
                      <w:szCs w:val="21"/>
                    </w:rPr>
                    <w:t>DA00</w:t>
                  </w:r>
                  <w:r>
                    <w:rPr>
                      <w:rFonts w:hint="eastAsia"/>
                      <w:sz w:val="21"/>
                      <w:szCs w:val="21"/>
                    </w:rPr>
                    <w:t>2</w:t>
                  </w:r>
                </w:p>
              </w:tc>
              <w:tc>
                <w:tcPr>
                  <w:tcW w:w="453" w:type="dxa"/>
                  <w:vMerge w:val="restart"/>
                  <w:vAlign w:val="center"/>
                </w:tcPr>
                <w:p w14:paraId="759F321F">
                  <w:pPr>
                    <w:tabs>
                      <w:tab w:val="left" w:pos="3836"/>
                    </w:tabs>
                    <w:jc w:val="center"/>
                    <w:rPr>
                      <w:sz w:val="21"/>
                      <w:szCs w:val="21"/>
                    </w:rPr>
                  </w:pPr>
                  <w:r>
                    <w:rPr>
                      <w:rFonts w:hint="eastAsia"/>
                      <w:sz w:val="21"/>
                      <w:szCs w:val="18"/>
                    </w:rPr>
                    <w:t>氮氧化物</w:t>
                  </w:r>
                </w:p>
              </w:tc>
              <w:tc>
                <w:tcPr>
                  <w:tcW w:w="494" w:type="dxa"/>
                  <w:vAlign w:val="center"/>
                </w:tcPr>
                <w:p w14:paraId="6AD1D406">
                  <w:pPr>
                    <w:tabs>
                      <w:tab w:val="left" w:pos="3836"/>
                    </w:tabs>
                    <w:jc w:val="center"/>
                    <w:rPr>
                      <w:rFonts w:hint="eastAsia" w:eastAsia="宋体"/>
                      <w:color w:val="FF0000"/>
                      <w:sz w:val="21"/>
                      <w:szCs w:val="18"/>
                      <w:lang w:val="en-US" w:eastAsia="zh-CN"/>
                    </w:rPr>
                  </w:pPr>
                  <w:r>
                    <w:rPr>
                      <w:rFonts w:hint="eastAsia"/>
                      <w:color w:val="FF0000"/>
                      <w:sz w:val="21"/>
                      <w:szCs w:val="18"/>
                      <w:lang w:val="en-US" w:eastAsia="zh-CN"/>
                    </w:rPr>
                    <w:t>6</w:t>
                  </w:r>
                </w:p>
              </w:tc>
              <w:tc>
                <w:tcPr>
                  <w:tcW w:w="480" w:type="dxa"/>
                  <w:vAlign w:val="center"/>
                </w:tcPr>
                <w:p w14:paraId="5F781D7C">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0.67</w:t>
                  </w:r>
                </w:p>
              </w:tc>
              <w:tc>
                <w:tcPr>
                  <w:tcW w:w="586" w:type="dxa"/>
                  <w:vAlign w:val="center"/>
                </w:tcPr>
                <w:p w14:paraId="004D922E">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0.012</w:t>
                  </w:r>
                </w:p>
              </w:tc>
              <w:tc>
                <w:tcPr>
                  <w:tcW w:w="1066" w:type="dxa"/>
                  <w:vAlign w:val="center"/>
                </w:tcPr>
                <w:p w14:paraId="3A7DE15E">
                  <w:pPr>
                    <w:tabs>
                      <w:tab w:val="left" w:pos="3836"/>
                    </w:tabs>
                    <w:jc w:val="center"/>
                    <w:rPr>
                      <w:sz w:val="21"/>
                      <w:szCs w:val="21"/>
                    </w:rPr>
                  </w:pPr>
                  <w:r>
                    <w:rPr>
                      <w:rFonts w:hint="eastAsia"/>
                      <w:sz w:val="21"/>
                      <w:szCs w:val="21"/>
                    </w:rPr>
                    <w:t>通风橱/</w:t>
                  </w:r>
                  <w:r>
                    <w:rPr>
                      <w:rFonts w:hint="eastAsia"/>
                      <w:sz w:val="21"/>
                      <w:szCs w:val="21"/>
                      <w:lang w:eastAsia="zh-CN"/>
                    </w:rPr>
                    <w:t>万向罩</w:t>
                  </w:r>
                  <w:r>
                    <w:rPr>
                      <w:rFonts w:hint="eastAsia"/>
                      <w:sz w:val="21"/>
                      <w:szCs w:val="21"/>
                    </w:rPr>
                    <w:t>/吸风罩+喷淋塔装置+35m高排气筒</w:t>
                  </w:r>
                </w:p>
              </w:tc>
              <w:tc>
                <w:tcPr>
                  <w:tcW w:w="667" w:type="dxa"/>
                  <w:vAlign w:val="center"/>
                </w:tcPr>
                <w:p w14:paraId="6D8C58D6">
                  <w:pPr>
                    <w:tabs>
                      <w:tab w:val="left" w:pos="3836"/>
                    </w:tabs>
                    <w:jc w:val="center"/>
                    <w:rPr>
                      <w:sz w:val="21"/>
                      <w:szCs w:val="21"/>
                    </w:rPr>
                  </w:pPr>
                  <w:r>
                    <w:rPr>
                      <w:sz w:val="21"/>
                      <w:szCs w:val="21"/>
                    </w:rPr>
                    <w:t>18000</w:t>
                  </w:r>
                </w:p>
              </w:tc>
              <w:tc>
                <w:tcPr>
                  <w:tcW w:w="453" w:type="dxa"/>
                  <w:vAlign w:val="center"/>
                </w:tcPr>
                <w:p w14:paraId="6CDF935A">
                  <w:pPr>
                    <w:tabs>
                      <w:tab w:val="left" w:pos="3836"/>
                    </w:tabs>
                    <w:jc w:val="center"/>
                    <w:rPr>
                      <w:sz w:val="21"/>
                      <w:szCs w:val="21"/>
                    </w:rPr>
                  </w:pPr>
                  <w:r>
                    <w:rPr>
                      <w:sz w:val="21"/>
                      <w:szCs w:val="21"/>
                    </w:rPr>
                    <w:t>80</w:t>
                  </w:r>
                </w:p>
              </w:tc>
              <w:tc>
                <w:tcPr>
                  <w:tcW w:w="467" w:type="dxa"/>
                  <w:vAlign w:val="center"/>
                </w:tcPr>
                <w:p w14:paraId="5174C110">
                  <w:pPr>
                    <w:tabs>
                      <w:tab w:val="left" w:pos="3836"/>
                    </w:tabs>
                    <w:jc w:val="center"/>
                    <w:rPr>
                      <w:sz w:val="21"/>
                      <w:szCs w:val="21"/>
                    </w:rPr>
                  </w:pPr>
                  <w:r>
                    <w:rPr>
                      <w:rFonts w:hint="eastAsia"/>
                      <w:sz w:val="21"/>
                      <w:szCs w:val="21"/>
                    </w:rPr>
                    <w:t>8</w:t>
                  </w:r>
                  <w:r>
                    <w:rPr>
                      <w:sz w:val="21"/>
                      <w:szCs w:val="21"/>
                    </w:rPr>
                    <w:t>0</w:t>
                  </w:r>
                </w:p>
              </w:tc>
              <w:tc>
                <w:tcPr>
                  <w:tcW w:w="680" w:type="dxa"/>
                  <w:vAlign w:val="center"/>
                </w:tcPr>
                <w:p w14:paraId="69E948A3">
                  <w:pPr>
                    <w:tabs>
                      <w:tab w:val="left" w:pos="3836"/>
                    </w:tabs>
                    <w:jc w:val="center"/>
                    <w:rPr>
                      <w:sz w:val="21"/>
                      <w:szCs w:val="21"/>
                    </w:rPr>
                  </w:pPr>
                  <w:r>
                    <w:rPr>
                      <w:sz w:val="21"/>
                      <w:szCs w:val="21"/>
                    </w:rPr>
                    <w:t>是</w:t>
                  </w:r>
                </w:p>
              </w:tc>
              <w:tc>
                <w:tcPr>
                  <w:tcW w:w="533" w:type="dxa"/>
                  <w:vAlign w:val="center"/>
                </w:tcPr>
                <w:p w14:paraId="248212CB">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1.2</w:t>
                  </w:r>
                </w:p>
              </w:tc>
              <w:tc>
                <w:tcPr>
                  <w:tcW w:w="533" w:type="dxa"/>
                  <w:vAlign w:val="center"/>
                </w:tcPr>
                <w:p w14:paraId="43468C48">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0.134</w:t>
                  </w:r>
                </w:p>
              </w:tc>
              <w:tc>
                <w:tcPr>
                  <w:tcW w:w="454" w:type="dxa"/>
                  <w:vAlign w:val="center"/>
                </w:tcPr>
                <w:p w14:paraId="04E37D2B">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0.0024</w:t>
                  </w:r>
                </w:p>
              </w:tc>
              <w:tc>
                <w:tcPr>
                  <w:tcW w:w="413" w:type="dxa"/>
                  <w:vAlign w:val="center"/>
                </w:tcPr>
                <w:p w14:paraId="35DBEE57">
                  <w:pPr>
                    <w:tabs>
                      <w:tab w:val="left" w:pos="3836"/>
                    </w:tabs>
                    <w:jc w:val="center"/>
                    <w:rPr>
                      <w:sz w:val="21"/>
                      <w:szCs w:val="21"/>
                    </w:rPr>
                  </w:pPr>
                  <w:r>
                    <w:rPr>
                      <w:sz w:val="21"/>
                      <w:szCs w:val="21"/>
                    </w:rPr>
                    <w:t>有组织</w:t>
                  </w:r>
                </w:p>
              </w:tc>
            </w:tr>
            <w:tr w14:paraId="55B98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4" w:type="dxa"/>
                  <w:vMerge w:val="continue"/>
                  <w:vAlign w:val="center"/>
                </w:tcPr>
                <w:p w14:paraId="6E8E2779">
                  <w:pPr>
                    <w:tabs>
                      <w:tab w:val="left" w:pos="3836"/>
                    </w:tabs>
                    <w:jc w:val="center"/>
                    <w:rPr>
                      <w:sz w:val="21"/>
                      <w:szCs w:val="21"/>
                    </w:rPr>
                  </w:pPr>
                </w:p>
              </w:tc>
              <w:tc>
                <w:tcPr>
                  <w:tcW w:w="453" w:type="dxa"/>
                  <w:vAlign w:val="center"/>
                </w:tcPr>
                <w:p w14:paraId="27513CA8">
                  <w:pPr>
                    <w:tabs>
                      <w:tab w:val="left" w:pos="3836"/>
                    </w:tabs>
                    <w:jc w:val="center"/>
                    <w:rPr>
                      <w:sz w:val="21"/>
                      <w:szCs w:val="21"/>
                    </w:rPr>
                  </w:pPr>
                  <w:r>
                    <w:rPr>
                      <w:sz w:val="21"/>
                      <w:szCs w:val="21"/>
                    </w:rPr>
                    <w:t>实验室</w:t>
                  </w:r>
                </w:p>
              </w:tc>
              <w:tc>
                <w:tcPr>
                  <w:tcW w:w="453" w:type="dxa"/>
                  <w:vMerge w:val="continue"/>
                  <w:vAlign w:val="center"/>
                </w:tcPr>
                <w:p w14:paraId="437A9E82">
                  <w:pPr>
                    <w:tabs>
                      <w:tab w:val="left" w:pos="3836"/>
                    </w:tabs>
                    <w:jc w:val="center"/>
                    <w:rPr>
                      <w:sz w:val="21"/>
                      <w:szCs w:val="21"/>
                    </w:rPr>
                  </w:pPr>
                </w:p>
              </w:tc>
              <w:tc>
                <w:tcPr>
                  <w:tcW w:w="494" w:type="dxa"/>
                  <w:vAlign w:val="center"/>
                </w:tcPr>
                <w:p w14:paraId="00B73BB9">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1.5</w:t>
                  </w:r>
                </w:p>
              </w:tc>
              <w:tc>
                <w:tcPr>
                  <w:tcW w:w="480" w:type="dxa"/>
                  <w:vAlign w:val="center"/>
                </w:tcPr>
                <w:p w14:paraId="305A37C7">
                  <w:pPr>
                    <w:tabs>
                      <w:tab w:val="left" w:pos="3836"/>
                    </w:tabs>
                    <w:jc w:val="center"/>
                    <w:rPr>
                      <w:color w:val="FF0000"/>
                      <w:sz w:val="21"/>
                      <w:szCs w:val="18"/>
                    </w:rPr>
                  </w:pPr>
                  <w:r>
                    <w:rPr>
                      <w:rFonts w:hint="eastAsia"/>
                      <w:color w:val="FF0000"/>
                      <w:sz w:val="21"/>
                      <w:szCs w:val="18"/>
                    </w:rPr>
                    <w:t>/</w:t>
                  </w:r>
                </w:p>
              </w:tc>
              <w:tc>
                <w:tcPr>
                  <w:tcW w:w="586" w:type="dxa"/>
                  <w:vAlign w:val="center"/>
                </w:tcPr>
                <w:p w14:paraId="644BA648">
                  <w:pPr>
                    <w:tabs>
                      <w:tab w:val="left" w:pos="3836"/>
                    </w:tabs>
                    <w:jc w:val="center"/>
                    <w:rPr>
                      <w:color w:val="FF0000"/>
                      <w:sz w:val="21"/>
                      <w:szCs w:val="18"/>
                    </w:rPr>
                  </w:pPr>
                  <w:r>
                    <w:rPr>
                      <w:rFonts w:hint="eastAsia"/>
                      <w:color w:val="FF0000"/>
                      <w:sz w:val="21"/>
                      <w:szCs w:val="18"/>
                    </w:rPr>
                    <w:t>0.003</w:t>
                  </w:r>
                </w:p>
              </w:tc>
              <w:tc>
                <w:tcPr>
                  <w:tcW w:w="1066" w:type="dxa"/>
                  <w:vAlign w:val="center"/>
                </w:tcPr>
                <w:p w14:paraId="364A583F">
                  <w:pPr>
                    <w:tabs>
                      <w:tab w:val="left" w:pos="3836"/>
                    </w:tabs>
                    <w:jc w:val="center"/>
                    <w:rPr>
                      <w:sz w:val="21"/>
                      <w:szCs w:val="21"/>
                    </w:rPr>
                  </w:pPr>
                  <w:r>
                    <w:rPr>
                      <w:sz w:val="21"/>
                      <w:szCs w:val="21"/>
                    </w:rPr>
                    <w:t>通风换气</w:t>
                  </w:r>
                </w:p>
              </w:tc>
              <w:tc>
                <w:tcPr>
                  <w:tcW w:w="667" w:type="dxa"/>
                  <w:vAlign w:val="center"/>
                </w:tcPr>
                <w:p w14:paraId="7444475D">
                  <w:pPr>
                    <w:tabs>
                      <w:tab w:val="left" w:pos="3836"/>
                    </w:tabs>
                    <w:jc w:val="center"/>
                    <w:rPr>
                      <w:sz w:val="21"/>
                      <w:szCs w:val="21"/>
                    </w:rPr>
                  </w:pPr>
                  <w:r>
                    <w:rPr>
                      <w:sz w:val="21"/>
                      <w:szCs w:val="21"/>
                    </w:rPr>
                    <w:t>/</w:t>
                  </w:r>
                </w:p>
              </w:tc>
              <w:tc>
                <w:tcPr>
                  <w:tcW w:w="453" w:type="dxa"/>
                  <w:vAlign w:val="center"/>
                </w:tcPr>
                <w:p w14:paraId="2BD7F8D6">
                  <w:pPr>
                    <w:tabs>
                      <w:tab w:val="left" w:pos="3836"/>
                    </w:tabs>
                    <w:jc w:val="center"/>
                    <w:rPr>
                      <w:sz w:val="21"/>
                      <w:szCs w:val="21"/>
                    </w:rPr>
                  </w:pPr>
                  <w:r>
                    <w:rPr>
                      <w:sz w:val="21"/>
                      <w:szCs w:val="21"/>
                    </w:rPr>
                    <w:t>/</w:t>
                  </w:r>
                </w:p>
              </w:tc>
              <w:tc>
                <w:tcPr>
                  <w:tcW w:w="467" w:type="dxa"/>
                  <w:vAlign w:val="center"/>
                </w:tcPr>
                <w:p w14:paraId="1758E74A">
                  <w:pPr>
                    <w:tabs>
                      <w:tab w:val="left" w:pos="3836"/>
                    </w:tabs>
                    <w:jc w:val="center"/>
                    <w:rPr>
                      <w:sz w:val="21"/>
                      <w:szCs w:val="21"/>
                    </w:rPr>
                  </w:pPr>
                  <w:r>
                    <w:rPr>
                      <w:sz w:val="21"/>
                      <w:szCs w:val="21"/>
                    </w:rPr>
                    <w:t>/</w:t>
                  </w:r>
                </w:p>
              </w:tc>
              <w:tc>
                <w:tcPr>
                  <w:tcW w:w="680" w:type="dxa"/>
                  <w:vAlign w:val="center"/>
                </w:tcPr>
                <w:p w14:paraId="70B2A44E">
                  <w:pPr>
                    <w:tabs>
                      <w:tab w:val="left" w:pos="3836"/>
                    </w:tabs>
                    <w:jc w:val="center"/>
                    <w:rPr>
                      <w:sz w:val="21"/>
                      <w:szCs w:val="21"/>
                    </w:rPr>
                  </w:pPr>
                  <w:r>
                    <w:rPr>
                      <w:sz w:val="21"/>
                      <w:szCs w:val="21"/>
                    </w:rPr>
                    <w:t>/</w:t>
                  </w:r>
                </w:p>
              </w:tc>
              <w:tc>
                <w:tcPr>
                  <w:tcW w:w="533" w:type="dxa"/>
                  <w:vAlign w:val="center"/>
                </w:tcPr>
                <w:p w14:paraId="085BF344">
                  <w:pPr>
                    <w:tabs>
                      <w:tab w:val="left" w:pos="3836"/>
                    </w:tabs>
                    <w:jc w:val="center"/>
                    <w:rPr>
                      <w:rFonts w:hint="default" w:eastAsia="宋体"/>
                      <w:color w:val="FF0000"/>
                      <w:sz w:val="21"/>
                      <w:szCs w:val="18"/>
                      <w:lang w:val="en-US" w:eastAsia="zh-CN"/>
                    </w:rPr>
                  </w:pPr>
                  <w:r>
                    <w:rPr>
                      <w:rFonts w:hint="eastAsia"/>
                      <w:color w:val="FF0000"/>
                      <w:sz w:val="21"/>
                      <w:szCs w:val="18"/>
                      <w:lang w:val="en-US" w:eastAsia="zh-CN"/>
                    </w:rPr>
                    <w:t>1.5</w:t>
                  </w:r>
                </w:p>
              </w:tc>
              <w:tc>
                <w:tcPr>
                  <w:tcW w:w="533" w:type="dxa"/>
                  <w:vAlign w:val="center"/>
                </w:tcPr>
                <w:p w14:paraId="376D1A24">
                  <w:pPr>
                    <w:tabs>
                      <w:tab w:val="left" w:pos="3836"/>
                    </w:tabs>
                    <w:jc w:val="center"/>
                    <w:rPr>
                      <w:color w:val="FF0000"/>
                      <w:sz w:val="21"/>
                      <w:szCs w:val="18"/>
                    </w:rPr>
                  </w:pPr>
                  <w:r>
                    <w:rPr>
                      <w:rFonts w:hint="eastAsia"/>
                      <w:color w:val="FF0000"/>
                      <w:sz w:val="21"/>
                      <w:szCs w:val="18"/>
                    </w:rPr>
                    <w:t>/</w:t>
                  </w:r>
                </w:p>
              </w:tc>
              <w:tc>
                <w:tcPr>
                  <w:tcW w:w="454" w:type="dxa"/>
                  <w:vAlign w:val="center"/>
                </w:tcPr>
                <w:p w14:paraId="547147DF">
                  <w:pPr>
                    <w:tabs>
                      <w:tab w:val="left" w:pos="3836"/>
                    </w:tabs>
                    <w:jc w:val="center"/>
                    <w:rPr>
                      <w:color w:val="FF0000"/>
                      <w:sz w:val="21"/>
                      <w:szCs w:val="18"/>
                    </w:rPr>
                  </w:pPr>
                  <w:r>
                    <w:rPr>
                      <w:rFonts w:hint="eastAsia"/>
                      <w:color w:val="FF0000"/>
                      <w:sz w:val="21"/>
                      <w:szCs w:val="18"/>
                    </w:rPr>
                    <w:t>0.003</w:t>
                  </w:r>
                </w:p>
              </w:tc>
              <w:tc>
                <w:tcPr>
                  <w:tcW w:w="413" w:type="dxa"/>
                  <w:vAlign w:val="center"/>
                </w:tcPr>
                <w:p w14:paraId="0D65A5A6">
                  <w:pPr>
                    <w:tabs>
                      <w:tab w:val="left" w:pos="3836"/>
                    </w:tabs>
                    <w:jc w:val="center"/>
                    <w:rPr>
                      <w:sz w:val="21"/>
                      <w:szCs w:val="21"/>
                    </w:rPr>
                  </w:pPr>
                  <w:r>
                    <w:rPr>
                      <w:sz w:val="21"/>
                      <w:szCs w:val="21"/>
                    </w:rPr>
                    <w:t>无组织</w:t>
                  </w:r>
                </w:p>
              </w:tc>
            </w:tr>
          </w:tbl>
          <w:p w14:paraId="2D7C5EC5">
            <w:pPr>
              <w:widowControl/>
              <w:spacing w:line="360" w:lineRule="auto"/>
              <w:ind w:firstLine="480" w:firstLineChars="200"/>
              <w:rPr>
                <w:szCs w:val="21"/>
              </w:rPr>
            </w:pPr>
            <w:r>
              <w:rPr>
                <w:rFonts w:hint="eastAsia"/>
                <w:szCs w:val="21"/>
              </w:rPr>
              <w:t>由上表可知，本项目无机检测过程中产生的</w:t>
            </w:r>
            <w:r>
              <w:rPr>
                <w:rFonts w:hint="eastAsia"/>
              </w:rPr>
              <w:t>氮氧化物</w:t>
            </w:r>
            <w:r>
              <w:rPr>
                <w:rFonts w:hint="eastAsia"/>
                <w:szCs w:val="21"/>
              </w:rPr>
              <w:t>经通风橱/</w:t>
            </w:r>
            <w:r>
              <w:rPr>
                <w:rFonts w:hint="eastAsia"/>
                <w:szCs w:val="21"/>
                <w:lang w:eastAsia="zh-CN"/>
              </w:rPr>
              <w:t>万向罩</w:t>
            </w:r>
            <w:r>
              <w:rPr>
                <w:rFonts w:hint="eastAsia"/>
                <w:szCs w:val="21"/>
              </w:rPr>
              <w:t>/吸风罩+喷淋塔装置处理后通过35m高排气筒（DA002）能够达标排放，排放速率满足</w:t>
            </w:r>
            <w:r>
              <w:rPr>
                <w:szCs w:val="21"/>
              </w:rPr>
              <w:t>《大气污染物综合排放标准》（GB</w:t>
            </w:r>
            <w:r>
              <w:rPr>
                <w:rFonts w:hint="eastAsia"/>
                <w:szCs w:val="21"/>
              </w:rPr>
              <w:t xml:space="preserve"> </w:t>
            </w:r>
            <w:r>
              <w:rPr>
                <w:szCs w:val="21"/>
              </w:rPr>
              <w:t>16297-1996）</w:t>
            </w:r>
            <w:r>
              <w:rPr>
                <w:rFonts w:hint="eastAsia"/>
                <w:szCs w:val="21"/>
              </w:rPr>
              <w:t>表2中氮氧化物35m高排气筒限值（采用内插法计算）的50%。</w:t>
            </w:r>
          </w:p>
          <w:p w14:paraId="5EAB2FBC">
            <w:pPr>
              <w:spacing w:line="360" w:lineRule="auto"/>
              <w:ind w:firstLine="480" w:firstLineChars="200"/>
            </w:pPr>
            <w:r>
              <w:rPr>
                <w:rFonts w:hint="eastAsia" w:ascii="宋体" w:hAnsi="宋体" w:cs="宋体"/>
              </w:rPr>
              <w:t>③</w:t>
            </w:r>
            <w:r>
              <w:rPr>
                <w:rFonts w:hint="eastAsia"/>
              </w:rPr>
              <w:t>粉尘</w:t>
            </w:r>
          </w:p>
          <w:p w14:paraId="379FDC49">
            <w:pPr>
              <w:spacing w:line="360" w:lineRule="auto"/>
              <w:ind w:firstLine="480" w:firstLineChars="200"/>
              <w:rPr>
                <w:color w:val="000000" w:themeColor="text1"/>
                <w14:textFill>
                  <w14:solidFill>
                    <w14:schemeClr w14:val="tx1"/>
                  </w14:solidFill>
                </w14:textFill>
              </w:rPr>
            </w:pPr>
            <w:r>
              <w:rPr>
                <w:rFonts w:hint="eastAsia"/>
              </w:rPr>
              <w:t>本项目固废、土壤检测前处理过程涉及样品的研磨筛分处理，在4层东南侧设置固废制备实验室、土壤制备粗磨实验室和细磨实验室各1间，其中，固废制备实验室设置2个研磨工位，土壤制备实验室各设置4个研磨工位，每个工位使用包围型透明罩子密闭，产生的粉尘经下排式抽风系统送至</w:t>
            </w:r>
            <w:r>
              <w:rPr>
                <w:rFonts w:hint="eastAsia"/>
                <w:color w:val="000000" w:themeColor="text1"/>
                <w14:textFill>
                  <w14:solidFill>
                    <w14:schemeClr w14:val="tx1"/>
                  </w14:solidFill>
                </w14:textFill>
              </w:rPr>
              <w:t>除尘设备处理后，无组织散失。项目固废、土壤检测样品较少，产生的粉尘很少，仅做定性分析。</w:t>
            </w:r>
          </w:p>
          <w:p w14:paraId="0D5CB2DF">
            <w:pPr>
              <w:spacing w:line="360" w:lineRule="auto"/>
              <w:ind w:firstLine="480" w:firstLineChars="200"/>
            </w:pPr>
            <w:r>
              <w:rPr>
                <w:rFonts w:hint="eastAsia"/>
              </w:rPr>
              <w:t>（2）</w:t>
            </w:r>
            <w:r>
              <w:t>排放形式、治理设施</w:t>
            </w:r>
          </w:p>
          <w:p w14:paraId="64A0B179">
            <w:pPr>
              <w:widowControl/>
              <w:spacing w:line="360" w:lineRule="auto"/>
              <w:ind w:firstLine="480" w:firstLineChars="200"/>
              <w:jc w:val="left"/>
              <w:rPr>
                <w:color w:val="000000" w:themeColor="text1"/>
                <w:szCs w:val="32"/>
                <w14:textFill>
                  <w14:solidFill>
                    <w14:schemeClr w14:val="tx1"/>
                  </w14:solidFill>
                </w14:textFill>
              </w:rPr>
            </w:pPr>
            <w:r>
              <w:rPr>
                <w:rFonts w:hint="eastAsia"/>
                <w:szCs w:val="32"/>
              </w:rPr>
              <w:t>项目有机前处理及实验检测过程中产生的非甲烷总烃经通风橱/</w:t>
            </w:r>
            <w:r>
              <w:rPr>
                <w:rFonts w:hint="eastAsia"/>
                <w:szCs w:val="32"/>
                <w:lang w:eastAsia="zh-CN"/>
              </w:rPr>
              <w:t>万向罩</w:t>
            </w:r>
            <w:r>
              <w:rPr>
                <w:rFonts w:hint="eastAsia"/>
                <w:szCs w:val="32"/>
              </w:rPr>
              <w:t>+两级活性炭吸附装置处理后，通过35m高排气筒（DA001）排</w:t>
            </w:r>
            <w:r>
              <w:rPr>
                <w:rFonts w:hint="eastAsia"/>
                <w:color w:val="000000" w:themeColor="text1"/>
                <w:szCs w:val="32"/>
                <w14:textFill>
                  <w14:solidFill>
                    <w14:schemeClr w14:val="tx1"/>
                  </w14:solidFill>
                </w14:textFill>
              </w:rPr>
              <w:t>放，未收集的非甲烷总烃在室内无组织排放；无机前处理过程中产生的硫酸雾、氯化氢、</w:t>
            </w:r>
            <w:r>
              <w:rPr>
                <w:rFonts w:hint="eastAsia"/>
                <w:color w:val="000000" w:themeColor="text1"/>
                <w14:textFill>
                  <w14:solidFill>
                    <w14:schemeClr w14:val="tx1"/>
                  </w14:solidFill>
                </w14:textFill>
              </w:rPr>
              <w:t>氮氧化物</w:t>
            </w:r>
            <w:r>
              <w:rPr>
                <w:rFonts w:hint="eastAsia"/>
                <w:color w:val="000000" w:themeColor="text1"/>
                <w:szCs w:val="32"/>
                <w14:textFill>
                  <w14:solidFill>
                    <w14:schemeClr w14:val="tx1"/>
                  </w14:solidFill>
                </w14:textFill>
              </w:rPr>
              <w:t>经通风橱/</w:t>
            </w:r>
            <w:r>
              <w:rPr>
                <w:rFonts w:hint="eastAsia"/>
                <w:color w:val="000000" w:themeColor="text1"/>
                <w:szCs w:val="32"/>
                <w:lang w:eastAsia="zh-CN"/>
                <w14:textFill>
                  <w14:solidFill>
                    <w14:schemeClr w14:val="tx1"/>
                  </w14:solidFill>
                </w14:textFill>
              </w:rPr>
              <w:t>万向罩</w:t>
            </w:r>
            <w:r>
              <w:rPr>
                <w:rFonts w:hint="eastAsia"/>
                <w:color w:val="000000" w:themeColor="text1"/>
                <w:szCs w:val="32"/>
                <w14:textFill>
                  <w14:solidFill>
                    <w14:schemeClr w14:val="tx1"/>
                  </w14:solidFill>
                </w14:textFill>
              </w:rPr>
              <w:t>/吸风罩+喷淋塔装置处理后，通过35m高排气筒（DA002）排放</w:t>
            </w:r>
            <w:r>
              <w:rPr>
                <w:rFonts w:hint="eastAsia"/>
                <w:color w:val="000000" w:themeColor="text1"/>
                <w14:textFill>
                  <w14:solidFill>
                    <w14:schemeClr w14:val="tx1"/>
                  </w14:solidFill>
                </w14:textFill>
              </w:rPr>
              <w:t>，未收集的硫酸雾、氯化氢、氮氧化物在室内无组织排放；固废、土壤研磨过程中产生的粉尘（颗粒物）经下排式抽风系统送至除尘设备处理后，无组织散失；</w:t>
            </w:r>
            <w:r>
              <w:rPr>
                <w:rFonts w:hint="eastAsia"/>
                <w:color w:val="000000" w:themeColor="text1"/>
                <w:szCs w:val="32"/>
                <w14:textFill>
                  <w14:solidFill>
                    <w14:schemeClr w14:val="tx1"/>
                  </w14:solidFill>
                </w14:textFill>
              </w:rPr>
              <w:t>废气收集管道设置见下图。</w:t>
            </w:r>
          </w:p>
          <w:p w14:paraId="5A65BBCA">
            <w:pPr>
              <w:autoSpaceDE w:val="0"/>
              <w:adjustRightInd w:val="0"/>
              <w:snapToGrid w:val="0"/>
              <w:jc w:val="center"/>
              <w:rPr>
                <w:b/>
                <w:bCs/>
                <w:sz w:val="21"/>
                <w:szCs w:val="21"/>
              </w:rPr>
            </w:pPr>
            <w:r>
              <mc:AlternateContent>
                <mc:Choice Requires="wps">
                  <w:drawing>
                    <wp:anchor distT="0" distB="0" distL="114300" distR="114300" simplePos="0" relativeHeight="251662336" behindDoc="0" locked="0" layoutInCell="1" allowOverlap="1">
                      <wp:simplePos x="0" y="0"/>
                      <wp:positionH relativeFrom="column">
                        <wp:posOffset>594995</wp:posOffset>
                      </wp:positionH>
                      <wp:positionV relativeFrom="paragraph">
                        <wp:posOffset>3017520</wp:posOffset>
                      </wp:positionV>
                      <wp:extent cx="252095" cy="252095"/>
                      <wp:effectExtent l="13970" t="13970" r="23495" b="23495"/>
                      <wp:wrapNone/>
                      <wp:docPr id="17" name="矩形 17"/>
                      <wp:cNvGraphicFramePr/>
                      <a:graphic xmlns:a="http://schemas.openxmlformats.org/drawingml/2006/main">
                        <a:graphicData uri="http://schemas.microsoft.com/office/word/2010/wordprocessingShape">
                          <wps:wsp>
                            <wps:cNvSpPr/>
                            <wps:spPr>
                              <a:xfrm>
                                <a:off x="2148840" y="4401820"/>
                                <a:ext cx="252095" cy="252095"/>
                              </a:xfrm>
                              <a:prstGeom prst="rect">
                                <a:avLst/>
                              </a:prstGeom>
                              <a:noFill/>
                              <a:ln w="28575">
                                <a:solidFill>
                                  <a:srgbClr val="1A09F5"/>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6.85pt;margin-top:237.6pt;height:19.85pt;width:19.85pt;z-index:251662336;v-text-anchor:middle;mso-width-relative:page;mso-height-relative:page;" filled="f" stroked="t" coordsize="21600,21600" o:gfxdata="UEsDBAoAAAAAAIdO4kAAAAAAAAAAAAAAAAAEAAAAZHJzL1BLAwQUAAAACACHTuJA1Fws79kAAAAK&#10;AQAADwAAAGRycy9kb3ducmV2LnhtbE2PTUvDQBCG74L/YRnBm918tbUxkyJiEaEHrYLXbTImobuz&#10;IbtJ4793e9Lj8D687zPFdjZaTDS4zjJCvIhAEFe27rhB+PzY3d2DcF5xrbRlQvghB9vy+qpQeW3P&#10;/E7TwTcilLDLFULrfZ9L6aqWjHIL2xOH7NsORvlwDo2sB3UO5UbLJIpW0qiOw0KrenpqqTodRoPQ&#10;7/RpHveP00tH+tm92WT19WoQb2/i6AGEp9n/wXDRD+pQBqejHbl2QiNs0nUgEbL1MgFxAdI0A3FE&#10;WMbZBmRZyP8vlL9QSwMEFAAAAAgAh07iQLeh1GVnAgAAwQQAAA4AAABkcnMvZTJvRG9jLnhtbK1U&#10;y24TMRTdI/EPlvd0JlFC0yiTKmoUhFTRSgWxdjx2ZiS/sJ1Mys8gseMj+JyK3+DYM31QWHTBZnLt&#10;e3yu7/G5WZwftSIH4UNrTUVHJyUlwnBbt2ZX0U8fN29mlITITM2UNaKityLQ8+XrV4vOzcXYNlbV&#10;whOQmDDvXEWbGN28KAJvhGbhxDphkJTWaxax9Lui9qwDu1bFuCzfFp31tfOWixCwu+6TdGD0LyG0&#10;UrZcrC3fa2Fiz+qFYhEthaZ1gS7zbaUUPF5JGUQkqqLoNOYviiDepm+xXLD5zjPXtHy4AnvJFZ71&#10;pFlrUPSBas0iI3vf/kWlW+5tsDKecKuLvpGsCLoYlc+0uWmYE7kXSB3cg+jh/9HyD4drT9oaTjil&#10;xDCNF//17cfdz+8EG1Cnc2EO0I279sMqIEytHqXX6RdNkGNFx6PJbDaBrrcVnUzK0Ww8qCuOkfAE&#10;mI7LsyklHIAhBmPxSOR8iO+E1SQFFfV4vKwpO1yG2EPvIamusZtWKeyzuTKkA+lsepr4GVwp4QaE&#10;2qGzYHaUMLWD3Xn0mTJY1dbpeDod/G57oTw5MJhktCrPNtPUOW72ByzVXrPQ9LicGmDKAJ2E6qVJ&#10;0dbWtxDW295xwfFNi/OXLMRr5mExCIUhjFf4SGVxeztElDTWf/3XfsLj5ZGlpINl0dmXPfOCEvXe&#10;wBNnI+gOj+fFZHqKByD+aWb7NGP2+sKmhjHujucw4aO6D6W3+jNmdZWqIsUMR+1ew2FxEftRwrRz&#10;sVplGHztWLw0N44n8v6lVvtoZZsf8VGdQTQ4O4s9TGEanafrjHr851n+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NRcLO/ZAAAACgEAAA8AAAAAAAAAAQAgAAAAIgAAAGRycy9kb3ducmV2LnhtbFBL&#10;AQIUABQAAAAIAIdO4kC3odRlZwIAAMEEAAAOAAAAAAAAAAEAIAAAACgBAABkcnMvZTJvRG9jLnht&#10;bFBLBQYAAAAABgAGAFkBAAABBgAAAAA=&#10;">
                      <v:fill on="f" focussize="0,0"/>
                      <v:stroke weight="2.25pt" color="#1A09F5 [2404]" joinstyle="round"/>
                      <v:imagedata o:title=""/>
                      <o:lock v:ext="edit" aspectratio="f"/>
                    </v:rect>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823595</wp:posOffset>
                      </wp:positionH>
                      <wp:positionV relativeFrom="paragraph">
                        <wp:posOffset>2994025</wp:posOffset>
                      </wp:positionV>
                      <wp:extent cx="2952750" cy="209550"/>
                      <wp:effectExtent l="0" t="0" r="0" b="0"/>
                      <wp:wrapNone/>
                      <wp:docPr id="12" name="文本框 12"/>
                      <wp:cNvGraphicFramePr/>
                      <a:graphic xmlns:a="http://schemas.openxmlformats.org/drawingml/2006/main">
                        <a:graphicData uri="http://schemas.microsoft.com/office/word/2010/wordprocessingShape">
                          <wps:wsp>
                            <wps:cNvSpPr txBox="1"/>
                            <wps:spPr>
                              <a:xfrm>
                                <a:off x="2707640" y="4862195"/>
                                <a:ext cx="2952750" cy="2095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9D88D">
                                  <w:pPr>
                                    <w:rPr>
                                      <w:b/>
                                      <w:bCs/>
                                      <w:color w:val="1A09F5"/>
                                    </w:rPr>
                                  </w:pPr>
                                  <w:r>
                                    <w:rPr>
                                      <w:rFonts w:hint="eastAsia"/>
                                      <w:b/>
                                      <w:bCs/>
                                      <w:color w:val="1A09F5"/>
                                    </w:rPr>
                                    <w:t>引至楼顶两级活性炭吸附装置处理后排放</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4.85pt;margin-top:235.75pt;height:16.5pt;width:232.5pt;z-index:251660288;mso-width-relative:page;mso-height-relative:page;" filled="f" stroked="f" coordsize="21600,21600" o:gfxdata="UEsDBAoAAAAAAIdO4kAAAAAAAAAAAAAAAAAEAAAAZHJzL1BLAwQUAAAACACHTuJAplWsGdYAAAAL&#10;AQAADwAAAGRycy9kb3ducmV2LnhtbE2PwU7DMBBE70j8g7VIXBC1EyWUhjg9VMq5asoHuPGSBOJ1&#10;FDtN+XuWE9x2dkezb8r9zY3iinMYPGlINgoEUuvtQJ2G93P9/AoiREPWjJ5QwzcG2Ff3d6UprF/p&#10;hNcmdoJDKBRGQx/jVEgZ2h6dCRs/IfHtw8/ORJZzJ+1sVg53o0yVepHODMQfejPhocf2q1mcBp+u&#10;T+OpSerDcf2s1XHBcxNQ68eHRL2BiHiLf2b4xWd0qJjp4heyQYys092WrRqybZKDYEe+y3hz4UFl&#10;OciqlP87VD9QSwMEFAAAAAgAh07iQFLVkytGAgAAdAQAAA4AAABkcnMvZTJvRG9jLnhtbK1US27b&#10;MBTcF+gdCO5r2ao/sRE5cBO4KBA0Adyia5qiIgH8laQtuQdob9BVN933XD5Hh5KcpGkXWXRDPfIN&#10;5nHmPer8olGS7IXzldEZHQ2GlAjNTV7pu4x+/LB+dUaJD0znTBotMnoQnl4sX744r+1CpKY0MheO&#10;gET7RW0zWoZgF0nieSkU8wNjhUayME6xgK27S3LHarArmaTD4TSpjcutM1x4j9OrLkl7RvccQlMU&#10;FRdXhu+U0KFjdUKyAEm+rKyny/a2RSF4uCkKLwKRGYXS0K4ogngb12R5zhZ3jtmy4v0V2HOu8EST&#10;YpVG0XuqKxYY2bnqLypVcWe8KcKAG5V0QlpHoGI0fOLNpmRWtFpgtbf3pvv/R8vf728dqXJMQkqJ&#10;ZgodP37/dvzx6/jzK8EZDKqtXwC3sUCG5o1pAD6dexxG3U3hVPxCEUE+nQ1n0zFMPmR0fDZNR/NJ&#10;Z7VoAuERMJ+kswkAHIh0OJ8gRqnkgck6H94Ko0gMMurQytZhtr/2oYOeILGwNutKyradUpM6o9PX&#10;oPwjA3KpUSPq6e4do9Bsm17k1uQHaHSmGxNv+bpC8Wvmwy1zmAvcFy8n3GAppEER00eUlMZ9+dd5&#10;xKNdyFJSY84y6j/vmBOUyHcajZyPxtGn0G7Gk1mKjXuc2T7O6J26NBjlEd6o5W0Y8UGewsIZ9QkP&#10;bBWrIsU0R+2MhlN4GbrpxwPlYrVqQRhFy8K13lgeqaNp3q52AZa2TkebOm969zCMba/6hxOn/fG+&#10;RT38LJ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ZVrBnWAAAACwEAAA8AAAAAAAAAAQAgAAAA&#10;IgAAAGRycy9kb3ducmV2LnhtbFBLAQIUABQAAAAIAIdO4kBS1ZMrRgIAAHQEAAAOAAAAAAAAAAEA&#10;IAAAACUBAABkcnMvZTJvRG9jLnhtbFBLBQYAAAAABgAGAFkBAADdBQAAAAA=&#10;">
                      <v:fill on="f" focussize="0,0"/>
                      <v:stroke on="f" weight="0.5pt"/>
                      <v:imagedata o:title=""/>
                      <o:lock v:ext="edit" aspectratio="f"/>
                      <v:textbox style="mso-fit-shape-to-text:t;">
                        <w:txbxContent>
                          <w:p w14:paraId="5319D88D">
                            <w:pPr>
                              <w:rPr>
                                <w:b/>
                                <w:bCs/>
                                <w:color w:val="1A09F5"/>
                              </w:rPr>
                            </w:pPr>
                            <w:r>
                              <w:rPr>
                                <w:rFonts w:hint="eastAsia"/>
                                <w:b/>
                                <w:bCs/>
                                <w:color w:val="1A09F5"/>
                              </w:rPr>
                              <w:t>引至楼顶两级活性炭吸附装置处理后排放</w:t>
                            </w:r>
                          </w:p>
                        </w:txbxContent>
                      </v:textbox>
                    </v:shape>
                  </w:pict>
                </mc:Fallback>
              </mc:AlternateContent>
            </w:r>
            <w:r>
              <w:drawing>
                <wp:inline distT="0" distB="0" distL="114300" distR="114300">
                  <wp:extent cx="5147945" cy="3423285"/>
                  <wp:effectExtent l="0" t="0" r="3175" b="5715"/>
                  <wp:docPr id="2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5"/>
                          <pic:cNvPicPr>
                            <a:picLocks noChangeAspect="1"/>
                          </pic:cNvPicPr>
                        </pic:nvPicPr>
                        <pic:blipFill>
                          <a:blip r:embed="rId14"/>
                          <a:srcRect t="16289"/>
                          <a:stretch>
                            <a:fillRect/>
                          </a:stretch>
                        </pic:blipFill>
                        <pic:spPr>
                          <a:xfrm>
                            <a:off x="0" y="0"/>
                            <a:ext cx="5147945" cy="3423285"/>
                          </a:xfrm>
                          <a:prstGeom prst="rect">
                            <a:avLst/>
                          </a:prstGeom>
                          <a:noFill/>
                          <a:ln>
                            <a:noFill/>
                          </a:ln>
                        </pic:spPr>
                      </pic:pic>
                    </a:graphicData>
                  </a:graphic>
                </wp:inline>
              </w:drawing>
            </w:r>
          </w:p>
          <w:p w14:paraId="0AF0A8F8">
            <w:pPr>
              <w:autoSpaceDE w:val="0"/>
              <w:adjustRightInd w:val="0"/>
              <w:snapToGrid w:val="0"/>
              <w:jc w:val="center"/>
              <w:rPr>
                <w:rFonts w:hint="eastAsia"/>
                <w:b/>
                <w:bCs/>
                <w:color w:val="auto"/>
                <w:sz w:val="21"/>
                <w:szCs w:val="21"/>
              </w:rPr>
            </w:pPr>
            <w:r>
              <w:rPr>
                <w:b/>
                <w:bCs/>
                <w:color w:val="auto"/>
                <w:sz w:val="21"/>
                <w:szCs w:val="21"/>
              </w:rPr>
              <w:t>图4-1</w:t>
            </w:r>
            <w:r>
              <w:rPr>
                <w:rFonts w:hint="eastAsia"/>
                <w:b/>
                <w:bCs/>
                <w:color w:val="auto"/>
                <w:sz w:val="21"/>
                <w:szCs w:val="21"/>
              </w:rPr>
              <w:t xml:space="preserve">  有机废气收集管道设置图</w:t>
            </w:r>
          </w:p>
          <w:p w14:paraId="5D958C31">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eastAsia"/>
                <w:b/>
                <w:bCs/>
                <w:color w:val="auto"/>
                <w:sz w:val="21"/>
                <w:szCs w:val="21"/>
              </w:rPr>
            </w:pPr>
          </w:p>
          <w:p w14:paraId="2C51A3C8">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eastAsia"/>
                <w:b/>
                <w:bCs/>
                <w:color w:val="auto"/>
                <w:sz w:val="21"/>
                <w:szCs w:val="21"/>
              </w:rPr>
            </w:pPr>
          </w:p>
          <w:p w14:paraId="29332726">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eastAsia"/>
                <w:b/>
                <w:bCs/>
                <w:color w:val="auto"/>
                <w:sz w:val="21"/>
                <w:szCs w:val="21"/>
              </w:rPr>
            </w:pPr>
          </w:p>
          <w:p w14:paraId="25DCB014">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eastAsia"/>
                <w:b/>
                <w:bCs/>
                <w:color w:val="auto"/>
                <w:sz w:val="21"/>
                <w:szCs w:val="21"/>
              </w:rPr>
            </w:pPr>
          </w:p>
          <w:p w14:paraId="1EA8172E">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eastAsia"/>
                <w:b/>
                <w:bCs/>
                <w:color w:val="auto"/>
                <w:sz w:val="21"/>
                <w:szCs w:val="21"/>
              </w:rPr>
            </w:pPr>
          </w:p>
          <w:p w14:paraId="75F9418C">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eastAsia"/>
                <w:b/>
                <w:bCs/>
                <w:color w:val="auto"/>
                <w:sz w:val="21"/>
                <w:szCs w:val="21"/>
              </w:rPr>
            </w:pPr>
          </w:p>
          <w:p w14:paraId="2A9F03FC">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eastAsia"/>
                <w:b/>
                <w:bCs/>
                <w:color w:val="auto"/>
                <w:sz w:val="21"/>
                <w:szCs w:val="21"/>
              </w:rPr>
            </w:pPr>
          </w:p>
          <w:p w14:paraId="78F0B840">
            <w:pPr>
              <w:jc w:val="center"/>
            </w:pPr>
            <w:r>
              <mc:AlternateContent>
                <mc:Choice Requires="wps">
                  <w:drawing>
                    <wp:anchor distT="0" distB="0" distL="114300" distR="114300" simplePos="0" relativeHeight="251661312" behindDoc="0" locked="0" layoutInCell="1" allowOverlap="1">
                      <wp:simplePos x="0" y="0"/>
                      <wp:positionH relativeFrom="column">
                        <wp:posOffset>2076450</wp:posOffset>
                      </wp:positionH>
                      <wp:positionV relativeFrom="paragraph">
                        <wp:posOffset>2367280</wp:posOffset>
                      </wp:positionV>
                      <wp:extent cx="2368550" cy="20955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2368550" cy="2095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E4FD9D">
                                  <w:pPr>
                                    <w:rPr>
                                      <w:b/>
                                      <w:bCs/>
                                      <w:color w:val="1A09F5"/>
                                    </w:rPr>
                                  </w:pPr>
                                  <w:r>
                                    <w:rPr>
                                      <w:rFonts w:hint="eastAsia"/>
                                      <w:b/>
                                      <w:bCs/>
                                      <w:color w:val="1A09F5"/>
                                    </w:rPr>
                                    <w:t>引至楼顶喷淋塔装置处理后排放</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63.5pt;margin-top:186.4pt;height:16.5pt;width:186.5pt;z-index:251661312;mso-width-relative:page;mso-height-relative:page;" filled="f" stroked="f" coordsize="21600,21600" o:gfxdata="UEsDBAoAAAAAAIdO4kAAAAAAAAAAAAAAAAAEAAAAZHJzL1BLAwQUAAAACACHTuJAss4no9cAAAAL&#10;AQAADwAAAGRycy9kb3ducmV2LnhtbE2PzU7DMBCE70i8g7VIXBC1E35ShTg9VMq5asoDuPGSBOx1&#10;FDtNeXuWE9x2d0az31S7q3fignMcA2nINgoEUhfsSL2G91PzuAURkyFrXCDU8I0RdvXtTWVKG1Y6&#10;4qVNveAQiqXRMKQ0lVLGbkBv4iZMSKx9hNmbxOvcSzublcO9k7lSr9KbkfjDYCbcD9h9tYvXEPL1&#10;wR3brNkf1s9GHRY8tRG1vr/L1BuIhNf0Z4ZffEaHmpnOYSEbhdPwlBfcJfFQ5NyBHYVSfDlreFYv&#10;W5B1Jf93qH8AUEsDBBQAAAAIAIdO4kCcOIMfOQIAAGgEAAAOAAAAZHJzL2Uyb0RvYy54bWytVM2O&#10;2jAQvlfqO1i+lwALdBcRVnQRVSXUXYlWPRvHIZH8V9uQ0Ado36CnXnrvc/Ec/ZwAS7c97KEXM54Z&#10;vvH3zUwmt7WSZCecL41Oaa/TpURobrJSb1L68cPi1TUlPjCdMWm0SOleeHo7ffliUtmx6JvCyEw4&#10;AhDtx5VNaRGCHSeJ54VQzHeMFRrB3DjFAq5uk2SOVUBXMul3u6OkMi6zznDhPbzzNkiPiO45gCbP&#10;Sy7mhm+V0KFFdUKyAEq+KK2n0+a1eS54uM9zLwKRKQXT0JwoAnsdz2Q6YeONY7Yo+fEJ7DlPeMJJ&#10;sVKj6BlqzgIjW1f+BaVK7ow3eehwo5KWSKMIWPS6T7RZFcyKhguk9vYsuv9/sPz97sGRMsMkDCjR&#10;TKHjh+/fDj9+HX5+JfBBoMr6MfJWFpmhfmNqJJ/8Hs7Iu86dir9gRBCHvPuzvKIOhMPZvxpdD4cI&#10;ccT63ZtoAz55/Ld1PrwVRpFopNShfY2qbLf0oU09pcRi2ixKKZsWSk2qlI6uAPlHBOBSo0bk0L41&#10;WqFe10dia5PtwcuZdjS85YsSxZfMhwfmMAt4L7Yl3OPIpUERc7QoKYz78i9/zEeLEKWkwmyl1H/e&#10;Micoke80mnfTGwwAG5rLYPi6j4u7jKwvI3qr7gzGt4e9tLwxY36QJzN3Rn3CUs1iVYSY5qid0nAy&#10;70I78VhKLmazJgnjZ1lY6pXlETqK5u1sGyBpo3SUqdXmqB4GsOnVcVnihF/em6zHD8T0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LOJ6PXAAAACwEAAA8AAAAAAAAAAQAgAAAAIgAAAGRycy9kb3du&#10;cmV2LnhtbFBLAQIUABQAAAAIAIdO4kCcOIMfOQIAAGgEAAAOAAAAAAAAAAEAIAAAACYBAABkcnMv&#10;ZTJvRG9jLnhtbFBLBQYAAAAABgAGAFkBAADRBQAAAAA=&#10;">
                      <v:fill on="f" focussize="0,0"/>
                      <v:stroke on="f" weight="0.5pt"/>
                      <v:imagedata o:title=""/>
                      <o:lock v:ext="edit" aspectratio="f"/>
                      <v:textbox style="mso-fit-shape-to-text:t;">
                        <w:txbxContent>
                          <w:p w14:paraId="00E4FD9D">
                            <w:pPr>
                              <w:rPr>
                                <w:b/>
                                <w:bCs/>
                                <w:color w:val="1A09F5"/>
                              </w:rPr>
                            </w:pPr>
                            <w:r>
                              <w:rPr>
                                <w:rFonts w:hint="eastAsia"/>
                                <w:b/>
                                <w:bCs/>
                                <w:color w:val="1A09F5"/>
                              </w:rPr>
                              <w:t>引至楼顶喷淋塔装置处理后排放</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4393565</wp:posOffset>
                      </wp:positionH>
                      <wp:positionV relativeFrom="paragraph">
                        <wp:posOffset>2378075</wp:posOffset>
                      </wp:positionV>
                      <wp:extent cx="252095" cy="252095"/>
                      <wp:effectExtent l="13970" t="13970" r="23495" b="23495"/>
                      <wp:wrapNone/>
                      <wp:docPr id="18" name="矩形 18"/>
                      <wp:cNvGraphicFramePr/>
                      <a:graphic xmlns:a="http://schemas.openxmlformats.org/drawingml/2006/main">
                        <a:graphicData uri="http://schemas.microsoft.com/office/word/2010/wordprocessingShape">
                          <wps:wsp>
                            <wps:cNvSpPr/>
                            <wps:spPr>
                              <a:xfrm>
                                <a:off x="0" y="0"/>
                                <a:ext cx="252095" cy="252095"/>
                              </a:xfrm>
                              <a:prstGeom prst="rect">
                                <a:avLst/>
                              </a:prstGeom>
                              <a:noFill/>
                              <a:ln w="28575">
                                <a:solidFill>
                                  <a:srgbClr val="1A09F5"/>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5.95pt;margin-top:187.25pt;height:19.85pt;width:19.85pt;z-index:251663360;v-text-anchor:middle;mso-width-relative:page;mso-height-relative:page;" filled="f" stroked="t" coordsize="21600,21600" o:gfxdata="UEsDBAoAAAAAAIdO4kAAAAAAAAAAAAAAAAAEAAAAZHJzL1BLAwQUAAAACACHTuJAuh2aqdsAAAAL&#10;AQAADwAAAGRycy9kb3ducmV2LnhtbE2PwU7DMBBE70j8g7VI3KjjNKRtiFMhRIWQeoBSiasbL0lU&#10;ex3FThr+HnOC42qeZt6W29kaNuHgO0cSxCIBhlQ73VEj4fixu1sD80GRVsYRSvhGD9vq+qpUhXYX&#10;esfpEBoWS8gXSkIbQl9w7usWrfIL1yPF7MsNVoV4Dg3Xg7rEcmt4miQ5t6qjuNCqHp9arM+H0Uro&#10;d+Y8j/vH6aVD8+zfXJp/vlopb29E8gAs4Bz+YPjVj+pQRaeTG0l7ZiTkG7GJqITlKrsHFonVUuTA&#10;ThIykaXAq5L//6H6AVBLAwQUAAAACACHTuJADhoB91oCAAC1BAAADgAAAGRycy9lMm9Eb2MueG1s&#10;rVTNbhMxEL4j8Q6W73STqKE0alJFjYKQKlqpIM6O186u5D/GTjblZZC48RA8DuI1+Ozd/lA49MBl&#10;M+MZf+P55pucnR+sYXtFsfVuzsdHI86Uk75u3XbOP35Yv3rDWUzC1cJ4p+b8VkV+vnj54qwLMzXx&#10;jTe1IgYQF2ddmPMmpTCrqigbZUU88kE5BLUnKxJc2lY1iQ7o1lST0eh11XmqA3mpYsTpqg/yAZGe&#10;A+i1bqVaebmzyqUelZQRCS3Fpg2RL8prtVYyXWkdVWJmztFpKl8Ugb3J32pxJmZbEqFp5fAE8Zwn&#10;POnJitah6D3USiTBdtT+BWVbST56nY6kt1XfSGEEXYxHT7i5aURQpRdQHcM96fH/wcr3+2tibQ0l&#10;YO5OWEz819fvP398YzgAO12IMyTdhGsavAgzt3rQZPMvmmCHwujtPaPqkJjE4WQ6GZ1OOZMIDTZQ&#10;qofLgWJ6q7xl2ZhzwsAKj2J/GVOfepeSazm/bo3BuZgZxzqAvpmeZHwBJWooAKYN6Ca6LWfCbCFx&#10;mahARm/aOl/PtyNtNxeG2F5AGOPl6HQ9zd3iZX+k5dorEZs+r4SGNOOQncnp6cjWxte3IJN8r7IY&#10;5LrF/UsR07UgyAqiw+KlK3y08Xi9HyzOGk9f/nWe8zFtRDnrIFN09nknSHFm3jno4HR8fJx1XZzj&#10;6ckEDj2ObB5H3M5e+NwwVjzIYub8ZO5MTd5+wn4uc1WEhJOo3XM4OBepXx9suFTLZUmDloNIl+4m&#10;yAzeT2q5S163ZYgP7AykQc2F7GHz8ro89kvWw7/N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6&#10;HZqp2wAAAAsBAAAPAAAAAAAAAAEAIAAAACIAAABkcnMvZG93bnJldi54bWxQSwECFAAUAAAACACH&#10;TuJADhoB91oCAAC1BAAADgAAAAAAAAABACAAAAAqAQAAZHJzL2Uyb0RvYy54bWxQSwUGAAAAAAYA&#10;BgBZAQAA9gUAAAAA&#10;">
                      <v:fill on="f" focussize="0,0"/>
                      <v:stroke weight="2.25pt" color="#1A09F5 [2404]" joinstyle="round"/>
                      <v:imagedata o:title=""/>
                      <o:lock v:ext="edit" aspectratio="f"/>
                    </v:rect>
                  </w:pict>
                </mc:Fallback>
              </mc:AlternateContent>
            </w:r>
            <w:r>
              <w:drawing>
                <wp:inline distT="0" distB="0" distL="114300" distR="114300">
                  <wp:extent cx="5141595" cy="2643505"/>
                  <wp:effectExtent l="0" t="0" r="9525" b="8255"/>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15"/>
                          <a:stretch>
                            <a:fillRect/>
                          </a:stretch>
                        </pic:blipFill>
                        <pic:spPr>
                          <a:xfrm>
                            <a:off x="0" y="0"/>
                            <a:ext cx="5141595" cy="2643505"/>
                          </a:xfrm>
                          <a:prstGeom prst="rect">
                            <a:avLst/>
                          </a:prstGeom>
                          <a:noFill/>
                          <a:ln>
                            <a:noFill/>
                          </a:ln>
                        </pic:spPr>
                      </pic:pic>
                    </a:graphicData>
                  </a:graphic>
                </wp:inline>
              </w:drawing>
            </w:r>
          </w:p>
          <w:p w14:paraId="2D27BF38">
            <w:pPr>
              <w:autoSpaceDE w:val="0"/>
              <w:adjustRightInd w:val="0"/>
              <w:snapToGrid w:val="0"/>
              <w:spacing w:after="156" w:afterLines="50"/>
              <w:jc w:val="center"/>
              <w:rPr>
                <w:b/>
                <w:bCs/>
                <w:color w:val="auto"/>
                <w:sz w:val="21"/>
                <w:szCs w:val="21"/>
              </w:rPr>
            </w:pPr>
            <w:r>
              <w:rPr>
                <w:b/>
                <w:bCs/>
                <w:color w:val="auto"/>
                <w:sz w:val="21"/>
                <w:szCs w:val="21"/>
              </w:rPr>
              <w:t>图4-</w:t>
            </w:r>
            <w:r>
              <w:rPr>
                <w:rFonts w:hint="eastAsia"/>
                <w:b/>
                <w:bCs/>
                <w:color w:val="auto"/>
                <w:sz w:val="21"/>
                <w:szCs w:val="21"/>
              </w:rPr>
              <w:t>2  无机酸性废气收集管道设置图</w:t>
            </w:r>
          </w:p>
          <w:p w14:paraId="410873E6">
            <w:pPr>
              <w:widowControl/>
              <w:spacing w:line="360" w:lineRule="auto"/>
              <w:ind w:firstLine="480" w:firstLineChars="200"/>
              <w:rPr>
                <w:szCs w:val="32"/>
              </w:rPr>
            </w:pPr>
            <w:r>
              <w:rPr>
                <w:rFonts w:hint="eastAsia"/>
                <w:szCs w:val="32"/>
              </w:rPr>
              <w:t>①废气收集措施可行性分析</w:t>
            </w:r>
          </w:p>
          <w:p w14:paraId="603CA749">
            <w:pPr>
              <w:widowControl/>
              <w:spacing w:line="360" w:lineRule="auto"/>
              <w:ind w:firstLine="480" w:firstLineChars="200"/>
              <w:rPr>
                <w:szCs w:val="32"/>
              </w:rPr>
            </w:pPr>
            <w:r>
              <w:rPr>
                <w:rFonts w:hint="eastAsia"/>
                <w:szCs w:val="32"/>
              </w:rPr>
              <w:t>项目采用通风橱、</w:t>
            </w:r>
            <w:r>
              <w:rPr>
                <w:rFonts w:hint="eastAsia"/>
                <w:szCs w:val="32"/>
                <w:lang w:eastAsia="zh-CN"/>
              </w:rPr>
              <w:t>万向罩</w:t>
            </w:r>
            <w:r>
              <w:rPr>
                <w:rFonts w:hint="eastAsia"/>
                <w:szCs w:val="32"/>
              </w:rPr>
              <w:t>、吸风罩对实验检测过程产生的废气进行收集，</w:t>
            </w:r>
            <w:r>
              <w:rPr>
                <w:rFonts w:hint="eastAsia"/>
                <w:color w:val="000000" w:themeColor="text1"/>
                <w:szCs w:val="32"/>
                <w14:textFill>
                  <w14:solidFill>
                    <w14:schemeClr w14:val="tx1"/>
                  </w14:solidFill>
                </w14:textFill>
              </w:rPr>
              <w:t>且</w:t>
            </w:r>
            <w:r>
              <w:rPr>
                <w:rFonts w:hint="eastAsia"/>
                <w:color w:val="000000" w:themeColor="text1"/>
                <w14:textFill>
                  <w14:solidFill>
                    <w14:schemeClr w14:val="tx1"/>
                  </w14:solidFill>
                </w14:textFill>
              </w:rPr>
              <w:t>敞开面控制风速不小于0.5m/s，故废气收集效率按80%</w:t>
            </w:r>
            <w:r>
              <w:rPr>
                <w:rFonts w:hint="eastAsia"/>
                <w:color w:val="000000" w:themeColor="text1"/>
                <w:szCs w:val="32"/>
                <w14:textFill>
                  <w14:solidFill>
                    <w14:schemeClr w14:val="tx1"/>
                  </w14:solidFill>
                </w14:textFill>
              </w:rPr>
              <w:t>计。</w:t>
            </w:r>
          </w:p>
          <w:p w14:paraId="3982AFD9">
            <w:pPr>
              <w:spacing w:line="360" w:lineRule="auto"/>
              <w:ind w:firstLine="480" w:firstLineChars="200"/>
            </w:pPr>
            <w:r>
              <w:rPr>
                <w:rFonts w:hint="eastAsia"/>
              </w:rPr>
              <w:t>②有机废气治理措施可行性分析</w:t>
            </w:r>
          </w:p>
          <w:p w14:paraId="40AF2C6B">
            <w:pPr>
              <w:spacing w:line="360" w:lineRule="auto"/>
              <w:ind w:firstLine="480" w:firstLineChars="200"/>
            </w:pPr>
            <w:r>
              <w:rPr>
                <w:rFonts w:hint="eastAsia"/>
              </w:rPr>
              <w:t>活性炭吸附是处理有机废气最常用的净化设备，活性炭是一种多孔性的含炭物质，具有高度发达的孔隙构造，比表面积大，能与气体充分接触，活性炭孔壁上的大量的分子可产生强大引力，将有害杂质吸引到孔径中，从而赋予了活性炭所特有的吸附性能。有机废气由风机提供动力，正压或负压进入箱体，由于活性炭固体表面上存在着未平衡和未饱和的分子引力或化学键力，因此，当此固体表面与气体接触时就能吸引气体分子，使其凝聚并保持在固体表面，污染物质从而被吸附，净化气体高空达标排放。</w:t>
            </w:r>
          </w:p>
          <w:p w14:paraId="6D8B79A8">
            <w:pPr>
              <w:spacing w:line="360" w:lineRule="auto"/>
              <w:ind w:firstLine="480" w:firstLineChars="200"/>
            </w:pPr>
            <w:r>
              <w:rPr>
                <w:rFonts w:hint="eastAsia"/>
              </w:rPr>
              <w:t>项目活性炭吸附主要利用高孔隙率、高比表面积的吸附剂活性炭，借由物理性吸附（可逆反应）或化学性键结（不可逆反应）作用，将有机气体分子自废气中分离，以达成净化废气的目的。由于一般多采用物理性吸附，随操作时间之增加，吸附剂将逐渐趋于饱和现象，此时则须进行脱附再生或吸附剂更换工作。采用活性炭吸附法处理有机溶剂废气，方法成熟，国内外许多企业多应用该法，处理效果好，其优点是设备较简单、处理效率高、运行成本相对较低。本项目使用的活性炭为蜂窝状活性炭，与普通活性炭相比具有比表面积大、吸附率高等优点，对于废气具有较好的吸附效果，要求碘吸附值大于600mg/g，提高活性炭吸附效果。根据西安市生态环境局《关于加强挥发性有机物活性炭吸附处理设施运行管理工作的通知》（市环发〔</w:t>
            </w:r>
            <w:r>
              <w:t>2022</w:t>
            </w:r>
            <w:r>
              <w:rPr>
                <w:rFonts w:hint="eastAsia"/>
              </w:rPr>
              <w:t>〕</w:t>
            </w:r>
            <w:r>
              <w:t>65</w:t>
            </w:r>
            <w:r>
              <w:rPr>
                <w:rFonts w:hint="eastAsia"/>
              </w:rPr>
              <w:t>号）：“活性炭装填量：根据风量和初始浓度确定，VOCs初始浓度在100mg/m</w:t>
            </w:r>
            <w:r>
              <w:rPr>
                <w:rFonts w:hint="eastAsia"/>
                <w:vertAlign w:val="superscript"/>
              </w:rPr>
              <w:t>3</w:t>
            </w:r>
            <w:r>
              <w:rPr>
                <w:rFonts w:hint="eastAsia"/>
              </w:rPr>
              <w:t>以下的，活性炭填充量不少于0.5吨”。本项目风机风量为18000m</w:t>
            </w:r>
            <w:r>
              <w:rPr>
                <w:rFonts w:hint="eastAsia"/>
                <w:vertAlign w:val="superscript"/>
              </w:rPr>
              <w:t>3</w:t>
            </w:r>
            <w:r>
              <w:rPr>
                <w:rFonts w:hint="eastAsia"/>
              </w:rPr>
              <w:t>/h，有机废气初始排放浓度为</w:t>
            </w:r>
            <w:r>
              <w:rPr>
                <w:rFonts w:hint="eastAsia"/>
                <w:lang w:val="en-US" w:eastAsia="zh-CN"/>
              </w:rPr>
              <w:t>17.12</w:t>
            </w:r>
            <w:r>
              <w:rPr>
                <w:rFonts w:hint="eastAsia"/>
              </w:rPr>
              <w:t>mg/m</w:t>
            </w:r>
            <w:r>
              <w:rPr>
                <w:rFonts w:hint="eastAsia"/>
                <w:vertAlign w:val="superscript"/>
              </w:rPr>
              <w:t>3</w:t>
            </w:r>
            <w:r>
              <w:rPr>
                <w:rFonts w:hint="eastAsia"/>
              </w:rPr>
              <w:t>，远小于100mg/m</w:t>
            </w:r>
            <w:r>
              <w:rPr>
                <w:rFonts w:hint="eastAsia"/>
                <w:vertAlign w:val="superscript"/>
              </w:rPr>
              <w:t>3</w:t>
            </w:r>
            <w:r>
              <w:rPr>
                <w:rFonts w:hint="eastAsia"/>
              </w:rPr>
              <w:t>，故本项目活性炭按0.5吨填充，设置两级。</w:t>
            </w:r>
          </w:p>
          <w:p w14:paraId="0CC05B46">
            <w:pPr>
              <w:spacing w:line="360" w:lineRule="auto"/>
              <w:ind w:firstLine="480" w:firstLineChars="200"/>
              <w:rPr>
                <w:kern w:val="0"/>
                <w:lang w:bidi="ar"/>
              </w:rPr>
            </w:pPr>
            <w:r>
              <w:rPr>
                <w:rFonts w:hint="eastAsia"/>
              </w:rPr>
              <w:t>活性炭吸附装置对于有机废气的去除效率约在90%以上，因《排放源统计调查产排污核算方法与系数手册》中无对应的实验室行业，活性炭吸附对挥发性有机物的处理效率参照“橡胶制品行业”，活性炭吸附对挥发性有机物处理效率为50%，因此本项目活性炭对有机废气的去除效率按50%计。根据《重点行业挥发性有机物综合治理方案》（2019.6.26）：“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本项目位于重点地区，为环境检测实验室，且有机废气初始排放速率为</w:t>
            </w:r>
            <w:r>
              <w:rPr>
                <w:rFonts w:hint="eastAsia"/>
                <w:lang w:val="en-US" w:eastAsia="zh-CN"/>
              </w:rPr>
              <w:t>0.31</w:t>
            </w:r>
            <w:r>
              <w:rPr>
                <w:rFonts w:hint="eastAsia"/>
              </w:rPr>
              <w:t>kg/h，远远小于要求的2kg/h，因此，采用两级活性炭吸附装置可满足本项目需求。本次评价要求建设单位使用的活性炭必须满足西安市生态环境局（市环发〔</w:t>
            </w:r>
            <w:r>
              <w:t>2022</w:t>
            </w:r>
            <w:r>
              <w:rPr>
                <w:rFonts w:hint="eastAsia"/>
              </w:rPr>
              <w:t>〕</w:t>
            </w:r>
            <w:r>
              <w:t>65</w:t>
            </w:r>
            <w:r>
              <w:rPr>
                <w:rFonts w:hint="eastAsia"/>
              </w:rPr>
              <w:t>号）对活性炭的要求，加强活性炭吸附设备的管理，及时更换，保证活性炭吸附效果，确保污染物达标排放。</w:t>
            </w:r>
          </w:p>
          <w:p w14:paraId="05BACDB7">
            <w:pPr>
              <w:spacing w:line="360" w:lineRule="auto"/>
              <w:ind w:firstLine="480" w:firstLineChars="200"/>
            </w:pPr>
            <w:r>
              <w:t>③无机酸性废气治理措施可行性分析</w:t>
            </w:r>
          </w:p>
          <w:p w14:paraId="1CD13739">
            <w:pPr>
              <w:spacing w:line="360" w:lineRule="auto"/>
              <w:ind w:firstLine="480" w:firstLineChars="200"/>
            </w:pPr>
            <w:r>
              <w:t>酸雾吸收塔是硫酸、硝酸、盐酸等生产和使用过程中产生酸性气体的常用废气处理设备，酸雾废气在风机引力下由集风罩收集，经管道再进入喷淋塔，酸雾气体经冲击水浴后，自下而上穿过填料层循环吸收；液体通过喷淋分布均匀地喷在填料层中，沿填料层表面向下流动</w:t>
            </w:r>
            <w:r>
              <w:rPr>
                <w:rFonts w:hint="eastAsia"/>
              </w:rPr>
              <w:t>进入</w:t>
            </w:r>
            <w:r>
              <w:t>循环水箱，由于上升废气气体和下降吸收液在填料中不断接触，酸性气体便被水捕集，酸雾经离心或过滤脱离，因重力经塔壁流入循环池，经净化后气体完全能达标排放，废水在喷淋塔中循环使用，定期清理。采用氢氧化钠碱液进行喷淋，喷淋液pH维持在9~11。因《排放源统计调查产排污核算方法与系数手册》中无对应的实验室行业，喷淋塔对酸性废气的处理效率参照</w:t>
            </w:r>
            <w:r>
              <w:rPr>
                <w:rFonts w:hint="eastAsia"/>
              </w:rPr>
              <w:t>“</w:t>
            </w:r>
            <w:r>
              <w:t>无机酸制造行业</w:t>
            </w:r>
            <w:r>
              <w:rPr>
                <w:rFonts w:hint="eastAsia"/>
              </w:rPr>
              <w:t>”</w:t>
            </w:r>
            <w:r>
              <w:t>喷淋塔对氮氧化物处理效率为90.5%，考虑到本项目酸性废气为混合酸性废气，因此本次评价硫酸雾、氯化氢、氮氧化物的处理效率以80%计。</w:t>
            </w:r>
          </w:p>
          <w:p w14:paraId="73560612">
            <w:pPr>
              <w:pStyle w:val="40"/>
              <w:jc w:val="center"/>
              <w:rPr>
                <w:rFonts w:cs="Times New Roman"/>
                <w:b/>
                <w:bCs/>
                <w:color w:val="auto"/>
                <w:sz w:val="21"/>
                <w:szCs w:val="21"/>
              </w:rPr>
            </w:pPr>
            <w:r>
              <w:rPr>
                <w:rFonts w:cs="Times New Roman"/>
                <w:b/>
                <w:bCs/>
                <w:color w:val="auto"/>
                <w:sz w:val="21"/>
                <w:szCs w:val="21"/>
              </w:rPr>
              <w:t>表</w:t>
            </w:r>
            <w:r>
              <w:rPr>
                <w:rFonts w:hint="eastAsia" w:cs="Times New Roman"/>
                <w:b/>
                <w:bCs/>
                <w:color w:val="auto"/>
                <w:sz w:val="21"/>
                <w:szCs w:val="21"/>
              </w:rPr>
              <w:t>4-5</w:t>
            </w:r>
            <w:r>
              <w:rPr>
                <w:rFonts w:cs="Times New Roman"/>
                <w:b/>
                <w:bCs/>
                <w:color w:val="auto"/>
                <w:sz w:val="21"/>
                <w:szCs w:val="21"/>
              </w:rPr>
              <w:t xml:space="preserve">  治理设施参数一览表</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951"/>
              <w:gridCol w:w="1590"/>
              <w:gridCol w:w="965"/>
              <w:gridCol w:w="1163"/>
              <w:gridCol w:w="1547"/>
              <w:gridCol w:w="922"/>
            </w:tblGrid>
            <w:tr w14:paraId="7F2C0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86" w:type="pct"/>
                  <w:vMerge w:val="restart"/>
                  <w:vAlign w:val="center"/>
                </w:tcPr>
                <w:p w14:paraId="74C2A94C">
                  <w:pPr>
                    <w:pStyle w:val="10"/>
                    <w:spacing w:before="0" w:line="240" w:lineRule="auto"/>
                    <w:ind w:left="0" w:right="0" w:firstLine="0"/>
                    <w:jc w:val="center"/>
                    <w:rPr>
                      <w:rFonts w:ascii="Times New Roman" w:eastAsia="宋体"/>
                      <w:b/>
                      <w:bCs/>
                      <w:sz w:val="21"/>
                      <w:szCs w:val="21"/>
                      <w:lang w:bidi="ar"/>
                    </w:rPr>
                  </w:pPr>
                  <w:r>
                    <w:rPr>
                      <w:rFonts w:hint="eastAsia" w:ascii="Times New Roman" w:eastAsia="宋体"/>
                      <w:b/>
                      <w:bCs/>
                      <w:sz w:val="21"/>
                      <w:szCs w:val="21"/>
                      <w:lang w:bidi="ar"/>
                    </w:rPr>
                    <w:t>产排污环节</w:t>
                  </w:r>
                </w:p>
              </w:tc>
              <w:tc>
                <w:tcPr>
                  <w:tcW w:w="588" w:type="pct"/>
                  <w:vMerge w:val="restart"/>
                  <w:vAlign w:val="center"/>
                </w:tcPr>
                <w:p w14:paraId="0551A95E">
                  <w:pPr>
                    <w:pStyle w:val="10"/>
                    <w:spacing w:before="0" w:line="240" w:lineRule="auto"/>
                    <w:ind w:left="0" w:right="0" w:firstLine="0"/>
                    <w:jc w:val="center"/>
                    <w:rPr>
                      <w:rFonts w:ascii="Times New Roman" w:eastAsia="宋体"/>
                      <w:b/>
                      <w:bCs/>
                      <w:sz w:val="21"/>
                      <w:szCs w:val="21"/>
                    </w:rPr>
                  </w:pPr>
                  <w:r>
                    <w:rPr>
                      <w:rFonts w:hint="eastAsia" w:ascii="Times New Roman" w:eastAsia="宋体"/>
                      <w:b/>
                      <w:bCs/>
                      <w:sz w:val="21"/>
                      <w:szCs w:val="21"/>
                      <w:lang w:bidi="ar"/>
                    </w:rPr>
                    <w:t>污染物种类</w:t>
                  </w:r>
                </w:p>
              </w:tc>
              <w:tc>
                <w:tcPr>
                  <w:tcW w:w="983" w:type="pct"/>
                  <w:vMerge w:val="restart"/>
                  <w:vAlign w:val="center"/>
                </w:tcPr>
                <w:p w14:paraId="04D6053B">
                  <w:pPr>
                    <w:pStyle w:val="10"/>
                    <w:spacing w:before="0" w:line="240" w:lineRule="auto"/>
                    <w:ind w:left="0" w:right="0" w:firstLine="0"/>
                    <w:jc w:val="center"/>
                    <w:rPr>
                      <w:rFonts w:ascii="Times New Roman" w:eastAsia="宋体"/>
                      <w:b/>
                      <w:bCs/>
                      <w:sz w:val="21"/>
                      <w:szCs w:val="21"/>
                    </w:rPr>
                  </w:pPr>
                  <w:r>
                    <w:rPr>
                      <w:rFonts w:hint="eastAsia" w:ascii="Times New Roman" w:eastAsia="宋体"/>
                      <w:b/>
                      <w:bCs/>
                      <w:sz w:val="21"/>
                      <w:szCs w:val="21"/>
                    </w:rPr>
                    <w:t>污染因子</w:t>
                  </w:r>
                </w:p>
              </w:tc>
              <w:tc>
                <w:tcPr>
                  <w:tcW w:w="597" w:type="pct"/>
                  <w:vMerge w:val="restart"/>
                  <w:vAlign w:val="center"/>
                </w:tcPr>
                <w:p w14:paraId="0F87B052">
                  <w:pPr>
                    <w:jc w:val="center"/>
                    <w:rPr>
                      <w:b/>
                      <w:bCs/>
                      <w:sz w:val="21"/>
                      <w:szCs w:val="21"/>
                    </w:rPr>
                  </w:pPr>
                  <w:r>
                    <w:rPr>
                      <w:b/>
                      <w:bCs/>
                      <w:sz w:val="21"/>
                      <w:szCs w:val="21"/>
                    </w:rPr>
                    <w:t>排放</w:t>
                  </w:r>
                </w:p>
                <w:p w14:paraId="7FEEB796">
                  <w:pPr>
                    <w:jc w:val="center"/>
                    <w:rPr>
                      <w:b/>
                      <w:bCs/>
                      <w:kern w:val="0"/>
                      <w:sz w:val="21"/>
                      <w:szCs w:val="21"/>
                      <w:lang w:bidi="ar"/>
                    </w:rPr>
                  </w:pPr>
                  <w:r>
                    <w:rPr>
                      <w:b/>
                      <w:bCs/>
                      <w:sz w:val="21"/>
                      <w:szCs w:val="21"/>
                    </w:rPr>
                    <w:t>形式</w:t>
                  </w:r>
                </w:p>
              </w:tc>
              <w:tc>
                <w:tcPr>
                  <w:tcW w:w="2244" w:type="pct"/>
                  <w:gridSpan w:val="3"/>
                  <w:vAlign w:val="center"/>
                </w:tcPr>
                <w:p w14:paraId="3766DA21">
                  <w:pPr>
                    <w:jc w:val="center"/>
                    <w:textAlignment w:val="baseline"/>
                    <w:rPr>
                      <w:b/>
                      <w:bCs/>
                      <w:sz w:val="21"/>
                      <w:szCs w:val="21"/>
                    </w:rPr>
                  </w:pPr>
                  <w:r>
                    <w:rPr>
                      <w:b/>
                      <w:bCs/>
                      <w:sz w:val="21"/>
                      <w:szCs w:val="21"/>
                    </w:rPr>
                    <w:t>治理设施</w:t>
                  </w:r>
                </w:p>
              </w:tc>
            </w:tr>
            <w:tr w14:paraId="4D616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86" w:type="pct"/>
                  <w:vMerge w:val="continue"/>
                  <w:vAlign w:val="center"/>
                </w:tcPr>
                <w:p w14:paraId="1E1400E9">
                  <w:pPr>
                    <w:pStyle w:val="10"/>
                    <w:spacing w:before="0" w:line="240" w:lineRule="auto"/>
                    <w:ind w:left="0" w:right="0" w:firstLine="0"/>
                    <w:jc w:val="center"/>
                    <w:rPr>
                      <w:rFonts w:ascii="Times New Roman" w:eastAsia="宋体"/>
                      <w:b/>
                      <w:bCs/>
                      <w:sz w:val="21"/>
                      <w:szCs w:val="21"/>
                      <w:lang w:bidi="ar"/>
                    </w:rPr>
                  </w:pPr>
                </w:p>
              </w:tc>
              <w:tc>
                <w:tcPr>
                  <w:tcW w:w="588" w:type="pct"/>
                  <w:vMerge w:val="continue"/>
                  <w:vAlign w:val="center"/>
                </w:tcPr>
                <w:p w14:paraId="720E3A5B">
                  <w:pPr>
                    <w:pStyle w:val="10"/>
                    <w:spacing w:before="0" w:line="240" w:lineRule="auto"/>
                    <w:ind w:left="0" w:right="0" w:firstLine="0"/>
                    <w:jc w:val="center"/>
                    <w:rPr>
                      <w:rFonts w:ascii="Times New Roman" w:eastAsia="宋体"/>
                      <w:b/>
                      <w:bCs/>
                      <w:sz w:val="21"/>
                      <w:szCs w:val="21"/>
                    </w:rPr>
                  </w:pPr>
                </w:p>
              </w:tc>
              <w:tc>
                <w:tcPr>
                  <w:tcW w:w="983" w:type="pct"/>
                  <w:vMerge w:val="continue"/>
                  <w:vAlign w:val="center"/>
                </w:tcPr>
                <w:p w14:paraId="3A648EAB">
                  <w:pPr>
                    <w:pStyle w:val="10"/>
                    <w:spacing w:before="0" w:line="240" w:lineRule="auto"/>
                    <w:ind w:left="0" w:right="0" w:firstLine="0"/>
                    <w:jc w:val="center"/>
                    <w:rPr>
                      <w:rFonts w:ascii="Times New Roman" w:eastAsia="宋体"/>
                      <w:b/>
                      <w:bCs/>
                      <w:sz w:val="21"/>
                      <w:szCs w:val="21"/>
                    </w:rPr>
                  </w:pPr>
                </w:p>
              </w:tc>
              <w:tc>
                <w:tcPr>
                  <w:tcW w:w="597" w:type="pct"/>
                  <w:vMerge w:val="continue"/>
                  <w:vAlign w:val="center"/>
                </w:tcPr>
                <w:p w14:paraId="6BFC9FCF">
                  <w:pPr>
                    <w:jc w:val="center"/>
                    <w:rPr>
                      <w:b/>
                      <w:bCs/>
                      <w:sz w:val="21"/>
                      <w:szCs w:val="21"/>
                    </w:rPr>
                  </w:pPr>
                </w:p>
              </w:tc>
              <w:tc>
                <w:tcPr>
                  <w:tcW w:w="719" w:type="pct"/>
                  <w:vAlign w:val="center"/>
                </w:tcPr>
                <w:p w14:paraId="6B64E6BA">
                  <w:pPr>
                    <w:jc w:val="center"/>
                    <w:textAlignment w:val="baseline"/>
                    <w:rPr>
                      <w:b/>
                      <w:bCs/>
                      <w:sz w:val="21"/>
                      <w:szCs w:val="21"/>
                    </w:rPr>
                  </w:pPr>
                  <w:r>
                    <w:rPr>
                      <w:rFonts w:hint="eastAsia"/>
                      <w:b/>
                      <w:bCs/>
                      <w:sz w:val="21"/>
                      <w:szCs w:val="21"/>
                    </w:rPr>
                    <w:t>处理效率（%）</w:t>
                  </w:r>
                </w:p>
              </w:tc>
              <w:tc>
                <w:tcPr>
                  <w:tcW w:w="957" w:type="pct"/>
                  <w:vAlign w:val="center"/>
                </w:tcPr>
                <w:p w14:paraId="15D015E7">
                  <w:pPr>
                    <w:jc w:val="center"/>
                    <w:rPr>
                      <w:b/>
                      <w:bCs/>
                      <w:sz w:val="21"/>
                      <w:szCs w:val="21"/>
                    </w:rPr>
                  </w:pPr>
                  <w:r>
                    <w:rPr>
                      <w:rFonts w:hint="eastAsia"/>
                      <w:b/>
                      <w:bCs/>
                      <w:sz w:val="21"/>
                      <w:szCs w:val="21"/>
                    </w:rPr>
                    <w:t>治理工艺</w:t>
                  </w:r>
                </w:p>
              </w:tc>
              <w:tc>
                <w:tcPr>
                  <w:tcW w:w="566" w:type="pct"/>
                  <w:vAlign w:val="center"/>
                </w:tcPr>
                <w:p w14:paraId="71E01E21">
                  <w:pPr>
                    <w:jc w:val="center"/>
                    <w:textAlignment w:val="baseline"/>
                    <w:rPr>
                      <w:b/>
                      <w:bCs/>
                      <w:sz w:val="21"/>
                      <w:szCs w:val="21"/>
                    </w:rPr>
                  </w:pPr>
                  <w:r>
                    <w:rPr>
                      <w:rFonts w:hint="eastAsia"/>
                      <w:b/>
                      <w:bCs/>
                      <w:sz w:val="21"/>
                      <w:szCs w:val="21"/>
                    </w:rPr>
                    <w:t>是否为可行性技术</w:t>
                  </w:r>
                  <w:r>
                    <w:rPr>
                      <w:b/>
                      <w:bCs/>
                      <w:color w:val="auto"/>
                      <w:sz w:val="21"/>
                      <w:szCs w:val="21"/>
                      <w:vertAlign w:val="superscript"/>
                    </w:rPr>
                    <w:t>①</w:t>
                  </w:r>
                </w:p>
              </w:tc>
            </w:tr>
            <w:tr w14:paraId="52A20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86" w:type="pct"/>
                  <w:vAlign w:val="center"/>
                </w:tcPr>
                <w:p w14:paraId="1A87418C">
                  <w:pPr>
                    <w:pStyle w:val="10"/>
                    <w:spacing w:before="0" w:line="240" w:lineRule="auto"/>
                    <w:ind w:left="0" w:right="0" w:firstLine="0"/>
                    <w:jc w:val="center"/>
                    <w:rPr>
                      <w:rFonts w:ascii="Times New Roman" w:eastAsia="宋体"/>
                      <w:sz w:val="21"/>
                      <w:szCs w:val="21"/>
                      <w:lang w:bidi="ar"/>
                    </w:rPr>
                  </w:pPr>
                  <w:r>
                    <w:rPr>
                      <w:rFonts w:hint="eastAsia" w:ascii="Times New Roman" w:eastAsia="宋体"/>
                      <w:sz w:val="21"/>
                      <w:szCs w:val="21"/>
                    </w:rPr>
                    <w:t>有机</w:t>
                  </w:r>
                  <w:r>
                    <w:rPr>
                      <w:rFonts w:ascii="Times New Roman" w:eastAsia="宋体"/>
                      <w:sz w:val="21"/>
                      <w:szCs w:val="21"/>
                    </w:rPr>
                    <w:t>前处理</w:t>
                  </w:r>
                  <w:r>
                    <w:rPr>
                      <w:rFonts w:hint="eastAsia" w:ascii="Times New Roman" w:eastAsia="宋体"/>
                      <w:sz w:val="21"/>
                      <w:szCs w:val="21"/>
                    </w:rPr>
                    <w:t>及实验过程</w:t>
                  </w:r>
                </w:p>
              </w:tc>
              <w:tc>
                <w:tcPr>
                  <w:tcW w:w="588" w:type="pct"/>
                  <w:vAlign w:val="center"/>
                </w:tcPr>
                <w:p w14:paraId="40BDF75D">
                  <w:pPr>
                    <w:pStyle w:val="10"/>
                    <w:spacing w:before="0" w:line="240" w:lineRule="auto"/>
                    <w:ind w:left="0" w:right="0" w:firstLine="0"/>
                    <w:jc w:val="center"/>
                    <w:rPr>
                      <w:rFonts w:ascii="Times New Roman" w:eastAsia="宋体"/>
                      <w:sz w:val="21"/>
                      <w:szCs w:val="21"/>
                    </w:rPr>
                  </w:pPr>
                  <w:r>
                    <w:rPr>
                      <w:rFonts w:hint="eastAsia" w:ascii="Times New Roman" w:eastAsia="宋体"/>
                      <w:sz w:val="21"/>
                      <w:szCs w:val="21"/>
                    </w:rPr>
                    <w:t>有机</w:t>
                  </w:r>
                </w:p>
                <w:p w14:paraId="4C1D3674">
                  <w:pPr>
                    <w:pStyle w:val="10"/>
                    <w:spacing w:before="0" w:line="240" w:lineRule="auto"/>
                    <w:ind w:left="0" w:right="0" w:firstLine="0"/>
                    <w:jc w:val="center"/>
                    <w:rPr>
                      <w:rFonts w:ascii="Times New Roman" w:eastAsia="宋体"/>
                      <w:sz w:val="21"/>
                      <w:szCs w:val="21"/>
                    </w:rPr>
                  </w:pPr>
                  <w:r>
                    <w:rPr>
                      <w:rFonts w:hint="eastAsia" w:ascii="Times New Roman" w:eastAsia="宋体"/>
                      <w:sz w:val="21"/>
                      <w:szCs w:val="21"/>
                    </w:rPr>
                    <w:t>废气</w:t>
                  </w:r>
                </w:p>
              </w:tc>
              <w:tc>
                <w:tcPr>
                  <w:tcW w:w="983" w:type="pct"/>
                  <w:vAlign w:val="center"/>
                </w:tcPr>
                <w:p w14:paraId="35D88068">
                  <w:pPr>
                    <w:pStyle w:val="10"/>
                    <w:spacing w:before="0" w:line="240" w:lineRule="auto"/>
                    <w:ind w:left="0" w:right="0" w:firstLine="0"/>
                    <w:jc w:val="center"/>
                    <w:rPr>
                      <w:rFonts w:ascii="Times New Roman" w:eastAsia="宋体"/>
                      <w:sz w:val="21"/>
                      <w:szCs w:val="21"/>
                    </w:rPr>
                  </w:pPr>
                  <w:r>
                    <w:rPr>
                      <w:rFonts w:hint="eastAsia" w:ascii="宋体" w:hAnsi="宋体" w:eastAsia="宋体" w:cs="宋体"/>
                      <w:bCs/>
                      <w:sz w:val="21"/>
                      <w:szCs w:val="21"/>
                    </w:rPr>
                    <w:t>非甲烷总烃</w:t>
                  </w:r>
                </w:p>
              </w:tc>
              <w:tc>
                <w:tcPr>
                  <w:tcW w:w="597" w:type="pct"/>
                  <w:vAlign w:val="center"/>
                </w:tcPr>
                <w:p w14:paraId="6D13B66E">
                  <w:pPr>
                    <w:jc w:val="center"/>
                    <w:rPr>
                      <w:bCs/>
                      <w:sz w:val="21"/>
                      <w:szCs w:val="21"/>
                    </w:rPr>
                  </w:pPr>
                  <w:r>
                    <w:rPr>
                      <w:rFonts w:hint="eastAsia"/>
                      <w:sz w:val="21"/>
                      <w:szCs w:val="21"/>
                    </w:rPr>
                    <w:t>有组织</w:t>
                  </w:r>
                </w:p>
              </w:tc>
              <w:tc>
                <w:tcPr>
                  <w:tcW w:w="719" w:type="pct"/>
                  <w:vAlign w:val="center"/>
                </w:tcPr>
                <w:p w14:paraId="59A096C7">
                  <w:pPr>
                    <w:jc w:val="center"/>
                    <w:textAlignment w:val="baseline"/>
                    <w:rPr>
                      <w:sz w:val="21"/>
                      <w:szCs w:val="21"/>
                    </w:rPr>
                  </w:pPr>
                  <w:r>
                    <w:rPr>
                      <w:rFonts w:hint="eastAsia"/>
                      <w:sz w:val="21"/>
                      <w:szCs w:val="21"/>
                    </w:rPr>
                    <w:t>50</w:t>
                  </w:r>
                </w:p>
              </w:tc>
              <w:tc>
                <w:tcPr>
                  <w:tcW w:w="957" w:type="pct"/>
                  <w:vAlign w:val="center"/>
                </w:tcPr>
                <w:p w14:paraId="50AE1E3A">
                  <w:pPr>
                    <w:jc w:val="center"/>
                    <w:rPr>
                      <w:sz w:val="21"/>
                      <w:szCs w:val="21"/>
                    </w:rPr>
                  </w:pPr>
                  <w:r>
                    <w:rPr>
                      <w:rFonts w:hint="eastAsia"/>
                      <w:sz w:val="21"/>
                      <w:szCs w:val="21"/>
                    </w:rPr>
                    <w:t>两级活性炭吸附装置</w:t>
                  </w:r>
                </w:p>
              </w:tc>
              <w:tc>
                <w:tcPr>
                  <w:tcW w:w="566" w:type="pct"/>
                  <w:vAlign w:val="center"/>
                </w:tcPr>
                <w:p w14:paraId="65DE7B14">
                  <w:pPr>
                    <w:jc w:val="center"/>
                    <w:textAlignment w:val="baseline"/>
                    <w:rPr>
                      <w:sz w:val="21"/>
                      <w:szCs w:val="21"/>
                    </w:rPr>
                  </w:pPr>
                  <w:r>
                    <w:rPr>
                      <w:rFonts w:hint="eastAsia"/>
                      <w:sz w:val="21"/>
                      <w:szCs w:val="21"/>
                    </w:rPr>
                    <w:t>是</w:t>
                  </w:r>
                </w:p>
              </w:tc>
            </w:tr>
            <w:tr w14:paraId="2517D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86" w:type="pct"/>
                  <w:vAlign w:val="center"/>
                </w:tcPr>
                <w:p w14:paraId="0BEFACC4">
                  <w:pPr>
                    <w:pStyle w:val="10"/>
                    <w:spacing w:before="0" w:line="240" w:lineRule="auto"/>
                    <w:ind w:left="0" w:right="0" w:firstLine="0"/>
                    <w:jc w:val="center"/>
                    <w:rPr>
                      <w:rFonts w:ascii="Times New Roman" w:eastAsia="宋体"/>
                      <w:sz w:val="21"/>
                      <w:szCs w:val="21"/>
                      <w:lang w:bidi="ar"/>
                    </w:rPr>
                  </w:pPr>
                  <w:r>
                    <w:rPr>
                      <w:rFonts w:hint="eastAsia" w:ascii="Times New Roman" w:eastAsia="宋体"/>
                      <w:sz w:val="21"/>
                      <w:szCs w:val="21"/>
                    </w:rPr>
                    <w:t>无机前处理</w:t>
                  </w:r>
                </w:p>
              </w:tc>
              <w:tc>
                <w:tcPr>
                  <w:tcW w:w="588" w:type="pct"/>
                  <w:vAlign w:val="center"/>
                </w:tcPr>
                <w:p w14:paraId="62B58799">
                  <w:pPr>
                    <w:pStyle w:val="10"/>
                    <w:spacing w:before="0" w:line="240" w:lineRule="auto"/>
                    <w:ind w:left="0" w:right="0" w:firstLine="0"/>
                    <w:jc w:val="center"/>
                    <w:rPr>
                      <w:rFonts w:ascii="Times New Roman" w:eastAsia="宋体"/>
                      <w:sz w:val="21"/>
                      <w:szCs w:val="21"/>
                    </w:rPr>
                  </w:pPr>
                  <w:r>
                    <w:rPr>
                      <w:rFonts w:hint="eastAsia" w:ascii="Times New Roman" w:eastAsia="宋体"/>
                      <w:sz w:val="21"/>
                      <w:szCs w:val="21"/>
                    </w:rPr>
                    <w:t>无机酸性废气</w:t>
                  </w:r>
                </w:p>
              </w:tc>
              <w:tc>
                <w:tcPr>
                  <w:tcW w:w="983" w:type="pct"/>
                  <w:vAlign w:val="center"/>
                </w:tcPr>
                <w:p w14:paraId="54106169">
                  <w:pPr>
                    <w:pStyle w:val="10"/>
                    <w:spacing w:before="0" w:line="240" w:lineRule="auto"/>
                    <w:ind w:left="0" w:right="0" w:firstLine="0"/>
                    <w:jc w:val="center"/>
                    <w:rPr>
                      <w:rFonts w:ascii="宋体" w:hAnsi="宋体" w:eastAsia="宋体" w:cs="宋体"/>
                      <w:bCs/>
                      <w:sz w:val="21"/>
                      <w:szCs w:val="21"/>
                    </w:rPr>
                  </w:pPr>
                  <w:r>
                    <w:rPr>
                      <w:rFonts w:hint="eastAsia" w:ascii="宋体" w:hAnsi="宋体" w:eastAsia="宋体" w:cs="宋体"/>
                      <w:bCs/>
                      <w:sz w:val="21"/>
                      <w:szCs w:val="21"/>
                    </w:rPr>
                    <w:t>硫酸雾、氯化氢、氮氧化物</w:t>
                  </w:r>
                </w:p>
              </w:tc>
              <w:tc>
                <w:tcPr>
                  <w:tcW w:w="597" w:type="pct"/>
                  <w:vAlign w:val="center"/>
                </w:tcPr>
                <w:p w14:paraId="3B597E86">
                  <w:pPr>
                    <w:jc w:val="center"/>
                    <w:rPr>
                      <w:bCs/>
                      <w:sz w:val="21"/>
                      <w:szCs w:val="21"/>
                    </w:rPr>
                  </w:pPr>
                  <w:r>
                    <w:rPr>
                      <w:rFonts w:hint="eastAsia"/>
                      <w:sz w:val="21"/>
                      <w:szCs w:val="21"/>
                    </w:rPr>
                    <w:t>有组织</w:t>
                  </w:r>
                </w:p>
              </w:tc>
              <w:tc>
                <w:tcPr>
                  <w:tcW w:w="719" w:type="pct"/>
                  <w:vAlign w:val="center"/>
                </w:tcPr>
                <w:p w14:paraId="6FC39E1A">
                  <w:pPr>
                    <w:jc w:val="center"/>
                    <w:textAlignment w:val="baseline"/>
                    <w:rPr>
                      <w:sz w:val="21"/>
                      <w:szCs w:val="21"/>
                    </w:rPr>
                  </w:pPr>
                  <w:r>
                    <w:rPr>
                      <w:rFonts w:hint="eastAsia"/>
                      <w:sz w:val="21"/>
                      <w:szCs w:val="21"/>
                    </w:rPr>
                    <w:t>80</w:t>
                  </w:r>
                </w:p>
              </w:tc>
              <w:tc>
                <w:tcPr>
                  <w:tcW w:w="957" w:type="pct"/>
                  <w:vAlign w:val="center"/>
                </w:tcPr>
                <w:p w14:paraId="3BEDEAA4">
                  <w:pPr>
                    <w:jc w:val="center"/>
                    <w:rPr>
                      <w:sz w:val="21"/>
                      <w:szCs w:val="21"/>
                    </w:rPr>
                  </w:pPr>
                  <w:r>
                    <w:rPr>
                      <w:rFonts w:hint="eastAsia"/>
                      <w:sz w:val="21"/>
                      <w:szCs w:val="21"/>
                    </w:rPr>
                    <w:t>喷淋塔装置</w:t>
                  </w:r>
                </w:p>
              </w:tc>
              <w:tc>
                <w:tcPr>
                  <w:tcW w:w="566" w:type="pct"/>
                  <w:vAlign w:val="center"/>
                </w:tcPr>
                <w:p w14:paraId="4F73BFD7">
                  <w:pPr>
                    <w:jc w:val="center"/>
                    <w:textAlignment w:val="baseline"/>
                    <w:rPr>
                      <w:sz w:val="21"/>
                      <w:szCs w:val="21"/>
                    </w:rPr>
                  </w:pPr>
                  <w:r>
                    <w:rPr>
                      <w:rFonts w:hint="eastAsia"/>
                      <w:sz w:val="21"/>
                      <w:szCs w:val="21"/>
                    </w:rPr>
                    <w:t>是</w:t>
                  </w:r>
                </w:p>
              </w:tc>
            </w:tr>
            <w:tr w14:paraId="5D783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000" w:type="pct"/>
                  <w:gridSpan w:val="7"/>
                  <w:vAlign w:val="center"/>
                </w:tcPr>
                <w:p w14:paraId="55781C05">
                  <w:pPr>
                    <w:textAlignment w:val="baseline"/>
                    <w:rPr>
                      <w:sz w:val="21"/>
                      <w:szCs w:val="21"/>
                    </w:rPr>
                  </w:pPr>
                  <w:r>
                    <w:rPr>
                      <w:rFonts w:hint="eastAsia"/>
                      <w:color w:val="000000" w:themeColor="text1"/>
                      <w:sz w:val="21"/>
                      <w:szCs w:val="21"/>
                      <w14:textFill>
                        <w14:solidFill>
                          <w14:schemeClr w14:val="tx1"/>
                        </w14:solidFill>
                      </w14:textFill>
                    </w:rPr>
                    <w:t>注</w:t>
                  </w:r>
                  <w:r>
                    <w:rPr>
                      <w:color w:val="000000" w:themeColor="text1"/>
                      <w:sz w:val="21"/>
                      <w:szCs w:val="21"/>
                      <w14:textFill>
                        <w14:solidFill>
                          <w14:schemeClr w14:val="tx1"/>
                        </w14:solidFill>
                      </w14:textFill>
                    </w:rPr>
                    <w:t>：①</w:t>
                  </w:r>
                  <w:r>
                    <w:rPr>
                      <w:rFonts w:hint="eastAsia"/>
                      <w:color w:val="000000" w:themeColor="text1"/>
                      <w:sz w:val="21"/>
                      <w:szCs w:val="21"/>
                      <w14:textFill>
                        <w14:solidFill>
                          <w14:schemeClr w14:val="tx1"/>
                        </w14:solidFill>
                      </w14:textFill>
                    </w:rPr>
                    <w:t>根据《</w:t>
                  </w:r>
                  <w:r>
                    <w:rPr>
                      <w:color w:val="000000" w:themeColor="text1"/>
                      <w:sz w:val="21"/>
                      <w:szCs w:val="21"/>
                      <w14:textFill>
                        <w14:solidFill>
                          <w14:schemeClr w14:val="tx1"/>
                        </w14:solidFill>
                      </w14:textFill>
                    </w:rPr>
                    <w:t>排污许可证申请与核发技术规范 总则</w:t>
                  </w:r>
                  <w:r>
                    <w:rPr>
                      <w:rFonts w:hint="eastAsia"/>
                      <w:color w:val="000000" w:themeColor="text1"/>
                      <w:sz w:val="21"/>
                      <w:szCs w:val="21"/>
                      <w14:textFill>
                        <w14:solidFill>
                          <w14:schemeClr w14:val="tx1"/>
                        </w14:solidFill>
                      </w14:textFill>
                    </w:rPr>
                    <w:t>》（HJ942-2018）中6.1可行技术要求：“可行技术可按照行业可行技术指南和污染物排放标准控制要求确定”。本项目无对应行业可行技术指南，但经核算废气污染物均可满足《《大气污染物综合排放标准》（GB 16297-1996）中表2非甲烷总烃、硫酸雾、氯化氢、氮氧化物35m高排气筒限值（采用内插法计算）的50%，故本项目采用的废气治理措施为可行性技术。</w:t>
                  </w:r>
                </w:p>
              </w:tc>
            </w:tr>
          </w:tbl>
          <w:p w14:paraId="33137FC1">
            <w:pPr>
              <w:pStyle w:val="21"/>
              <w:spacing w:before="156" w:beforeLines="50" w:line="360" w:lineRule="auto"/>
              <w:ind w:firstLine="452"/>
              <w:rPr>
                <w:rFonts w:ascii="Times New Roman" w:hAnsi="Times New Roman"/>
                <w:b w:val="0"/>
                <w:bCs/>
              </w:rPr>
            </w:pPr>
            <w:r>
              <w:rPr>
                <w:rFonts w:ascii="Times New Roman" w:hAnsi="Times New Roman"/>
                <w:b w:val="0"/>
                <w:bCs/>
              </w:rPr>
              <w:t>（3）排放口基本情况</w:t>
            </w:r>
          </w:p>
          <w:p w14:paraId="2D33BDAD">
            <w:pPr>
              <w:adjustRightInd w:val="0"/>
              <w:snapToGrid w:val="0"/>
              <w:spacing w:line="360" w:lineRule="auto"/>
              <w:ind w:firstLine="480" w:firstLineChars="200"/>
              <w:textAlignment w:val="baseline"/>
            </w:pPr>
            <w:r>
              <w:t>本项目</w:t>
            </w:r>
            <w:r>
              <w:rPr>
                <w:rFonts w:hint="eastAsia"/>
              </w:rPr>
              <w:t>运营期废气排放执行《大气污染物综合排放标准》（</w:t>
            </w:r>
            <w:r>
              <w:t>GB</w:t>
            </w:r>
            <w:r>
              <w:rPr>
                <w:rFonts w:hint="eastAsia"/>
              </w:rPr>
              <w:t xml:space="preserve"> </w:t>
            </w:r>
            <w:r>
              <w:t>16297-1996</w:t>
            </w:r>
            <w:r>
              <w:rPr>
                <w:rFonts w:hint="eastAsia"/>
              </w:rPr>
              <w:t>）表</w:t>
            </w:r>
            <w:r>
              <w:t>2二级标准</w:t>
            </w:r>
            <w:r>
              <w:rPr>
                <w:rFonts w:hint="eastAsia"/>
                <w:bCs/>
              </w:rPr>
              <w:t>。</w:t>
            </w:r>
          </w:p>
          <w:p w14:paraId="23F7169D">
            <w:pPr>
              <w:pStyle w:val="40"/>
              <w:jc w:val="center"/>
              <w:rPr>
                <w:rFonts w:cs="Times New Roman"/>
                <w:b/>
                <w:bCs/>
                <w:color w:val="auto"/>
                <w:sz w:val="21"/>
                <w:szCs w:val="21"/>
              </w:rPr>
            </w:pPr>
            <w:r>
              <w:rPr>
                <w:rFonts w:cs="Times New Roman"/>
                <w:b/>
                <w:bCs/>
                <w:color w:val="auto"/>
                <w:sz w:val="21"/>
                <w:szCs w:val="21"/>
              </w:rPr>
              <w:t>表</w:t>
            </w:r>
            <w:r>
              <w:rPr>
                <w:rFonts w:hint="eastAsia" w:cs="Times New Roman"/>
                <w:b/>
                <w:bCs/>
                <w:color w:val="auto"/>
                <w:sz w:val="21"/>
                <w:szCs w:val="21"/>
              </w:rPr>
              <w:t>4-6</w:t>
            </w:r>
            <w:r>
              <w:rPr>
                <w:rFonts w:cs="Times New Roman"/>
                <w:b/>
                <w:bCs/>
                <w:color w:val="auto"/>
                <w:sz w:val="21"/>
                <w:szCs w:val="21"/>
              </w:rPr>
              <w:t xml:space="preserve">  </w:t>
            </w:r>
            <w:r>
              <w:rPr>
                <w:rFonts w:cs="Times New Roman"/>
                <w:b/>
                <w:bCs/>
                <w:color w:val="auto"/>
                <w:sz w:val="21"/>
                <w:szCs w:val="21"/>
                <w:lang w:bidi="ar"/>
              </w:rPr>
              <w:t>排放口基本情况一览表</w:t>
            </w:r>
          </w:p>
          <w:tbl>
            <w:tblPr>
              <w:tblStyle w:val="2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923"/>
              <w:gridCol w:w="497"/>
              <w:gridCol w:w="809"/>
              <w:gridCol w:w="911"/>
              <w:gridCol w:w="835"/>
              <w:gridCol w:w="624"/>
              <w:gridCol w:w="565"/>
              <w:gridCol w:w="1226"/>
              <w:gridCol w:w="917"/>
            </w:tblGrid>
            <w:tr w14:paraId="7005B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3" w:type="pct"/>
                  <w:vMerge w:val="restart"/>
                  <w:vAlign w:val="center"/>
                </w:tcPr>
                <w:p w14:paraId="49DF7697">
                  <w:pPr>
                    <w:pStyle w:val="40"/>
                    <w:jc w:val="center"/>
                    <w:rPr>
                      <w:rFonts w:cs="Times New Roman"/>
                      <w:b/>
                      <w:color w:val="auto"/>
                      <w:sz w:val="21"/>
                      <w:szCs w:val="21"/>
                    </w:rPr>
                  </w:pPr>
                  <w:r>
                    <w:rPr>
                      <w:rFonts w:hint="eastAsia" w:cs="Times New Roman"/>
                      <w:b/>
                      <w:color w:val="auto"/>
                      <w:sz w:val="21"/>
                      <w:szCs w:val="21"/>
                    </w:rPr>
                    <w:t>产排污环节</w:t>
                  </w:r>
                </w:p>
              </w:tc>
              <w:tc>
                <w:tcPr>
                  <w:tcW w:w="570" w:type="pct"/>
                  <w:vMerge w:val="restart"/>
                  <w:vAlign w:val="center"/>
                </w:tcPr>
                <w:p w14:paraId="13F2BE1A">
                  <w:pPr>
                    <w:pStyle w:val="40"/>
                    <w:jc w:val="center"/>
                    <w:rPr>
                      <w:rFonts w:cs="Times New Roman"/>
                      <w:b/>
                      <w:color w:val="auto"/>
                      <w:sz w:val="21"/>
                      <w:szCs w:val="21"/>
                    </w:rPr>
                  </w:pPr>
                  <w:r>
                    <w:rPr>
                      <w:rFonts w:hint="eastAsia" w:cs="Times New Roman"/>
                      <w:b/>
                      <w:color w:val="auto"/>
                      <w:sz w:val="21"/>
                      <w:szCs w:val="21"/>
                    </w:rPr>
                    <w:t>污染物种类</w:t>
                  </w:r>
                </w:p>
              </w:tc>
              <w:tc>
                <w:tcPr>
                  <w:tcW w:w="307" w:type="pct"/>
                  <w:vMerge w:val="restart"/>
                  <w:vAlign w:val="center"/>
                </w:tcPr>
                <w:p w14:paraId="30A20D22">
                  <w:pPr>
                    <w:pStyle w:val="40"/>
                    <w:jc w:val="center"/>
                    <w:rPr>
                      <w:rFonts w:cs="Times New Roman"/>
                      <w:b/>
                      <w:color w:val="auto"/>
                      <w:sz w:val="21"/>
                      <w:szCs w:val="21"/>
                    </w:rPr>
                  </w:pPr>
                  <w:r>
                    <w:rPr>
                      <w:rFonts w:cs="Times New Roman"/>
                      <w:b/>
                      <w:color w:val="auto"/>
                      <w:sz w:val="21"/>
                      <w:szCs w:val="21"/>
                      <w:lang w:bidi="ar"/>
                    </w:rPr>
                    <w:t>排放形式</w:t>
                  </w:r>
                </w:p>
              </w:tc>
              <w:tc>
                <w:tcPr>
                  <w:tcW w:w="3072" w:type="pct"/>
                  <w:gridSpan w:val="6"/>
                  <w:vAlign w:val="center"/>
                </w:tcPr>
                <w:p w14:paraId="30B35C84">
                  <w:pPr>
                    <w:jc w:val="center"/>
                    <w:textAlignment w:val="baseline"/>
                    <w:rPr>
                      <w:b/>
                      <w:sz w:val="21"/>
                      <w:szCs w:val="21"/>
                    </w:rPr>
                  </w:pPr>
                  <w:r>
                    <w:rPr>
                      <w:rFonts w:hint="eastAsia"/>
                      <w:b/>
                      <w:sz w:val="21"/>
                      <w:szCs w:val="21"/>
                    </w:rPr>
                    <w:t>排放口基本情况</w:t>
                  </w:r>
                </w:p>
              </w:tc>
              <w:tc>
                <w:tcPr>
                  <w:tcW w:w="567" w:type="pct"/>
                  <w:vMerge w:val="restart"/>
                  <w:vAlign w:val="center"/>
                </w:tcPr>
                <w:p w14:paraId="17AB30EC">
                  <w:pPr>
                    <w:jc w:val="center"/>
                    <w:textAlignment w:val="baseline"/>
                    <w:rPr>
                      <w:b/>
                      <w:sz w:val="21"/>
                      <w:szCs w:val="21"/>
                    </w:rPr>
                  </w:pPr>
                  <w:r>
                    <w:rPr>
                      <w:rFonts w:hint="eastAsia"/>
                      <w:b/>
                      <w:sz w:val="21"/>
                      <w:szCs w:val="21"/>
                    </w:rPr>
                    <w:t>排放</w:t>
                  </w:r>
                </w:p>
                <w:p w14:paraId="0865BF09">
                  <w:pPr>
                    <w:jc w:val="center"/>
                    <w:textAlignment w:val="baseline"/>
                    <w:rPr>
                      <w:bCs/>
                      <w:sz w:val="21"/>
                      <w:szCs w:val="21"/>
                    </w:rPr>
                  </w:pPr>
                  <w:r>
                    <w:rPr>
                      <w:rFonts w:hint="eastAsia"/>
                      <w:b/>
                      <w:sz w:val="21"/>
                      <w:szCs w:val="21"/>
                    </w:rPr>
                    <w:t>标准</w:t>
                  </w:r>
                </w:p>
              </w:tc>
            </w:tr>
            <w:tr w14:paraId="3F683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483" w:type="pct"/>
                  <w:vMerge w:val="continue"/>
                  <w:vAlign w:val="center"/>
                </w:tcPr>
                <w:p w14:paraId="72455481">
                  <w:pPr>
                    <w:pStyle w:val="40"/>
                    <w:jc w:val="center"/>
                    <w:rPr>
                      <w:rFonts w:cs="Times New Roman"/>
                      <w:b/>
                      <w:color w:val="auto"/>
                      <w:sz w:val="21"/>
                      <w:szCs w:val="21"/>
                    </w:rPr>
                  </w:pPr>
                </w:p>
              </w:tc>
              <w:tc>
                <w:tcPr>
                  <w:tcW w:w="570" w:type="pct"/>
                  <w:vMerge w:val="continue"/>
                  <w:vAlign w:val="center"/>
                </w:tcPr>
                <w:p w14:paraId="757FFCCA">
                  <w:pPr>
                    <w:pStyle w:val="40"/>
                    <w:jc w:val="center"/>
                    <w:rPr>
                      <w:rFonts w:cs="Times New Roman"/>
                      <w:b/>
                      <w:color w:val="auto"/>
                      <w:sz w:val="21"/>
                      <w:szCs w:val="21"/>
                    </w:rPr>
                  </w:pPr>
                </w:p>
              </w:tc>
              <w:tc>
                <w:tcPr>
                  <w:tcW w:w="307" w:type="pct"/>
                  <w:vMerge w:val="continue"/>
                  <w:vAlign w:val="center"/>
                </w:tcPr>
                <w:p w14:paraId="5CDF2F57">
                  <w:pPr>
                    <w:pStyle w:val="40"/>
                    <w:jc w:val="center"/>
                    <w:rPr>
                      <w:rFonts w:cs="Times New Roman"/>
                      <w:b/>
                      <w:color w:val="auto"/>
                      <w:sz w:val="21"/>
                      <w:szCs w:val="21"/>
                    </w:rPr>
                  </w:pPr>
                </w:p>
              </w:tc>
              <w:tc>
                <w:tcPr>
                  <w:tcW w:w="500" w:type="pct"/>
                  <w:vAlign w:val="center"/>
                </w:tcPr>
                <w:p w14:paraId="69D736E5">
                  <w:pPr>
                    <w:jc w:val="center"/>
                    <w:textAlignment w:val="baseline"/>
                    <w:rPr>
                      <w:b/>
                      <w:sz w:val="21"/>
                      <w:szCs w:val="21"/>
                    </w:rPr>
                  </w:pPr>
                  <w:r>
                    <w:rPr>
                      <w:b/>
                      <w:sz w:val="21"/>
                      <w:szCs w:val="21"/>
                    </w:rPr>
                    <w:t>高度（m）</w:t>
                  </w:r>
                </w:p>
              </w:tc>
              <w:tc>
                <w:tcPr>
                  <w:tcW w:w="563" w:type="pct"/>
                  <w:vAlign w:val="center"/>
                </w:tcPr>
                <w:p w14:paraId="19FA33FA">
                  <w:pPr>
                    <w:jc w:val="center"/>
                    <w:textAlignment w:val="baseline"/>
                    <w:rPr>
                      <w:b/>
                      <w:sz w:val="21"/>
                      <w:szCs w:val="21"/>
                    </w:rPr>
                  </w:pPr>
                  <w:r>
                    <w:rPr>
                      <w:b/>
                      <w:sz w:val="21"/>
                      <w:szCs w:val="21"/>
                    </w:rPr>
                    <w:t>排气筒内径（m）</w:t>
                  </w:r>
                </w:p>
              </w:tc>
              <w:tc>
                <w:tcPr>
                  <w:tcW w:w="516" w:type="pct"/>
                  <w:vAlign w:val="center"/>
                </w:tcPr>
                <w:p w14:paraId="31C864C5">
                  <w:pPr>
                    <w:jc w:val="center"/>
                    <w:textAlignment w:val="baseline"/>
                    <w:rPr>
                      <w:b/>
                      <w:sz w:val="21"/>
                      <w:szCs w:val="21"/>
                    </w:rPr>
                  </w:pPr>
                  <w:r>
                    <w:rPr>
                      <w:b/>
                      <w:sz w:val="21"/>
                      <w:szCs w:val="21"/>
                    </w:rPr>
                    <w:t>温度</w:t>
                  </w:r>
                  <w:r>
                    <w:rPr>
                      <w:rFonts w:hint="eastAsia"/>
                      <w:b/>
                      <w:sz w:val="21"/>
                      <w:szCs w:val="21"/>
                    </w:rPr>
                    <w:t>（</w:t>
                  </w:r>
                  <w:r>
                    <w:rPr>
                      <w:b/>
                      <w:sz w:val="21"/>
                      <w:szCs w:val="21"/>
                    </w:rPr>
                    <w:t>℃</w:t>
                  </w:r>
                  <w:r>
                    <w:rPr>
                      <w:rFonts w:hint="eastAsia"/>
                      <w:b/>
                      <w:sz w:val="21"/>
                      <w:szCs w:val="21"/>
                    </w:rPr>
                    <w:t>）</w:t>
                  </w:r>
                </w:p>
              </w:tc>
              <w:tc>
                <w:tcPr>
                  <w:tcW w:w="386" w:type="pct"/>
                  <w:vAlign w:val="center"/>
                </w:tcPr>
                <w:p w14:paraId="6F24F5B0">
                  <w:pPr>
                    <w:jc w:val="center"/>
                    <w:textAlignment w:val="baseline"/>
                    <w:rPr>
                      <w:b/>
                      <w:sz w:val="21"/>
                      <w:szCs w:val="21"/>
                    </w:rPr>
                  </w:pPr>
                  <w:r>
                    <w:rPr>
                      <w:b/>
                      <w:sz w:val="21"/>
                      <w:szCs w:val="21"/>
                    </w:rPr>
                    <w:t>编号及名称</w:t>
                  </w:r>
                </w:p>
              </w:tc>
              <w:tc>
                <w:tcPr>
                  <w:tcW w:w="349" w:type="pct"/>
                  <w:vAlign w:val="center"/>
                </w:tcPr>
                <w:p w14:paraId="4E1B04B0">
                  <w:pPr>
                    <w:jc w:val="center"/>
                    <w:textAlignment w:val="baseline"/>
                    <w:rPr>
                      <w:b/>
                      <w:sz w:val="21"/>
                      <w:szCs w:val="21"/>
                    </w:rPr>
                  </w:pPr>
                  <w:r>
                    <w:rPr>
                      <w:b/>
                      <w:sz w:val="21"/>
                      <w:szCs w:val="21"/>
                    </w:rPr>
                    <w:t>类型</w:t>
                  </w:r>
                </w:p>
              </w:tc>
              <w:tc>
                <w:tcPr>
                  <w:tcW w:w="755" w:type="pct"/>
                  <w:vAlign w:val="center"/>
                </w:tcPr>
                <w:p w14:paraId="0020485C">
                  <w:pPr>
                    <w:jc w:val="center"/>
                    <w:textAlignment w:val="baseline"/>
                    <w:rPr>
                      <w:b/>
                      <w:sz w:val="21"/>
                      <w:szCs w:val="21"/>
                    </w:rPr>
                  </w:pPr>
                  <w:r>
                    <w:rPr>
                      <w:b/>
                      <w:sz w:val="21"/>
                      <w:szCs w:val="21"/>
                    </w:rPr>
                    <w:t>地理坐标</w:t>
                  </w:r>
                </w:p>
              </w:tc>
              <w:tc>
                <w:tcPr>
                  <w:tcW w:w="567" w:type="pct"/>
                  <w:vMerge w:val="continue"/>
                  <w:vAlign w:val="center"/>
                </w:tcPr>
                <w:p w14:paraId="00341212">
                  <w:pPr>
                    <w:jc w:val="center"/>
                    <w:textAlignment w:val="baseline"/>
                    <w:rPr>
                      <w:sz w:val="21"/>
                      <w:szCs w:val="21"/>
                    </w:rPr>
                  </w:pPr>
                </w:p>
              </w:tc>
            </w:tr>
            <w:tr w14:paraId="25470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3" w:type="pct"/>
                  <w:vAlign w:val="center"/>
                </w:tcPr>
                <w:p w14:paraId="2E8A78F2">
                  <w:pPr>
                    <w:pStyle w:val="10"/>
                    <w:spacing w:before="0" w:line="240" w:lineRule="auto"/>
                    <w:ind w:left="0" w:right="0" w:firstLine="0"/>
                    <w:jc w:val="center"/>
                    <w:rPr>
                      <w:bCs/>
                      <w:sz w:val="21"/>
                      <w:szCs w:val="21"/>
                      <w:lang w:bidi="zh-CN"/>
                    </w:rPr>
                  </w:pPr>
                  <w:r>
                    <w:rPr>
                      <w:rFonts w:hint="eastAsia" w:ascii="Times New Roman" w:eastAsia="宋体"/>
                      <w:sz w:val="21"/>
                      <w:szCs w:val="21"/>
                    </w:rPr>
                    <w:t>有机</w:t>
                  </w:r>
                  <w:r>
                    <w:rPr>
                      <w:rFonts w:ascii="Times New Roman" w:eastAsia="宋体"/>
                      <w:sz w:val="21"/>
                      <w:szCs w:val="21"/>
                    </w:rPr>
                    <w:t>前处理</w:t>
                  </w:r>
                  <w:r>
                    <w:rPr>
                      <w:rFonts w:hint="eastAsia" w:ascii="Times New Roman" w:eastAsia="宋体"/>
                      <w:sz w:val="21"/>
                      <w:szCs w:val="21"/>
                    </w:rPr>
                    <w:t>及实验过程</w:t>
                  </w:r>
                </w:p>
              </w:tc>
              <w:tc>
                <w:tcPr>
                  <w:tcW w:w="570" w:type="pct"/>
                  <w:vAlign w:val="center"/>
                </w:tcPr>
                <w:p w14:paraId="190CFA4B">
                  <w:pPr>
                    <w:pStyle w:val="60"/>
                    <w:jc w:val="center"/>
                    <w:rPr>
                      <w:rFonts w:ascii="Times New Roman" w:hAnsi="Times New Roman" w:cs="Times New Roman"/>
                      <w:kern w:val="0"/>
                      <w:sz w:val="21"/>
                      <w:szCs w:val="21"/>
                      <w:lang w:val="en-US" w:bidi="ar"/>
                    </w:rPr>
                  </w:pPr>
                  <w:r>
                    <w:rPr>
                      <w:rFonts w:hint="eastAsia" w:ascii="Times New Roman" w:hAnsi="Times New Roman" w:cs="Times New Roman"/>
                      <w:bCs/>
                      <w:sz w:val="21"/>
                      <w:szCs w:val="21"/>
                      <w:lang w:val="en-US"/>
                    </w:rPr>
                    <w:t>非甲烷总烃</w:t>
                  </w:r>
                </w:p>
              </w:tc>
              <w:tc>
                <w:tcPr>
                  <w:tcW w:w="307" w:type="pct"/>
                  <w:vAlign w:val="center"/>
                </w:tcPr>
                <w:p w14:paraId="2E06C310">
                  <w:pPr>
                    <w:jc w:val="center"/>
                    <w:rPr>
                      <w:kern w:val="0"/>
                      <w:sz w:val="21"/>
                      <w:szCs w:val="21"/>
                      <w:lang w:bidi="ar"/>
                    </w:rPr>
                  </w:pPr>
                  <w:r>
                    <w:rPr>
                      <w:rFonts w:hint="eastAsia"/>
                      <w:sz w:val="21"/>
                      <w:szCs w:val="21"/>
                    </w:rPr>
                    <w:t>有</w:t>
                  </w:r>
                  <w:r>
                    <w:rPr>
                      <w:sz w:val="21"/>
                      <w:szCs w:val="21"/>
                    </w:rPr>
                    <w:t>组织</w:t>
                  </w:r>
                </w:p>
              </w:tc>
              <w:tc>
                <w:tcPr>
                  <w:tcW w:w="500" w:type="pct"/>
                  <w:vAlign w:val="center"/>
                </w:tcPr>
                <w:p w14:paraId="3F4C5A2C">
                  <w:pPr>
                    <w:jc w:val="center"/>
                    <w:textAlignment w:val="baseline"/>
                    <w:rPr>
                      <w:sz w:val="21"/>
                      <w:szCs w:val="21"/>
                    </w:rPr>
                  </w:pPr>
                  <w:r>
                    <w:rPr>
                      <w:rFonts w:hint="eastAsia"/>
                      <w:sz w:val="21"/>
                      <w:szCs w:val="21"/>
                    </w:rPr>
                    <w:t>35</w:t>
                  </w:r>
                </w:p>
              </w:tc>
              <w:tc>
                <w:tcPr>
                  <w:tcW w:w="563" w:type="pct"/>
                  <w:vAlign w:val="center"/>
                </w:tcPr>
                <w:p w14:paraId="397D596F">
                  <w:pPr>
                    <w:jc w:val="center"/>
                    <w:textAlignment w:val="baseline"/>
                    <w:rPr>
                      <w:sz w:val="21"/>
                      <w:szCs w:val="21"/>
                    </w:rPr>
                  </w:pPr>
                  <w:r>
                    <w:rPr>
                      <w:rFonts w:hint="eastAsia"/>
                      <w:sz w:val="21"/>
                      <w:szCs w:val="21"/>
                    </w:rPr>
                    <w:t>0.5</w:t>
                  </w:r>
                </w:p>
              </w:tc>
              <w:tc>
                <w:tcPr>
                  <w:tcW w:w="516" w:type="pct"/>
                  <w:vAlign w:val="center"/>
                </w:tcPr>
                <w:p w14:paraId="1882A04C">
                  <w:pPr>
                    <w:jc w:val="center"/>
                    <w:textAlignment w:val="baseline"/>
                    <w:rPr>
                      <w:sz w:val="21"/>
                      <w:szCs w:val="21"/>
                    </w:rPr>
                  </w:pPr>
                  <w:r>
                    <w:rPr>
                      <w:rFonts w:hint="eastAsia"/>
                      <w:sz w:val="21"/>
                      <w:szCs w:val="21"/>
                    </w:rPr>
                    <w:t>20</w:t>
                  </w:r>
                </w:p>
              </w:tc>
              <w:tc>
                <w:tcPr>
                  <w:tcW w:w="386" w:type="pct"/>
                  <w:vAlign w:val="center"/>
                </w:tcPr>
                <w:p w14:paraId="5DF816F3">
                  <w:pPr>
                    <w:jc w:val="center"/>
                    <w:textAlignment w:val="baseline"/>
                    <w:rPr>
                      <w:sz w:val="21"/>
                      <w:szCs w:val="21"/>
                    </w:rPr>
                  </w:pPr>
                  <w:r>
                    <w:rPr>
                      <w:rFonts w:hint="eastAsia"/>
                      <w:sz w:val="21"/>
                      <w:szCs w:val="21"/>
                    </w:rPr>
                    <w:t>DA001</w:t>
                  </w:r>
                </w:p>
              </w:tc>
              <w:tc>
                <w:tcPr>
                  <w:tcW w:w="349" w:type="pct"/>
                  <w:vAlign w:val="center"/>
                </w:tcPr>
                <w:p w14:paraId="7F833EF7">
                  <w:pPr>
                    <w:jc w:val="center"/>
                    <w:textAlignment w:val="baseline"/>
                    <w:rPr>
                      <w:sz w:val="21"/>
                      <w:szCs w:val="21"/>
                    </w:rPr>
                  </w:pPr>
                  <w:r>
                    <w:rPr>
                      <w:rFonts w:hint="eastAsia"/>
                      <w:sz w:val="21"/>
                      <w:szCs w:val="21"/>
                    </w:rPr>
                    <w:t>一般排放口</w:t>
                  </w:r>
                </w:p>
              </w:tc>
              <w:tc>
                <w:tcPr>
                  <w:tcW w:w="755" w:type="pct"/>
                  <w:vAlign w:val="center"/>
                </w:tcPr>
                <w:p w14:paraId="33AF4813">
                  <w:pPr>
                    <w:jc w:val="center"/>
                    <w:textAlignment w:val="baseline"/>
                    <w:rPr>
                      <w:sz w:val="21"/>
                      <w:szCs w:val="21"/>
                      <w:highlight w:val="magenta"/>
                    </w:rPr>
                  </w:pPr>
                  <w:r>
                    <w:rPr>
                      <w:sz w:val="21"/>
                      <w:szCs w:val="21"/>
                    </w:rPr>
                    <w:t>E108°46′22.629″，N34°15′41.492″</w:t>
                  </w:r>
                </w:p>
              </w:tc>
              <w:tc>
                <w:tcPr>
                  <w:tcW w:w="567" w:type="pct"/>
                  <w:vMerge w:val="restart"/>
                  <w:vAlign w:val="center"/>
                </w:tcPr>
                <w:p w14:paraId="273FD44F">
                  <w:pPr>
                    <w:jc w:val="center"/>
                    <w:textAlignment w:val="baseline"/>
                    <w:rPr>
                      <w:sz w:val="21"/>
                      <w:szCs w:val="21"/>
                    </w:rPr>
                  </w:pPr>
                  <w:r>
                    <w:rPr>
                      <w:rFonts w:hint="eastAsia"/>
                      <w:bCs/>
                      <w:sz w:val="21"/>
                      <w:szCs w:val="21"/>
                    </w:rPr>
                    <w:t>《大气污染物综合排放标准》（</w:t>
                  </w:r>
                  <w:r>
                    <w:rPr>
                      <w:bCs/>
                      <w:sz w:val="21"/>
                      <w:szCs w:val="21"/>
                    </w:rPr>
                    <w:t>GB</w:t>
                  </w:r>
                  <w:r>
                    <w:rPr>
                      <w:rFonts w:hint="eastAsia"/>
                      <w:bCs/>
                      <w:sz w:val="21"/>
                      <w:szCs w:val="21"/>
                    </w:rPr>
                    <w:t xml:space="preserve"> </w:t>
                  </w:r>
                  <w:r>
                    <w:rPr>
                      <w:bCs/>
                      <w:sz w:val="21"/>
                      <w:szCs w:val="21"/>
                    </w:rPr>
                    <w:t>16297-1996</w:t>
                  </w:r>
                  <w:r>
                    <w:rPr>
                      <w:rFonts w:hint="eastAsia"/>
                      <w:bCs/>
                      <w:sz w:val="21"/>
                      <w:szCs w:val="21"/>
                    </w:rPr>
                    <w:t>）表2二级标准</w:t>
                  </w:r>
                </w:p>
              </w:tc>
            </w:tr>
            <w:tr w14:paraId="6E90B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3" w:type="pct"/>
                  <w:vMerge w:val="restart"/>
                  <w:vAlign w:val="center"/>
                </w:tcPr>
                <w:p w14:paraId="07B53E9E">
                  <w:pPr>
                    <w:pStyle w:val="10"/>
                    <w:spacing w:before="0" w:line="240" w:lineRule="auto"/>
                    <w:ind w:left="0" w:right="0" w:firstLine="0"/>
                    <w:jc w:val="center"/>
                    <w:rPr>
                      <w:rFonts w:ascii="Times New Roman" w:eastAsia="宋体"/>
                      <w:sz w:val="21"/>
                      <w:szCs w:val="21"/>
                      <w:lang w:bidi="ar"/>
                    </w:rPr>
                  </w:pPr>
                  <w:r>
                    <w:rPr>
                      <w:rFonts w:hint="eastAsia" w:ascii="Times New Roman" w:eastAsia="宋体"/>
                      <w:sz w:val="21"/>
                      <w:szCs w:val="21"/>
                    </w:rPr>
                    <w:t>无机前处理</w:t>
                  </w:r>
                </w:p>
              </w:tc>
              <w:tc>
                <w:tcPr>
                  <w:tcW w:w="570" w:type="pct"/>
                  <w:vAlign w:val="center"/>
                </w:tcPr>
                <w:p w14:paraId="2BF133A9">
                  <w:pPr>
                    <w:jc w:val="center"/>
                    <w:rPr>
                      <w:sz w:val="21"/>
                      <w:szCs w:val="21"/>
                    </w:rPr>
                  </w:pPr>
                  <w:r>
                    <w:rPr>
                      <w:rFonts w:hint="eastAsia"/>
                      <w:sz w:val="21"/>
                      <w:szCs w:val="21"/>
                    </w:rPr>
                    <w:t>氯化氢</w:t>
                  </w:r>
                </w:p>
              </w:tc>
              <w:tc>
                <w:tcPr>
                  <w:tcW w:w="307" w:type="pct"/>
                  <w:vMerge w:val="restart"/>
                  <w:vAlign w:val="center"/>
                </w:tcPr>
                <w:p w14:paraId="5D0A794D">
                  <w:pPr>
                    <w:jc w:val="center"/>
                    <w:rPr>
                      <w:sz w:val="21"/>
                      <w:szCs w:val="21"/>
                    </w:rPr>
                  </w:pPr>
                  <w:r>
                    <w:rPr>
                      <w:rFonts w:hint="eastAsia"/>
                      <w:sz w:val="21"/>
                      <w:szCs w:val="21"/>
                    </w:rPr>
                    <w:t>有组织</w:t>
                  </w:r>
                </w:p>
              </w:tc>
              <w:tc>
                <w:tcPr>
                  <w:tcW w:w="500" w:type="pct"/>
                  <w:vMerge w:val="restart"/>
                  <w:vAlign w:val="center"/>
                </w:tcPr>
                <w:p w14:paraId="06DE2C11">
                  <w:pPr>
                    <w:jc w:val="center"/>
                    <w:textAlignment w:val="baseline"/>
                    <w:rPr>
                      <w:sz w:val="21"/>
                      <w:szCs w:val="21"/>
                    </w:rPr>
                  </w:pPr>
                  <w:r>
                    <w:rPr>
                      <w:rFonts w:hint="eastAsia"/>
                      <w:sz w:val="21"/>
                      <w:szCs w:val="21"/>
                    </w:rPr>
                    <w:t>35</w:t>
                  </w:r>
                </w:p>
              </w:tc>
              <w:tc>
                <w:tcPr>
                  <w:tcW w:w="563" w:type="pct"/>
                  <w:vMerge w:val="restart"/>
                  <w:vAlign w:val="center"/>
                </w:tcPr>
                <w:p w14:paraId="41800DFF">
                  <w:pPr>
                    <w:jc w:val="center"/>
                    <w:textAlignment w:val="baseline"/>
                    <w:rPr>
                      <w:sz w:val="21"/>
                      <w:szCs w:val="21"/>
                    </w:rPr>
                  </w:pPr>
                  <w:r>
                    <w:rPr>
                      <w:rFonts w:hint="eastAsia"/>
                      <w:sz w:val="21"/>
                      <w:szCs w:val="21"/>
                    </w:rPr>
                    <w:t>0.5</w:t>
                  </w:r>
                </w:p>
              </w:tc>
              <w:tc>
                <w:tcPr>
                  <w:tcW w:w="516" w:type="pct"/>
                  <w:vMerge w:val="restart"/>
                  <w:vAlign w:val="center"/>
                </w:tcPr>
                <w:p w14:paraId="42AAF486">
                  <w:pPr>
                    <w:jc w:val="center"/>
                    <w:textAlignment w:val="baseline"/>
                    <w:rPr>
                      <w:sz w:val="21"/>
                      <w:szCs w:val="21"/>
                    </w:rPr>
                  </w:pPr>
                  <w:r>
                    <w:rPr>
                      <w:rFonts w:hint="eastAsia"/>
                      <w:sz w:val="21"/>
                      <w:szCs w:val="21"/>
                    </w:rPr>
                    <w:t>20</w:t>
                  </w:r>
                </w:p>
              </w:tc>
              <w:tc>
                <w:tcPr>
                  <w:tcW w:w="386" w:type="pct"/>
                  <w:vMerge w:val="restart"/>
                  <w:vAlign w:val="center"/>
                </w:tcPr>
                <w:p w14:paraId="63F8B9A5">
                  <w:pPr>
                    <w:jc w:val="center"/>
                    <w:textAlignment w:val="baseline"/>
                    <w:rPr>
                      <w:sz w:val="21"/>
                      <w:szCs w:val="21"/>
                    </w:rPr>
                  </w:pPr>
                  <w:r>
                    <w:rPr>
                      <w:rFonts w:hint="eastAsia"/>
                      <w:sz w:val="21"/>
                      <w:szCs w:val="21"/>
                    </w:rPr>
                    <w:t>DA002</w:t>
                  </w:r>
                </w:p>
              </w:tc>
              <w:tc>
                <w:tcPr>
                  <w:tcW w:w="349" w:type="pct"/>
                  <w:vMerge w:val="restart"/>
                  <w:vAlign w:val="center"/>
                </w:tcPr>
                <w:p w14:paraId="3C2960BA">
                  <w:pPr>
                    <w:jc w:val="center"/>
                    <w:textAlignment w:val="baseline"/>
                    <w:rPr>
                      <w:sz w:val="21"/>
                      <w:szCs w:val="21"/>
                    </w:rPr>
                  </w:pPr>
                  <w:r>
                    <w:rPr>
                      <w:rFonts w:hint="eastAsia"/>
                      <w:sz w:val="21"/>
                      <w:szCs w:val="21"/>
                    </w:rPr>
                    <w:t>一般排放口</w:t>
                  </w:r>
                </w:p>
              </w:tc>
              <w:tc>
                <w:tcPr>
                  <w:tcW w:w="755" w:type="pct"/>
                  <w:vMerge w:val="restart"/>
                  <w:vAlign w:val="center"/>
                </w:tcPr>
                <w:p w14:paraId="559A5BAE">
                  <w:pPr>
                    <w:jc w:val="center"/>
                    <w:textAlignment w:val="baseline"/>
                    <w:rPr>
                      <w:sz w:val="21"/>
                      <w:szCs w:val="21"/>
                      <w:highlight w:val="magenta"/>
                    </w:rPr>
                  </w:pPr>
                  <w:r>
                    <w:rPr>
                      <w:sz w:val="21"/>
                      <w:szCs w:val="21"/>
                    </w:rPr>
                    <w:t>E108°46′22.706″，N34°15′41.581″</w:t>
                  </w:r>
                </w:p>
              </w:tc>
              <w:tc>
                <w:tcPr>
                  <w:tcW w:w="567" w:type="pct"/>
                  <w:vMerge w:val="continue"/>
                  <w:vAlign w:val="center"/>
                </w:tcPr>
                <w:p w14:paraId="4C04207F">
                  <w:pPr>
                    <w:jc w:val="center"/>
                    <w:textAlignment w:val="baseline"/>
                    <w:rPr>
                      <w:bCs/>
                      <w:sz w:val="21"/>
                      <w:szCs w:val="21"/>
                    </w:rPr>
                  </w:pPr>
                </w:p>
              </w:tc>
            </w:tr>
            <w:tr w14:paraId="14CF4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3" w:type="pct"/>
                  <w:vMerge w:val="continue"/>
                  <w:vAlign w:val="center"/>
                </w:tcPr>
                <w:p w14:paraId="2A9B6C71">
                  <w:pPr>
                    <w:pStyle w:val="10"/>
                    <w:spacing w:before="0" w:line="240" w:lineRule="auto"/>
                    <w:ind w:left="0" w:right="0" w:firstLine="0"/>
                    <w:jc w:val="center"/>
                    <w:rPr>
                      <w:rFonts w:ascii="Times New Roman" w:eastAsia="宋体"/>
                      <w:sz w:val="21"/>
                      <w:szCs w:val="21"/>
                      <w:lang w:bidi="ar"/>
                    </w:rPr>
                  </w:pPr>
                </w:p>
              </w:tc>
              <w:tc>
                <w:tcPr>
                  <w:tcW w:w="570" w:type="pct"/>
                  <w:vAlign w:val="center"/>
                </w:tcPr>
                <w:p w14:paraId="1B254A25">
                  <w:pPr>
                    <w:jc w:val="center"/>
                    <w:rPr>
                      <w:sz w:val="21"/>
                      <w:szCs w:val="21"/>
                    </w:rPr>
                  </w:pPr>
                  <w:r>
                    <w:rPr>
                      <w:rFonts w:hint="eastAsia"/>
                      <w:sz w:val="21"/>
                      <w:szCs w:val="21"/>
                    </w:rPr>
                    <w:t>硫酸雾</w:t>
                  </w:r>
                </w:p>
              </w:tc>
              <w:tc>
                <w:tcPr>
                  <w:tcW w:w="307" w:type="pct"/>
                  <w:vMerge w:val="continue"/>
                  <w:vAlign w:val="center"/>
                </w:tcPr>
                <w:p w14:paraId="6B98FC80">
                  <w:pPr>
                    <w:jc w:val="center"/>
                    <w:rPr>
                      <w:sz w:val="21"/>
                      <w:szCs w:val="21"/>
                    </w:rPr>
                  </w:pPr>
                </w:p>
              </w:tc>
              <w:tc>
                <w:tcPr>
                  <w:tcW w:w="500" w:type="pct"/>
                  <w:vMerge w:val="continue"/>
                  <w:vAlign w:val="center"/>
                </w:tcPr>
                <w:p w14:paraId="24312E12">
                  <w:pPr>
                    <w:jc w:val="center"/>
                    <w:textAlignment w:val="baseline"/>
                    <w:rPr>
                      <w:sz w:val="21"/>
                      <w:szCs w:val="21"/>
                    </w:rPr>
                  </w:pPr>
                </w:p>
              </w:tc>
              <w:tc>
                <w:tcPr>
                  <w:tcW w:w="563" w:type="pct"/>
                  <w:vMerge w:val="continue"/>
                  <w:vAlign w:val="center"/>
                </w:tcPr>
                <w:p w14:paraId="76101798">
                  <w:pPr>
                    <w:jc w:val="center"/>
                    <w:textAlignment w:val="baseline"/>
                    <w:rPr>
                      <w:sz w:val="21"/>
                      <w:szCs w:val="21"/>
                    </w:rPr>
                  </w:pPr>
                </w:p>
              </w:tc>
              <w:tc>
                <w:tcPr>
                  <w:tcW w:w="516" w:type="pct"/>
                  <w:vMerge w:val="continue"/>
                  <w:vAlign w:val="center"/>
                </w:tcPr>
                <w:p w14:paraId="54C37548">
                  <w:pPr>
                    <w:jc w:val="center"/>
                    <w:textAlignment w:val="baseline"/>
                    <w:rPr>
                      <w:sz w:val="21"/>
                      <w:szCs w:val="21"/>
                    </w:rPr>
                  </w:pPr>
                </w:p>
              </w:tc>
              <w:tc>
                <w:tcPr>
                  <w:tcW w:w="386" w:type="pct"/>
                  <w:vMerge w:val="continue"/>
                  <w:vAlign w:val="center"/>
                </w:tcPr>
                <w:p w14:paraId="760F1AB3">
                  <w:pPr>
                    <w:jc w:val="center"/>
                    <w:textAlignment w:val="baseline"/>
                    <w:rPr>
                      <w:sz w:val="21"/>
                      <w:szCs w:val="21"/>
                    </w:rPr>
                  </w:pPr>
                </w:p>
              </w:tc>
              <w:tc>
                <w:tcPr>
                  <w:tcW w:w="349" w:type="pct"/>
                  <w:vMerge w:val="continue"/>
                  <w:vAlign w:val="center"/>
                </w:tcPr>
                <w:p w14:paraId="224F2C9C">
                  <w:pPr>
                    <w:jc w:val="center"/>
                    <w:textAlignment w:val="baseline"/>
                    <w:rPr>
                      <w:sz w:val="21"/>
                      <w:szCs w:val="21"/>
                    </w:rPr>
                  </w:pPr>
                </w:p>
              </w:tc>
              <w:tc>
                <w:tcPr>
                  <w:tcW w:w="755" w:type="pct"/>
                  <w:vMerge w:val="continue"/>
                  <w:vAlign w:val="center"/>
                </w:tcPr>
                <w:p w14:paraId="53CEDA61">
                  <w:pPr>
                    <w:jc w:val="center"/>
                    <w:textAlignment w:val="baseline"/>
                    <w:rPr>
                      <w:sz w:val="21"/>
                      <w:szCs w:val="21"/>
                    </w:rPr>
                  </w:pPr>
                </w:p>
              </w:tc>
              <w:tc>
                <w:tcPr>
                  <w:tcW w:w="567" w:type="pct"/>
                  <w:vMerge w:val="continue"/>
                  <w:vAlign w:val="center"/>
                </w:tcPr>
                <w:p w14:paraId="55103641">
                  <w:pPr>
                    <w:jc w:val="center"/>
                    <w:textAlignment w:val="baseline"/>
                    <w:rPr>
                      <w:bCs/>
                      <w:sz w:val="21"/>
                      <w:szCs w:val="21"/>
                    </w:rPr>
                  </w:pPr>
                </w:p>
              </w:tc>
            </w:tr>
            <w:tr w14:paraId="08665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3" w:type="pct"/>
                  <w:vMerge w:val="continue"/>
                  <w:vAlign w:val="center"/>
                </w:tcPr>
                <w:p w14:paraId="22A24DCB">
                  <w:pPr>
                    <w:pStyle w:val="10"/>
                    <w:spacing w:before="0" w:line="240" w:lineRule="auto"/>
                    <w:ind w:left="0" w:right="0" w:firstLine="0"/>
                    <w:jc w:val="center"/>
                    <w:rPr>
                      <w:rFonts w:ascii="Times New Roman" w:eastAsia="宋体"/>
                      <w:sz w:val="21"/>
                      <w:szCs w:val="21"/>
                      <w:lang w:bidi="ar"/>
                    </w:rPr>
                  </w:pPr>
                </w:p>
              </w:tc>
              <w:tc>
                <w:tcPr>
                  <w:tcW w:w="570" w:type="pct"/>
                  <w:vAlign w:val="center"/>
                </w:tcPr>
                <w:p w14:paraId="226DC57D">
                  <w:pPr>
                    <w:pStyle w:val="60"/>
                    <w:jc w:val="center"/>
                    <w:rPr>
                      <w:kern w:val="0"/>
                      <w:sz w:val="21"/>
                      <w:szCs w:val="21"/>
                      <w:lang w:val="en-US" w:bidi="en-US"/>
                    </w:rPr>
                  </w:pPr>
                  <w:r>
                    <w:rPr>
                      <w:rFonts w:hint="eastAsia"/>
                      <w:kern w:val="0"/>
                      <w:sz w:val="21"/>
                      <w:szCs w:val="21"/>
                      <w:lang w:val="en-US" w:bidi="en-US"/>
                    </w:rPr>
                    <w:t>氮氧</w:t>
                  </w:r>
                </w:p>
                <w:p w14:paraId="231BDA02">
                  <w:pPr>
                    <w:pStyle w:val="60"/>
                    <w:jc w:val="center"/>
                    <w:rPr>
                      <w:rFonts w:ascii="Times New Roman" w:hAnsi="Times New Roman" w:cs="Times New Roman"/>
                      <w:bCs/>
                      <w:sz w:val="21"/>
                      <w:szCs w:val="21"/>
                      <w:lang w:val="en-US"/>
                    </w:rPr>
                  </w:pPr>
                  <w:r>
                    <w:rPr>
                      <w:rFonts w:hint="eastAsia"/>
                      <w:kern w:val="0"/>
                      <w:sz w:val="21"/>
                      <w:szCs w:val="21"/>
                      <w:lang w:val="en-US" w:bidi="en-US"/>
                    </w:rPr>
                    <w:t>化物</w:t>
                  </w:r>
                </w:p>
              </w:tc>
              <w:tc>
                <w:tcPr>
                  <w:tcW w:w="307" w:type="pct"/>
                  <w:vMerge w:val="continue"/>
                  <w:vAlign w:val="center"/>
                </w:tcPr>
                <w:p w14:paraId="4A5B24DD">
                  <w:pPr>
                    <w:jc w:val="center"/>
                    <w:rPr>
                      <w:sz w:val="21"/>
                      <w:szCs w:val="21"/>
                    </w:rPr>
                  </w:pPr>
                </w:p>
              </w:tc>
              <w:tc>
                <w:tcPr>
                  <w:tcW w:w="500" w:type="pct"/>
                  <w:vMerge w:val="continue"/>
                  <w:vAlign w:val="center"/>
                </w:tcPr>
                <w:p w14:paraId="1C4CF43C">
                  <w:pPr>
                    <w:jc w:val="center"/>
                    <w:textAlignment w:val="baseline"/>
                    <w:rPr>
                      <w:sz w:val="21"/>
                      <w:szCs w:val="21"/>
                    </w:rPr>
                  </w:pPr>
                </w:p>
              </w:tc>
              <w:tc>
                <w:tcPr>
                  <w:tcW w:w="563" w:type="pct"/>
                  <w:vMerge w:val="continue"/>
                  <w:vAlign w:val="center"/>
                </w:tcPr>
                <w:p w14:paraId="1E36DEF3">
                  <w:pPr>
                    <w:jc w:val="center"/>
                    <w:textAlignment w:val="baseline"/>
                    <w:rPr>
                      <w:sz w:val="21"/>
                      <w:szCs w:val="21"/>
                    </w:rPr>
                  </w:pPr>
                </w:p>
              </w:tc>
              <w:tc>
                <w:tcPr>
                  <w:tcW w:w="516" w:type="pct"/>
                  <w:vMerge w:val="continue"/>
                  <w:vAlign w:val="center"/>
                </w:tcPr>
                <w:p w14:paraId="2A5B96AE">
                  <w:pPr>
                    <w:jc w:val="center"/>
                    <w:textAlignment w:val="baseline"/>
                    <w:rPr>
                      <w:sz w:val="21"/>
                      <w:szCs w:val="21"/>
                    </w:rPr>
                  </w:pPr>
                </w:p>
              </w:tc>
              <w:tc>
                <w:tcPr>
                  <w:tcW w:w="386" w:type="pct"/>
                  <w:vMerge w:val="continue"/>
                  <w:vAlign w:val="center"/>
                </w:tcPr>
                <w:p w14:paraId="2F93A2F6">
                  <w:pPr>
                    <w:jc w:val="center"/>
                    <w:textAlignment w:val="baseline"/>
                    <w:rPr>
                      <w:sz w:val="21"/>
                      <w:szCs w:val="21"/>
                    </w:rPr>
                  </w:pPr>
                </w:p>
              </w:tc>
              <w:tc>
                <w:tcPr>
                  <w:tcW w:w="349" w:type="pct"/>
                  <w:vMerge w:val="continue"/>
                  <w:vAlign w:val="center"/>
                </w:tcPr>
                <w:p w14:paraId="420356BB">
                  <w:pPr>
                    <w:jc w:val="center"/>
                    <w:textAlignment w:val="baseline"/>
                    <w:rPr>
                      <w:sz w:val="21"/>
                      <w:szCs w:val="21"/>
                    </w:rPr>
                  </w:pPr>
                </w:p>
              </w:tc>
              <w:tc>
                <w:tcPr>
                  <w:tcW w:w="755" w:type="pct"/>
                  <w:vMerge w:val="continue"/>
                  <w:vAlign w:val="center"/>
                </w:tcPr>
                <w:p w14:paraId="415092F5">
                  <w:pPr>
                    <w:jc w:val="center"/>
                    <w:textAlignment w:val="baseline"/>
                    <w:rPr>
                      <w:sz w:val="21"/>
                      <w:szCs w:val="21"/>
                    </w:rPr>
                  </w:pPr>
                </w:p>
              </w:tc>
              <w:tc>
                <w:tcPr>
                  <w:tcW w:w="567" w:type="pct"/>
                  <w:vMerge w:val="continue"/>
                  <w:vAlign w:val="center"/>
                </w:tcPr>
                <w:p w14:paraId="1EF398C6">
                  <w:pPr>
                    <w:jc w:val="center"/>
                    <w:textAlignment w:val="baseline"/>
                    <w:rPr>
                      <w:bCs/>
                      <w:sz w:val="21"/>
                      <w:szCs w:val="21"/>
                    </w:rPr>
                  </w:pPr>
                </w:p>
              </w:tc>
            </w:tr>
          </w:tbl>
          <w:p w14:paraId="53886EEA">
            <w:pPr>
              <w:pStyle w:val="21"/>
              <w:adjustRightInd/>
              <w:snapToGrid/>
              <w:spacing w:line="360" w:lineRule="auto"/>
              <w:ind w:firstLine="452"/>
              <w:rPr>
                <w:b w:val="0"/>
                <w:bCs/>
              </w:rPr>
            </w:pPr>
            <w:r>
              <w:rPr>
                <w:rFonts w:hint="eastAsia"/>
                <w:b w:val="0"/>
                <w:bCs/>
              </w:rPr>
              <w:t>（4）非正常工况影响分析</w:t>
            </w:r>
          </w:p>
          <w:p w14:paraId="258835E2">
            <w:pPr>
              <w:spacing w:line="360" w:lineRule="auto"/>
              <w:ind w:firstLine="480" w:firstLineChars="200"/>
            </w:pPr>
            <w:r>
              <w:t>非正常排放是指生产过程中开停车、设备检修、工艺设备运转异常等非正常工况下的污染物排放，以及污染物排放控制措施达不到应有效率等情况下的排放</w:t>
            </w:r>
            <w:r>
              <w:rPr>
                <w:rFonts w:hint="eastAsia"/>
              </w:rPr>
              <w:t>。本项目的非正常工况主要是污染物排放控制措施达不到应有效率，即废气处理设施失效，造成排气筒废气中废气污染物未经处理直接排放。</w:t>
            </w:r>
          </w:p>
          <w:p w14:paraId="23FFE9F0">
            <w:pPr>
              <w:jc w:val="center"/>
              <w:rPr>
                <w:b/>
                <w:bCs/>
                <w:sz w:val="21"/>
                <w:szCs w:val="18"/>
              </w:rPr>
            </w:pPr>
            <w:r>
              <w:rPr>
                <w:b/>
                <w:bCs/>
                <w:sz w:val="21"/>
                <w:szCs w:val="18"/>
              </w:rPr>
              <w:t>表4-</w:t>
            </w:r>
            <w:r>
              <w:rPr>
                <w:rFonts w:hint="eastAsia"/>
                <w:b/>
                <w:bCs/>
                <w:sz w:val="21"/>
                <w:szCs w:val="18"/>
              </w:rPr>
              <w:t>7</w:t>
            </w:r>
            <w:r>
              <w:rPr>
                <w:b/>
                <w:bCs/>
                <w:sz w:val="21"/>
                <w:szCs w:val="18"/>
              </w:rPr>
              <w:t xml:space="preserve">  </w:t>
            </w:r>
            <w:r>
              <w:rPr>
                <w:rFonts w:hint="eastAsia"/>
                <w:b/>
                <w:bCs/>
                <w:sz w:val="21"/>
                <w:szCs w:val="18"/>
              </w:rPr>
              <w:t>污染源非正常排放量核算表</w:t>
            </w:r>
          </w:p>
          <w:tbl>
            <w:tblPr>
              <w:tblStyle w:val="2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752"/>
              <w:gridCol w:w="996"/>
              <w:gridCol w:w="1321"/>
              <w:gridCol w:w="1051"/>
              <w:gridCol w:w="1094"/>
              <w:gridCol w:w="723"/>
              <w:gridCol w:w="651"/>
              <w:gridCol w:w="917"/>
            </w:tblGrid>
            <w:tr w14:paraId="0BA83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8" w:type="pct"/>
                  <w:tcMar>
                    <w:left w:w="28" w:type="dxa"/>
                    <w:right w:w="28" w:type="dxa"/>
                  </w:tcMar>
                  <w:vAlign w:val="center"/>
                </w:tcPr>
                <w:p w14:paraId="0514539A">
                  <w:pPr>
                    <w:pStyle w:val="66"/>
                    <w:spacing w:line="240" w:lineRule="auto"/>
                    <w:jc w:val="center"/>
                    <w:rPr>
                      <w:b/>
                      <w:bCs/>
                    </w:rPr>
                  </w:pPr>
                  <w:r>
                    <w:rPr>
                      <w:b/>
                      <w:bCs/>
                    </w:rPr>
                    <w:t>序号</w:t>
                  </w:r>
                </w:p>
              </w:tc>
              <w:tc>
                <w:tcPr>
                  <w:tcW w:w="465" w:type="pct"/>
                  <w:tcMar>
                    <w:left w:w="28" w:type="dxa"/>
                    <w:right w:w="28" w:type="dxa"/>
                  </w:tcMar>
                  <w:vAlign w:val="center"/>
                </w:tcPr>
                <w:p w14:paraId="4D336F88">
                  <w:pPr>
                    <w:pStyle w:val="66"/>
                    <w:spacing w:line="240" w:lineRule="auto"/>
                    <w:jc w:val="center"/>
                    <w:rPr>
                      <w:b/>
                      <w:bCs/>
                    </w:rPr>
                  </w:pPr>
                  <w:r>
                    <w:rPr>
                      <w:rFonts w:hint="eastAsia"/>
                      <w:b/>
                      <w:bCs/>
                    </w:rPr>
                    <w:t>污染源</w:t>
                  </w:r>
                </w:p>
              </w:tc>
              <w:tc>
                <w:tcPr>
                  <w:tcW w:w="615" w:type="pct"/>
                  <w:tcMar>
                    <w:left w:w="28" w:type="dxa"/>
                    <w:right w:w="28" w:type="dxa"/>
                  </w:tcMar>
                  <w:vAlign w:val="center"/>
                </w:tcPr>
                <w:p w14:paraId="48E9AE0F">
                  <w:pPr>
                    <w:pStyle w:val="66"/>
                    <w:spacing w:line="240" w:lineRule="auto"/>
                    <w:jc w:val="center"/>
                    <w:rPr>
                      <w:b/>
                      <w:bCs/>
                    </w:rPr>
                  </w:pPr>
                  <w:r>
                    <w:rPr>
                      <w:b/>
                      <w:bCs/>
                    </w:rPr>
                    <w:t>非正常排放原因</w:t>
                  </w:r>
                </w:p>
              </w:tc>
              <w:tc>
                <w:tcPr>
                  <w:tcW w:w="816" w:type="pct"/>
                  <w:tcMar>
                    <w:left w:w="28" w:type="dxa"/>
                    <w:right w:w="28" w:type="dxa"/>
                  </w:tcMar>
                  <w:vAlign w:val="center"/>
                </w:tcPr>
                <w:p w14:paraId="35A6F4C8">
                  <w:pPr>
                    <w:pStyle w:val="66"/>
                    <w:spacing w:line="240" w:lineRule="auto"/>
                    <w:jc w:val="center"/>
                    <w:rPr>
                      <w:b/>
                      <w:bCs/>
                    </w:rPr>
                  </w:pPr>
                  <w:r>
                    <w:rPr>
                      <w:b/>
                      <w:bCs/>
                    </w:rPr>
                    <w:t>污染物</w:t>
                  </w:r>
                </w:p>
              </w:tc>
              <w:tc>
                <w:tcPr>
                  <w:tcW w:w="649" w:type="pct"/>
                  <w:tcMar>
                    <w:left w:w="28" w:type="dxa"/>
                    <w:right w:w="28" w:type="dxa"/>
                  </w:tcMar>
                  <w:vAlign w:val="center"/>
                </w:tcPr>
                <w:p w14:paraId="3BCCB58A">
                  <w:pPr>
                    <w:pStyle w:val="66"/>
                    <w:spacing w:line="240" w:lineRule="auto"/>
                    <w:jc w:val="center"/>
                    <w:rPr>
                      <w:b/>
                      <w:bCs/>
                    </w:rPr>
                  </w:pPr>
                  <w:r>
                    <w:rPr>
                      <w:rFonts w:hint="eastAsia"/>
                      <w:b/>
                      <w:bCs/>
                    </w:rPr>
                    <w:t>非正常</w:t>
                  </w:r>
                  <w:r>
                    <w:rPr>
                      <w:b/>
                      <w:bCs/>
                    </w:rPr>
                    <w:t>排放浓度</w:t>
                  </w:r>
                  <w:r>
                    <w:rPr>
                      <w:rFonts w:hint="eastAsia"/>
                      <w:b/>
                      <w:bCs/>
                    </w:rPr>
                    <w:t>/（</w:t>
                  </w:r>
                  <w:r>
                    <w:rPr>
                      <w:b/>
                      <w:bCs/>
                    </w:rPr>
                    <w:t>mg/m</w:t>
                  </w:r>
                  <w:r>
                    <w:rPr>
                      <w:b/>
                      <w:bCs/>
                      <w:vertAlign w:val="superscript"/>
                    </w:rPr>
                    <w:t>3</w:t>
                  </w:r>
                  <w:r>
                    <w:rPr>
                      <w:rFonts w:hint="eastAsia"/>
                      <w:b/>
                      <w:bCs/>
                    </w:rPr>
                    <w:t>）</w:t>
                  </w:r>
                </w:p>
              </w:tc>
              <w:tc>
                <w:tcPr>
                  <w:tcW w:w="676" w:type="pct"/>
                  <w:tcMar>
                    <w:left w:w="28" w:type="dxa"/>
                    <w:right w:w="28" w:type="dxa"/>
                  </w:tcMar>
                  <w:vAlign w:val="center"/>
                </w:tcPr>
                <w:p w14:paraId="3E30028C">
                  <w:pPr>
                    <w:pStyle w:val="66"/>
                    <w:spacing w:line="240" w:lineRule="auto"/>
                    <w:jc w:val="center"/>
                    <w:rPr>
                      <w:b/>
                      <w:bCs/>
                    </w:rPr>
                  </w:pPr>
                  <w:r>
                    <w:rPr>
                      <w:b/>
                      <w:bCs/>
                    </w:rPr>
                    <w:t>非正常排放速率</w:t>
                  </w:r>
                  <w:r>
                    <w:rPr>
                      <w:rFonts w:hint="eastAsia"/>
                      <w:b/>
                      <w:bCs/>
                    </w:rPr>
                    <w:t>/（</w:t>
                  </w:r>
                  <w:r>
                    <w:rPr>
                      <w:b/>
                      <w:bCs/>
                    </w:rPr>
                    <w:t>kg/h</w:t>
                  </w:r>
                  <w:r>
                    <w:rPr>
                      <w:rFonts w:hint="eastAsia"/>
                      <w:b/>
                      <w:bCs/>
                    </w:rPr>
                    <w:t>）</w:t>
                  </w:r>
                </w:p>
              </w:tc>
              <w:tc>
                <w:tcPr>
                  <w:tcW w:w="447" w:type="pct"/>
                  <w:tcMar>
                    <w:left w:w="28" w:type="dxa"/>
                    <w:right w:w="28" w:type="dxa"/>
                  </w:tcMar>
                  <w:vAlign w:val="center"/>
                </w:tcPr>
                <w:p w14:paraId="240248A5">
                  <w:pPr>
                    <w:pStyle w:val="66"/>
                    <w:spacing w:line="240" w:lineRule="auto"/>
                    <w:jc w:val="center"/>
                    <w:rPr>
                      <w:b/>
                      <w:bCs/>
                    </w:rPr>
                  </w:pPr>
                  <w:r>
                    <w:rPr>
                      <w:b/>
                      <w:bCs/>
                    </w:rPr>
                    <w:t>单次持续时间</w:t>
                  </w:r>
                  <w:r>
                    <w:rPr>
                      <w:rFonts w:hint="eastAsia"/>
                      <w:b/>
                      <w:bCs/>
                    </w:rPr>
                    <w:t>/</w:t>
                  </w:r>
                  <w:r>
                    <w:rPr>
                      <w:b/>
                      <w:bCs/>
                    </w:rPr>
                    <w:t>h</w:t>
                  </w:r>
                </w:p>
              </w:tc>
              <w:tc>
                <w:tcPr>
                  <w:tcW w:w="403" w:type="pct"/>
                  <w:tcMar>
                    <w:left w:w="28" w:type="dxa"/>
                    <w:right w:w="28" w:type="dxa"/>
                  </w:tcMar>
                  <w:vAlign w:val="center"/>
                </w:tcPr>
                <w:p w14:paraId="30327BE4">
                  <w:pPr>
                    <w:pStyle w:val="66"/>
                    <w:spacing w:line="240" w:lineRule="auto"/>
                    <w:jc w:val="center"/>
                    <w:rPr>
                      <w:b/>
                      <w:bCs/>
                    </w:rPr>
                  </w:pPr>
                  <w:r>
                    <w:rPr>
                      <w:b/>
                      <w:bCs/>
                    </w:rPr>
                    <w:t>年发生频次</w:t>
                  </w:r>
                  <w:r>
                    <w:rPr>
                      <w:rFonts w:hint="eastAsia"/>
                      <w:b/>
                      <w:bCs/>
                    </w:rPr>
                    <w:t>/</w:t>
                  </w:r>
                  <w:r>
                    <w:rPr>
                      <w:b/>
                      <w:bCs/>
                    </w:rPr>
                    <w:t>次</w:t>
                  </w:r>
                </w:p>
              </w:tc>
              <w:tc>
                <w:tcPr>
                  <w:tcW w:w="566" w:type="pct"/>
                  <w:tcMar>
                    <w:left w:w="28" w:type="dxa"/>
                    <w:right w:w="28" w:type="dxa"/>
                  </w:tcMar>
                  <w:vAlign w:val="center"/>
                </w:tcPr>
                <w:p w14:paraId="004E44A0">
                  <w:pPr>
                    <w:pStyle w:val="66"/>
                    <w:spacing w:line="240" w:lineRule="auto"/>
                    <w:jc w:val="center"/>
                    <w:rPr>
                      <w:b/>
                      <w:bCs/>
                    </w:rPr>
                  </w:pPr>
                  <w:r>
                    <w:rPr>
                      <w:rFonts w:hint="eastAsia"/>
                      <w:b/>
                      <w:bCs/>
                    </w:rPr>
                    <w:t>应对</w:t>
                  </w:r>
                </w:p>
                <w:p w14:paraId="0F1D8AAF">
                  <w:pPr>
                    <w:pStyle w:val="66"/>
                    <w:spacing w:line="240" w:lineRule="auto"/>
                    <w:jc w:val="center"/>
                    <w:rPr>
                      <w:b/>
                      <w:bCs/>
                    </w:rPr>
                  </w:pPr>
                  <w:r>
                    <w:rPr>
                      <w:b/>
                      <w:bCs/>
                    </w:rPr>
                    <w:t>措施</w:t>
                  </w:r>
                </w:p>
              </w:tc>
            </w:tr>
            <w:tr w14:paraId="7B64B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8" w:type="pct"/>
                  <w:tcMar>
                    <w:left w:w="28" w:type="dxa"/>
                    <w:right w:w="28" w:type="dxa"/>
                  </w:tcMar>
                  <w:vAlign w:val="center"/>
                </w:tcPr>
                <w:p w14:paraId="42B65040">
                  <w:pPr>
                    <w:pStyle w:val="66"/>
                    <w:spacing w:line="240" w:lineRule="auto"/>
                    <w:jc w:val="center"/>
                  </w:pPr>
                  <w:r>
                    <w:t>1</w:t>
                  </w:r>
                </w:p>
              </w:tc>
              <w:tc>
                <w:tcPr>
                  <w:tcW w:w="465" w:type="pct"/>
                  <w:tcMar>
                    <w:left w:w="28" w:type="dxa"/>
                    <w:right w:w="28" w:type="dxa"/>
                  </w:tcMar>
                  <w:vAlign w:val="center"/>
                </w:tcPr>
                <w:p w14:paraId="3B59A3DD">
                  <w:pPr>
                    <w:pStyle w:val="20"/>
                    <w:spacing w:before="0" w:after="0" w:line="240" w:lineRule="auto"/>
                    <w:ind w:right="0" w:firstLine="0" w:firstLineChars="0"/>
                    <w:jc w:val="center"/>
                    <w:rPr>
                      <w:color w:val="auto"/>
                      <w:sz w:val="21"/>
                      <w:szCs w:val="21"/>
                      <w:lang w:val="en-US"/>
                    </w:rPr>
                  </w:pPr>
                  <w:r>
                    <w:rPr>
                      <w:rFonts w:hint="eastAsia"/>
                      <w:color w:val="auto"/>
                      <w:sz w:val="21"/>
                      <w:szCs w:val="21"/>
                      <w:lang w:val="en-US" w:bidi="ar"/>
                    </w:rPr>
                    <w:t>DA001</w:t>
                  </w:r>
                </w:p>
              </w:tc>
              <w:tc>
                <w:tcPr>
                  <w:tcW w:w="615" w:type="pct"/>
                  <w:vMerge w:val="restart"/>
                  <w:tcMar>
                    <w:left w:w="28" w:type="dxa"/>
                    <w:right w:w="28" w:type="dxa"/>
                  </w:tcMar>
                  <w:vAlign w:val="center"/>
                </w:tcPr>
                <w:p w14:paraId="70755A10">
                  <w:pPr>
                    <w:jc w:val="center"/>
                    <w:rPr>
                      <w:sz w:val="21"/>
                      <w:szCs w:val="21"/>
                    </w:rPr>
                  </w:pPr>
                  <w:r>
                    <w:rPr>
                      <w:sz w:val="21"/>
                      <w:szCs w:val="21"/>
                    </w:rPr>
                    <w:t>废气处理设施故障、检修状况</w:t>
                  </w:r>
                </w:p>
              </w:tc>
              <w:tc>
                <w:tcPr>
                  <w:tcW w:w="816" w:type="pct"/>
                  <w:tcMar>
                    <w:left w:w="28" w:type="dxa"/>
                    <w:right w:w="28" w:type="dxa"/>
                  </w:tcMar>
                  <w:vAlign w:val="center"/>
                </w:tcPr>
                <w:p w14:paraId="66A2CE56">
                  <w:pPr>
                    <w:jc w:val="center"/>
                    <w:rPr>
                      <w:sz w:val="21"/>
                      <w:szCs w:val="21"/>
                    </w:rPr>
                  </w:pPr>
                  <w:r>
                    <w:rPr>
                      <w:sz w:val="21"/>
                      <w:szCs w:val="21"/>
                    </w:rPr>
                    <w:t>非甲烷总烃</w:t>
                  </w:r>
                </w:p>
              </w:tc>
              <w:tc>
                <w:tcPr>
                  <w:tcW w:w="649" w:type="pct"/>
                  <w:tcMar>
                    <w:left w:w="28" w:type="dxa"/>
                    <w:right w:w="28" w:type="dxa"/>
                  </w:tcMar>
                  <w:vAlign w:val="center"/>
                </w:tcPr>
                <w:p w14:paraId="217B6BA7">
                  <w:pPr>
                    <w:jc w:val="center"/>
                    <w:rPr>
                      <w:rFonts w:hint="default" w:eastAsia="宋体"/>
                      <w:color w:val="FF0000"/>
                      <w:sz w:val="21"/>
                      <w:szCs w:val="21"/>
                      <w:lang w:val="en-US" w:eastAsia="zh-CN"/>
                    </w:rPr>
                  </w:pPr>
                  <w:r>
                    <w:rPr>
                      <w:rFonts w:hint="eastAsia"/>
                      <w:color w:val="FF0000"/>
                      <w:sz w:val="21"/>
                      <w:szCs w:val="21"/>
                      <w:lang w:val="en-US" w:eastAsia="zh-CN"/>
                    </w:rPr>
                    <w:t>17.12</w:t>
                  </w:r>
                </w:p>
              </w:tc>
              <w:tc>
                <w:tcPr>
                  <w:tcW w:w="676" w:type="pct"/>
                  <w:tcMar>
                    <w:left w:w="28" w:type="dxa"/>
                    <w:right w:w="28" w:type="dxa"/>
                  </w:tcMar>
                  <w:vAlign w:val="center"/>
                </w:tcPr>
                <w:p w14:paraId="696D8C03">
                  <w:pPr>
                    <w:jc w:val="center"/>
                    <w:rPr>
                      <w:rFonts w:hint="default" w:eastAsia="宋体"/>
                      <w:bCs/>
                      <w:color w:val="FF0000"/>
                      <w:sz w:val="21"/>
                      <w:szCs w:val="21"/>
                      <w:lang w:val="en-US" w:eastAsia="zh-CN"/>
                    </w:rPr>
                  </w:pPr>
                  <w:r>
                    <w:rPr>
                      <w:rFonts w:hint="eastAsia"/>
                      <w:bCs/>
                      <w:color w:val="FF0000"/>
                      <w:sz w:val="21"/>
                      <w:szCs w:val="21"/>
                      <w:lang w:val="en-US" w:eastAsia="zh-CN"/>
                    </w:rPr>
                    <w:t>0.31</w:t>
                  </w:r>
                </w:p>
              </w:tc>
              <w:tc>
                <w:tcPr>
                  <w:tcW w:w="447" w:type="pct"/>
                  <w:tcMar>
                    <w:left w:w="28" w:type="dxa"/>
                    <w:right w:w="28" w:type="dxa"/>
                  </w:tcMar>
                  <w:vAlign w:val="center"/>
                </w:tcPr>
                <w:p w14:paraId="62C8C444">
                  <w:pPr>
                    <w:pStyle w:val="66"/>
                    <w:spacing w:line="240" w:lineRule="auto"/>
                    <w:jc w:val="center"/>
                  </w:pPr>
                  <w:r>
                    <w:rPr>
                      <w:rFonts w:hint="eastAsia"/>
                    </w:rPr>
                    <w:t>1</w:t>
                  </w:r>
                </w:p>
              </w:tc>
              <w:tc>
                <w:tcPr>
                  <w:tcW w:w="403" w:type="pct"/>
                  <w:tcMar>
                    <w:left w:w="28" w:type="dxa"/>
                    <w:right w:w="28" w:type="dxa"/>
                  </w:tcMar>
                  <w:vAlign w:val="center"/>
                </w:tcPr>
                <w:p w14:paraId="161E8E4A">
                  <w:pPr>
                    <w:pStyle w:val="66"/>
                    <w:spacing w:line="240" w:lineRule="auto"/>
                    <w:jc w:val="center"/>
                  </w:pPr>
                  <w:r>
                    <w:rPr>
                      <w:rFonts w:hint="eastAsia"/>
                    </w:rPr>
                    <w:t>1</w:t>
                  </w:r>
                </w:p>
              </w:tc>
              <w:tc>
                <w:tcPr>
                  <w:tcW w:w="566" w:type="pct"/>
                  <w:vMerge w:val="restart"/>
                  <w:tcMar>
                    <w:left w:w="28" w:type="dxa"/>
                    <w:right w:w="28" w:type="dxa"/>
                  </w:tcMar>
                  <w:vAlign w:val="center"/>
                </w:tcPr>
                <w:p w14:paraId="6EA4733F">
                  <w:pPr>
                    <w:pStyle w:val="66"/>
                    <w:spacing w:line="240" w:lineRule="auto"/>
                    <w:jc w:val="center"/>
                  </w:pPr>
                  <w:r>
                    <w:t>加强维护，选用可靠设备，废气日常监测与记录，加强管理</w:t>
                  </w:r>
                </w:p>
              </w:tc>
            </w:tr>
            <w:tr w14:paraId="0CEB3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8" w:type="pct"/>
                  <w:vMerge w:val="restart"/>
                  <w:tcMar>
                    <w:left w:w="28" w:type="dxa"/>
                    <w:right w:w="28" w:type="dxa"/>
                  </w:tcMar>
                  <w:vAlign w:val="center"/>
                </w:tcPr>
                <w:p w14:paraId="42BD5EC8">
                  <w:pPr>
                    <w:pStyle w:val="66"/>
                    <w:spacing w:line="240" w:lineRule="auto"/>
                    <w:jc w:val="center"/>
                  </w:pPr>
                  <w:r>
                    <w:rPr>
                      <w:rFonts w:hint="eastAsia"/>
                    </w:rPr>
                    <w:t>2</w:t>
                  </w:r>
                </w:p>
              </w:tc>
              <w:tc>
                <w:tcPr>
                  <w:tcW w:w="465" w:type="pct"/>
                  <w:vMerge w:val="restart"/>
                  <w:tcMar>
                    <w:left w:w="28" w:type="dxa"/>
                    <w:right w:w="28" w:type="dxa"/>
                  </w:tcMar>
                  <w:vAlign w:val="center"/>
                </w:tcPr>
                <w:p w14:paraId="5DD4EBB7">
                  <w:pPr>
                    <w:pStyle w:val="20"/>
                    <w:spacing w:before="0" w:after="0" w:line="240" w:lineRule="auto"/>
                    <w:ind w:right="0" w:firstLine="0" w:firstLineChars="0"/>
                    <w:jc w:val="center"/>
                    <w:rPr>
                      <w:color w:val="auto"/>
                      <w:sz w:val="21"/>
                      <w:szCs w:val="21"/>
                      <w:lang w:val="en-US" w:bidi="ar"/>
                    </w:rPr>
                  </w:pPr>
                  <w:r>
                    <w:rPr>
                      <w:rFonts w:hint="eastAsia"/>
                      <w:color w:val="auto"/>
                      <w:sz w:val="21"/>
                      <w:szCs w:val="21"/>
                      <w:lang w:val="en-US" w:bidi="ar"/>
                    </w:rPr>
                    <w:t>DA002</w:t>
                  </w:r>
                </w:p>
              </w:tc>
              <w:tc>
                <w:tcPr>
                  <w:tcW w:w="615" w:type="pct"/>
                  <w:vMerge w:val="continue"/>
                  <w:tcMar>
                    <w:left w:w="28" w:type="dxa"/>
                    <w:right w:w="28" w:type="dxa"/>
                  </w:tcMar>
                  <w:vAlign w:val="center"/>
                </w:tcPr>
                <w:p w14:paraId="273AD656">
                  <w:pPr>
                    <w:jc w:val="center"/>
                    <w:rPr>
                      <w:sz w:val="21"/>
                      <w:szCs w:val="21"/>
                    </w:rPr>
                  </w:pPr>
                </w:p>
              </w:tc>
              <w:tc>
                <w:tcPr>
                  <w:tcW w:w="816" w:type="pct"/>
                  <w:tcMar>
                    <w:left w:w="28" w:type="dxa"/>
                    <w:right w:w="28" w:type="dxa"/>
                  </w:tcMar>
                  <w:vAlign w:val="center"/>
                </w:tcPr>
                <w:p w14:paraId="0D25DB15">
                  <w:pPr>
                    <w:jc w:val="center"/>
                    <w:rPr>
                      <w:sz w:val="21"/>
                      <w:szCs w:val="21"/>
                    </w:rPr>
                  </w:pPr>
                  <w:r>
                    <w:rPr>
                      <w:rFonts w:hint="eastAsia"/>
                      <w:sz w:val="21"/>
                      <w:szCs w:val="21"/>
                    </w:rPr>
                    <w:t>氯化氢</w:t>
                  </w:r>
                </w:p>
              </w:tc>
              <w:tc>
                <w:tcPr>
                  <w:tcW w:w="649" w:type="pct"/>
                  <w:tcMar>
                    <w:left w:w="28" w:type="dxa"/>
                    <w:right w:w="28" w:type="dxa"/>
                  </w:tcMar>
                  <w:vAlign w:val="center"/>
                </w:tcPr>
                <w:p w14:paraId="7C0655B7">
                  <w:pPr>
                    <w:jc w:val="center"/>
                    <w:rPr>
                      <w:rFonts w:hint="default" w:eastAsia="宋体"/>
                      <w:color w:val="FF0000"/>
                      <w:sz w:val="21"/>
                      <w:szCs w:val="21"/>
                      <w:lang w:val="en-US" w:eastAsia="zh-CN"/>
                    </w:rPr>
                  </w:pPr>
                  <w:r>
                    <w:rPr>
                      <w:rFonts w:hint="eastAsia"/>
                      <w:color w:val="FF0000"/>
                      <w:sz w:val="21"/>
                      <w:szCs w:val="21"/>
                      <w:lang w:val="en-US" w:eastAsia="zh-CN"/>
                    </w:rPr>
                    <w:t>3.33</w:t>
                  </w:r>
                </w:p>
              </w:tc>
              <w:tc>
                <w:tcPr>
                  <w:tcW w:w="676" w:type="pct"/>
                  <w:tcMar>
                    <w:left w:w="28" w:type="dxa"/>
                    <w:right w:w="28" w:type="dxa"/>
                  </w:tcMar>
                  <w:vAlign w:val="center"/>
                </w:tcPr>
                <w:p w14:paraId="47775F62">
                  <w:pPr>
                    <w:jc w:val="center"/>
                    <w:rPr>
                      <w:rFonts w:hint="default" w:eastAsia="宋体"/>
                      <w:bCs/>
                      <w:color w:val="FF0000"/>
                      <w:sz w:val="21"/>
                      <w:szCs w:val="21"/>
                      <w:lang w:val="en-US" w:eastAsia="zh-CN"/>
                    </w:rPr>
                  </w:pPr>
                  <w:r>
                    <w:rPr>
                      <w:rFonts w:hint="eastAsia"/>
                      <w:bCs/>
                      <w:color w:val="FF0000"/>
                      <w:sz w:val="21"/>
                      <w:szCs w:val="21"/>
                      <w:lang w:val="en-US" w:eastAsia="zh-CN"/>
                    </w:rPr>
                    <w:t>0.06</w:t>
                  </w:r>
                </w:p>
              </w:tc>
              <w:tc>
                <w:tcPr>
                  <w:tcW w:w="447" w:type="pct"/>
                  <w:tcMar>
                    <w:left w:w="28" w:type="dxa"/>
                    <w:right w:w="28" w:type="dxa"/>
                  </w:tcMar>
                  <w:vAlign w:val="center"/>
                </w:tcPr>
                <w:p w14:paraId="69D37DC4">
                  <w:pPr>
                    <w:pStyle w:val="66"/>
                    <w:spacing w:line="240" w:lineRule="auto"/>
                    <w:jc w:val="center"/>
                  </w:pPr>
                  <w:r>
                    <w:rPr>
                      <w:rFonts w:hint="eastAsia"/>
                    </w:rPr>
                    <w:t>1</w:t>
                  </w:r>
                </w:p>
              </w:tc>
              <w:tc>
                <w:tcPr>
                  <w:tcW w:w="403" w:type="pct"/>
                  <w:tcMar>
                    <w:left w:w="28" w:type="dxa"/>
                    <w:right w:w="28" w:type="dxa"/>
                  </w:tcMar>
                  <w:vAlign w:val="center"/>
                </w:tcPr>
                <w:p w14:paraId="715EADA5">
                  <w:pPr>
                    <w:pStyle w:val="66"/>
                    <w:spacing w:line="240" w:lineRule="auto"/>
                    <w:jc w:val="center"/>
                  </w:pPr>
                  <w:r>
                    <w:rPr>
                      <w:rFonts w:hint="eastAsia"/>
                    </w:rPr>
                    <w:t>1</w:t>
                  </w:r>
                </w:p>
              </w:tc>
              <w:tc>
                <w:tcPr>
                  <w:tcW w:w="566" w:type="pct"/>
                  <w:vMerge w:val="continue"/>
                  <w:tcMar>
                    <w:left w:w="28" w:type="dxa"/>
                    <w:right w:w="28" w:type="dxa"/>
                  </w:tcMar>
                  <w:vAlign w:val="center"/>
                </w:tcPr>
                <w:p w14:paraId="32B3CEFE">
                  <w:pPr>
                    <w:pStyle w:val="66"/>
                    <w:spacing w:line="240" w:lineRule="auto"/>
                    <w:jc w:val="center"/>
                  </w:pPr>
                </w:p>
              </w:tc>
            </w:tr>
            <w:tr w14:paraId="42D99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8" w:type="pct"/>
                  <w:vMerge w:val="continue"/>
                  <w:tcMar>
                    <w:left w:w="28" w:type="dxa"/>
                    <w:right w:w="28" w:type="dxa"/>
                  </w:tcMar>
                  <w:vAlign w:val="center"/>
                </w:tcPr>
                <w:p w14:paraId="7DE0C263">
                  <w:pPr>
                    <w:pStyle w:val="66"/>
                    <w:spacing w:line="240" w:lineRule="auto"/>
                    <w:jc w:val="center"/>
                  </w:pPr>
                </w:p>
              </w:tc>
              <w:tc>
                <w:tcPr>
                  <w:tcW w:w="465" w:type="pct"/>
                  <w:vMerge w:val="continue"/>
                  <w:tcMar>
                    <w:left w:w="28" w:type="dxa"/>
                    <w:right w:w="28" w:type="dxa"/>
                  </w:tcMar>
                  <w:vAlign w:val="center"/>
                </w:tcPr>
                <w:p w14:paraId="50CA50AD">
                  <w:pPr>
                    <w:pStyle w:val="20"/>
                    <w:spacing w:before="0" w:after="0" w:line="240" w:lineRule="auto"/>
                    <w:ind w:right="0" w:firstLine="0" w:firstLineChars="0"/>
                    <w:jc w:val="center"/>
                    <w:rPr>
                      <w:color w:val="auto"/>
                      <w:sz w:val="21"/>
                      <w:szCs w:val="21"/>
                      <w:lang w:val="en-US" w:bidi="ar"/>
                    </w:rPr>
                  </w:pPr>
                </w:p>
              </w:tc>
              <w:tc>
                <w:tcPr>
                  <w:tcW w:w="615" w:type="pct"/>
                  <w:vMerge w:val="continue"/>
                  <w:tcMar>
                    <w:left w:w="28" w:type="dxa"/>
                    <w:right w:w="28" w:type="dxa"/>
                  </w:tcMar>
                  <w:vAlign w:val="center"/>
                </w:tcPr>
                <w:p w14:paraId="25CEFEE0">
                  <w:pPr>
                    <w:jc w:val="center"/>
                    <w:rPr>
                      <w:sz w:val="21"/>
                      <w:szCs w:val="21"/>
                    </w:rPr>
                  </w:pPr>
                </w:p>
              </w:tc>
              <w:tc>
                <w:tcPr>
                  <w:tcW w:w="816" w:type="pct"/>
                  <w:tcMar>
                    <w:left w:w="28" w:type="dxa"/>
                    <w:right w:w="28" w:type="dxa"/>
                  </w:tcMar>
                  <w:vAlign w:val="center"/>
                </w:tcPr>
                <w:p w14:paraId="02F5A549">
                  <w:pPr>
                    <w:jc w:val="center"/>
                    <w:rPr>
                      <w:sz w:val="21"/>
                      <w:szCs w:val="21"/>
                    </w:rPr>
                  </w:pPr>
                  <w:r>
                    <w:rPr>
                      <w:rFonts w:hint="eastAsia"/>
                      <w:sz w:val="21"/>
                      <w:szCs w:val="21"/>
                    </w:rPr>
                    <w:t>硫酸雾</w:t>
                  </w:r>
                </w:p>
              </w:tc>
              <w:tc>
                <w:tcPr>
                  <w:tcW w:w="649" w:type="pct"/>
                  <w:tcMar>
                    <w:left w:w="28" w:type="dxa"/>
                    <w:right w:w="28" w:type="dxa"/>
                  </w:tcMar>
                  <w:vAlign w:val="center"/>
                </w:tcPr>
                <w:p w14:paraId="2F417301">
                  <w:pPr>
                    <w:jc w:val="center"/>
                    <w:rPr>
                      <w:rFonts w:hint="default" w:eastAsia="宋体"/>
                      <w:color w:val="FF0000"/>
                      <w:sz w:val="21"/>
                      <w:szCs w:val="21"/>
                      <w:lang w:val="en-US" w:eastAsia="zh-CN"/>
                    </w:rPr>
                  </w:pPr>
                  <w:r>
                    <w:rPr>
                      <w:rFonts w:hint="eastAsia"/>
                      <w:color w:val="FF0000"/>
                      <w:sz w:val="21"/>
                      <w:szCs w:val="21"/>
                      <w:lang w:val="en-US" w:eastAsia="zh-CN"/>
                    </w:rPr>
                    <w:t>0.28</w:t>
                  </w:r>
                </w:p>
              </w:tc>
              <w:tc>
                <w:tcPr>
                  <w:tcW w:w="676" w:type="pct"/>
                  <w:tcMar>
                    <w:left w:w="28" w:type="dxa"/>
                    <w:right w:w="28" w:type="dxa"/>
                  </w:tcMar>
                  <w:vAlign w:val="center"/>
                </w:tcPr>
                <w:p w14:paraId="373B52D5">
                  <w:pPr>
                    <w:jc w:val="center"/>
                    <w:rPr>
                      <w:rFonts w:hint="default" w:eastAsia="宋体"/>
                      <w:bCs/>
                      <w:color w:val="FF0000"/>
                      <w:sz w:val="21"/>
                      <w:szCs w:val="21"/>
                      <w:lang w:val="en-US" w:eastAsia="zh-CN"/>
                    </w:rPr>
                  </w:pPr>
                  <w:r>
                    <w:rPr>
                      <w:rFonts w:hint="eastAsia"/>
                      <w:bCs/>
                      <w:color w:val="FF0000"/>
                      <w:sz w:val="21"/>
                      <w:szCs w:val="21"/>
                      <w:lang w:val="en-US" w:eastAsia="zh-CN"/>
                    </w:rPr>
                    <w:t>0.0051</w:t>
                  </w:r>
                </w:p>
              </w:tc>
              <w:tc>
                <w:tcPr>
                  <w:tcW w:w="447" w:type="pct"/>
                  <w:tcMar>
                    <w:left w:w="28" w:type="dxa"/>
                    <w:right w:w="28" w:type="dxa"/>
                  </w:tcMar>
                  <w:vAlign w:val="center"/>
                </w:tcPr>
                <w:p w14:paraId="0EE470FA">
                  <w:pPr>
                    <w:pStyle w:val="66"/>
                    <w:spacing w:line="240" w:lineRule="auto"/>
                    <w:jc w:val="center"/>
                  </w:pPr>
                  <w:r>
                    <w:rPr>
                      <w:rFonts w:hint="eastAsia"/>
                    </w:rPr>
                    <w:t>1</w:t>
                  </w:r>
                </w:p>
              </w:tc>
              <w:tc>
                <w:tcPr>
                  <w:tcW w:w="403" w:type="pct"/>
                  <w:tcMar>
                    <w:left w:w="28" w:type="dxa"/>
                    <w:right w:w="28" w:type="dxa"/>
                  </w:tcMar>
                  <w:vAlign w:val="center"/>
                </w:tcPr>
                <w:p w14:paraId="1BB129CA">
                  <w:pPr>
                    <w:pStyle w:val="66"/>
                    <w:spacing w:line="240" w:lineRule="auto"/>
                    <w:jc w:val="center"/>
                  </w:pPr>
                  <w:r>
                    <w:rPr>
                      <w:rFonts w:hint="eastAsia"/>
                    </w:rPr>
                    <w:t>1</w:t>
                  </w:r>
                </w:p>
              </w:tc>
              <w:tc>
                <w:tcPr>
                  <w:tcW w:w="566" w:type="pct"/>
                  <w:vMerge w:val="continue"/>
                  <w:tcMar>
                    <w:left w:w="28" w:type="dxa"/>
                    <w:right w:w="28" w:type="dxa"/>
                  </w:tcMar>
                  <w:vAlign w:val="center"/>
                </w:tcPr>
                <w:p w14:paraId="4651BC52">
                  <w:pPr>
                    <w:pStyle w:val="66"/>
                    <w:spacing w:line="240" w:lineRule="auto"/>
                    <w:jc w:val="center"/>
                  </w:pPr>
                </w:p>
              </w:tc>
            </w:tr>
            <w:tr w14:paraId="6659D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8" w:type="pct"/>
                  <w:vMerge w:val="continue"/>
                  <w:tcMar>
                    <w:left w:w="28" w:type="dxa"/>
                    <w:right w:w="28" w:type="dxa"/>
                  </w:tcMar>
                  <w:vAlign w:val="center"/>
                </w:tcPr>
                <w:p w14:paraId="7EA95D9E">
                  <w:pPr>
                    <w:pStyle w:val="66"/>
                    <w:spacing w:line="240" w:lineRule="auto"/>
                    <w:jc w:val="center"/>
                  </w:pPr>
                </w:p>
              </w:tc>
              <w:tc>
                <w:tcPr>
                  <w:tcW w:w="465" w:type="pct"/>
                  <w:vMerge w:val="continue"/>
                  <w:tcMar>
                    <w:left w:w="28" w:type="dxa"/>
                    <w:right w:w="28" w:type="dxa"/>
                  </w:tcMar>
                  <w:vAlign w:val="center"/>
                </w:tcPr>
                <w:p w14:paraId="2754450B">
                  <w:pPr>
                    <w:pStyle w:val="20"/>
                    <w:spacing w:before="0" w:after="0" w:line="240" w:lineRule="auto"/>
                    <w:ind w:right="0" w:firstLine="0" w:firstLineChars="0"/>
                    <w:jc w:val="center"/>
                    <w:rPr>
                      <w:color w:val="auto"/>
                      <w:sz w:val="21"/>
                      <w:szCs w:val="21"/>
                      <w:lang w:val="en-US" w:bidi="ar"/>
                    </w:rPr>
                  </w:pPr>
                </w:p>
              </w:tc>
              <w:tc>
                <w:tcPr>
                  <w:tcW w:w="615" w:type="pct"/>
                  <w:vMerge w:val="continue"/>
                  <w:tcMar>
                    <w:left w:w="28" w:type="dxa"/>
                    <w:right w:w="28" w:type="dxa"/>
                  </w:tcMar>
                  <w:vAlign w:val="center"/>
                </w:tcPr>
                <w:p w14:paraId="4E3B91FD">
                  <w:pPr>
                    <w:jc w:val="center"/>
                    <w:rPr>
                      <w:sz w:val="21"/>
                      <w:szCs w:val="21"/>
                    </w:rPr>
                  </w:pPr>
                </w:p>
              </w:tc>
              <w:tc>
                <w:tcPr>
                  <w:tcW w:w="816" w:type="pct"/>
                  <w:tcMar>
                    <w:left w:w="28" w:type="dxa"/>
                    <w:right w:w="28" w:type="dxa"/>
                  </w:tcMar>
                  <w:vAlign w:val="center"/>
                </w:tcPr>
                <w:p w14:paraId="5EC8B235">
                  <w:pPr>
                    <w:jc w:val="center"/>
                    <w:rPr>
                      <w:kern w:val="0"/>
                      <w:sz w:val="21"/>
                      <w:szCs w:val="21"/>
                      <w:lang w:bidi="en-US"/>
                    </w:rPr>
                  </w:pPr>
                  <w:r>
                    <w:rPr>
                      <w:rFonts w:hint="eastAsia"/>
                      <w:kern w:val="0"/>
                      <w:sz w:val="21"/>
                      <w:szCs w:val="21"/>
                      <w:lang w:bidi="en-US"/>
                    </w:rPr>
                    <w:t>氮氧</w:t>
                  </w:r>
                </w:p>
                <w:p w14:paraId="1253FBE1">
                  <w:pPr>
                    <w:jc w:val="center"/>
                    <w:rPr>
                      <w:sz w:val="21"/>
                      <w:szCs w:val="21"/>
                    </w:rPr>
                  </w:pPr>
                  <w:r>
                    <w:rPr>
                      <w:rFonts w:hint="eastAsia"/>
                      <w:kern w:val="0"/>
                      <w:sz w:val="21"/>
                      <w:szCs w:val="21"/>
                      <w:lang w:bidi="en-US"/>
                    </w:rPr>
                    <w:t>化物</w:t>
                  </w:r>
                </w:p>
              </w:tc>
              <w:tc>
                <w:tcPr>
                  <w:tcW w:w="649" w:type="pct"/>
                  <w:tcMar>
                    <w:left w:w="28" w:type="dxa"/>
                    <w:right w:w="28" w:type="dxa"/>
                  </w:tcMar>
                  <w:vAlign w:val="center"/>
                </w:tcPr>
                <w:p w14:paraId="008003CF">
                  <w:pPr>
                    <w:jc w:val="center"/>
                    <w:rPr>
                      <w:color w:val="FF0000"/>
                      <w:sz w:val="21"/>
                      <w:szCs w:val="21"/>
                    </w:rPr>
                  </w:pPr>
                  <w:r>
                    <w:rPr>
                      <w:rFonts w:hint="eastAsia"/>
                      <w:color w:val="FF0000"/>
                      <w:sz w:val="21"/>
                      <w:szCs w:val="21"/>
                    </w:rPr>
                    <w:t>0.67</w:t>
                  </w:r>
                </w:p>
              </w:tc>
              <w:tc>
                <w:tcPr>
                  <w:tcW w:w="676" w:type="pct"/>
                  <w:tcMar>
                    <w:left w:w="28" w:type="dxa"/>
                    <w:right w:w="28" w:type="dxa"/>
                  </w:tcMar>
                  <w:vAlign w:val="center"/>
                </w:tcPr>
                <w:p w14:paraId="187EAD3E">
                  <w:pPr>
                    <w:jc w:val="center"/>
                    <w:rPr>
                      <w:bCs/>
                      <w:color w:val="FF0000"/>
                      <w:sz w:val="21"/>
                      <w:szCs w:val="21"/>
                    </w:rPr>
                  </w:pPr>
                  <w:r>
                    <w:rPr>
                      <w:rFonts w:hint="eastAsia"/>
                      <w:bCs/>
                      <w:color w:val="FF0000"/>
                      <w:sz w:val="21"/>
                      <w:szCs w:val="21"/>
                    </w:rPr>
                    <w:t>0.012</w:t>
                  </w:r>
                </w:p>
              </w:tc>
              <w:tc>
                <w:tcPr>
                  <w:tcW w:w="447" w:type="pct"/>
                  <w:tcMar>
                    <w:left w:w="28" w:type="dxa"/>
                    <w:right w:w="28" w:type="dxa"/>
                  </w:tcMar>
                  <w:vAlign w:val="center"/>
                </w:tcPr>
                <w:p w14:paraId="255AEB2C">
                  <w:pPr>
                    <w:pStyle w:val="66"/>
                    <w:spacing w:line="240" w:lineRule="auto"/>
                    <w:jc w:val="center"/>
                  </w:pPr>
                  <w:r>
                    <w:rPr>
                      <w:rFonts w:hint="eastAsia"/>
                    </w:rPr>
                    <w:t>1</w:t>
                  </w:r>
                </w:p>
              </w:tc>
              <w:tc>
                <w:tcPr>
                  <w:tcW w:w="403" w:type="pct"/>
                  <w:tcMar>
                    <w:left w:w="28" w:type="dxa"/>
                    <w:right w:w="28" w:type="dxa"/>
                  </w:tcMar>
                  <w:vAlign w:val="center"/>
                </w:tcPr>
                <w:p w14:paraId="516D3124">
                  <w:pPr>
                    <w:pStyle w:val="66"/>
                    <w:spacing w:line="240" w:lineRule="auto"/>
                    <w:jc w:val="center"/>
                  </w:pPr>
                  <w:r>
                    <w:rPr>
                      <w:rFonts w:hint="eastAsia"/>
                    </w:rPr>
                    <w:t>1</w:t>
                  </w:r>
                </w:p>
              </w:tc>
              <w:tc>
                <w:tcPr>
                  <w:tcW w:w="566" w:type="pct"/>
                  <w:vMerge w:val="continue"/>
                  <w:tcMar>
                    <w:left w:w="28" w:type="dxa"/>
                    <w:right w:w="28" w:type="dxa"/>
                  </w:tcMar>
                  <w:vAlign w:val="center"/>
                </w:tcPr>
                <w:p w14:paraId="1FFC58DC">
                  <w:pPr>
                    <w:pStyle w:val="66"/>
                    <w:spacing w:line="240" w:lineRule="auto"/>
                    <w:jc w:val="center"/>
                  </w:pPr>
                </w:p>
              </w:tc>
            </w:tr>
          </w:tbl>
          <w:p w14:paraId="727F919F">
            <w:pPr>
              <w:spacing w:line="360" w:lineRule="auto"/>
              <w:ind w:firstLine="480" w:firstLineChars="200"/>
            </w:pPr>
            <w:r>
              <w:rPr>
                <w:rFonts w:hint="eastAsia"/>
              </w:rPr>
              <w:t>由上表可知，项目实验室有机废气及无机酸性废气产生浓度、产生速率较小，均可满足《大气污染物综合排放标准》（GB16297-1996）表2中相关浓度限值，因此，非正常工况时项目不会出现废气超标排放的情况。</w:t>
            </w:r>
          </w:p>
          <w:p w14:paraId="3E81FBFA">
            <w:pPr>
              <w:pStyle w:val="21"/>
              <w:adjustRightInd/>
              <w:snapToGrid/>
              <w:spacing w:line="360" w:lineRule="auto"/>
              <w:ind w:firstLine="452"/>
              <w:rPr>
                <w:rFonts w:ascii="Times New Roman" w:hAnsi="Times New Roman"/>
                <w:b w:val="0"/>
                <w:bCs/>
                <w:color w:val="000000" w:themeColor="text1"/>
                <w14:textFill>
                  <w14:solidFill>
                    <w14:schemeClr w14:val="tx1"/>
                  </w14:solidFill>
                </w14:textFill>
              </w:rPr>
            </w:pPr>
            <w:r>
              <w:rPr>
                <w:rFonts w:ascii="Times New Roman" w:hAnsi="Times New Roman"/>
                <w:b w:val="0"/>
                <w:bCs/>
                <w:color w:val="000000" w:themeColor="text1"/>
                <w14:textFill>
                  <w14:solidFill>
                    <w14:schemeClr w14:val="tx1"/>
                  </w14:solidFill>
                </w14:textFill>
              </w:rPr>
              <w:t>企业目前已有较为完善的环境管理机构和环境管理制度，环境管理工作由总经理作为总负责，环境主管分管环保，负责项目环保设施运行、例行监测、环境污染事故处理及配合当地环保部门环保执法等工作；同时企业已设置环保设施齐备，环境管理档案分类分年度装订，资料和台账完善整齐，污染物处理装置日常运行状况和监测记录连续、完整，指标符合环境管理要求。本次搬迁项目建成后纳入该体系进行管理。</w:t>
            </w:r>
          </w:p>
          <w:p w14:paraId="07B3F61A">
            <w:pPr>
              <w:pStyle w:val="21"/>
              <w:adjustRightInd/>
              <w:snapToGrid/>
              <w:spacing w:line="360" w:lineRule="auto"/>
              <w:ind w:firstLine="452"/>
              <w:rPr>
                <w:rFonts w:ascii="Times New Roman" w:hAnsi="Times New Roman"/>
                <w:b w:val="0"/>
                <w:bCs/>
                <w:color w:val="000000" w:themeColor="text1"/>
                <w14:textFill>
                  <w14:solidFill>
                    <w14:schemeClr w14:val="tx1"/>
                  </w14:solidFill>
                </w14:textFill>
              </w:rPr>
            </w:pPr>
            <w:r>
              <w:rPr>
                <w:rFonts w:ascii="Times New Roman" w:hAnsi="Times New Roman"/>
                <w:b w:val="0"/>
                <w:bCs/>
                <w:color w:val="000000" w:themeColor="text1"/>
                <w14:textFill>
                  <w14:solidFill>
                    <w14:schemeClr w14:val="tx1"/>
                  </w14:solidFill>
                </w14:textFill>
              </w:rPr>
              <w:t>经调查，企业现有环境管理制度中</w:t>
            </w:r>
            <w:r>
              <w:rPr>
                <w:rFonts w:hint="eastAsia" w:ascii="Times New Roman" w:hAnsi="Times New Roman"/>
                <w:b w:val="0"/>
                <w:bCs/>
                <w:color w:val="000000" w:themeColor="text1"/>
                <w14:textFill>
                  <w14:solidFill>
                    <w14:schemeClr w14:val="tx1"/>
                  </w14:solidFill>
                </w14:textFill>
              </w:rPr>
              <w:t>环保设施运行管理制度</w:t>
            </w:r>
            <w:r>
              <w:rPr>
                <w:rFonts w:ascii="Times New Roman" w:hAnsi="Times New Roman"/>
                <w:b w:val="0"/>
                <w:bCs/>
                <w:color w:val="000000" w:themeColor="text1"/>
                <w14:textFill>
                  <w14:solidFill>
                    <w14:schemeClr w14:val="tx1"/>
                  </w14:solidFill>
                </w14:textFill>
              </w:rPr>
              <w:t>未更新，本次搬迁项目建成后企业应</w:t>
            </w:r>
            <w:r>
              <w:rPr>
                <w:rFonts w:hint="eastAsia" w:ascii="Times New Roman" w:hAnsi="Times New Roman"/>
                <w:b w:val="0"/>
                <w:bCs/>
                <w:color w:val="000000" w:themeColor="text1"/>
                <w14:textFill>
                  <w14:solidFill>
                    <w14:schemeClr w14:val="tx1"/>
                  </w14:solidFill>
                </w14:textFill>
              </w:rPr>
              <w:t>根据现行环保要求，更新该制度。建设单位在该制度中应特别注意以下几点：</w:t>
            </w:r>
          </w:p>
          <w:p w14:paraId="69D3CA78">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①由专人负责环保设备的日常维护和管理，每隔固定时间检查、汇报情况，及时发现废气处理设备的隐患，确保废气处理系统正常运行；</w:t>
            </w:r>
          </w:p>
          <w:p w14:paraId="589F1E56">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②定期更换填料及对喷淋塔排水，确保废气污染物达标排放；</w:t>
            </w:r>
          </w:p>
          <w:p w14:paraId="5B4843B3">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③应定期维护、检修废气处理装置，以保持废气处理装置的处理能力和处理容量。</w:t>
            </w:r>
          </w:p>
          <w:p w14:paraId="7D0E92A5">
            <w:pPr>
              <w:pStyle w:val="21"/>
              <w:adjustRightInd/>
              <w:snapToGrid/>
              <w:spacing w:line="360" w:lineRule="auto"/>
              <w:ind w:firstLine="452"/>
              <w:rPr>
                <w:color w:val="000000" w:themeColor="text1"/>
                <w14:textFill>
                  <w14:solidFill>
                    <w14:schemeClr w14:val="tx1"/>
                  </w14:solidFill>
                </w14:textFill>
              </w:rPr>
            </w:pPr>
            <w:r>
              <w:rPr>
                <w:rFonts w:hint="eastAsia" w:ascii="Times New Roman" w:hAnsi="Times New Roman"/>
                <w:b w:val="0"/>
                <w:bCs/>
                <w:color w:val="000000" w:themeColor="text1"/>
                <w14:textFill>
                  <w14:solidFill>
                    <w14:schemeClr w14:val="tx1"/>
                  </w14:solidFill>
                </w14:textFill>
              </w:rPr>
              <w:t>（5）</w:t>
            </w:r>
            <w:r>
              <w:rPr>
                <w:rFonts w:ascii="Times New Roman" w:hAnsi="Times New Roman"/>
                <w:b w:val="0"/>
                <w:bCs/>
                <w:color w:val="000000" w:themeColor="text1"/>
                <w14:textFill>
                  <w14:solidFill>
                    <w14:schemeClr w14:val="tx1"/>
                  </w14:solidFill>
                </w14:textFill>
              </w:rPr>
              <w:t>达标情况分析</w:t>
            </w:r>
          </w:p>
          <w:p w14:paraId="29F909A1">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本项目实验室有机前处理及实验过程产生的有机废气（以非甲烷总烃计）经通风橱/</w:t>
            </w:r>
            <w:r>
              <w:rPr>
                <w:rFonts w:hint="eastAsia"/>
                <w:color w:val="000000" w:themeColor="text1"/>
                <w:lang w:eastAsia="zh-CN"/>
                <w14:textFill>
                  <w14:solidFill>
                    <w14:schemeClr w14:val="tx1"/>
                  </w14:solidFill>
                </w14:textFill>
              </w:rPr>
              <w:t>万向罩</w:t>
            </w:r>
            <w:r>
              <w:rPr>
                <w:rFonts w:hint="eastAsia"/>
                <w:color w:val="000000" w:themeColor="text1"/>
                <w14:textFill>
                  <w14:solidFill>
                    <w14:schemeClr w14:val="tx1"/>
                  </w14:solidFill>
                </w14:textFill>
              </w:rPr>
              <w:t>上方排风管道收集后汇集到总排风管道上，引至楼顶两级活性炭吸附装置处理后经35m高排气筒（DA001）排放。非甲烷总烃有组织排放速率为</w:t>
            </w:r>
            <w:r>
              <w:rPr>
                <w:rFonts w:hint="eastAsia"/>
                <w:color w:val="FF0000"/>
                <w:lang w:val="en-US" w:eastAsia="zh-CN"/>
              </w:rPr>
              <w:t>0.0024</w:t>
            </w:r>
            <w:r>
              <w:rPr>
                <w:rFonts w:hint="eastAsia"/>
                <w:color w:val="FF0000"/>
              </w:rPr>
              <w:t>kg/h</w:t>
            </w:r>
            <w:r>
              <w:rPr>
                <w:rFonts w:hint="eastAsia"/>
                <w:color w:val="000000" w:themeColor="text1"/>
                <w14:textFill>
                  <w14:solidFill>
                    <w14:schemeClr w14:val="tx1"/>
                  </w14:solidFill>
                </w14:textFill>
              </w:rPr>
              <w:t>，排放浓度为</w:t>
            </w:r>
            <w:r>
              <w:rPr>
                <w:rFonts w:hint="eastAsia"/>
                <w:color w:val="FF0000"/>
              </w:rPr>
              <w:t>0.</w:t>
            </w:r>
            <w:r>
              <w:rPr>
                <w:rFonts w:hint="eastAsia"/>
                <w:color w:val="FF0000"/>
                <w:lang w:val="en-US" w:eastAsia="zh-CN"/>
              </w:rPr>
              <w:t>134</w:t>
            </w:r>
            <w:r>
              <w:rPr>
                <w:rFonts w:hint="eastAsia"/>
                <w:color w:val="FF0000"/>
              </w:rPr>
              <w:t>mg/m</w:t>
            </w:r>
            <w:r>
              <w:rPr>
                <w:rFonts w:hint="eastAsia"/>
                <w:color w:val="FF0000"/>
                <w:vertAlign w:val="superscript"/>
              </w:rPr>
              <w:t>3</w:t>
            </w:r>
            <w:r>
              <w:rPr>
                <w:rFonts w:hint="eastAsia"/>
                <w:color w:val="000000" w:themeColor="text1"/>
                <w14:textFill>
                  <w14:solidFill>
                    <w14:schemeClr w14:val="tx1"/>
                  </w14:solidFill>
                </w14:textFill>
              </w:rPr>
              <w:t>，均满足</w:t>
            </w:r>
            <w:r>
              <w:rPr>
                <w:color w:val="000000" w:themeColor="text1"/>
                <w14:textFill>
                  <w14:solidFill>
                    <w14:schemeClr w14:val="tx1"/>
                  </w14:solidFill>
                </w14:textFill>
              </w:rPr>
              <w:t>《大气污染物综合排放标准》（GB</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16297-1996）</w:t>
            </w:r>
            <w:r>
              <w:rPr>
                <w:rFonts w:hint="eastAsia"/>
                <w:color w:val="000000" w:themeColor="text1"/>
                <w14:textFill>
                  <w14:solidFill>
                    <w14:schemeClr w14:val="tx1"/>
                  </w14:solidFill>
                </w14:textFill>
              </w:rPr>
              <w:t>表2中非甲烷总烃35m高排气筒限值（采用内插法计算）的50%。</w:t>
            </w:r>
          </w:p>
          <w:p w14:paraId="123444A7">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无机前处理产生的无机酸性废气（氯化氢、硫酸雾、氮氧化物）经通风橱/</w:t>
            </w:r>
            <w:r>
              <w:rPr>
                <w:rFonts w:hint="eastAsia"/>
                <w:color w:val="000000" w:themeColor="text1"/>
                <w:lang w:eastAsia="zh-CN"/>
                <w14:textFill>
                  <w14:solidFill>
                    <w14:schemeClr w14:val="tx1"/>
                  </w14:solidFill>
                </w14:textFill>
              </w:rPr>
              <w:t>万向罩</w:t>
            </w:r>
            <w:r>
              <w:rPr>
                <w:rFonts w:hint="eastAsia"/>
                <w:color w:val="000000" w:themeColor="text1"/>
                <w14:textFill>
                  <w14:solidFill>
                    <w14:schemeClr w14:val="tx1"/>
                  </w14:solidFill>
                </w14:textFill>
              </w:rPr>
              <w:t>/吸风罩上方排风管道收集后汇集到总排风管道上，引至楼顶喷淋塔装置处理后经35m高排气筒（DA002）排放。氯化氢、硫酸雾、氮氧化物有组织排放速率分别为</w:t>
            </w:r>
            <w:r>
              <w:rPr>
                <w:rFonts w:hint="eastAsia"/>
                <w:color w:val="FF0000"/>
              </w:rPr>
              <w:t>0.0</w:t>
            </w:r>
            <w:r>
              <w:rPr>
                <w:rFonts w:hint="eastAsia"/>
                <w:color w:val="FF0000"/>
                <w:lang w:val="en-US" w:eastAsia="zh-CN"/>
              </w:rPr>
              <w:t>12</w:t>
            </w:r>
            <w:r>
              <w:rPr>
                <w:rFonts w:hint="eastAsia"/>
                <w:color w:val="FF0000"/>
              </w:rPr>
              <w:t>kg/h、0.0</w:t>
            </w:r>
            <w:r>
              <w:rPr>
                <w:rFonts w:hint="eastAsia"/>
                <w:color w:val="FF0000"/>
                <w:lang w:val="en-US" w:eastAsia="zh-CN"/>
              </w:rPr>
              <w:t>0102</w:t>
            </w:r>
            <w:r>
              <w:rPr>
                <w:rFonts w:hint="eastAsia"/>
                <w:color w:val="FF0000"/>
              </w:rPr>
              <w:t>kg/h、0.0024kg/h</w:t>
            </w:r>
            <w:r>
              <w:rPr>
                <w:rFonts w:hint="eastAsia"/>
                <w:color w:val="000000" w:themeColor="text1"/>
                <w14:textFill>
                  <w14:solidFill>
                    <w14:schemeClr w14:val="tx1"/>
                  </w14:solidFill>
                </w14:textFill>
              </w:rPr>
              <w:t>，排放浓度分别为</w:t>
            </w:r>
            <w:r>
              <w:rPr>
                <w:rFonts w:hint="eastAsia"/>
                <w:color w:val="FF0000"/>
              </w:rPr>
              <w:t>0.</w:t>
            </w:r>
            <w:r>
              <w:rPr>
                <w:rFonts w:hint="eastAsia"/>
                <w:color w:val="FF0000"/>
                <w:lang w:val="en-US" w:eastAsia="zh-CN"/>
              </w:rPr>
              <w:t>67</w:t>
            </w:r>
            <w:r>
              <w:rPr>
                <w:rFonts w:hint="eastAsia"/>
                <w:color w:val="FF0000"/>
              </w:rPr>
              <w:t>mg/m</w:t>
            </w:r>
            <w:r>
              <w:rPr>
                <w:rFonts w:hint="eastAsia"/>
                <w:color w:val="FF0000"/>
                <w:vertAlign w:val="superscript"/>
              </w:rPr>
              <w:t>3</w:t>
            </w:r>
            <w:r>
              <w:rPr>
                <w:rFonts w:hint="eastAsia"/>
                <w:color w:val="FF0000"/>
              </w:rPr>
              <w:t>、0.</w:t>
            </w:r>
            <w:r>
              <w:rPr>
                <w:rFonts w:hint="eastAsia"/>
                <w:color w:val="FF0000"/>
                <w:lang w:val="en-US" w:eastAsia="zh-CN"/>
              </w:rPr>
              <w:t>056</w:t>
            </w:r>
            <w:r>
              <w:rPr>
                <w:rFonts w:hint="eastAsia"/>
                <w:color w:val="FF0000"/>
              </w:rPr>
              <w:t>mg/m</w:t>
            </w:r>
            <w:r>
              <w:rPr>
                <w:rFonts w:hint="eastAsia"/>
                <w:color w:val="FF0000"/>
                <w:vertAlign w:val="superscript"/>
              </w:rPr>
              <w:t>3</w:t>
            </w:r>
            <w:r>
              <w:rPr>
                <w:rFonts w:hint="eastAsia"/>
                <w:color w:val="FF0000"/>
              </w:rPr>
              <w:t>、0.134mg/m</w:t>
            </w:r>
            <w:r>
              <w:rPr>
                <w:rFonts w:hint="eastAsia"/>
                <w:color w:val="FF0000"/>
                <w:vertAlign w:val="superscript"/>
              </w:rPr>
              <w:t>3</w:t>
            </w:r>
            <w:r>
              <w:rPr>
                <w:rFonts w:hint="eastAsia"/>
                <w:color w:val="000000" w:themeColor="text1"/>
                <w14:textFill>
                  <w14:solidFill>
                    <w14:schemeClr w14:val="tx1"/>
                  </w14:solidFill>
                </w14:textFill>
              </w:rPr>
              <w:t>，均满足</w:t>
            </w:r>
            <w:r>
              <w:rPr>
                <w:color w:val="000000" w:themeColor="text1"/>
                <w14:textFill>
                  <w14:solidFill>
                    <w14:schemeClr w14:val="tx1"/>
                  </w14:solidFill>
                </w14:textFill>
              </w:rPr>
              <w:t>《大气污染物综合排放标准》（GB</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16297-1996）</w:t>
            </w:r>
            <w:r>
              <w:rPr>
                <w:rFonts w:hint="eastAsia"/>
                <w:color w:val="000000" w:themeColor="text1"/>
                <w14:textFill>
                  <w14:solidFill>
                    <w14:schemeClr w14:val="tx1"/>
                  </w14:solidFill>
                </w14:textFill>
              </w:rPr>
              <w:t>表2中氯化氢、硫酸雾、</w:t>
            </w:r>
            <w:r>
              <w:rPr>
                <w:rFonts w:hint="eastAsia"/>
                <w:color w:val="000000" w:themeColor="text1"/>
                <w:kern w:val="0"/>
                <w:lang w:bidi="en-US"/>
                <w14:textFill>
                  <w14:solidFill>
                    <w14:schemeClr w14:val="tx1"/>
                  </w14:solidFill>
                </w14:textFill>
              </w:rPr>
              <w:t>氮氧化物</w:t>
            </w:r>
            <w:r>
              <w:rPr>
                <w:rFonts w:hint="eastAsia"/>
                <w:color w:val="000000" w:themeColor="text1"/>
                <w14:textFill>
                  <w14:solidFill>
                    <w14:schemeClr w14:val="tx1"/>
                  </w14:solidFill>
                </w14:textFill>
              </w:rPr>
              <w:t>35m高排气筒限值（采用内插法计算）的50%。</w:t>
            </w:r>
          </w:p>
          <w:p w14:paraId="5AFE4178">
            <w:pPr>
              <w:widowControl/>
              <w:spacing w:line="360" w:lineRule="auto"/>
              <w:ind w:firstLine="480" w:firstLineChars="200"/>
              <w:jc w:val="left"/>
            </w:pPr>
            <w:r>
              <w:rPr>
                <w:rFonts w:hint="eastAsia"/>
                <w:color w:val="000000" w:themeColor="text1"/>
                <w14:textFill>
                  <w14:solidFill>
                    <w14:schemeClr w14:val="tx1"/>
                  </w14:solidFill>
                </w14:textFill>
              </w:rPr>
              <w:t>综上，本项目废气经过以上措施处理后可达标排放，对周围环境产生影响较小，措施具有可行</w:t>
            </w:r>
            <w:r>
              <w:rPr>
                <w:rFonts w:hint="eastAsia"/>
              </w:rPr>
              <w:t>性。</w:t>
            </w:r>
          </w:p>
          <w:p w14:paraId="639A8451">
            <w:pPr>
              <w:spacing w:line="360" w:lineRule="auto"/>
              <w:ind w:firstLine="482" w:firstLineChars="200"/>
              <w:rPr>
                <w:b/>
                <w:bCs/>
              </w:rPr>
            </w:pPr>
            <w:r>
              <w:rPr>
                <w:b/>
                <w:bCs/>
              </w:rPr>
              <w:t>排气筒设置合理性分析：</w:t>
            </w:r>
          </w:p>
          <w:p w14:paraId="5D667920">
            <w:pPr>
              <w:spacing w:line="360" w:lineRule="auto"/>
              <w:ind w:firstLine="480" w:firstLineChars="200"/>
            </w:pPr>
            <w:r>
              <w:t>根据《大气污染物综合排放标准》（GB 16297-1996）中</w:t>
            </w:r>
            <w:r>
              <w:rPr>
                <w:rFonts w:hint="eastAsia"/>
              </w:rPr>
              <w:t>7.1</w:t>
            </w:r>
            <w:r>
              <w:t>要求：</w:t>
            </w:r>
            <w:r>
              <w:rPr>
                <w:rFonts w:hint="eastAsia"/>
              </w:rPr>
              <w:t>“</w:t>
            </w:r>
            <w:r>
              <w:t>排气筒高度除须遵守表列排放速率标准值外，还应高出周围200m半径范围的建筑5m以上，不能达到该要求的排气筒，应按其高度对应的表列排放速率标准值严格50%执行</w:t>
            </w:r>
            <w:r>
              <w:rPr>
                <w:rFonts w:hint="eastAsia"/>
              </w:rPr>
              <w:t>”</w:t>
            </w:r>
            <w:r>
              <w:t>。经现场调查，本项目周边200m范围内最高建筑为</w:t>
            </w:r>
            <w:r>
              <w:rPr>
                <w:rFonts w:hint="eastAsia"/>
              </w:rPr>
              <w:t>园区东北侧天地源兰樾坊，</w:t>
            </w:r>
            <w:r>
              <w:t>高度约</w:t>
            </w:r>
            <w:r>
              <w:rPr>
                <w:rFonts w:hint="eastAsia"/>
              </w:rPr>
              <w:t>92</w:t>
            </w:r>
            <w:r>
              <w:t>m，本项目排气筒高度</w:t>
            </w:r>
            <w:r>
              <w:rPr>
                <w:rFonts w:hint="eastAsia"/>
              </w:rPr>
              <w:t>均</w:t>
            </w:r>
            <w:r>
              <w:t>为</w:t>
            </w:r>
            <w:r>
              <w:rPr>
                <w:rFonts w:hint="eastAsia"/>
              </w:rPr>
              <w:t>35</w:t>
            </w:r>
            <w:r>
              <w:t>m</w:t>
            </w:r>
            <w:r>
              <w:rPr>
                <w:rFonts w:hint="eastAsia"/>
              </w:rPr>
              <w:t>，</w:t>
            </w:r>
            <w:r>
              <w:t>因此</w:t>
            </w:r>
            <w:r>
              <w:rPr>
                <w:rFonts w:hint="eastAsia"/>
              </w:rPr>
              <w:t>，</w:t>
            </w:r>
            <w:r>
              <w:t>本项目</w:t>
            </w:r>
            <w:r>
              <w:rPr>
                <w:rFonts w:hint="eastAsia"/>
              </w:rPr>
              <w:t>各废气</w:t>
            </w:r>
            <w:r>
              <w:t>排放速率标准值严格50%执行</w:t>
            </w:r>
            <w:r>
              <w:rPr>
                <w:rFonts w:hint="eastAsia"/>
              </w:rPr>
              <w:t>，</w:t>
            </w:r>
            <w:r>
              <w:t>排气筒高度设置合理。</w:t>
            </w:r>
          </w:p>
          <w:p w14:paraId="130BCBEF">
            <w:pPr>
              <w:pStyle w:val="21"/>
              <w:adjustRightInd/>
              <w:snapToGrid/>
              <w:spacing w:line="360" w:lineRule="auto"/>
              <w:ind w:firstLine="452"/>
              <w:rPr>
                <w:rFonts w:ascii="Times New Roman" w:hAnsi="Times New Roman"/>
                <w:b w:val="0"/>
                <w:bCs/>
              </w:rPr>
            </w:pPr>
            <w:r>
              <w:rPr>
                <w:rFonts w:hint="eastAsia" w:ascii="Times New Roman" w:hAnsi="Times New Roman"/>
                <w:b w:val="0"/>
                <w:bCs/>
              </w:rPr>
              <w:t>（6）</w:t>
            </w:r>
            <w:r>
              <w:rPr>
                <w:rFonts w:ascii="Times New Roman" w:hAnsi="Times New Roman"/>
                <w:b w:val="0"/>
                <w:bCs/>
              </w:rPr>
              <w:t>监测计划</w:t>
            </w:r>
          </w:p>
          <w:p w14:paraId="7A2C1779">
            <w:pPr>
              <w:tabs>
                <w:tab w:val="left" w:pos="3836"/>
              </w:tabs>
              <w:spacing w:line="360" w:lineRule="auto"/>
              <w:ind w:firstLine="480"/>
              <w:rPr>
                <w:szCs w:val="21"/>
              </w:rPr>
            </w:pPr>
            <w:r>
              <w:rPr>
                <w:szCs w:val="21"/>
              </w:rPr>
              <w:t>参考《排污单位自行监测技术指南  总则》（HJ 819-2017）相关要求，提出企业废</w:t>
            </w:r>
            <w:r>
              <w:rPr>
                <w:rFonts w:hint="eastAsia"/>
                <w:szCs w:val="21"/>
              </w:rPr>
              <w:t>气</w:t>
            </w:r>
            <w:r>
              <w:rPr>
                <w:szCs w:val="21"/>
              </w:rPr>
              <w:t>自行监测计划，详见表4-</w:t>
            </w:r>
            <w:r>
              <w:rPr>
                <w:rFonts w:hint="eastAsia"/>
                <w:szCs w:val="21"/>
              </w:rPr>
              <w:t>8</w:t>
            </w:r>
            <w:r>
              <w:rPr>
                <w:szCs w:val="21"/>
              </w:rPr>
              <w:t>。</w:t>
            </w:r>
          </w:p>
          <w:p w14:paraId="41DE4B5D">
            <w:pPr>
              <w:jc w:val="center"/>
              <w:rPr>
                <w:b/>
                <w:sz w:val="21"/>
                <w:szCs w:val="18"/>
              </w:rPr>
            </w:pPr>
            <w:r>
              <w:rPr>
                <w:b/>
                <w:sz w:val="21"/>
                <w:szCs w:val="18"/>
              </w:rPr>
              <w:t>表4-</w:t>
            </w:r>
            <w:r>
              <w:rPr>
                <w:rFonts w:hint="eastAsia"/>
                <w:b/>
                <w:sz w:val="21"/>
                <w:szCs w:val="18"/>
              </w:rPr>
              <w:t>8</w:t>
            </w:r>
            <w:r>
              <w:rPr>
                <w:b/>
                <w:sz w:val="21"/>
                <w:szCs w:val="18"/>
              </w:rPr>
              <w:t xml:space="preserve">  项目运营期废气监测计划一览表</w:t>
            </w:r>
          </w:p>
          <w:tbl>
            <w:tblPr>
              <w:tblStyle w:val="2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91"/>
              <w:gridCol w:w="1407"/>
              <w:gridCol w:w="1378"/>
              <w:gridCol w:w="1178"/>
              <w:gridCol w:w="2934"/>
            </w:tblGrid>
            <w:tr w14:paraId="6426A0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36" w:type="pct"/>
                  <w:shd w:val="clear" w:color="auto" w:fill="auto"/>
                  <w:vAlign w:val="center"/>
                </w:tcPr>
                <w:p w14:paraId="1AC48632">
                  <w:pPr>
                    <w:jc w:val="center"/>
                    <w:rPr>
                      <w:b/>
                      <w:sz w:val="21"/>
                      <w:szCs w:val="21"/>
                    </w:rPr>
                  </w:pPr>
                  <w:r>
                    <w:rPr>
                      <w:b/>
                      <w:sz w:val="21"/>
                      <w:szCs w:val="21"/>
                    </w:rPr>
                    <w:t>排放形式</w:t>
                  </w:r>
                </w:p>
              </w:tc>
              <w:tc>
                <w:tcPr>
                  <w:tcW w:w="869" w:type="pct"/>
                  <w:shd w:val="clear" w:color="auto" w:fill="auto"/>
                  <w:vAlign w:val="center"/>
                </w:tcPr>
                <w:p w14:paraId="5B99E0F5">
                  <w:pPr>
                    <w:jc w:val="center"/>
                    <w:rPr>
                      <w:b/>
                      <w:sz w:val="21"/>
                      <w:szCs w:val="21"/>
                    </w:rPr>
                  </w:pPr>
                  <w:r>
                    <w:rPr>
                      <w:b/>
                      <w:sz w:val="21"/>
                      <w:szCs w:val="21"/>
                    </w:rPr>
                    <w:t>监测</w:t>
                  </w:r>
                  <w:r>
                    <w:rPr>
                      <w:rFonts w:hint="eastAsia"/>
                      <w:b/>
                      <w:sz w:val="21"/>
                      <w:szCs w:val="21"/>
                    </w:rPr>
                    <w:t>点位</w:t>
                  </w:r>
                </w:p>
              </w:tc>
              <w:tc>
                <w:tcPr>
                  <w:tcW w:w="851" w:type="pct"/>
                  <w:shd w:val="clear" w:color="auto" w:fill="auto"/>
                  <w:vAlign w:val="center"/>
                </w:tcPr>
                <w:p w14:paraId="6A6036EC">
                  <w:pPr>
                    <w:jc w:val="center"/>
                    <w:rPr>
                      <w:b/>
                      <w:sz w:val="21"/>
                      <w:szCs w:val="21"/>
                    </w:rPr>
                  </w:pPr>
                  <w:r>
                    <w:rPr>
                      <w:b/>
                      <w:sz w:val="21"/>
                      <w:szCs w:val="21"/>
                    </w:rPr>
                    <w:t>监测指标</w:t>
                  </w:r>
                </w:p>
              </w:tc>
              <w:tc>
                <w:tcPr>
                  <w:tcW w:w="728" w:type="pct"/>
                  <w:shd w:val="clear" w:color="auto" w:fill="auto"/>
                  <w:vAlign w:val="center"/>
                </w:tcPr>
                <w:p w14:paraId="0D3BC5C4">
                  <w:pPr>
                    <w:jc w:val="center"/>
                    <w:rPr>
                      <w:b/>
                      <w:sz w:val="21"/>
                      <w:szCs w:val="21"/>
                    </w:rPr>
                  </w:pPr>
                  <w:r>
                    <w:rPr>
                      <w:b/>
                      <w:sz w:val="21"/>
                      <w:szCs w:val="21"/>
                    </w:rPr>
                    <w:t>监测频次</w:t>
                  </w:r>
                </w:p>
              </w:tc>
              <w:tc>
                <w:tcPr>
                  <w:tcW w:w="1813" w:type="pct"/>
                  <w:shd w:val="clear" w:color="auto" w:fill="auto"/>
                  <w:vAlign w:val="center"/>
                </w:tcPr>
                <w:p w14:paraId="02DBACDD">
                  <w:pPr>
                    <w:jc w:val="center"/>
                    <w:rPr>
                      <w:b/>
                      <w:sz w:val="21"/>
                      <w:szCs w:val="21"/>
                    </w:rPr>
                  </w:pPr>
                  <w:r>
                    <w:rPr>
                      <w:b/>
                      <w:sz w:val="21"/>
                      <w:szCs w:val="21"/>
                    </w:rPr>
                    <w:t>执行标准</w:t>
                  </w:r>
                </w:p>
              </w:tc>
            </w:tr>
            <w:tr w14:paraId="5F080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736" w:type="pct"/>
                  <w:vMerge w:val="restart"/>
                  <w:shd w:val="clear" w:color="auto" w:fill="auto"/>
                  <w:vAlign w:val="center"/>
                </w:tcPr>
                <w:p w14:paraId="14C7E494">
                  <w:pPr>
                    <w:jc w:val="center"/>
                    <w:rPr>
                      <w:bCs/>
                      <w:sz w:val="21"/>
                      <w:szCs w:val="21"/>
                    </w:rPr>
                  </w:pPr>
                  <w:r>
                    <w:rPr>
                      <w:bCs/>
                      <w:sz w:val="21"/>
                      <w:szCs w:val="21"/>
                    </w:rPr>
                    <w:t>有组织</w:t>
                  </w:r>
                </w:p>
              </w:tc>
              <w:tc>
                <w:tcPr>
                  <w:tcW w:w="869" w:type="pct"/>
                  <w:shd w:val="clear" w:color="auto" w:fill="auto"/>
                  <w:vAlign w:val="center"/>
                </w:tcPr>
                <w:p w14:paraId="6B30F5ED">
                  <w:pPr>
                    <w:jc w:val="center"/>
                    <w:rPr>
                      <w:bCs/>
                      <w:sz w:val="21"/>
                      <w:szCs w:val="21"/>
                    </w:rPr>
                  </w:pPr>
                  <w:r>
                    <w:rPr>
                      <w:rFonts w:hint="eastAsia"/>
                      <w:bCs/>
                      <w:sz w:val="21"/>
                      <w:szCs w:val="21"/>
                    </w:rPr>
                    <w:t>排气筒出口（</w:t>
                  </w:r>
                  <w:r>
                    <w:rPr>
                      <w:bCs/>
                      <w:sz w:val="21"/>
                      <w:szCs w:val="21"/>
                    </w:rPr>
                    <w:t>DA00</w:t>
                  </w:r>
                  <w:r>
                    <w:rPr>
                      <w:rFonts w:hint="eastAsia"/>
                      <w:bCs/>
                      <w:sz w:val="21"/>
                      <w:szCs w:val="21"/>
                    </w:rPr>
                    <w:t>1）</w:t>
                  </w:r>
                </w:p>
              </w:tc>
              <w:tc>
                <w:tcPr>
                  <w:tcW w:w="851" w:type="pct"/>
                  <w:shd w:val="clear" w:color="auto" w:fill="auto"/>
                  <w:vAlign w:val="center"/>
                </w:tcPr>
                <w:p w14:paraId="1D24C207">
                  <w:pPr>
                    <w:jc w:val="center"/>
                    <w:rPr>
                      <w:bCs/>
                      <w:sz w:val="21"/>
                      <w:szCs w:val="21"/>
                    </w:rPr>
                  </w:pPr>
                  <w:r>
                    <w:rPr>
                      <w:kern w:val="0"/>
                      <w:sz w:val="21"/>
                      <w:szCs w:val="21"/>
                      <w:lang w:bidi="en-US"/>
                    </w:rPr>
                    <w:t>非甲烷总烃</w:t>
                  </w:r>
                </w:p>
              </w:tc>
              <w:tc>
                <w:tcPr>
                  <w:tcW w:w="728" w:type="pct"/>
                  <w:shd w:val="clear" w:color="auto" w:fill="auto"/>
                  <w:vAlign w:val="center"/>
                </w:tcPr>
                <w:p w14:paraId="29DE7628">
                  <w:pPr>
                    <w:jc w:val="center"/>
                    <w:rPr>
                      <w:b/>
                      <w:sz w:val="21"/>
                      <w:szCs w:val="21"/>
                    </w:rPr>
                  </w:pPr>
                  <w:r>
                    <w:rPr>
                      <w:bCs/>
                      <w:sz w:val="21"/>
                      <w:szCs w:val="21"/>
                    </w:rPr>
                    <w:t>1次</w:t>
                  </w:r>
                  <w:r>
                    <w:rPr>
                      <w:rFonts w:hint="eastAsia"/>
                      <w:bCs/>
                      <w:sz w:val="21"/>
                      <w:szCs w:val="21"/>
                    </w:rPr>
                    <w:t>/年</w:t>
                  </w:r>
                </w:p>
              </w:tc>
              <w:tc>
                <w:tcPr>
                  <w:tcW w:w="1813" w:type="pct"/>
                  <w:vMerge w:val="restart"/>
                  <w:shd w:val="clear" w:color="auto" w:fill="auto"/>
                  <w:vAlign w:val="center"/>
                </w:tcPr>
                <w:p w14:paraId="72227D1C">
                  <w:pPr>
                    <w:jc w:val="center"/>
                    <w:rPr>
                      <w:sz w:val="21"/>
                      <w:szCs w:val="21"/>
                    </w:rPr>
                  </w:pPr>
                  <w:r>
                    <w:rPr>
                      <w:sz w:val="21"/>
                      <w:szCs w:val="21"/>
                    </w:rPr>
                    <w:t>《大气污染物综合排放标准》（GB16297-1996）</w:t>
                  </w:r>
                  <w:r>
                    <w:rPr>
                      <w:rFonts w:hint="eastAsia"/>
                      <w:sz w:val="21"/>
                      <w:szCs w:val="21"/>
                    </w:rPr>
                    <w:t>表2</w:t>
                  </w:r>
                  <w:r>
                    <w:rPr>
                      <w:sz w:val="21"/>
                      <w:szCs w:val="21"/>
                    </w:rPr>
                    <w:t>二级标准</w:t>
                  </w:r>
                </w:p>
              </w:tc>
            </w:tr>
            <w:tr w14:paraId="43BF9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736" w:type="pct"/>
                  <w:vMerge w:val="continue"/>
                  <w:shd w:val="clear" w:color="auto" w:fill="auto"/>
                  <w:vAlign w:val="center"/>
                </w:tcPr>
                <w:p w14:paraId="3CB0A92B">
                  <w:pPr>
                    <w:jc w:val="center"/>
                    <w:rPr>
                      <w:bCs/>
                      <w:sz w:val="21"/>
                      <w:szCs w:val="21"/>
                    </w:rPr>
                  </w:pPr>
                </w:p>
              </w:tc>
              <w:tc>
                <w:tcPr>
                  <w:tcW w:w="869" w:type="pct"/>
                  <w:vMerge w:val="restart"/>
                  <w:shd w:val="clear" w:color="auto" w:fill="auto"/>
                  <w:vAlign w:val="center"/>
                </w:tcPr>
                <w:p w14:paraId="57258CF9">
                  <w:pPr>
                    <w:jc w:val="center"/>
                    <w:rPr>
                      <w:bCs/>
                      <w:sz w:val="21"/>
                      <w:szCs w:val="21"/>
                    </w:rPr>
                  </w:pPr>
                  <w:r>
                    <w:rPr>
                      <w:rFonts w:hint="eastAsia"/>
                      <w:bCs/>
                      <w:sz w:val="21"/>
                      <w:szCs w:val="21"/>
                    </w:rPr>
                    <w:t>排气筒出口（</w:t>
                  </w:r>
                  <w:r>
                    <w:rPr>
                      <w:bCs/>
                      <w:sz w:val="21"/>
                      <w:szCs w:val="21"/>
                    </w:rPr>
                    <w:t>DA00</w:t>
                  </w:r>
                  <w:r>
                    <w:rPr>
                      <w:rFonts w:hint="eastAsia"/>
                      <w:bCs/>
                      <w:sz w:val="21"/>
                      <w:szCs w:val="21"/>
                    </w:rPr>
                    <w:t>2）</w:t>
                  </w:r>
                </w:p>
              </w:tc>
              <w:tc>
                <w:tcPr>
                  <w:tcW w:w="851" w:type="pct"/>
                  <w:shd w:val="clear" w:color="auto" w:fill="auto"/>
                  <w:vAlign w:val="center"/>
                </w:tcPr>
                <w:p w14:paraId="71E7E6CE">
                  <w:pPr>
                    <w:jc w:val="center"/>
                    <w:rPr>
                      <w:kern w:val="0"/>
                      <w:sz w:val="21"/>
                      <w:szCs w:val="21"/>
                      <w:lang w:bidi="en-US"/>
                    </w:rPr>
                  </w:pPr>
                  <w:r>
                    <w:rPr>
                      <w:rFonts w:hint="eastAsia"/>
                      <w:kern w:val="0"/>
                      <w:sz w:val="21"/>
                      <w:szCs w:val="21"/>
                      <w:lang w:bidi="en-US"/>
                    </w:rPr>
                    <w:t>氯化氢</w:t>
                  </w:r>
                </w:p>
              </w:tc>
              <w:tc>
                <w:tcPr>
                  <w:tcW w:w="728" w:type="pct"/>
                  <w:shd w:val="clear" w:color="auto" w:fill="auto"/>
                  <w:vAlign w:val="center"/>
                </w:tcPr>
                <w:p w14:paraId="4E61B268">
                  <w:pPr>
                    <w:jc w:val="center"/>
                    <w:rPr>
                      <w:bCs/>
                      <w:sz w:val="21"/>
                      <w:szCs w:val="21"/>
                    </w:rPr>
                  </w:pPr>
                  <w:r>
                    <w:rPr>
                      <w:bCs/>
                      <w:sz w:val="21"/>
                      <w:szCs w:val="21"/>
                    </w:rPr>
                    <w:t>1次</w:t>
                  </w:r>
                  <w:r>
                    <w:rPr>
                      <w:rFonts w:hint="eastAsia"/>
                      <w:bCs/>
                      <w:sz w:val="21"/>
                      <w:szCs w:val="21"/>
                    </w:rPr>
                    <w:t>/年</w:t>
                  </w:r>
                </w:p>
              </w:tc>
              <w:tc>
                <w:tcPr>
                  <w:tcW w:w="1813" w:type="pct"/>
                  <w:vMerge w:val="continue"/>
                  <w:shd w:val="clear" w:color="auto" w:fill="auto"/>
                  <w:vAlign w:val="center"/>
                </w:tcPr>
                <w:p w14:paraId="07DFA73D">
                  <w:pPr>
                    <w:jc w:val="center"/>
                    <w:rPr>
                      <w:sz w:val="21"/>
                      <w:szCs w:val="21"/>
                    </w:rPr>
                  </w:pPr>
                </w:p>
              </w:tc>
            </w:tr>
            <w:tr w14:paraId="1A5283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736" w:type="pct"/>
                  <w:vMerge w:val="continue"/>
                  <w:shd w:val="clear" w:color="auto" w:fill="auto"/>
                  <w:vAlign w:val="center"/>
                </w:tcPr>
                <w:p w14:paraId="2A651EBE">
                  <w:pPr>
                    <w:jc w:val="center"/>
                    <w:rPr>
                      <w:bCs/>
                      <w:sz w:val="21"/>
                      <w:szCs w:val="21"/>
                    </w:rPr>
                  </w:pPr>
                </w:p>
              </w:tc>
              <w:tc>
                <w:tcPr>
                  <w:tcW w:w="869" w:type="pct"/>
                  <w:vMerge w:val="continue"/>
                  <w:shd w:val="clear" w:color="auto" w:fill="auto"/>
                  <w:vAlign w:val="center"/>
                </w:tcPr>
                <w:p w14:paraId="0F723963">
                  <w:pPr>
                    <w:jc w:val="center"/>
                    <w:rPr>
                      <w:bCs/>
                      <w:sz w:val="21"/>
                      <w:szCs w:val="21"/>
                    </w:rPr>
                  </w:pPr>
                </w:p>
              </w:tc>
              <w:tc>
                <w:tcPr>
                  <w:tcW w:w="851" w:type="pct"/>
                  <w:shd w:val="clear" w:color="auto" w:fill="auto"/>
                  <w:vAlign w:val="center"/>
                </w:tcPr>
                <w:p w14:paraId="6DE4B714">
                  <w:pPr>
                    <w:jc w:val="center"/>
                    <w:rPr>
                      <w:kern w:val="0"/>
                      <w:sz w:val="21"/>
                      <w:szCs w:val="21"/>
                      <w:lang w:bidi="en-US"/>
                    </w:rPr>
                  </w:pPr>
                  <w:r>
                    <w:rPr>
                      <w:rFonts w:hint="eastAsia"/>
                      <w:kern w:val="0"/>
                      <w:sz w:val="21"/>
                      <w:szCs w:val="21"/>
                      <w:lang w:bidi="en-US"/>
                    </w:rPr>
                    <w:t>硫酸雾</w:t>
                  </w:r>
                </w:p>
              </w:tc>
              <w:tc>
                <w:tcPr>
                  <w:tcW w:w="728" w:type="pct"/>
                  <w:shd w:val="clear" w:color="auto" w:fill="auto"/>
                  <w:vAlign w:val="center"/>
                </w:tcPr>
                <w:p w14:paraId="414C8BED">
                  <w:pPr>
                    <w:jc w:val="center"/>
                    <w:rPr>
                      <w:bCs/>
                      <w:sz w:val="21"/>
                      <w:szCs w:val="21"/>
                    </w:rPr>
                  </w:pPr>
                  <w:r>
                    <w:rPr>
                      <w:bCs/>
                      <w:sz w:val="21"/>
                      <w:szCs w:val="21"/>
                    </w:rPr>
                    <w:t>1次</w:t>
                  </w:r>
                  <w:r>
                    <w:rPr>
                      <w:rFonts w:hint="eastAsia"/>
                      <w:bCs/>
                      <w:sz w:val="21"/>
                      <w:szCs w:val="21"/>
                    </w:rPr>
                    <w:t>/年</w:t>
                  </w:r>
                </w:p>
              </w:tc>
              <w:tc>
                <w:tcPr>
                  <w:tcW w:w="1813" w:type="pct"/>
                  <w:vMerge w:val="continue"/>
                  <w:shd w:val="clear" w:color="auto" w:fill="auto"/>
                  <w:vAlign w:val="center"/>
                </w:tcPr>
                <w:p w14:paraId="5A6114F9">
                  <w:pPr>
                    <w:jc w:val="center"/>
                    <w:rPr>
                      <w:sz w:val="21"/>
                      <w:szCs w:val="21"/>
                    </w:rPr>
                  </w:pPr>
                </w:p>
              </w:tc>
            </w:tr>
            <w:tr w14:paraId="41FC1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736" w:type="pct"/>
                  <w:vMerge w:val="continue"/>
                  <w:shd w:val="clear" w:color="auto" w:fill="auto"/>
                  <w:vAlign w:val="center"/>
                </w:tcPr>
                <w:p w14:paraId="792E2D0D">
                  <w:pPr>
                    <w:jc w:val="center"/>
                    <w:rPr>
                      <w:bCs/>
                      <w:sz w:val="21"/>
                      <w:szCs w:val="21"/>
                    </w:rPr>
                  </w:pPr>
                </w:p>
              </w:tc>
              <w:tc>
                <w:tcPr>
                  <w:tcW w:w="869" w:type="pct"/>
                  <w:vMerge w:val="continue"/>
                  <w:shd w:val="clear" w:color="auto" w:fill="auto"/>
                  <w:vAlign w:val="center"/>
                </w:tcPr>
                <w:p w14:paraId="77CFA79F">
                  <w:pPr>
                    <w:jc w:val="center"/>
                    <w:rPr>
                      <w:bCs/>
                      <w:sz w:val="21"/>
                      <w:szCs w:val="21"/>
                    </w:rPr>
                  </w:pPr>
                </w:p>
              </w:tc>
              <w:tc>
                <w:tcPr>
                  <w:tcW w:w="851" w:type="pct"/>
                  <w:shd w:val="clear" w:color="auto" w:fill="auto"/>
                  <w:vAlign w:val="center"/>
                </w:tcPr>
                <w:p w14:paraId="1E749FFB">
                  <w:pPr>
                    <w:jc w:val="center"/>
                    <w:rPr>
                      <w:kern w:val="0"/>
                      <w:sz w:val="21"/>
                      <w:szCs w:val="21"/>
                      <w:lang w:bidi="en-US"/>
                    </w:rPr>
                  </w:pPr>
                  <w:r>
                    <w:rPr>
                      <w:rFonts w:hint="eastAsia"/>
                      <w:kern w:val="0"/>
                      <w:sz w:val="21"/>
                      <w:szCs w:val="21"/>
                      <w:lang w:bidi="en-US"/>
                    </w:rPr>
                    <w:t>氮氧化物</w:t>
                  </w:r>
                </w:p>
              </w:tc>
              <w:tc>
                <w:tcPr>
                  <w:tcW w:w="728" w:type="pct"/>
                  <w:shd w:val="clear" w:color="auto" w:fill="auto"/>
                  <w:vAlign w:val="center"/>
                </w:tcPr>
                <w:p w14:paraId="26181797">
                  <w:pPr>
                    <w:jc w:val="center"/>
                    <w:rPr>
                      <w:bCs/>
                      <w:sz w:val="21"/>
                      <w:szCs w:val="21"/>
                    </w:rPr>
                  </w:pPr>
                  <w:r>
                    <w:rPr>
                      <w:bCs/>
                      <w:sz w:val="21"/>
                      <w:szCs w:val="21"/>
                    </w:rPr>
                    <w:t>1次</w:t>
                  </w:r>
                  <w:r>
                    <w:rPr>
                      <w:rFonts w:hint="eastAsia"/>
                      <w:bCs/>
                      <w:sz w:val="21"/>
                      <w:szCs w:val="21"/>
                    </w:rPr>
                    <w:t>/年</w:t>
                  </w:r>
                </w:p>
              </w:tc>
              <w:tc>
                <w:tcPr>
                  <w:tcW w:w="1813" w:type="pct"/>
                  <w:vMerge w:val="continue"/>
                  <w:shd w:val="clear" w:color="auto" w:fill="auto"/>
                  <w:vAlign w:val="center"/>
                </w:tcPr>
                <w:p w14:paraId="00E72EC6">
                  <w:pPr>
                    <w:jc w:val="center"/>
                    <w:rPr>
                      <w:sz w:val="21"/>
                      <w:szCs w:val="21"/>
                    </w:rPr>
                  </w:pPr>
                </w:p>
              </w:tc>
            </w:tr>
            <w:tr w14:paraId="5E308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36" w:type="pct"/>
                  <w:vMerge w:val="restart"/>
                  <w:shd w:val="clear" w:color="auto" w:fill="auto"/>
                  <w:vAlign w:val="center"/>
                </w:tcPr>
                <w:p w14:paraId="5C612C1C">
                  <w:pPr>
                    <w:jc w:val="center"/>
                    <w:rPr>
                      <w:bCs/>
                      <w:sz w:val="21"/>
                      <w:szCs w:val="21"/>
                    </w:rPr>
                  </w:pPr>
                  <w:r>
                    <w:rPr>
                      <w:bCs/>
                      <w:sz w:val="21"/>
                      <w:szCs w:val="21"/>
                    </w:rPr>
                    <w:t>无组织</w:t>
                  </w:r>
                </w:p>
              </w:tc>
              <w:tc>
                <w:tcPr>
                  <w:tcW w:w="869" w:type="pct"/>
                  <w:vMerge w:val="restart"/>
                  <w:shd w:val="clear" w:color="auto" w:fill="auto"/>
                  <w:vAlign w:val="center"/>
                </w:tcPr>
                <w:p w14:paraId="3D14C9D3">
                  <w:pPr>
                    <w:jc w:val="center"/>
                    <w:rPr>
                      <w:bCs/>
                      <w:sz w:val="21"/>
                      <w:szCs w:val="21"/>
                    </w:rPr>
                  </w:pPr>
                  <w:r>
                    <w:rPr>
                      <w:sz w:val="21"/>
                      <w:szCs w:val="18"/>
                    </w:rPr>
                    <w:t>周界外</w:t>
                  </w:r>
                </w:p>
              </w:tc>
              <w:tc>
                <w:tcPr>
                  <w:tcW w:w="851" w:type="pct"/>
                  <w:shd w:val="clear" w:color="auto" w:fill="auto"/>
                  <w:vAlign w:val="center"/>
                </w:tcPr>
                <w:p w14:paraId="4F33B65C">
                  <w:pPr>
                    <w:jc w:val="center"/>
                    <w:rPr>
                      <w:bCs/>
                      <w:sz w:val="21"/>
                      <w:szCs w:val="21"/>
                    </w:rPr>
                  </w:pPr>
                  <w:r>
                    <w:rPr>
                      <w:kern w:val="0"/>
                      <w:sz w:val="21"/>
                      <w:szCs w:val="21"/>
                      <w:lang w:bidi="en-US"/>
                    </w:rPr>
                    <w:t>非甲烷总烃</w:t>
                  </w:r>
                </w:p>
              </w:tc>
              <w:tc>
                <w:tcPr>
                  <w:tcW w:w="728" w:type="pct"/>
                  <w:shd w:val="clear" w:color="auto" w:fill="auto"/>
                  <w:vAlign w:val="center"/>
                </w:tcPr>
                <w:p w14:paraId="114E6FCD">
                  <w:pPr>
                    <w:jc w:val="center"/>
                    <w:rPr>
                      <w:bCs/>
                      <w:sz w:val="21"/>
                      <w:szCs w:val="21"/>
                    </w:rPr>
                  </w:pPr>
                  <w:r>
                    <w:rPr>
                      <w:bCs/>
                      <w:sz w:val="21"/>
                      <w:szCs w:val="21"/>
                    </w:rPr>
                    <w:t>1次</w:t>
                  </w:r>
                  <w:r>
                    <w:rPr>
                      <w:rFonts w:hint="eastAsia"/>
                      <w:bCs/>
                      <w:sz w:val="21"/>
                      <w:szCs w:val="21"/>
                    </w:rPr>
                    <w:t>/年</w:t>
                  </w:r>
                </w:p>
              </w:tc>
              <w:tc>
                <w:tcPr>
                  <w:tcW w:w="1813" w:type="pct"/>
                  <w:vMerge w:val="restart"/>
                  <w:shd w:val="clear" w:color="auto" w:fill="auto"/>
                  <w:vAlign w:val="center"/>
                </w:tcPr>
                <w:p w14:paraId="7E57E339">
                  <w:pPr>
                    <w:jc w:val="center"/>
                    <w:rPr>
                      <w:bCs/>
                      <w:sz w:val="21"/>
                      <w:szCs w:val="21"/>
                    </w:rPr>
                  </w:pPr>
                  <w:r>
                    <w:rPr>
                      <w:sz w:val="21"/>
                      <w:szCs w:val="21"/>
                    </w:rPr>
                    <w:t>《大气污染物综合排放标准》（GB16297-1996）</w:t>
                  </w:r>
                  <w:r>
                    <w:rPr>
                      <w:rFonts w:hint="eastAsia"/>
                      <w:sz w:val="21"/>
                      <w:szCs w:val="21"/>
                    </w:rPr>
                    <w:t>表2</w:t>
                  </w:r>
                  <w:r>
                    <w:rPr>
                      <w:sz w:val="21"/>
                      <w:szCs w:val="21"/>
                    </w:rPr>
                    <w:t>无组织限值</w:t>
                  </w:r>
                </w:p>
              </w:tc>
            </w:tr>
            <w:tr w14:paraId="51E35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736" w:type="pct"/>
                  <w:vMerge w:val="continue"/>
                  <w:shd w:val="clear" w:color="auto" w:fill="auto"/>
                  <w:vAlign w:val="center"/>
                </w:tcPr>
                <w:p w14:paraId="559562AC">
                  <w:pPr>
                    <w:jc w:val="center"/>
                    <w:rPr>
                      <w:bCs/>
                      <w:sz w:val="21"/>
                      <w:szCs w:val="21"/>
                    </w:rPr>
                  </w:pPr>
                </w:p>
              </w:tc>
              <w:tc>
                <w:tcPr>
                  <w:tcW w:w="869" w:type="pct"/>
                  <w:vMerge w:val="continue"/>
                  <w:shd w:val="clear" w:color="auto" w:fill="auto"/>
                  <w:vAlign w:val="center"/>
                </w:tcPr>
                <w:p w14:paraId="27BBF234">
                  <w:pPr>
                    <w:jc w:val="center"/>
                    <w:rPr>
                      <w:sz w:val="21"/>
                      <w:szCs w:val="18"/>
                    </w:rPr>
                  </w:pPr>
                </w:p>
              </w:tc>
              <w:tc>
                <w:tcPr>
                  <w:tcW w:w="851" w:type="pct"/>
                  <w:shd w:val="clear" w:color="auto" w:fill="auto"/>
                  <w:vAlign w:val="center"/>
                </w:tcPr>
                <w:p w14:paraId="7E2C792A">
                  <w:pPr>
                    <w:jc w:val="center"/>
                    <w:rPr>
                      <w:kern w:val="0"/>
                      <w:sz w:val="21"/>
                      <w:szCs w:val="21"/>
                      <w:lang w:bidi="en-US"/>
                    </w:rPr>
                  </w:pPr>
                  <w:r>
                    <w:rPr>
                      <w:rFonts w:hint="eastAsia"/>
                      <w:kern w:val="0"/>
                      <w:sz w:val="21"/>
                      <w:szCs w:val="21"/>
                      <w:lang w:bidi="en-US"/>
                    </w:rPr>
                    <w:t>氯化氢</w:t>
                  </w:r>
                </w:p>
              </w:tc>
              <w:tc>
                <w:tcPr>
                  <w:tcW w:w="728" w:type="pct"/>
                  <w:shd w:val="clear" w:color="auto" w:fill="auto"/>
                  <w:vAlign w:val="center"/>
                </w:tcPr>
                <w:p w14:paraId="2C56636A">
                  <w:pPr>
                    <w:jc w:val="center"/>
                    <w:rPr>
                      <w:bCs/>
                      <w:sz w:val="21"/>
                      <w:szCs w:val="21"/>
                    </w:rPr>
                  </w:pPr>
                  <w:r>
                    <w:rPr>
                      <w:bCs/>
                      <w:sz w:val="21"/>
                      <w:szCs w:val="21"/>
                    </w:rPr>
                    <w:t>1次</w:t>
                  </w:r>
                  <w:r>
                    <w:rPr>
                      <w:rFonts w:hint="eastAsia"/>
                      <w:bCs/>
                      <w:sz w:val="21"/>
                      <w:szCs w:val="21"/>
                    </w:rPr>
                    <w:t>/年</w:t>
                  </w:r>
                </w:p>
              </w:tc>
              <w:tc>
                <w:tcPr>
                  <w:tcW w:w="1813" w:type="pct"/>
                  <w:vMerge w:val="continue"/>
                  <w:shd w:val="clear" w:color="auto" w:fill="auto"/>
                  <w:vAlign w:val="center"/>
                </w:tcPr>
                <w:p w14:paraId="50B98C3F">
                  <w:pPr>
                    <w:jc w:val="center"/>
                    <w:rPr>
                      <w:sz w:val="21"/>
                      <w:szCs w:val="21"/>
                    </w:rPr>
                  </w:pPr>
                </w:p>
              </w:tc>
            </w:tr>
            <w:tr w14:paraId="777DF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36" w:type="pct"/>
                  <w:vMerge w:val="continue"/>
                  <w:shd w:val="clear" w:color="auto" w:fill="auto"/>
                  <w:vAlign w:val="center"/>
                </w:tcPr>
                <w:p w14:paraId="6AC36D0D">
                  <w:pPr>
                    <w:jc w:val="center"/>
                    <w:rPr>
                      <w:bCs/>
                      <w:sz w:val="21"/>
                      <w:szCs w:val="21"/>
                    </w:rPr>
                  </w:pPr>
                </w:p>
              </w:tc>
              <w:tc>
                <w:tcPr>
                  <w:tcW w:w="869" w:type="pct"/>
                  <w:vMerge w:val="continue"/>
                  <w:shd w:val="clear" w:color="auto" w:fill="auto"/>
                  <w:vAlign w:val="center"/>
                </w:tcPr>
                <w:p w14:paraId="257D5405">
                  <w:pPr>
                    <w:jc w:val="center"/>
                    <w:rPr>
                      <w:sz w:val="21"/>
                      <w:szCs w:val="18"/>
                    </w:rPr>
                  </w:pPr>
                </w:p>
              </w:tc>
              <w:tc>
                <w:tcPr>
                  <w:tcW w:w="851" w:type="pct"/>
                  <w:shd w:val="clear" w:color="auto" w:fill="auto"/>
                  <w:vAlign w:val="center"/>
                </w:tcPr>
                <w:p w14:paraId="7B9B1BE5">
                  <w:pPr>
                    <w:jc w:val="center"/>
                    <w:rPr>
                      <w:kern w:val="0"/>
                      <w:sz w:val="21"/>
                      <w:szCs w:val="21"/>
                      <w:lang w:bidi="en-US"/>
                    </w:rPr>
                  </w:pPr>
                  <w:r>
                    <w:rPr>
                      <w:rFonts w:hint="eastAsia"/>
                      <w:kern w:val="0"/>
                      <w:sz w:val="21"/>
                      <w:szCs w:val="21"/>
                      <w:lang w:bidi="en-US"/>
                    </w:rPr>
                    <w:t>硫酸雾</w:t>
                  </w:r>
                </w:p>
              </w:tc>
              <w:tc>
                <w:tcPr>
                  <w:tcW w:w="728" w:type="pct"/>
                  <w:shd w:val="clear" w:color="auto" w:fill="auto"/>
                  <w:vAlign w:val="center"/>
                </w:tcPr>
                <w:p w14:paraId="23977E2C">
                  <w:pPr>
                    <w:jc w:val="center"/>
                    <w:rPr>
                      <w:bCs/>
                      <w:sz w:val="21"/>
                      <w:szCs w:val="21"/>
                    </w:rPr>
                  </w:pPr>
                  <w:r>
                    <w:rPr>
                      <w:bCs/>
                      <w:sz w:val="21"/>
                      <w:szCs w:val="21"/>
                    </w:rPr>
                    <w:t>1次</w:t>
                  </w:r>
                  <w:r>
                    <w:rPr>
                      <w:rFonts w:hint="eastAsia"/>
                      <w:bCs/>
                      <w:sz w:val="21"/>
                      <w:szCs w:val="21"/>
                    </w:rPr>
                    <w:t>/年</w:t>
                  </w:r>
                </w:p>
              </w:tc>
              <w:tc>
                <w:tcPr>
                  <w:tcW w:w="1813" w:type="pct"/>
                  <w:vMerge w:val="continue"/>
                  <w:shd w:val="clear" w:color="auto" w:fill="auto"/>
                  <w:vAlign w:val="center"/>
                </w:tcPr>
                <w:p w14:paraId="424051FB">
                  <w:pPr>
                    <w:jc w:val="center"/>
                    <w:rPr>
                      <w:sz w:val="21"/>
                      <w:szCs w:val="21"/>
                    </w:rPr>
                  </w:pPr>
                </w:p>
              </w:tc>
            </w:tr>
            <w:tr w14:paraId="02051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36" w:type="pct"/>
                  <w:vMerge w:val="continue"/>
                  <w:shd w:val="clear" w:color="auto" w:fill="auto"/>
                  <w:vAlign w:val="center"/>
                </w:tcPr>
                <w:p w14:paraId="68599C68">
                  <w:pPr>
                    <w:jc w:val="center"/>
                    <w:rPr>
                      <w:bCs/>
                      <w:sz w:val="21"/>
                      <w:szCs w:val="21"/>
                    </w:rPr>
                  </w:pPr>
                </w:p>
              </w:tc>
              <w:tc>
                <w:tcPr>
                  <w:tcW w:w="869" w:type="pct"/>
                  <w:vMerge w:val="continue"/>
                  <w:shd w:val="clear" w:color="auto" w:fill="auto"/>
                  <w:vAlign w:val="center"/>
                </w:tcPr>
                <w:p w14:paraId="636274FF">
                  <w:pPr>
                    <w:jc w:val="center"/>
                    <w:rPr>
                      <w:sz w:val="21"/>
                      <w:szCs w:val="18"/>
                    </w:rPr>
                  </w:pPr>
                </w:p>
              </w:tc>
              <w:tc>
                <w:tcPr>
                  <w:tcW w:w="851" w:type="pct"/>
                  <w:shd w:val="clear" w:color="auto" w:fill="auto"/>
                  <w:vAlign w:val="center"/>
                </w:tcPr>
                <w:p w14:paraId="40625B73">
                  <w:pPr>
                    <w:jc w:val="center"/>
                    <w:rPr>
                      <w:kern w:val="0"/>
                      <w:sz w:val="21"/>
                      <w:szCs w:val="21"/>
                      <w:lang w:bidi="en-US"/>
                    </w:rPr>
                  </w:pPr>
                  <w:r>
                    <w:rPr>
                      <w:rFonts w:hint="eastAsia"/>
                      <w:kern w:val="0"/>
                      <w:sz w:val="21"/>
                      <w:szCs w:val="21"/>
                      <w:lang w:bidi="en-US"/>
                    </w:rPr>
                    <w:t>氮氧化物</w:t>
                  </w:r>
                </w:p>
              </w:tc>
              <w:tc>
                <w:tcPr>
                  <w:tcW w:w="728" w:type="pct"/>
                  <w:shd w:val="clear" w:color="auto" w:fill="auto"/>
                  <w:vAlign w:val="center"/>
                </w:tcPr>
                <w:p w14:paraId="7AFEE67C">
                  <w:pPr>
                    <w:jc w:val="center"/>
                    <w:rPr>
                      <w:bCs/>
                      <w:sz w:val="21"/>
                      <w:szCs w:val="21"/>
                    </w:rPr>
                  </w:pPr>
                  <w:r>
                    <w:rPr>
                      <w:bCs/>
                      <w:sz w:val="21"/>
                      <w:szCs w:val="21"/>
                    </w:rPr>
                    <w:t>1次</w:t>
                  </w:r>
                  <w:r>
                    <w:rPr>
                      <w:rFonts w:hint="eastAsia"/>
                      <w:bCs/>
                      <w:sz w:val="21"/>
                      <w:szCs w:val="21"/>
                    </w:rPr>
                    <w:t>/年</w:t>
                  </w:r>
                </w:p>
              </w:tc>
              <w:tc>
                <w:tcPr>
                  <w:tcW w:w="1813" w:type="pct"/>
                  <w:vMerge w:val="continue"/>
                  <w:shd w:val="clear" w:color="auto" w:fill="auto"/>
                  <w:vAlign w:val="center"/>
                </w:tcPr>
                <w:p w14:paraId="717DB11C">
                  <w:pPr>
                    <w:jc w:val="center"/>
                    <w:rPr>
                      <w:sz w:val="21"/>
                      <w:szCs w:val="21"/>
                    </w:rPr>
                  </w:pPr>
                </w:p>
              </w:tc>
            </w:tr>
            <w:tr w14:paraId="1756FF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36" w:type="pct"/>
                  <w:vMerge w:val="continue"/>
                  <w:shd w:val="clear" w:color="auto" w:fill="auto"/>
                  <w:vAlign w:val="center"/>
                </w:tcPr>
                <w:p w14:paraId="61216A12">
                  <w:pPr>
                    <w:jc w:val="center"/>
                    <w:rPr>
                      <w:bCs/>
                      <w:sz w:val="21"/>
                      <w:szCs w:val="21"/>
                    </w:rPr>
                  </w:pPr>
                </w:p>
              </w:tc>
              <w:tc>
                <w:tcPr>
                  <w:tcW w:w="869" w:type="pct"/>
                  <w:vMerge w:val="continue"/>
                  <w:shd w:val="clear" w:color="auto" w:fill="auto"/>
                  <w:vAlign w:val="center"/>
                </w:tcPr>
                <w:p w14:paraId="7761ED17">
                  <w:pPr>
                    <w:jc w:val="center"/>
                    <w:rPr>
                      <w:sz w:val="21"/>
                      <w:szCs w:val="18"/>
                    </w:rPr>
                  </w:pPr>
                </w:p>
              </w:tc>
              <w:tc>
                <w:tcPr>
                  <w:tcW w:w="851" w:type="pct"/>
                  <w:shd w:val="clear" w:color="auto" w:fill="auto"/>
                  <w:vAlign w:val="center"/>
                </w:tcPr>
                <w:p w14:paraId="0F46FE97">
                  <w:pPr>
                    <w:jc w:val="center"/>
                    <w:rPr>
                      <w:kern w:val="0"/>
                      <w:sz w:val="21"/>
                      <w:szCs w:val="21"/>
                      <w:lang w:bidi="en-US"/>
                    </w:rPr>
                  </w:pPr>
                  <w:r>
                    <w:rPr>
                      <w:rFonts w:hint="eastAsia"/>
                      <w:kern w:val="0"/>
                      <w:sz w:val="21"/>
                      <w:szCs w:val="21"/>
                      <w:lang w:bidi="en-US"/>
                    </w:rPr>
                    <w:t>颗粒物</w:t>
                  </w:r>
                </w:p>
              </w:tc>
              <w:tc>
                <w:tcPr>
                  <w:tcW w:w="728" w:type="pct"/>
                  <w:shd w:val="clear" w:color="auto" w:fill="auto"/>
                  <w:vAlign w:val="center"/>
                </w:tcPr>
                <w:p w14:paraId="4E97AE4D">
                  <w:pPr>
                    <w:jc w:val="center"/>
                    <w:rPr>
                      <w:bCs/>
                      <w:sz w:val="21"/>
                      <w:szCs w:val="21"/>
                    </w:rPr>
                  </w:pPr>
                  <w:r>
                    <w:rPr>
                      <w:bCs/>
                      <w:sz w:val="21"/>
                      <w:szCs w:val="21"/>
                    </w:rPr>
                    <w:t>1次</w:t>
                  </w:r>
                  <w:r>
                    <w:rPr>
                      <w:rFonts w:hint="eastAsia"/>
                      <w:bCs/>
                      <w:sz w:val="21"/>
                      <w:szCs w:val="21"/>
                    </w:rPr>
                    <w:t>/年</w:t>
                  </w:r>
                </w:p>
              </w:tc>
              <w:tc>
                <w:tcPr>
                  <w:tcW w:w="1813" w:type="pct"/>
                  <w:vMerge w:val="continue"/>
                  <w:shd w:val="clear" w:color="auto" w:fill="auto"/>
                  <w:vAlign w:val="center"/>
                </w:tcPr>
                <w:p w14:paraId="7987E168">
                  <w:pPr>
                    <w:jc w:val="center"/>
                    <w:rPr>
                      <w:sz w:val="21"/>
                      <w:szCs w:val="21"/>
                    </w:rPr>
                  </w:pPr>
                </w:p>
              </w:tc>
            </w:tr>
            <w:tr w14:paraId="79D11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36" w:type="pct"/>
                  <w:vMerge w:val="continue"/>
                  <w:shd w:val="clear" w:color="auto" w:fill="auto"/>
                  <w:vAlign w:val="center"/>
                </w:tcPr>
                <w:p w14:paraId="658832CE">
                  <w:pPr>
                    <w:jc w:val="center"/>
                    <w:rPr>
                      <w:bCs/>
                      <w:sz w:val="21"/>
                      <w:szCs w:val="21"/>
                    </w:rPr>
                  </w:pPr>
                </w:p>
              </w:tc>
              <w:tc>
                <w:tcPr>
                  <w:tcW w:w="869" w:type="pct"/>
                  <w:shd w:val="clear" w:color="auto" w:fill="auto"/>
                  <w:vAlign w:val="center"/>
                </w:tcPr>
                <w:p w14:paraId="0E3B70E5">
                  <w:pPr>
                    <w:jc w:val="center"/>
                    <w:rPr>
                      <w:sz w:val="21"/>
                      <w:szCs w:val="18"/>
                    </w:rPr>
                  </w:pPr>
                  <w:r>
                    <w:rPr>
                      <w:rFonts w:hint="eastAsia"/>
                      <w:sz w:val="21"/>
                      <w:szCs w:val="18"/>
                    </w:rPr>
                    <w:t>厂房外</w:t>
                  </w:r>
                </w:p>
              </w:tc>
              <w:tc>
                <w:tcPr>
                  <w:tcW w:w="851" w:type="pct"/>
                  <w:shd w:val="clear" w:color="auto" w:fill="auto"/>
                  <w:vAlign w:val="center"/>
                </w:tcPr>
                <w:p w14:paraId="4E7B632C">
                  <w:pPr>
                    <w:jc w:val="center"/>
                    <w:rPr>
                      <w:bCs/>
                      <w:sz w:val="21"/>
                      <w:szCs w:val="21"/>
                    </w:rPr>
                  </w:pPr>
                  <w:r>
                    <w:rPr>
                      <w:kern w:val="0"/>
                      <w:sz w:val="21"/>
                      <w:szCs w:val="21"/>
                      <w:lang w:bidi="en-US"/>
                    </w:rPr>
                    <w:t>非甲烷总烃</w:t>
                  </w:r>
                </w:p>
              </w:tc>
              <w:tc>
                <w:tcPr>
                  <w:tcW w:w="728" w:type="pct"/>
                  <w:shd w:val="clear" w:color="auto" w:fill="auto"/>
                  <w:vAlign w:val="center"/>
                </w:tcPr>
                <w:p w14:paraId="56B599B0">
                  <w:pPr>
                    <w:jc w:val="center"/>
                    <w:rPr>
                      <w:bCs/>
                      <w:sz w:val="21"/>
                      <w:szCs w:val="21"/>
                    </w:rPr>
                  </w:pPr>
                  <w:r>
                    <w:rPr>
                      <w:bCs/>
                      <w:sz w:val="21"/>
                      <w:szCs w:val="21"/>
                    </w:rPr>
                    <w:t>1次</w:t>
                  </w:r>
                  <w:r>
                    <w:rPr>
                      <w:rFonts w:hint="eastAsia"/>
                      <w:bCs/>
                      <w:sz w:val="21"/>
                      <w:szCs w:val="21"/>
                    </w:rPr>
                    <w:t>/年</w:t>
                  </w:r>
                </w:p>
              </w:tc>
              <w:tc>
                <w:tcPr>
                  <w:tcW w:w="1813" w:type="pct"/>
                  <w:shd w:val="clear" w:color="auto" w:fill="auto"/>
                  <w:vAlign w:val="center"/>
                </w:tcPr>
                <w:p w14:paraId="7CF14AC9">
                  <w:pPr>
                    <w:jc w:val="center"/>
                    <w:rPr>
                      <w:sz w:val="21"/>
                      <w:szCs w:val="21"/>
                    </w:rPr>
                  </w:pPr>
                  <w:r>
                    <w:rPr>
                      <w:sz w:val="21"/>
                      <w:szCs w:val="21"/>
                    </w:rPr>
                    <w:t>《挥发性有机物无组织排放控制标准》（GB</w:t>
                  </w:r>
                  <w:r>
                    <w:rPr>
                      <w:rFonts w:hint="eastAsia"/>
                      <w:sz w:val="21"/>
                      <w:szCs w:val="21"/>
                    </w:rPr>
                    <w:t xml:space="preserve"> </w:t>
                  </w:r>
                  <w:r>
                    <w:rPr>
                      <w:sz w:val="21"/>
                      <w:szCs w:val="21"/>
                    </w:rPr>
                    <w:t>37822-2019）</w:t>
                  </w:r>
                  <w:r>
                    <w:rPr>
                      <w:rFonts w:hint="eastAsia"/>
                      <w:sz w:val="21"/>
                      <w:szCs w:val="21"/>
                    </w:rPr>
                    <w:t>中表</w:t>
                  </w:r>
                  <w:r>
                    <w:rPr>
                      <w:sz w:val="21"/>
                      <w:szCs w:val="21"/>
                    </w:rPr>
                    <w:t>A.1</w:t>
                  </w:r>
                </w:p>
              </w:tc>
            </w:tr>
          </w:tbl>
          <w:p w14:paraId="64BB25DF">
            <w:pPr>
              <w:pStyle w:val="21"/>
              <w:adjustRightInd/>
              <w:snapToGrid/>
              <w:spacing w:line="360" w:lineRule="auto"/>
              <w:ind w:firstLine="452"/>
              <w:rPr>
                <w:rFonts w:ascii="Times New Roman" w:hAnsi="Times New Roman"/>
                <w:b w:val="0"/>
                <w:bCs/>
              </w:rPr>
            </w:pPr>
            <w:r>
              <w:rPr>
                <w:rFonts w:hint="eastAsia" w:ascii="Times New Roman" w:hAnsi="Times New Roman"/>
                <w:b w:val="0"/>
                <w:bCs/>
              </w:rPr>
              <w:t>（7）</w:t>
            </w:r>
            <w:r>
              <w:rPr>
                <w:rFonts w:ascii="Times New Roman" w:hAnsi="Times New Roman"/>
                <w:b w:val="0"/>
                <w:bCs/>
              </w:rPr>
              <w:t>废气排放的环境影响</w:t>
            </w:r>
          </w:p>
          <w:p w14:paraId="2690AC12">
            <w:pPr>
              <w:keepNext/>
              <w:keepLines/>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本项目拟建场地所在区域属于环境空气现状不达标区，根据项目补充监测结果可知，各监测点位的非甲烷总烃、氯化氢、硫酸雾、氮氧化物、总悬浮颗粒物（TSP）现状浓度均能满足相关标准要求。</w:t>
            </w:r>
          </w:p>
          <w:p w14:paraId="6A05990D">
            <w:pPr>
              <w:keepNext/>
              <w:keepLines/>
              <w:spacing w:line="360" w:lineRule="auto"/>
              <w:ind w:firstLine="480" w:firstLineChars="200"/>
              <w:rPr>
                <w:bCs/>
                <w:color w:val="000000" w:themeColor="text1"/>
                <w14:textFill>
                  <w14:solidFill>
                    <w14:schemeClr w14:val="tx1"/>
                  </w14:solidFill>
                </w14:textFill>
              </w:rPr>
            </w:pPr>
            <w:r>
              <w:rPr>
                <w:rFonts w:hint="eastAsia"/>
                <w:color w:val="000000" w:themeColor="text1"/>
                <w14:textFill>
                  <w14:solidFill>
                    <w14:schemeClr w14:val="tx1"/>
                  </w14:solidFill>
                </w14:textFill>
              </w:rPr>
              <w:t>本项目实验室产生的挥发性有机废气（以非甲烷总烃计）经收集通过两级活性炭吸附装置处理后，主要以有组织形式达标排放；无机酸雾（氯化氢、硫酸雾、氮氧化物）经收集通过喷淋塔装置处理后，主要以有组织形式达标排放；颗粒物经下排式抽风系统送至除尘设备处理后，无组织散失。项目废气经收集处理后，排放量较小，对环境空气保护目标影响很小。因此，本项目营运期间对周围环境空气影响较小。</w:t>
            </w:r>
          </w:p>
          <w:p w14:paraId="657EC63D">
            <w:pPr>
              <w:tabs>
                <w:tab w:val="left" w:pos="3836"/>
              </w:tabs>
              <w:spacing w:line="360" w:lineRule="auto"/>
              <w:ind w:firstLine="482"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2</w:t>
            </w:r>
            <w:r>
              <w:rPr>
                <w:b/>
                <w:bCs/>
                <w:color w:val="000000" w:themeColor="text1"/>
                <w:szCs w:val="21"/>
                <w14:textFill>
                  <w14:solidFill>
                    <w14:schemeClr w14:val="tx1"/>
                  </w14:solidFill>
                </w14:textFill>
              </w:rPr>
              <w:t>、废水</w:t>
            </w:r>
          </w:p>
          <w:p w14:paraId="78F8B2B4">
            <w:pPr>
              <w:pStyle w:val="21"/>
              <w:adjustRightInd/>
              <w:snapToGrid/>
              <w:spacing w:line="360" w:lineRule="auto"/>
              <w:ind w:firstLine="452"/>
              <w:rPr>
                <w:b w:val="0"/>
                <w:bCs/>
              </w:rPr>
            </w:pPr>
            <w:r>
              <w:rPr>
                <w:rFonts w:ascii="Times New Roman" w:hAnsi="Times New Roman"/>
                <w:b w:val="0"/>
                <w:bCs/>
              </w:rPr>
              <w:t>（1）</w:t>
            </w:r>
            <w:r>
              <w:rPr>
                <w:rFonts w:hint="eastAsia"/>
                <w:b w:val="0"/>
                <w:bCs/>
              </w:rPr>
              <w:t>废水</w:t>
            </w:r>
            <w:r>
              <w:rPr>
                <w:b w:val="0"/>
                <w:bCs/>
                <w:kern w:val="0"/>
              </w:rPr>
              <w:t>产排污环节、污染物种类、污染物产生量</w:t>
            </w:r>
            <w:r>
              <w:rPr>
                <w:rFonts w:hint="eastAsia"/>
                <w:b w:val="0"/>
                <w:bCs/>
                <w:kern w:val="0"/>
              </w:rPr>
              <w:t>、排放量</w:t>
            </w:r>
            <w:r>
              <w:rPr>
                <w:b w:val="0"/>
                <w:bCs/>
                <w:kern w:val="0"/>
              </w:rPr>
              <w:t>和浓度</w:t>
            </w:r>
          </w:p>
          <w:p w14:paraId="5D67F2EA">
            <w:pPr>
              <w:tabs>
                <w:tab w:val="left" w:pos="3836"/>
              </w:tabs>
              <w:spacing w:line="360" w:lineRule="auto"/>
              <w:ind w:firstLine="480" w:firstLineChars="200"/>
            </w:pPr>
            <w:r>
              <w:t>项目营运期产生的废水主要为生活污水</w:t>
            </w:r>
            <w:r>
              <w:rPr>
                <w:rFonts w:hint="eastAsia"/>
              </w:rPr>
              <w:t>、地面清洁废水、</w:t>
            </w:r>
            <w:r>
              <w:t>实验</w:t>
            </w:r>
            <w:r>
              <w:rPr>
                <w:rFonts w:hint="eastAsia"/>
              </w:rPr>
              <w:t>器皿清洗</w:t>
            </w:r>
            <w:r>
              <w:t>废水</w:t>
            </w:r>
            <w:r>
              <w:rPr>
                <w:rFonts w:hint="eastAsia"/>
              </w:rPr>
              <w:t>、喷淋塔排水、职工工作服清洗废水和超纯水制备排放浓水。</w:t>
            </w:r>
          </w:p>
          <w:p w14:paraId="615F17AB">
            <w:pPr>
              <w:pStyle w:val="17"/>
              <w:spacing w:after="0" w:line="360" w:lineRule="auto"/>
              <w:ind w:firstLine="480" w:firstLineChars="200"/>
              <w:rPr>
                <w:color w:val="000000" w:themeColor="text1"/>
                <w14:textFill>
                  <w14:solidFill>
                    <w14:schemeClr w14:val="tx1"/>
                  </w14:solidFill>
                </w14:textFill>
              </w:rPr>
            </w:pPr>
            <w:r>
              <w:rPr>
                <w:rFonts w:hint="eastAsia" w:ascii="宋体" w:hAnsi="宋体" w:cs="宋体"/>
              </w:rPr>
              <w:t>①</w:t>
            </w:r>
            <w:r>
              <w:t>生活污水</w:t>
            </w:r>
          </w:p>
          <w:p w14:paraId="02DB7D3A">
            <w:pPr>
              <w:pStyle w:val="17"/>
              <w:spacing w:after="0" w:line="360" w:lineRule="auto"/>
              <w:ind w:firstLine="480" w:firstLineChars="200"/>
              <w:rPr>
                <w:rFonts w:hAnsi="宋体"/>
                <w:color w:val="000000" w:themeColor="text1"/>
                <w14:textFill>
                  <w14:solidFill>
                    <w14:schemeClr w14:val="tx1"/>
                  </w14:solidFill>
                </w14:textFill>
              </w:rPr>
            </w:pPr>
            <w:r>
              <w:rPr>
                <w:bCs/>
                <w:color w:val="000000" w:themeColor="text1"/>
                <w14:textFill>
                  <w14:solidFill>
                    <w14:schemeClr w14:val="tx1"/>
                  </w14:solidFill>
                </w14:textFill>
              </w:rPr>
              <w:t>项目</w:t>
            </w:r>
            <w:r>
              <w:rPr>
                <w:rFonts w:hint="eastAsia"/>
                <w:bCs/>
                <w:color w:val="000000" w:themeColor="text1"/>
                <w14:textFill>
                  <w14:solidFill>
                    <w14:schemeClr w14:val="tx1"/>
                  </w14:solidFill>
                </w14:textFill>
              </w:rPr>
              <w:t>生活</w:t>
            </w:r>
            <w:r>
              <w:rPr>
                <w:bCs/>
                <w:color w:val="000000" w:themeColor="text1"/>
                <w14:textFill>
                  <w14:solidFill>
                    <w14:schemeClr w14:val="tx1"/>
                  </w14:solidFill>
                </w14:textFill>
              </w:rPr>
              <w:t>污水产生量为</w:t>
            </w:r>
            <w:r>
              <w:rPr>
                <w:rFonts w:hint="eastAsia"/>
                <w:bCs/>
                <w:color w:val="000000" w:themeColor="text1"/>
                <w14:textFill>
                  <w14:solidFill>
                    <w14:schemeClr w14:val="tx1"/>
                  </w14:solidFill>
                </w14:textFill>
              </w:rPr>
              <w:t>584</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r>
              <w:rPr>
                <w:rFonts w:hint="eastAsia" w:hAnsi="宋体"/>
                <w:color w:val="000000" w:themeColor="text1"/>
                <w14:textFill>
                  <w14:solidFill>
                    <w14:schemeClr w14:val="tx1"/>
                  </w14:solidFill>
                </w14:textFill>
              </w:rPr>
              <w:t>（2.336m</w:t>
            </w:r>
            <w:r>
              <w:rPr>
                <w:rFonts w:hint="eastAsia" w:hAnsi="宋体"/>
                <w:color w:val="000000" w:themeColor="text1"/>
                <w:vertAlign w:val="superscript"/>
                <w14:textFill>
                  <w14:solidFill>
                    <w14:schemeClr w14:val="tx1"/>
                  </w14:solidFill>
                </w14:textFill>
              </w:rPr>
              <w:t>3</w:t>
            </w:r>
            <w:r>
              <w:rPr>
                <w:rFonts w:hint="eastAsia" w:hAnsi="宋体"/>
                <w:color w:val="000000" w:themeColor="text1"/>
                <w14:textFill>
                  <w14:solidFill>
                    <w14:schemeClr w14:val="tx1"/>
                  </w14:solidFill>
                </w14:textFill>
              </w:rPr>
              <w:t>/d）。</w:t>
            </w:r>
          </w:p>
          <w:p w14:paraId="5433C49F">
            <w:pPr>
              <w:pStyle w:val="17"/>
              <w:spacing w:after="0" w:line="360" w:lineRule="auto"/>
              <w:ind w:firstLine="48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②地面清洁废水</w:t>
            </w:r>
          </w:p>
          <w:p w14:paraId="4B1BE323">
            <w:pPr>
              <w:pStyle w:val="17"/>
              <w:spacing w:after="0" w:line="360" w:lineRule="auto"/>
              <w:ind w:firstLine="48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地面清洁废水产生量为</w:t>
            </w:r>
            <w:r>
              <w:rPr>
                <w:rFonts w:hint="eastAsia"/>
                <w:color w:val="000000" w:themeColor="text1"/>
                <w14:textFill>
                  <w14:solidFill>
                    <w14:schemeClr w14:val="tx1"/>
                  </w14:solidFill>
                </w14:textFill>
              </w:rPr>
              <w:t>86.4</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0.346</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w:t>
            </w:r>
            <w:r>
              <w:rPr>
                <w:rFonts w:hint="eastAsia"/>
                <w:color w:val="000000" w:themeColor="text1"/>
                <w14:textFill>
                  <w14:solidFill>
                    <w14:schemeClr w14:val="tx1"/>
                  </w14:solidFill>
                </w14:textFill>
              </w:rPr>
              <w:t>。</w:t>
            </w:r>
          </w:p>
          <w:p w14:paraId="7001AB42">
            <w:pPr>
              <w:pStyle w:val="17"/>
              <w:spacing w:after="0" w:line="360" w:lineRule="auto"/>
              <w:ind w:firstLine="480" w:firstLineChars="200"/>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③</w:t>
            </w:r>
            <w:r>
              <w:rPr>
                <w:rFonts w:hint="eastAsia"/>
                <w:color w:val="000000" w:themeColor="text1"/>
                <w14:textFill>
                  <w14:solidFill>
                    <w14:schemeClr w14:val="tx1"/>
                  </w14:solidFill>
                </w14:textFill>
              </w:rPr>
              <w:t>实验器皿清洗废水</w:t>
            </w:r>
          </w:p>
          <w:p w14:paraId="0AC0657F">
            <w:pPr>
              <w:pStyle w:val="17"/>
              <w:spacing w:after="0" w:line="360" w:lineRule="auto"/>
              <w:ind w:firstLine="480" w:firstLineChars="200"/>
              <w:rPr>
                <w:rFonts w:hAnsi="宋体"/>
              </w:rPr>
            </w:pPr>
            <w:r>
              <w:rPr>
                <w:rFonts w:hint="eastAsia" w:hAnsi="宋体"/>
              </w:rPr>
              <w:t>实验器皿清洗废水（不含一次清洗废水）产生量为120</w:t>
            </w:r>
            <w:r>
              <w:rPr>
                <w:rFonts w:hint="eastAsia"/>
                <w:bCs/>
              </w:rPr>
              <w:t>m</w:t>
            </w:r>
            <w:r>
              <w:rPr>
                <w:rFonts w:hint="eastAsia"/>
                <w:bCs/>
                <w:vertAlign w:val="superscript"/>
              </w:rPr>
              <w:t>3</w:t>
            </w:r>
            <w:r>
              <w:rPr>
                <w:rFonts w:hint="eastAsia" w:hAnsi="宋体"/>
              </w:rPr>
              <w:t>/a（0.48m</w:t>
            </w:r>
            <w:r>
              <w:rPr>
                <w:rFonts w:hint="eastAsia" w:hAnsi="宋体"/>
                <w:vertAlign w:val="superscript"/>
              </w:rPr>
              <w:t>3</w:t>
            </w:r>
            <w:r>
              <w:rPr>
                <w:rFonts w:hint="eastAsia" w:hAnsi="宋体"/>
              </w:rPr>
              <w:t>/d）。</w:t>
            </w:r>
          </w:p>
          <w:p w14:paraId="3EB606F8">
            <w:pPr>
              <w:pStyle w:val="17"/>
              <w:spacing w:after="0" w:line="360" w:lineRule="auto"/>
              <w:ind w:firstLine="480" w:firstLineChars="200"/>
            </w:pPr>
            <w:r>
              <w:t>④</w:t>
            </w:r>
            <w:r>
              <w:rPr>
                <w:rFonts w:hint="eastAsia"/>
              </w:rPr>
              <w:t>喷淋塔排水</w:t>
            </w:r>
          </w:p>
          <w:p w14:paraId="3DFFD2BC">
            <w:pPr>
              <w:pStyle w:val="17"/>
              <w:spacing w:after="0" w:line="360" w:lineRule="auto"/>
              <w:ind w:firstLine="480" w:firstLineChars="200"/>
            </w:pPr>
            <w:r>
              <w:rPr>
                <w:rFonts w:hint="eastAsia"/>
                <w:bCs/>
              </w:rPr>
              <w:t>喷淋塔排水量为3.0m</w:t>
            </w:r>
            <w:r>
              <w:rPr>
                <w:rFonts w:hint="eastAsia"/>
                <w:bCs/>
                <w:vertAlign w:val="superscript"/>
              </w:rPr>
              <w:t>3</w:t>
            </w:r>
            <w:r>
              <w:rPr>
                <w:rFonts w:hint="eastAsia"/>
                <w:bCs/>
              </w:rPr>
              <w:t>/a（0.012</w:t>
            </w:r>
            <w:r>
              <w:rPr>
                <w:bCs/>
              </w:rPr>
              <w:t>m</w:t>
            </w:r>
            <w:r>
              <w:rPr>
                <w:bCs/>
                <w:vertAlign w:val="superscript"/>
              </w:rPr>
              <w:t>3</w:t>
            </w:r>
            <w:r>
              <w:rPr>
                <w:bCs/>
              </w:rPr>
              <w:t>/d</w:t>
            </w:r>
            <w:r>
              <w:rPr>
                <w:rFonts w:hint="eastAsia"/>
                <w:bCs/>
              </w:rPr>
              <w:t>）。</w:t>
            </w:r>
          </w:p>
          <w:p w14:paraId="0C3E8F6C">
            <w:pPr>
              <w:pStyle w:val="17"/>
              <w:spacing w:after="0" w:line="360" w:lineRule="auto"/>
              <w:ind w:firstLine="480" w:firstLineChars="200"/>
              <w:rPr>
                <w:rFonts w:hAnsi="宋体"/>
              </w:rPr>
            </w:pPr>
            <w:r>
              <w:t>⑤</w:t>
            </w:r>
            <w:r>
              <w:rPr>
                <w:rFonts w:hint="eastAsia" w:hAnsi="宋体"/>
              </w:rPr>
              <w:t>职工工作服清洗废水</w:t>
            </w:r>
          </w:p>
          <w:p w14:paraId="731B7C02">
            <w:pPr>
              <w:pStyle w:val="17"/>
              <w:spacing w:after="0" w:line="360" w:lineRule="auto"/>
              <w:ind w:firstLine="480" w:firstLineChars="200"/>
              <w:rPr>
                <w:rFonts w:hAnsi="宋体"/>
              </w:rPr>
            </w:pPr>
            <w:r>
              <w:rPr>
                <w:rFonts w:hint="eastAsia" w:hAnsi="宋体"/>
              </w:rPr>
              <w:t>职工工作服清洗废水产生量为30m</w:t>
            </w:r>
            <w:r>
              <w:rPr>
                <w:rFonts w:hint="eastAsia" w:hAnsi="宋体"/>
                <w:vertAlign w:val="superscript"/>
              </w:rPr>
              <w:t>3</w:t>
            </w:r>
            <w:r>
              <w:rPr>
                <w:rFonts w:hAnsi="宋体"/>
              </w:rPr>
              <w:t>/a</w:t>
            </w:r>
            <w:r>
              <w:rPr>
                <w:rFonts w:hint="eastAsia" w:hAnsi="宋体"/>
              </w:rPr>
              <w:t>（0.12m</w:t>
            </w:r>
            <w:r>
              <w:rPr>
                <w:rFonts w:hint="eastAsia" w:hAnsi="宋体"/>
                <w:vertAlign w:val="superscript"/>
              </w:rPr>
              <w:t>3</w:t>
            </w:r>
            <w:r>
              <w:rPr>
                <w:rFonts w:hint="eastAsia" w:hAnsi="宋体"/>
              </w:rPr>
              <w:t>/d）。</w:t>
            </w:r>
          </w:p>
          <w:p w14:paraId="5525AA4A">
            <w:pPr>
              <w:pStyle w:val="17"/>
              <w:spacing w:after="0" w:line="360" w:lineRule="auto"/>
              <w:ind w:firstLine="480" w:firstLineChars="200"/>
            </w:pPr>
            <w:r>
              <w:rPr>
                <w:rFonts w:hint="eastAsia" w:ascii="宋体" w:hAnsi="宋体" w:cs="宋体"/>
              </w:rPr>
              <w:t>⑥超</w:t>
            </w:r>
            <w:r>
              <w:rPr>
                <w:rFonts w:hint="eastAsia"/>
              </w:rPr>
              <w:t>纯水制备排放浓水</w:t>
            </w:r>
          </w:p>
          <w:p w14:paraId="17E826D0">
            <w:pPr>
              <w:pStyle w:val="17"/>
              <w:spacing w:after="0" w:line="360" w:lineRule="auto"/>
              <w:ind w:firstLine="480" w:firstLineChars="200"/>
              <w:rPr>
                <w:rFonts w:hAnsi="宋体"/>
              </w:rPr>
            </w:pPr>
            <w:r>
              <w:rPr>
                <w:rFonts w:hint="eastAsia"/>
              </w:rPr>
              <w:t>项目超纯水制备排放浓水量为</w:t>
            </w:r>
            <w:r>
              <w:rPr>
                <w:rFonts w:hint="eastAsia"/>
                <w:bCs/>
              </w:rPr>
              <w:t>3.43m</w:t>
            </w:r>
            <w:r>
              <w:rPr>
                <w:rFonts w:hint="eastAsia"/>
                <w:bCs/>
                <w:vertAlign w:val="superscript"/>
              </w:rPr>
              <w:t>3</w:t>
            </w:r>
            <w:r>
              <w:rPr>
                <w:rFonts w:hint="eastAsia"/>
                <w:bCs/>
              </w:rPr>
              <w:t>/a（0.014m</w:t>
            </w:r>
            <w:r>
              <w:rPr>
                <w:rFonts w:hint="eastAsia"/>
                <w:bCs/>
                <w:vertAlign w:val="superscript"/>
              </w:rPr>
              <w:t>3</w:t>
            </w:r>
            <w:r>
              <w:rPr>
                <w:rFonts w:hint="eastAsia"/>
                <w:bCs/>
              </w:rPr>
              <w:t>/d）</w:t>
            </w:r>
            <w:r>
              <w:rPr>
                <w:rFonts w:hint="eastAsia" w:hAnsi="宋体"/>
              </w:rPr>
              <w:t>。</w:t>
            </w:r>
            <w:bookmarkStart w:id="6" w:name="_Hlk67650488"/>
          </w:p>
          <w:p w14:paraId="7FBEC1C6">
            <w:pPr>
              <w:pStyle w:val="17"/>
              <w:spacing w:after="0" w:line="360" w:lineRule="auto"/>
              <w:ind w:firstLine="480" w:firstLineChars="200"/>
            </w:pPr>
            <w:r>
              <w:rPr>
                <w:rFonts w:hint="eastAsia"/>
              </w:rPr>
              <w:t>根据建设单位提供现有项目剩余一般水样量约0.5m</w:t>
            </w:r>
            <w:r>
              <w:rPr>
                <w:rFonts w:hint="eastAsia"/>
                <w:vertAlign w:val="superscript"/>
              </w:rPr>
              <w:t>3</w:t>
            </w:r>
            <w:r>
              <w:rPr>
                <w:rFonts w:hint="eastAsia"/>
              </w:rPr>
              <w:t>/a（0.002m</w:t>
            </w:r>
            <w:r>
              <w:rPr>
                <w:rFonts w:hint="eastAsia"/>
                <w:vertAlign w:val="superscript"/>
              </w:rPr>
              <w:t>3</w:t>
            </w:r>
            <w:r>
              <w:rPr>
                <w:rFonts w:hint="eastAsia"/>
              </w:rPr>
              <w:t>/d），则本项目剩余一般水样量为0.5m</w:t>
            </w:r>
            <w:r>
              <w:rPr>
                <w:rFonts w:hint="eastAsia"/>
                <w:vertAlign w:val="superscript"/>
              </w:rPr>
              <w:t>3</w:t>
            </w:r>
            <w:r>
              <w:rPr>
                <w:rFonts w:hint="eastAsia"/>
              </w:rPr>
              <w:t>/a（0.002m</w:t>
            </w:r>
            <w:r>
              <w:rPr>
                <w:rFonts w:hint="eastAsia"/>
                <w:vertAlign w:val="superscript"/>
              </w:rPr>
              <w:t>3</w:t>
            </w:r>
            <w:r>
              <w:rPr>
                <w:rFonts w:hint="eastAsia"/>
              </w:rPr>
              <w:t>/d）。实验器皿清洗废水和剩余一般水样经4楼实验室水池下方排水管道收集，排入3楼污水处理间自建废水处理设备（酸碱中和，1t/d），经处理后排入园区化粪池；喷淋塔排水采用专用桶收集后转入废水处理设备，经处理后排入园区化粪池；生活污水和其他废水（地面清洁废水、职工工作服清洗废水、超纯水制备排放浓水）排入园区化粪池处理。园区已建化粪池2座，其中园区东侧和西侧各1座，容积分别为75m</w:t>
            </w:r>
            <w:r>
              <w:rPr>
                <w:rFonts w:hint="eastAsia"/>
                <w:vertAlign w:val="superscript"/>
              </w:rPr>
              <w:t>3</w:t>
            </w:r>
            <w:r>
              <w:rPr>
                <w:rFonts w:hint="eastAsia"/>
              </w:rPr>
              <w:t>和30m</w:t>
            </w:r>
            <w:r>
              <w:rPr>
                <w:rFonts w:hint="eastAsia"/>
                <w:vertAlign w:val="superscript"/>
              </w:rPr>
              <w:t>3</w:t>
            </w:r>
            <w:r>
              <w:rPr>
                <w:rFonts w:hint="eastAsia"/>
              </w:rPr>
              <w:t>，本项目废水进入东侧化粪池，经化粪池处理达到</w:t>
            </w:r>
            <w:r>
              <w:t>《污水综合排放标准》（GB8978-1996）三级标准</w:t>
            </w:r>
            <w:r>
              <w:rPr>
                <w:rFonts w:hint="eastAsia"/>
              </w:rPr>
              <w:t>和</w:t>
            </w:r>
            <w:r>
              <w:t>《污水排入城镇下水道水质标准》（GB/T31962-2015）</w:t>
            </w:r>
            <w:r>
              <w:rPr>
                <w:rFonts w:hint="eastAsia"/>
              </w:rPr>
              <w:t>A</w:t>
            </w:r>
            <w:r>
              <w:t>级标准</w:t>
            </w:r>
            <w:r>
              <w:rPr>
                <w:rFonts w:hint="eastAsia"/>
              </w:rPr>
              <w:t>后排入市政污水管网，最终进入西安净水处理有限责任公司第六再生水厂集中处理。</w:t>
            </w:r>
          </w:p>
          <w:p w14:paraId="483817E9">
            <w:pPr>
              <w:pStyle w:val="17"/>
              <w:spacing w:after="0" w:line="360" w:lineRule="auto"/>
              <w:ind w:firstLine="480" w:firstLineChars="200"/>
            </w:pPr>
            <w:r>
              <w:rPr>
                <w:rFonts w:hint="eastAsia"/>
              </w:rPr>
              <w:t>根据建设单位提供的现有项目废水例行监测报告（见附件7），</w:t>
            </w:r>
            <w:r>
              <w:rPr>
                <w:rFonts w:hint="eastAsia"/>
                <w:color w:val="000000" w:themeColor="text1"/>
                <w14:textFill>
                  <w14:solidFill>
                    <w14:schemeClr w14:val="tx1"/>
                  </w14:solidFill>
                </w14:textFill>
              </w:rPr>
              <w:t>废水排放口监测数据为废水处理设备出口的排放浓度。项目实验器皿清洗废水、喷淋塔排水、剩余一般水样经废水处理设备处理后再排入化粪池，故本项目实验器皿清洗废水、喷淋塔排水、剩余一般水样进化粪池的污染物浓度按现有项目废水处理设备排放口数据取</w:t>
            </w:r>
            <w:r>
              <w:rPr>
                <w:rFonts w:hint="eastAsia"/>
                <w:color w:val="auto"/>
              </w:rPr>
              <w:t>值；</w:t>
            </w:r>
            <w:r>
              <w:rPr>
                <w:rFonts w:hint="eastAsia"/>
                <w:color w:val="auto"/>
                <w:lang w:val="en-US" w:eastAsia="zh-CN"/>
              </w:rPr>
              <w:t>因现有项目生活污水和其余废水（地面清洁废水、职工工作服清洗废水、超纯水制备浓水等）依托中国通信建设西安产业园8幢北侧化粪池处理（60m</w:t>
            </w:r>
            <w:r>
              <w:rPr>
                <w:rFonts w:hint="eastAsia"/>
                <w:color w:val="auto"/>
                <w:vertAlign w:val="superscript"/>
                <w:lang w:val="en-US" w:eastAsia="zh-CN"/>
              </w:rPr>
              <w:t>3</w:t>
            </w:r>
            <w:r>
              <w:rPr>
                <w:rFonts w:hint="eastAsia"/>
                <w:color w:val="auto"/>
                <w:lang w:val="en-US" w:eastAsia="zh-CN"/>
              </w:rPr>
              <w:t>），该化粪池也容纳中国通信建设西安产业园内其他企业生产废水和生活污水等，化粪池出水水质不能代表</w:t>
            </w:r>
            <w:r>
              <w:rPr>
                <w:color w:val="auto"/>
                <w:szCs w:val="21"/>
              </w:rPr>
              <w:t>国检测试控股集团陕西京诚检测</w:t>
            </w:r>
            <w:r>
              <w:rPr>
                <w:rFonts w:hint="eastAsia"/>
                <w:color w:val="auto"/>
                <w:szCs w:val="21"/>
                <w:lang w:val="en-US" w:eastAsia="zh-CN"/>
              </w:rPr>
              <w:t>生活污水和</w:t>
            </w:r>
            <w:r>
              <w:rPr>
                <w:rFonts w:hint="eastAsia"/>
                <w:color w:val="auto"/>
                <w:lang w:val="en-US" w:eastAsia="zh-CN"/>
              </w:rPr>
              <w:t>其余废水（地面清洁废水、职工工作服清洗废水、超纯水制备浓水等）水质，且</w:t>
            </w:r>
            <w:r>
              <w:rPr>
                <w:color w:val="auto"/>
                <w:szCs w:val="21"/>
              </w:rPr>
              <w:t>国检测试控股集团陕西京诚检测有限公司</w:t>
            </w:r>
            <w:r>
              <w:rPr>
                <w:rFonts w:hint="eastAsia"/>
                <w:color w:val="auto"/>
                <w:szCs w:val="21"/>
                <w:lang w:val="en-US" w:eastAsia="zh-CN"/>
              </w:rPr>
              <w:t>未对该化粪池出口水质进行监测，不符合污染源源强核算中实测法的引用条件，故本项目采用类比法进行源强核算。</w:t>
            </w:r>
            <w:r>
              <w:rPr>
                <w:rFonts w:hint="eastAsia"/>
                <w:color w:val="FF0000"/>
                <w:szCs w:val="21"/>
                <w:lang w:val="en-US" w:eastAsia="zh-CN"/>
              </w:rPr>
              <w:t>本项目</w:t>
            </w:r>
            <w:r>
              <w:rPr>
                <w:rFonts w:hint="eastAsia"/>
                <w:color w:val="FF0000"/>
              </w:rPr>
              <w:t>生活污水、地面清洁废水、职工工作服清洗废水</w:t>
            </w:r>
            <w:r>
              <w:rPr>
                <w:rFonts w:hint="eastAsia"/>
                <w:color w:val="FF0000"/>
                <w:lang w:val="en-US" w:eastAsia="zh-CN"/>
              </w:rPr>
              <w:t>排放</w:t>
            </w:r>
            <w:r>
              <w:rPr>
                <w:rFonts w:hint="eastAsia"/>
                <w:color w:val="FF0000"/>
              </w:rPr>
              <w:t>浓度</w:t>
            </w:r>
            <w:r>
              <w:rPr>
                <w:rFonts w:hint="eastAsia"/>
                <w:color w:val="FF0000"/>
                <w:lang w:val="en-US" w:eastAsia="zh-CN"/>
              </w:rPr>
              <w:t>类比</w:t>
            </w:r>
            <w:r>
              <w:rPr>
                <w:rFonts w:hint="eastAsia"/>
                <w:color w:val="FF0000"/>
              </w:rPr>
              <w:t>《</w:t>
            </w:r>
            <w:r>
              <w:rPr>
                <w:rFonts w:hint="eastAsia"/>
                <w:color w:val="FF0000"/>
                <w:lang w:val="en-US" w:eastAsia="zh-CN"/>
              </w:rPr>
              <w:t>中国建材检验认证集团股份有限公司西北基地项目竣工验收环境监测报告</w:t>
            </w:r>
            <w:r>
              <w:rPr>
                <w:rFonts w:hint="eastAsia"/>
                <w:color w:val="FF0000"/>
              </w:rPr>
              <w:t>》</w:t>
            </w:r>
            <w:r>
              <w:rPr>
                <w:rFonts w:hint="eastAsia"/>
                <w:color w:val="FF0000"/>
                <w:lang w:eastAsia="zh-CN"/>
              </w:rPr>
              <w:t>（</w:t>
            </w:r>
            <w:r>
              <w:rPr>
                <w:rFonts w:hint="eastAsia"/>
                <w:color w:val="FF0000"/>
                <w:lang w:val="en-US" w:eastAsia="zh-CN"/>
              </w:rPr>
              <w:t>报告编号：XAH230112043120405，见附件10</w:t>
            </w:r>
            <w:r>
              <w:rPr>
                <w:rFonts w:hint="eastAsia"/>
                <w:color w:val="FF0000"/>
                <w:lang w:eastAsia="zh-CN"/>
              </w:rPr>
              <w:t>）</w:t>
            </w:r>
            <w:r>
              <w:rPr>
                <w:rFonts w:hint="eastAsia"/>
                <w:color w:val="FF0000"/>
              </w:rPr>
              <w:t>中的数据；</w:t>
            </w:r>
            <w:r>
              <w:rPr>
                <w:rFonts w:hint="eastAsia"/>
                <w:color w:val="auto"/>
              </w:rPr>
              <w:t>超纯水制备浓水中TDS产生浓度根据企业提供数据。本项目废水污染物产排</w:t>
            </w:r>
            <w:r>
              <w:rPr>
                <w:rFonts w:hint="eastAsia"/>
              </w:rPr>
              <w:t>情况见表4-9。</w:t>
            </w:r>
          </w:p>
          <w:p w14:paraId="47FEC493">
            <w:pPr>
              <w:pStyle w:val="17"/>
              <w:spacing w:after="0" w:line="240" w:lineRule="auto"/>
              <w:jc w:val="center"/>
            </w:pPr>
            <w:r>
              <w:rPr>
                <w:b/>
                <w:bCs/>
                <w:sz w:val="21"/>
                <w:szCs w:val="21"/>
              </w:rPr>
              <w:t>表4-</w:t>
            </w:r>
            <w:r>
              <w:rPr>
                <w:rFonts w:hint="eastAsia"/>
                <w:b/>
                <w:bCs/>
                <w:sz w:val="21"/>
                <w:szCs w:val="21"/>
              </w:rPr>
              <w:t>9</w:t>
            </w:r>
            <w:r>
              <w:rPr>
                <w:b/>
                <w:bCs/>
                <w:sz w:val="21"/>
                <w:szCs w:val="21"/>
              </w:rPr>
              <w:t xml:space="preserve">  项目废水各污染物产排情况一览表</w:t>
            </w:r>
          </w:p>
          <w:tbl>
            <w:tblPr>
              <w:tblStyle w:val="22"/>
              <w:tblW w:w="4991" w:type="pct"/>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0" w:type="dxa"/>
                <w:bottom w:w="0" w:type="dxa"/>
                <w:right w:w="0" w:type="dxa"/>
              </w:tblCellMar>
            </w:tblPr>
            <w:tblGrid>
              <w:gridCol w:w="760"/>
              <w:gridCol w:w="982"/>
              <w:gridCol w:w="662"/>
              <w:gridCol w:w="609"/>
              <w:gridCol w:w="609"/>
              <w:gridCol w:w="599"/>
              <w:gridCol w:w="724"/>
              <w:gridCol w:w="548"/>
              <w:gridCol w:w="567"/>
              <w:gridCol w:w="834"/>
              <w:gridCol w:w="596"/>
              <w:gridCol w:w="588"/>
            </w:tblGrid>
            <w:tr w14:paraId="39E69B1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PrEx>
              <w:trPr>
                <w:trHeight w:val="369" w:hRule="atLeast"/>
                <w:jc w:val="center"/>
              </w:trPr>
              <w:tc>
                <w:tcPr>
                  <w:tcW w:w="1078" w:type="pct"/>
                  <w:gridSpan w:val="2"/>
                  <w:vMerge w:val="restart"/>
                  <w:tcBorders>
                    <w:tl2br w:val="nil"/>
                    <w:tr2bl w:val="nil"/>
                  </w:tcBorders>
                  <w:tcMar>
                    <w:top w:w="15" w:type="dxa"/>
                    <w:left w:w="15" w:type="dxa"/>
                    <w:right w:w="15" w:type="dxa"/>
                  </w:tcMar>
                  <w:vAlign w:val="center"/>
                </w:tcPr>
                <w:p w14:paraId="4C6B2F10">
                  <w:pPr>
                    <w:widowControl/>
                    <w:snapToGrid w:val="0"/>
                    <w:jc w:val="center"/>
                    <w:textAlignment w:val="center"/>
                    <w:rPr>
                      <w:b/>
                      <w:sz w:val="21"/>
                      <w:szCs w:val="21"/>
                    </w:rPr>
                  </w:pPr>
                  <w:r>
                    <w:rPr>
                      <w:b/>
                      <w:kern w:val="0"/>
                      <w:sz w:val="21"/>
                      <w:szCs w:val="21"/>
                      <w:lang w:bidi="ar"/>
                    </w:rPr>
                    <w:t>单体</w:t>
                  </w:r>
                </w:p>
                <w:p w14:paraId="152C51F0">
                  <w:pPr>
                    <w:widowControl/>
                    <w:jc w:val="center"/>
                    <w:textAlignment w:val="center"/>
                    <w:rPr>
                      <w:b/>
                      <w:sz w:val="21"/>
                      <w:szCs w:val="21"/>
                    </w:rPr>
                  </w:pPr>
                  <w:r>
                    <w:rPr>
                      <w:b/>
                      <w:kern w:val="0"/>
                      <w:sz w:val="21"/>
                      <w:szCs w:val="21"/>
                      <w:lang w:bidi="ar"/>
                    </w:rPr>
                    <w:t>指标</w:t>
                  </w:r>
                </w:p>
              </w:tc>
              <w:tc>
                <w:tcPr>
                  <w:tcW w:w="3921" w:type="pct"/>
                  <w:gridSpan w:val="10"/>
                  <w:tcBorders>
                    <w:tl2br w:val="nil"/>
                    <w:tr2bl w:val="nil"/>
                  </w:tcBorders>
                  <w:tcMar>
                    <w:top w:w="15" w:type="dxa"/>
                    <w:left w:w="15" w:type="dxa"/>
                    <w:right w:w="15" w:type="dxa"/>
                  </w:tcMar>
                  <w:vAlign w:val="center"/>
                </w:tcPr>
                <w:p w14:paraId="0C6951B5">
                  <w:pPr>
                    <w:widowControl/>
                    <w:jc w:val="center"/>
                    <w:textAlignment w:val="center"/>
                    <w:rPr>
                      <w:b/>
                      <w:sz w:val="21"/>
                      <w:szCs w:val="21"/>
                    </w:rPr>
                  </w:pPr>
                  <w:r>
                    <w:rPr>
                      <w:b/>
                      <w:kern w:val="0"/>
                      <w:sz w:val="21"/>
                      <w:szCs w:val="21"/>
                      <w:lang w:bidi="ar"/>
                    </w:rPr>
                    <w:t>水质指标</w:t>
                  </w:r>
                </w:p>
              </w:tc>
            </w:tr>
            <w:tr w14:paraId="78C6912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1078" w:type="pct"/>
                  <w:gridSpan w:val="2"/>
                  <w:vMerge w:val="continue"/>
                  <w:tcBorders>
                    <w:tl2br w:val="nil"/>
                    <w:tr2bl w:val="nil"/>
                  </w:tcBorders>
                  <w:tcMar>
                    <w:top w:w="15" w:type="dxa"/>
                    <w:left w:w="15" w:type="dxa"/>
                    <w:right w:w="15" w:type="dxa"/>
                  </w:tcMar>
                  <w:vAlign w:val="center"/>
                </w:tcPr>
                <w:p w14:paraId="167D10E5">
                  <w:pPr>
                    <w:widowControl/>
                    <w:jc w:val="center"/>
                    <w:textAlignment w:val="center"/>
                    <w:rPr>
                      <w:b/>
                      <w:sz w:val="21"/>
                      <w:szCs w:val="21"/>
                    </w:rPr>
                  </w:pPr>
                </w:p>
              </w:tc>
              <w:tc>
                <w:tcPr>
                  <w:tcW w:w="409" w:type="pct"/>
                  <w:tcBorders>
                    <w:tl2br w:val="nil"/>
                    <w:tr2bl w:val="nil"/>
                  </w:tcBorders>
                  <w:tcMar>
                    <w:top w:w="15" w:type="dxa"/>
                    <w:left w:w="15" w:type="dxa"/>
                    <w:right w:w="15" w:type="dxa"/>
                  </w:tcMar>
                  <w:vAlign w:val="center"/>
                </w:tcPr>
                <w:p w14:paraId="264E15AF">
                  <w:pPr>
                    <w:widowControl/>
                    <w:jc w:val="center"/>
                    <w:textAlignment w:val="center"/>
                    <w:rPr>
                      <w:b/>
                      <w:sz w:val="21"/>
                      <w:szCs w:val="21"/>
                    </w:rPr>
                  </w:pPr>
                  <w:r>
                    <w:rPr>
                      <w:rFonts w:hint="eastAsia"/>
                      <w:b/>
                      <w:sz w:val="21"/>
                      <w:szCs w:val="21"/>
                    </w:rPr>
                    <w:t>pH</w:t>
                  </w:r>
                </w:p>
              </w:tc>
              <w:tc>
                <w:tcPr>
                  <w:tcW w:w="376" w:type="pct"/>
                  <w:tcBorders>
                    <w:tl2br w:val="nil"/>
                    <w:tr2bl w:val="nil"/>
                  </w:tcBorders>
                  <w:tcMar>
                    <w:top w:w="15" w:type="dxa"/>
                    <w:left w:w="15" w:type="dxa"/>
                    <w:right w:w="15" w:type="dxa"/>
                  </w:tcMar>
                  <w:vAlign w:val="center"/>
                </w:tcPr>
                <w:p w14:paraId="0DD3031B">
                  <w:pPr>
                    <w:widowControl/>
                    <w:jc w:val="center"/>
                    <w:textAlignment w:val="center"/>
                    <w:rPr>
                      <w:b/>
                      <w:kern w:val="0"/>
                      <w:sz w:val="21"/>
                      <w:szCs w:val="21"/>
                      <w:lang w:bidi="ar"/>
                    </w:rPr>
                  </w:pPr>
                  <w:r>
                    <w:rPr>
                      <w:b/>
                      <w:kern w:val="0"/>
                      <w:sz w:val="21"/>
                      <w:szCs w:val="21"/>
                      <w:lang w:bidi="ar"/>
                    </w:rPr>
                    <w:t>COD</w:t>
                  </w:r>
                </w:p>
              </w:tc>
              <w:tc>
                <w:tcPr>
                  <w:tcW w:w="376" w:type="pct"/>
                  <w:tcBorders>
                    <w:tl2br w:val="nil"/>
                    <w:tr2bl w:val="nil"/>
                  </w:tcBorders>
                  <w:tcMar>
                    <w:top w:w="15" w:type="dxa"/>
                    <w:left w:w="15" w:type="dxa"/>
                    <w:right w:w="15" w:type="dxa"/>
                  </w:tcMar>
                  <w:vAlign w:val="center"/>
                </w:tcPr>
                <w:p w14:paraId="47972A04">
                  <w:pPr>
                    <w:widowControl/>
                    <w:jc w:val="center"/>
                    <w:textAlignment w:val="center"/>
                    <w:rPr>
                      <w:b/>
                      <w:sz w:val="21"/>
                      <w:szCs w:val="21"/>
                    </w:rPr>
                  </w:pPr>
                  <w:r>
                    <w:rPr>
                      <w:b/>
                      <w:kern w:val="0"/>
                      <w:sz w:val="21"/>
                      <w:szCs w:val="21"/>
                      <w:lang w:bidi="ar"/>
                    </w:rPr>
                    <w:t>BOD</w:t>
                  </w:r>
                  <w:r>
                    <w:rPr>
                      <w:rStyle w:val="56"/>
                      <w:rFonts w:hint="default" w:ascii="Times New Roman" w:hAnsi="Times New Roman" w:cs="Times New Roman"/>
                      <w:color w:val="auto"/>
                      <w:lang w:bidi="ar"/>
                    </w:rPr>
                    <w:t>5</w:t>
                  </w:r>
                </w:p>
              </w:tc>
              <w:tc>
                <w:tcPr>
                  <w:tcW w:w="370" w:type="pct"/>
                  <w:tcBorders>
                    <w:tl2br w:val="nil"/>
                    <w:tr2bl w:val="nil"/>
                  </w:tcBorders>
                  <w:tcMar>
                    <w:top w:w="15" w:type="dxa"/>
                    <w:left w:w="15" w:type="dxa"/>
                    <w:right w:w="15" w:type="dxa"/>
                  </w:tcMar>
                  <w:vAlign w:val="center"/>
                </w:tcPr>
                <w:p w14:paraId="40C8D052">
                  <w:pPr>
                    <w:widowControl/>
                    <w:jc w:val="center"/>
                    <w:textAlignment w:val="center"/>
                    <w:rPr>
                      <w:b/>
                      <w:sz w:val="21"/>
                      <w:szCs w:val="21"/>
                    </w:rPr>
                  </w:pPr>
                  <w:r>
                    <w:rPr>
                      <w:b/>
                      <w:kern w:val="0"/>
                      <w:sz w:val="21"/>
                      <w:szCs w:val="21"/>
                      <w:lang w:bidi="ar"/>
                    </w:rPr>
                    <w:t>SS</w:t>
                  </w:r>
                </w:p>
              </w:tc>
              <w:tc>
                <w:tcPr>
                  <w:tcW w:w="448" w:type="pct"/>
                  <w:tcBorders>
                    <w:tl2br w:val="nil"/>
                    <w:tr2bl w:val="nil"/>
                  </w:tcBorders>
                  <w:tcMar>
                    <w:top w:w="15" w:type="dxa"/>
                    <w:left w:w="15" w:type="dxa"/>
                    <w:right w:w="15" w:type="dxa"/>
                  </w:tcMar>
                  <w:vAlign w:val="center"/>
                </w:tcPr>
                <w:p w14:paraId="6A9F3974">
                  <w:pPr>
                    <w:widowControl/>
                    <w:jc w:val="center"/>
                    <w:textAlignment w:val="center"/>
                    <w:rPr>
                      <w:b/>
                      <w:bCs/>
                      <w:sz w:val="21"/>
                      <w:szCs w:val="21"/>
                    </w:rPr>
                  </w:pPr>
                  <w:r>
                    <w:rPr>
                      <w:b/>
                      <w:kern w:val="0"/>
                      <w:sz w:val="21"/>
                      <w:szCs w:val="21"/>
                      <w:lang w:bidi="ar"/>
                    </w:rPr>
                    <w:t>NH</w:t>
                  </w:r>
                  <w:r>
                    <w:rPr>
                      <w:rStyle w:val="56"/>
                      <w:rFonts w:hint="default" w:ascii="Times New Roman" w:hAnsi="Times New Roman" w:cs="Times New Roman"/>
                      <w:color w:val="auto"/>
                      <w:lang w:bidi="ar"/>
                    </w:rPr>
                    <w:t>3</w:t>
                  </w:r>
                  <w:r>
                    <w:rPr>
                      <w:rStyle w:val="57"/>
                      <w:rFonts w:hint="default" w:ascii="Times New Roman" w:hAnsi="Times New Roman" w:cs="Times New Roman"/>
                      <w:color w:val="auto"/>
                      <w:lang w:bidi="ar"/>
                    </w:rPr>
                    <w:t>-N</w:t>
                  </w:r>
                </w:p>
              </w:tc>
              <w:tc>
                <w:tcPr>
                  <w:tcW w:w="339" w:type="pct"/>
                  <w:tcBorders>
                    <w:tl2br w:val="nil"/>
                    <w:tr2bl w:val="nil"/>
                  </w:tcBorders>
                  <w:tcMar>
                    <w:top w:w="15" w:type="dxa"/>
                    <w:left w:w="15" w:type="dxa"/>
                    <w:right w:w="15" w:type="dxa"/>
                  </w:tcMar>
                  <w:vAlign w:val="center"/>
                </w:tcPr>
                <w:p w14:paraId="6DAD1239">
                  <w:pPr>
                    <w:widowControl/>
                    <w:jc w:val="center"/>
                    <w:textAlignment w:val="center"/>
                    <w:rPr>
                      <w:b/>
                      <w:bCs/>
                      <w:sz w:val="21"/>
                      <w:szCs w:val="21"/>
                    </w:rPr>
                  </w:pPr>
                  <w:r>
                    <w:rPr>
                      <w:b/>
                      <w:bCs/>
                      <w:kern w:val="0"/>
                      <w:sz w:val="21"/>
                      <w:szCs w:val="21"/>
                      <w:lang w:bidi="ar"/>
                    </w:rPr>
                    <w:t>TP</w:t>
                  </w:r>
                </w:p>
              </w:tc>
              <w:tc>
                <w:tcPr>
                  <w:tcW w:w="350" w:type="pct"/>
                  <w:tcBorders>
                    <w:tl2br w:val="nil"/>
                    <w:tr2bl w:val="nil"/>
                  </w:tcBorders>
                  <w:tcMar>
                    <w:top w:w="15" w:type="dxa"/>
                    <w:left w:w="15" w:type="dxa"/>
                    <w:right w:w="15" w:type="dxa"/>
                  </w:tcMar>
                  <w:vAlign w:val="center"/>
                </w:tcPr>
                <w:p w14:paraId="67DF8522">
                  <w:pPr>
                    <w:widowControl/>
                    <w:jc w:val="center"/>
                    <w:textAlignment w:val="center"/>
                    <w:rPr>
                      <w:b/>
                      <w:bCs/>
                      <w:kern w:val="0"/>
                      <w:sz w:val="21"/>
                      <w:szCs w:val="21"/>
                      <w:lang w:bidi="ar"/>
                    </w:rPr>
                  </w:pPr>
                  <w:r>
                    <w:rPr>
                      <w:b/>
                      <w:bCs/>
                      <w:kern w:val="0"/>
                      <w:sz w:val="21"/>
                      <w:szCs w:val="21"/>
                      <w:lang w:bidi="ar"/>
                    </w:rPr>
                    <w:t>TN</w:t>
                  </w:r>
                </w:p>
              </w:tc>
              <w:tc>
                <w:tcPr>
                  <w:tcW w:w="516" w:type="pct"/>
                  <w:tcBorders>
                    <w:tl2br w:val="nil"/>
                    <w:tr2bl w:val="nil"/>
                  </w:tcBorders>
                  <w:tcMar>
                    <w:top w:w="15" w:type="dxa"/>
                    <w:left w:w="15" w:type="dxa"/>
                    <w:right w:w="15" w:type="dxa"/>
                  </w:tcMar>
                  <w:vAlign w:val="center"/>
                </w:tcPr>
                <w:p w14:paraId="2A25B9B6">
                  <w:pPr>
                    <w:widowControl/>
                    <w:jc w:val="center"/>
                    <w:textAlignment w:val="center"/>
                    <w:rPr>
                      <w:b/>
                      <w:bCs/>
                      <w:kern w:val="0"/>
                      <w:sz w:val="21"/>
                      <w:szCs w:val="21"/>
                      <w:lang w:bidi="ar"/>
                    </w:rPr>
                  </w:pPr>
                  <w:r>
                    <w:rPr>
                      <w:rFonts w:hint="eastAsia"/>
                      <w:b/>
                      <w:bCs/>
                      <w:kern w:val="0"/>
                      <w:sz w:val="21"/>
                      <w:szCs w:val="21"/>
                      <w:lang w:bidi="ar"/>
                    </w:rPr>
                    <w:t>阴离子表面活性剂</w:t>
                  </w:r>
                </w:p>
              </w:tc>
              <w:tc>
                <w:tcPr>
                  <w:tcW w:w="368" w:type="pct"/>
                  <w:tcBorders>
                    <w:tl2br w:val="nil"/>
                    <w:tr2bl w:val="nil"/>
                  </w:tcBorders>
                  <w:tcMar>
                    <w:top w:w="15" w:type="dxa"/>
                    <w:left w:w="15" w:type="dxa"/>
                    <w:right w:w="15" w:type="dxa"/>
                  </w:tcMar>
                  <w:vAlign w:val="center"/>
                </w:tcPr>
                <w:p w14:paraId="355B8C16">
                  <w:pPr>
                    <w:widowControl/>
                    <w:jc w:val="center"/>
                    <w:textAlignment w:val="center"/>
                    <w:rPr>
                      <w:b/>
                      <w:bCs/>
                      <w:kern w:val="0"/>
                      <w:sz w:val="21"/>
                      <w:szCs w:val="21"/>
                      <w:lang w:bidi="ar"/>
                    </w:rPr>
                  </w:pPr>
                  <w:r>
                    <w:rPr>
                      <w:rFonts w:hint="eastAsia"/>
                      <w:b/>
                      <w:bCs/>
                      <w:kern w:val="0"/>
                      <w:sz w:val="21"/>
                      <w:szCs w:val="21"/>
                      <w:lang w:bidi="ar"/>
                    </w:rPr>
                    <w:t>石油类</w:t>
                  </w:r>
                </w:p>
              </w:tc>
              <w:tc>
                <w:tcPr>
                  <w:tcW w:w="363" w:type="pct"/>
                  <w:tcBorders>
                    <w:tl2br w:val="nil"/>
                    <w:tr2bl w:val="nil"/>
                  </w:tcBorders>
                  <w:tcMar>
                    <w:top w:w="15" w:type="dxa"/>
                    <w:left w:w="15" w:type="dxa"/>
                    <w:right w:w="15" w:type="dxa"/>
                  </w:tcMar>
                  <w:vAlign w:val="center"/>
                </w:tcPr>
                <w:p w14:paraId="003806E2">
                  <w:pPr>
                    <w:widowControl/>
                    <w:jc w:val="center"/>
                    <w:textAlignment w:val="center"/>
                    <w:rPr>
                      <w:b/>
                      <w:kern w:val="0"/>
                      <w:sz w:val="21"/>
                      <w:szCs w:val="21"/>
                      <w:lang w:bidi="ar"/>
                    </w:rPr>
                  </w:pPr>
                  <w:r>
                    <w:rPr>
                      <w:rFonts w:hint="eastAsia"/>
                      <w:kern w:val="0"/>
                      <w:sz w:val="21"/>
                      <w:szCs w:val="21"/>
                      <w:lang w:bidi="ar"/>
                    </w:rPr>
                    <w:t>TDS</w:t>
                  </w:r>
                </w:p>
              </w:tc>
            </w:tr>
            <w:tr w14:paraId="7C0C579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restart"/>
                  <w:tcBorders>
                    <w:tl2br w:val="nil"/>
                    <w:tr2bl w:val="nil"/>
                  </w:tcBorders>
                  <w:tcMar>
                    <w:top w:w="15" w:type="dxa"/>
                    <w:left w:w="15" w:type="dxa"/>
                    <w:right w:w="15" w:type="dxa"/>
                  </w:tcMar>
                  <w:vAlign w:val="center"/>
                </w:tcPr>
                <w:p w14:paraId="43720F80">
                  <w:pPr>
                    <w:widowControl/>
                    <w:jc w:val="center"/>
                    <w:textAlignment w:val="center"/>
                    <w:rPr>
                      <w:sz w:val="21"/>
                      <w:szCs w:val="21"/>
                    </w:rPr>
                  </w:pPr>
                  <w:r>
                    <w:rPr>
                      <w:sz w:val="21"/>
                      <w:szCs w:val="21"/>
                    </w:rPr>
                    <w:t>实验</w:t>
                  </w:r>
                  <w:r>
                    <w:rPr>
                      <w:rFonts w:hint="eastAsia"/>
                      <w:sz w:val="21"/>
                      <w:szCs w:val="21"/>
                    </w:rPr>
                    <w:t>器皿清洗</w:t>
                  </w:r>
                  <w:r>
                    <w:rPr>
                      <w:sz w:val="21"/>
                      <w:szCs w:val="21"/>
                    </w:rPr>
                    <w:t>废水</w:t>
                  </w:r>
                  <w:r>
                    <w:rPr>
                      <w:rFonts w:hint="eastAsia"/>
                      <w:sz w:val="21"/>
                      <w:szCs w:val="21"/>
                    </w:rPr>
                    <w:t>、喷淋塔排水、剩余一般水样（123.5m</w:t>
                  </w:r>
                  <w:r>
                    <w:rPr>
                      <w:rFonts w:hint="eastAsia"/>
                      <w:sz w:val="21"/>
                      <w:szCs w:val="21"/>
                      <w:vertAlign w:val="superscript"/>
                    </w:rPr>
                    <w:t>3</w:t>
                  </w:r>
                  <w:r>
                    <w:rPr>
                      <w:rFonts w:hint="eastAsia"/>
                      <w:sz w:val="21"/>
                      <w:szCs w:val="21"/>
                    </w:rPr>
                    <w:t>/a）</w:t>
                  </w:r>
                </w:p>
              </w:tc>
              <w:tc>
                <w:tcPr>
                  <w:tcW w:w="607" w:type="pct"/>
                  <w:tcBorders>
                    <w:tl2br w:val="nil"/>
                    <w:tr2bl w:val="nil"/>
                  </w:tcBorders>
                  <w:shd w:val="clear" w:color="auto" w:fill="auto"/>
                  <w:tcMar>
                    <w:top w:w="15" w:type="dxa"/>
                    <w:left w:w="15" w:type="dxa"/>
                    <w:right w:w="15" w:type="dxa"/>
                  </w:tcMar>
                  <w:vAlign w:val="center"/>
                </w:tcPr>
                <w:p w14:paraId="6B272EBC">
                  <w:pPr>
                    <w:widowControl/>
                    <w:jc w:val="center"/>
                    <w:textAlignment w:val="center"/>
                    <w:rPr>
                      <w:kern w:val="0"/>
                      <w:sz w:val="21"/>
                      <w:szCs w:val="21"/>
                      <w:lang w:bidi="ar"/>
                    </w:rPr>
                  </w:pPr>
                  <w:r>
                    <w:rPr>
                      <w:rFonts w:hint="eastAsia"/>
                      <w:kern w:val="0"/>
                      <w:sz w:val="21"/>
                      <w:szCs w:val="21"/>
                      <w:lang w:bidi="ar"/>
                    </w:rPr>
                    <w:t>治理工艺</w:t>
                  </w:r>
                </w:p>
              </w:tc>
              <w:tc>
                <w:tcPr>
                  <w:tcW w:w="3921" w:type="pct"/>
                  <w:gridSpan w:val="10"/>
                  <w:tcBorders>
                    <w:tl2br w:val="nil"/>
                    <w:tr2bl w:val="nil"/>
                  </w:tcBorders>
                  <w:shd w:val="clear" w:color="auto" w:fill="auto"/>
                  <w:tcMar>
                    <w:top w:w="15" w:type="dxa"/>
                    <w:left w:w="15" w:type="dxa"/>
                    <w:right w:w="15" w:type="dxa"/>
                  </w:tcMar>
                  <w:vAlign w:val="center"/>
                </w:tcPr>
                <w:p w14:paraId="696B69AA">
                  <w:pPr>
                    <w:widowControl/>
                    <w:jc w:val="center"/>
                    <w:textAlignment w:val="center"/>
                    <w:rPr>
                      <w:kern w:val="0"/>
                      <w:sz w:val="21"/>
                      <w:szCs w:val="21"/>
                      <w:lang w:bidi="ar"/>
                    </w:rPr>
                  </w:pPr>
                  <w:r>
                    <w:rPr>
                      <w:rFonts w:hint="eastAsia"/>
                      <w:kern w:val="0"/>
                      <w:sz w:val="21"/>
                      <w:szCs w:val="21"/>
                      <w:lang w:bidi="ar"/>
                    </w:rPr>
                    <w:t>废水处理设备（酸碱中和）</w:t>
                  </w:r>
                </w:p>
              </w:tc>
            </w:tr>
            <w:tr w14:paraId="194803F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5DAB7C30">
                  <w:pPr>
                    <w:widowControl/>
                    <w:jc w:val="center"/>
                    <w:textAlignment w:val="center"/>
                    <w:rPr>
                      <w:sz w:val="21"/>
                      <w:szCs w:val="21"/>
                    </w:rPr>
                  </w:pPr>
                </w:p>
              </w:tc>
              <w:tc>
                <w:tcPr>
                  <w:tcW w:w="607" w:type="pct"/>
                  <w:tcBorders>
                    <w:tl2br w:val="nil"/>
                    <w:tr2bl w:val="nil"/>
                  </w:tcBorders>
                  <w:tcMar>
                    <w:top w:w="15" w:type="dxa"/>
                    <w:left w:w="15" w:type="dxa"/>
                    <w:right w:w="15" w:type="dxa"/>
                  </w:tcMar>
                  <w:vAlign w:val="center"/>
                </w:tcPr>
                <w:p w14:paraId="2C1857C1">
                  <w:pPr>
                    <w:widowControl/>
                    <w:jc w:val="center"/>
                    <w:textAlignment w:val="center"/>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废水处理设备出口排放</w:t>
                  </w:r>
                  <w:r>
                    <w:rPr>
                      <w:color w:val="000000" w:themeColor="text1"/>
                      <w:kern w:val="0"/>
                      <w:sz w:val="21"/>
                      <w:szCs w:val="21"/>
                      <w:lang w:bidi="ar"/>
                      <w14:textFill>
                        <w14:solidFill>
                          <w14:schemeClr w14:val="tx1"/>
                        </w14:solidFill>
                      </w14:textFill>
                    </w:rPr>
                    <w:t>浓度（mg/L）</w:t>
                  </w:r>
                </w:p>
              </w:tc>
              <w:tc>
                <w:tcPr>
                  <w:tcW w:w="409" w:type="pct"/>
                  <w:tcBorders>
                    <w:tl2br w:val="nil"/>
                    <w:tr2bl w:val="nil"/>
                  </w:tcBorders>
                  <w:tcMar>
                    <w:top w:w="15" w:type="dxa"/>
                    <w:left w:w="15" w:type="dxa"/>
                    <w:right w:w="15" w:type="dxa"/>
                  </w:tcMar>
                  <w:vAlign w:val="center"/>
                </w:tcPr>
                <w:p w14:paraId="6FAA7CFF">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8.12</w:t>
                  </w:r>
                </w:p>
              </w:tc>
              <w:tc>
                <w:tcPr>
                  <w:tcW w:w="376" w:type="pct"/>
                  <w:tcBorders>
                    <w:tl2br w:val="nil"/>
                    <w:tr2bl w:val="nil"/>
                  </w:tcBorders>
                  <w:tcMar>
                    <w:top w:w="15" w:type="dxa"/>
                    <w:left w:w="15" w:type="dxa"/>
                    <w:right w:w="15" w:type="dxa"/>
                  </w:tcMar>
                  <w:vAlign w:val="center"/>
                </w:tcPr>
                <w:p w14:paraId="684F05CB">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296</w:t>
                  </w:r>
                </w:p>
              </w:tc>
              <w:tc>
                <w:tcPr>
                  <w:tcW w:w="376" w:type="pct"/>
                  <w:tcBorders>
                    <w:tl2br w:val="nil"/>
                    <w:tr2bl w:val="nil"/>
                  </w:tcBorders>
                  <w:tcMar>
                    <w:top w:w="15" w:type="dxa"/>
                    <w:left w:w="15" w:type="dxa"/>
                    <w:right w:w="15" w:type="dxa"/>
                  </w:tcMar>
                  <w:vAlign w:val="center"/>
                </w:tcPr>
                <w:p w14:paraId="101B71F7">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75.2</w:t>
                  </w:r>
                </w:p>
              </w:tc>
              <w:tc>
                <w:tcPr>
                  <w:tcW w:w="370" w:type="pct"/>
                  <w:tcBorders>
                    <w:tl2br w:val="nil"/>
                    <w:tr2bl w:val="nil"/>
                  </w:tcBorders>
                  <w:tcMar>
                    <w:top w:w="15" w:type="dxa"/>
                    <w:left w:w="15" w:type="dxa"/>
                    <w:right w:w="15" w:type="dxa"/>
                  </w:tcMar>
                  <w:vAlign w:val="center"/>
                </w:tcPr>
                <w:p w14:paraId="32A34454">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8</w:t>
                  </w:r>
                </w:p>
              </w:tc>
              <w:tc>
                <w:tcPr>
                  <w:tcW w:w="448" w:type="pct"/>
                  <w:tcBorders>
                    <w:tl2br w:val="nil"/>
                    <w:tr2bl w:val="nil"/>
                  </w:tcBorders>
                  <w:tcMar>
                    <w:top w:w="15" w:type="dxa"/>
                    <w:left w:w="15" w:type="dxa"/>
                    <w:right w:w="15" w:type="dxa"/>
                  </w:tcMar>
                  <w:vAlign w:val="center"/>
                </w:tcPr>
                <w:p w14:paraId="166A62A9">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10.9</w:t>
                  </w:r>
                </w:p>
              </w:tc>
              <w:tc>
                <w:tcPr>
                  <w:tcW w:w="339" w:type="pct"/>
                  <w:tcBorders>
                    <w:tl2br w:val="nil"/>
                    <w:tr2bl w:val="nil"/>
                  </w:tcBorders>
                  <w:tcMar>
                    <w:top w:w="15" w:type="dxa"/>
                    <w:left w:w="15" w:type="dxa"/>
                    <w:right w:w="15" w:type="dxa"/>
                  </w:tcMar>
                  <w:vAlign w:val="center"/>
                </w:tcPr>
                <w:p w14:paraId="63460E22">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4</w:t>
                  </w:r>
                </w:p>
              </w:tc>
              <w:tc>
                <w:tcPr>
                  <w:tcW w:w="350" w:type="pct"/>
                  <w:tcBorders>
                    <w:tl2br w:val="nil"/>
                    <w:tr2bl w:val="nil"/>
                  </w:tcBorders>
                  <w:tcMar>
                    <w:top w:w="15" w:type="dxa"/>
                    <w:left w:w="15" w:type="dxa"/>
                    <w:right w:w="15" w:type="dxa"/>
                  </w:tcMar>
                  <w:vAlign w:val="center"/>
                </w:tcPr>
                <w:p w14:paraId="6EAD6F59">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30</w:t>
                  </w:r>
                </w:p>
              </w:tc>
              <w:tc>
                <w:tcPr>
                  <w:tcW w:w="516" w:type="pct"/>
                  <w:tcBorders>
                    <w:tl2br w:val="nil"/>
                    <w:tr2bl w:val="nil"/>
                  </w:tcBorders>
                  <w:tcMar>
                    <w:top w:w="15" w:type="dxa"/>
                    <w:left w:w="15" w:type="dxa"/>
                    <w:right w:w="15" w:type="dxa"/>
                  </w:tcMar>
                  <w:vAlign w:val="center"/>
                </w:tcPr>
                <w:p w14:paraId="43493150">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1.90</w:t>
                  </w:r>
                </w:p>
              </w:tc>
              <w:tc>
                <w:tcPr>
                  <w:tcW w:w="368" w:type="pct"/>
                  <w:tcBorders>
                    <w:tl2br w:val="nil"/>
                    <w:tr2bl w:val="nil"/>
                  </w:tcBorders>
                  <w:tcMar>
                    <w:top w:w="15" w:type="dxa"/>
                    <w:left w:w="15" w:type="dxa"/>
                    <w:right w:w="15" w:type="dxa"/>
                  </w:tcMar>
                  <w:vAlign w:val="center"/>
                </w:tcPr>
                <w:p w14:paraId="13853017">
                  <w:pPr>
                    <w:widowControl/>
                    <w:jc w:val="center"/>
                    <w:textAlignment w:val="center"/>
                    <w:rPr>
                      <w:kern w:val="0"/>
                      <w:sz w:val="21"/>
                      <w:szCs w:val="21"/>
                      <w:lang w:bidi="ar"/>
                    </w:rPr>
                  </w:pPr>
                  <w:r>
                    <w:rPr>
                      <w:rFonts w:hint="eastAsia"/>
                      <w:kern w:val="0"/>
                      <w:sz w:val="21"/>
                      <w:szCs w:val="21"/>
                      <w:lang w:bidi="ar"/>
                    </w:rPr>
                    <w:t>0.60</w:t>
                  </w:r>
                </w:p>
              </w:tc>
              <w:tc>
                <w:tcPr>
                  <w:tcW w:w="363" w:type="pct"/>
                  <w:tcBorders>
                    <w:tl2br w:val="nil"/>
                    <w:tr2bl w:val="nil"/>
                  </w:tcBorders>
                  <w:tcMar>
                    <w:top w:w="15" w:type="dxa"/>
                    <w:left w:w="15" w:type="dxa"/>
                    <w:right w:w="15" w:type="dxa"/>
                  </w:tcMar>
                  <w:vAlign w:val="center"/>
                </w:tcPr>
                <w:p w14:paraId="568BD47F">
                  <w:pPr>
                    <w:widowControl/>
                    <w:jc w:val="center"/>
                    <w:textAlignment w:val="center"/>
                    <w:rPr>
                      <w:kern w:val="0"/>
                      <w:sz w:val="21"/>
                      <w:szCs w:val="21"/>
                      <w:lang w:bidi="ar"/>
                    </w:rPr>
                  </w:pPr>
                  <w:r>
                    <w:rPr>
                      <w:rFonts w:hint="eastAsia"/>
                      <w:kern w:val="0"/>
                      <w:sz w:val="21"/>
                      <w:szCs w:val="21"/>
                      <w:lang w:bidi="ar"/>
                    </w:rPr>
                    <w:t>/</w:t>
                  </w:r>
                </w:p>
              </w:tc>
            </w:tr>
            <w:tr w14:paraId="49D4209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6ECABC58">
                  <w:pPr>
                    <w:jc w:val="center"/>
                    <w:rPr>
                      <w:sz w:val="21"/>
                      <w:szCs w:val="21"/>
                    </w:rPr>
                  </w:pPr>
                </w:p>
              </w:tc>
              <w:tc>
                <w:tcPr>
                  <w:tcW w:w="607" w:type="pct"/>
                  <w:tcBorders>
                    <w:tl2br w:val="nil"/>
                    <w:tr2bl w:val="nil"/>
                  </w:tcBorders>
                  <w:tcMar>
                    <w:top w:w="15" w:type="dxa"/>
                    <w:left w:w="15" w:type="dxa"/>
                    <w:right w:w="15" w:type="dxa"/>
                  </w:tcMar>
                  <w:vAlign w:val="center"/>
                </w:tcPr>
                <w:p w14:paraId="132FB573">
                  <w:pPr>
                    <w:widowControl/>
                    <w:jc w:val="center"/>
                    <w:textAlignment w:val="center"/>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w:t>
                  </w:r>
                  <w:r>
                    <w:rPr>
                      <w:color w:val="000000" w:themeColor="text1"/>
                      <w:kern w:val="0"/>
                      <w:sz w:val="21"/>
                      <w:szCs w:val="21"/>
                      <w:lang w:bidi="ar"/>
                      <w14:textFill>
                        <w14:solidFill>
                          <w14:schemeClr w14:val="tx1"/>
                        </w14:solidFill>
                      </w14:textFill>
                    </w:rPr>
                    <w:t>量（m</w:t>
                  </w:r>
                  <w:r>
                    <w:rPr>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/a）</w:t>
                  </w:r>
                </w:p>
              </w:tc>
              <w:tc>
                <w:tcPr>
                  <w:tcW w:w="409" w:type="pct"/>
                  <w:tcBorders>
                    <w:tl2br w:val="nil"/>
                    <w:tr2bl w:val="nil"/>
                  </w:tcBorders>
                  <w:tcMar>
                    <w:top w:w="15" w:type="dxa"/>
                    <w:left w:w="15" w:type="dxa"/>
                    <w:right w:w="15" w:type="dxa"/>
                  </w:tcMar>
                  <w:vAlign w:val="center"/>
                </w:tcPr>
                <w:p w14:paraId="38BDD760">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76" w:type="pct"/>
                  <w:tcBorders>
                    <w:tl2br w:val="nil"/>
                    <w:tr2bl w:val="nil"/>
                  </w:tcBorders>
                  <w:tcMar>
                    <w:top w:w="15" w:type="dxa"/>
                    <w:left w:w="15" w:type="dxa"/>
                    <w:right w:w="15" w:type="dxa"/>
                  </w:tcMar>
                  <w:vAlign w:val="center"/>
                </w:tcPr>
                <w:p w14:paraId="246EF148">
                  <w:pPr>
                    <w:widowControl/>
                    <w:jc w:val="center"/>
                    <w:textAlignment w:val="center"/>
                    <w:rPr>
                      <w:rFonts w:hint="eastAsia" w:eastAsia="宋体"/>
                      <w:color w:val="000000" w:themeColor="text1"/>
                      <w:kern w:val="0"/>
                      <w:sz w:val="21"/>
                      <w:szCs w:val="21"/>
                      <w:lang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0.03</w:t>
                  </w:r>
                  <w:r>
                    <w:rPr>
                      <w:rFonts w:hint="eastAsia"/>
                      <w:color w:val="000000" w:themeColor="text1"/>
                      <w:kern w:val="0"/>
                      <w:sz w:val="21"/>
                      <w:szCs w:val="21"/>
                      <w:lang w:val="en-US" w:eastAsia="zh-CN" w:bidi="ar"/>
                      <w14:textFill>
                        <w14:solidFill>
                          <w14:schemeClr w14:val="tx1"/>
                        </w14:solidFill>
                      </w14:textFill>
                    </w:rPr>
                    <w:t>7</w:t>
                  </w:r>
                </w:p>
              </w:tc>
              <w:tc>
                <w:tcPr>
                  <w:tcW w:w="376" w:type="pct"/>
                  <w:tcBorders>
                    <w:tl2br w:val="nil"/>
                    <w:tr2bl w:val="nil"/>
                  </w:tcBorders>
                  <w:tcMar>
                    <w:top w:w="15" w:type="dxa"/>
                    <w:left w:w="15" w:type="dxa"/>
                    <w:right w:w="15" w:type="dxa"/>
                  </w:tcMar>
                  <w:vAlign w:val="center"/>
                </w:tcPr>
                <w:p w14:paraId="3D1BA53A">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0.0093</w:t>
                  </w:r>
                </w:p>
              </w:tc>
              <w:tc>
                <w:tcPr>
                  <w:tcW w:w="370" w:type="pct"/>
                  <w:tcBorders>
                    <w:tl2br w:val="nil"/>
                    <w:tr2bl w:val="nil"/>
                  </w:tcBorders>
                  <w:tcMar>
                    <w:top w:w="15" w:type="dxa"/>
                    <w:left w:w="15" w:type="dxa"/>
                    <w:right w:w="15" w:type="dxa"/>
                  </w:tcMar>
                  <w:vAlign w:val="center"/>
                </w:tcPr>
                <w:p w14:paraId="216F1E81">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0.0010</w:t>
                  </w:r>
                </w:p>
              </w:tc>
              <w:tc>
                <w:tcPr>
                  <w:tcW w:w="448" w:type="pct"/>
                  <w:tcBorders>
                    <w:tl2br w:val="nil"/>
                    <w:tr2bl w:val="nil"/>
                  </w:tcBorders>
                  <w:tcMar>
                    <w:top w:w="15" w:type="dxa"/>
                    <w:left w:w="15" w:type="dxa"/>
                    <w:right w:w="15" w:type="dxa"/>
                  </w:tcMar>
                  <w:vAlign w:val="center"/>
                </w:tcPr>
                <w:p w14:paraId="105C1EB5">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0.0013</w:t>
                  </w:r>
                </w:p>
              </w:tc>
              <w:tc>
                <w:tcPr>
                  <w:tcW w:w="339" w:type="pct"/>
                  <w:tcBorders>
                    <w:tl2br w:val="nil"/>
                    <w:tr2bl w:val="nil"/>
                  </w:tcBorders>
                  <w:tcMar>
                    <w:top w:w="15" w:type="dxa"/>
                    <w:left w:w="15" w:type="dxa"/>
                    <w:right w:w="15" w:type="dxa"/>
                  </w:tcMar>
                  <w:vAlign w:val="center"/>
                </w:tcPr>
                <w:p w14:paraId="2A540115">
                  <w:pPr>
                    <w:widowControl/>
                    <w:jc w:val="center"/>
                    <w:textAlignment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w:t>
                  </w:r>
                  <w:r>
                    <w:rPr>
                      <w:rFonts w:hint="eastAsia"/>
                      <w:color w:val="000000" w:themeColor="text1"/>
                      <w:kern w:val="0"/>
                      <w:sz w:val="21"/>
                      <w:szCs w:val="21"/>
                      <w:lang w:val="en-US" w:eastAsia="zh-CN" w:bidi="ar"/>
                      <w14:textFill>
                        <w14:solidFill>
                          <w14:schemeClr w14:val="tx1"/>
                        </w14:solidFill>
                      </w14:textFill>
                    </w:rPr>
                    <w:t>49</w:t>
                  </w:r>
                </w:p>
              </w:tc>
              <w:tc>
                <w:tcPr>
                  <w:tcW w:w="350" w:type="pct"/>
                  <w:tcBorders>
                    <w:tl2br w:val="nil"/>
                    <w:tr2bl w:val="nil"/>
                  </w:tcBorders>
                  <w:tcMar>
                    <w:top w:w="15" w:type="dxa"/>
                    <w:left w:w="15" w:type="dxa"/>
                    <w:right w:w="15" w:type="dxa"/>
                  </w:tcMar>
                  <w:vAlign w:val="center"/>
                </w:tcPr>
                <w:p w14:paraId="424A4425">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0.0037</w:t>
                  </w:r>
                </w:p>
              </w:tc>
              <w:tc>
                <w:tcPr>
                  <w:tcW w:w="516" w:type="pct"/>
                  <w:tcBorders>
                    <w:tl2br w:val="nil"/>
                    <w:tr2bl w:val="nil"/>
                  </w:tcBorders>
                  <w:tcMar>
                    <w:top w:w="15" w:type="dxa"/>
                    <w:left w:w="15" w:type="dxa"/>
                    <w:right w:w="15" w:type="dxa"/>
                  </w:tcMar>
                  <w:vAlign w:val="center"/>
                </w:tcPr>
                <w:p w14:paraId="11FA05CA">
                  <w:pPr>
                    <w:widowControl/>
                    <w:jc w:val="center"/>
                    <w:textAlignment w:val="center"/>
                    <w:rPr>
                      <w:rFonts w:hint="eastAsia"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0.0002</w:t>
                  </w:r>
                  <w:r>
                    <w:rPr>
                      <w:rFonts w:hint="eastAsia"/>
                      <w:color w:val="000000" w:themeColor="text1"/>
                      <w:kern w:val="0"/>
                      <w:sz w:val="21"/>
                      <w:szCs w:val="21"/>
                      <w:lang w:val="en-US" w:eastAsia="zh-CN" w:bidi="ar"/>
                      <w14:textFill>
                        <w14:solidFill>
                          <w14:schemeClr w14:val="tx1"/>
                        </w14:solidFill>
                      </w14:textFill>
                    </w:rPr>
                    <w:t>3</w:t>
                  </w:r>
                </w:p>
              </w:tc>
              <w:tc>
                <w:tcPr>
                  <w:tcW w:w="368" w:type="pct"/>
                  <w:tcBorders>
                    <w:tl2br w:val="nil"/>
                    <w:tr2bl w:val="nil"/>
                  </w:tcBorders>
                  <w:tcMar>
                    <w:top w:w="15" w:type="dxa"/>
                    <w:left w:w="15" w:type="dxa"/>
                    <w:right w:w="15" w:type="dxa"/>
                  </w:tcMar>
                  <w:vAlign w:val="center"/>
                </w:tcPr>
                <w:p w14:paraId="344BCCC7">
                  <w:pPr>
                    <w:widowControl/>
                    <w:jc w:val="center"/>
                    <w:textAlignment w:val="center"/>
                    <w:rPr>
                      <w:rFonts w:hint="eastAsia" w:eastAsia="宋体"/>
                      <w:kern w:val="0"/>
                      <w:sz w:val="21"/>
                      <w:szCs w:val="21"/>
                      <w:lang w:val="en-US" w:eastAsia="zh-CN" w:bidi="ar"/>
                    </w:rPr>
                  </w:pPr>
                  <w:r>
                    <w:rPr>
                      <w:rFonts w:hint="eastAsia"/>
                      <w:kern w:val="0"/>
                      <w:sz w:val="21"/>
                      <w:szCs w:val="21"/>
                      <w:lang w:bidi="ar"/>
                    </w:rPr>
                    <w:t>0.00007</w:t>
                  </w:r>
                  <w:r>
                    <w:rPr>
                      <w:rFonts w:hint="eastAsia"/>
                      <w:kern w:val="0"/>
                      <w:sz w:val="21"/>
                      <w:szCs w:val="21"/>
                      <w:lang w:val="en-US" w:eastAsia="zh-CN" w:bidi="ar"/>
                    </w:rPr>
                    <w:t>4</w:t>
                  </w:r>
                </w:p>
              </w:tc>
              <w:tc>
                <w:tcPr>
                  <w:tcW w:w="363" w:type="pct"/>
                  <w:tcBorders>
                    <w:tl2br w:val="nil"/>
                    <w:tr2bl w:val="nil"/>
                  </w:tcBorders>
                  <w:tcMar>
                    <w:top w:w="15" w:type="dxa"/>
                    <w:left w:w="15" w:type="dxa"/>
                    <w:right w:w="15" w:type="dxa"/>
                  </w:tcMar>
                  <w:vAlign w:val="center"/>
                </w:tcPr>
                <w:p w14:paraId="2CAE0B55">
                  <w:pPr>
                    <w:widowControl/>
                    <w:jc w:val="center"/>
                    <w:textAlignment w:val="center"/>
                    <w:rPr>
                      <w:kern w:val="0"/>
                      <w:sz w:val="21"/>
                      <w:szCs w:val="21"/>
                      <w:lang w:bidi="ar"/>
                    </w:rPr>
                  </w:pPr>
                  <w:r>
                    <w:rPr>
                      <w:rFonts w:hint="eastAsia"/>
                      <w:kern w:val="0"/>
                      <w:sz w:val="21"/>
                      <w:szCs w:val="21"/>
                      <w:lang w:bidi="ar"/>
                    </w:rPr>
                    <w:t>/</w:t>
                  </w:r>
                </w:p>
              </w:tc>
            </w:tr>
            <w:tr w14:paraId="57E5643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7EEE5451">
                  <w:pPr>
                    <w:jc w:val="center"/>
                    <w:rPr>
                      <w:sz w:val="21"/>
                      <w:szCs w:val="21"/>
                    </w:rPr>
                  </w:pPr>
                </w:p>
              </w:tc>
              <w:tc>
                <w:tcPr>
                  <w:tcW w:w="607" w:type="pct"/>
                  <w:tcBorders>
                    <w:tl2br w:val="nil"/>
                    <w:tr2bl w:val="nil"/>
                  </w:tcBorders>
                  <w:shd w:val="clear"/>
                  <w:tcMar>
                    <w:top w:w="15" w:type="dxa"/>
                    <w:left w:w="15" w:type="dxa"/>
                    <w:right w:w="15" w:type="dxa"/>
                  </w:tcMar>
                  <w:vAlign w:val="center"/>
                </w:tcPr>
                <w:p w14:paraId="3884F51C">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治理工艺</w:t>
                  </w:r>
                </w:p>
              </w:tc>
              <w:tc>
                <w:tcPr>
                  <w:tcW w:w="3921" w:type="pct"/>
                  <w:gridSpan w:val="10"/>
                  <w:tcBorders>
                    <w:tl2br w:val="nil"/>
                    <w:tr2bl w:val="nil"/>
                  </w:tcBorders>
                  <w:shd w:val="clear"/>
                  <w:tcMar>
                    <w:top w:w="15" w:type="dxa"/>
                    <w:left w:w="15" w:type="dxa"/>
                    <w:right w:w="15" w:type="dxa"/>
                  </w:tcMar>
                  <w:vAlign w:val="center"/>
                </w:tcPr>
                <w:p w14:paraId="05C0864D">
                  <w:pPr>
                    <w:widowControl/>
                    <w:jc w:val="center"/>
                    <w:textAlignment w:val="center"/>
                    <w:rPr>
                      <w:rFonts w:hint="eastAsia"/>
                      <w:kern w:val="0"/>
                      <w:sz w:val="21"/>
                      <w:szCs w:val="21"/>
                      <w:lang w:bidi="ar"/>
                    </w:rPr>
                  </w:pPr>
                  <w:r>
                    <w:rPr>
                      <w:rFonts w:hint="eastAsia"/>
                      <w:color w:val="000000" w:themeColor="text1"/>
                      <w:kern w:val="0"/>
                      <w:sz w:val="21"/>
                      <w:szCs w:val="21"/>
                      <w:lang w:bidi="ar"/>
                      <w14:textFill>
                        <w14:solidFill>
                          <w14:schemeClr w14:val="tx1"/>
                        </w14:solidFill>
                      </w14:textFill>
                    </w:rPr>
                    <w:t>园区化粪池</w:t>
                  </w:r>
                </w:p>
              </w:tc>
            </w:tr>
            <w:tr w14:paraId="469D308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092F9976">
                  <w:pPr>
                    <w:jc w:val="center"/>
                    <w:rPr>
                      <w:sz w:val="21"/>
                      <w:szCs w:val="21"/>
                    </w:rPr>
                  </w:pPr>
                </w:p>
              </w:tc>
              <w:tc>
                <w:tcPr>
                  <w:tcW w:w="607" w:type="pct"/>
                  <w:tcBorders>
                    <w:tl2br w:val="nil"/>
                    <w:tr2bl w:val="nil"/>
                  </w:tcBorders>
                  <w:shd w:val="clear"/>
                  <w:tcMar>
                    <w:top w:w="15" w:type="dxa"/>
                    <w:left w:w="15" w:type="dxa"/>
                    <w:right w:w="15" w:type="dxa"/>
                  </w:tcMar>
                  <w:vAlign w:val="center"/>
                </w:tcPr>
                <w:p w14:paraId="50AE9281">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治理效率</w:t>
                  </w:r>
                  <w:r>
                    <w:rPr>
                      <w:color w:val="000000" w:themeColor="text1"/>
                      <w:kern w:val="0"/>
                      <w:sz w:val="21"/>
                      <w:szCs w:val="21"/>
                      <w:lang w:bidi="ar"/>
                      <w14:textFill>
                        <w14:solidFill>
                          <w14:schemeClr w14:val="tx1"/>
                        </w14:solidFill>
                      </w14:textFill>
                    </w:rPr>
                    <w:t>（%）</w:t>
                  </w:r>
                </w:p>
              </w:tc>
              <w:tc>
                <w:tcPr>
                  <w:tcW w:w="409" w:type="pct"/>
                  <w:tcBorders>
                    <w:tl2br w:val="nil"/>
                    <w:tr2bl w:val="nil"/>
                  </w:tcBorders>
                  <w:shd w:val="clear"/>
                  <w:tcMar>
                    <w:top w:w="15" w:type="dxa"/>
                    <w:left w:w="15" w:type="dxa"/>
                    <w:right w:w="15" w:type="dxa"/>
                  </w:tcMar>
                  <w:vAlign w:val="center"/>
                </w:tcPr>
                <w:p w14:paraId="21425E1D">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76" w:type="pct"/>
                  <w:tcBorders>
                    <w:tl2br w:val="nil"/>
                    <w:tr2bl w:val="nil"/>
                  </w:tcBorders>
                  <w:shd w:val="clear"/>
                  <w:tcMar>
                    <w:top w:w="15" w:type="dxa"/>
                    <w:left w:w="15" w:type="dxa"/>
                    <w:right w:w="15" w:type="dxa"/>
                  </w:tcMar>
                  <w:vAlign w:val="center"/>
                </w:tcPr>
                <w:p w14:paraId="25BD8A24">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15</w:t>
                  </w:r>
                </w:p>
              </w:tc>
              <w:tc>
                <w:tcPr>
                  <w:tcW w:w="376" w:type="pct"/>
                  <w:tcBorders>
                    <w:tl2br w:val="nil"/>
                    <w:tr2bl w:val="nil"/>
                  </w:tcBorders>
                  <w:shd w:val="clear"/>
                  <w:tcMar>
                    <w:top w:w="15" w:type="dxa"/>
                    <w:left w:w="15" w:type="dxa"/>
                    <w:right w:w="15" w:type="dxa"/>
                  </w:tcMar>
                  <w:vAlign w:val="center"/>
                </w:tcPr>
                <w:p w14:paraId="7A793CC8">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20</w:t>
                  </w:r>
                </w:p>
              </w:tc>
              <w:tc>
                <w:tcPr>
                  <w:tcW w:w="370" w:type="pct"/>
                  <w:tcBorders>
                    <w:tl2br w:val="nil"/>
                    <w:tr2bl w:val="nil"/>
                  </w:tcBorders>
                  <w:shd w:val="clear"/>
                  <w:tcMar>
                    <w:top w:w="15" w:type="dxa"/>
                    <w:left w:w="15" w:type="dxa"/>
                    <w:right w:w="15" w:type="dxa"/>
                  </w:tcMar>
                  <w:vAlign w:val="center"/>
                </w:tcPr>
                <w:p w14:paraId="4B7256E7">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40</w:t>
                  </w:r>
                </w:p>
              </w:tc>
              <w:tc>
                <w:tcPr>
                  <w:tcW w:w="448" w:type="pct"/>
                  <w:tcBorders>
                    <w:tl2br w:val="nil"/>
                    <w:tr2bl w:val="nil"/>
                  </w:tcBorders>
                  <w:shd w:val="clear"/>
                  <w:tcMar>
                    <w:top w:w="15" w:type="dxa"/>
                    <w:left w:w="15" w:type="dxa"/>
                    <w:right w:w="15" w:type="dxa"/>
                  </w:tcMar>
                  <w:vAlign w:val="center"/>
                </w:tcPr>
                <w:p w14:paraId="00D91689">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39" w:type="pct"/>
                  <w:tcBorders>
                    <w:tl2br w:val="nil"/>
                    <w:tr2bl w:val="nil"/>
                  </w:tcBorders>
                  <w:shd w:val="clear"/>
                  <w:tcMar>
                    <w:top w:w="15" w:type="dxa"/>
                    <w:left w:w="15" w:type="dxa"/>
                    <w:right w:w="15" w:type="dxa"/>
                  </w:tcMar>
                  <w:vAlign w:val="center"/>
                </w:tcPr>
                <w:p w14:paraId="56F6BC69">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50" w:type="pct"/>
                  <w:tcBorders>
                    <w:tl2br w:val="nil"/>
                    <w:tr2bl w:val="nil"/>
                  </w:tcBorders>
                  <w:shd w:val="clear"/>
                  <w:tcMar>
                    <w:top w:w="15" w:type="dxa"/>
                    <w:left w:w="15" w:type="dxa"/>
                    <w:right w:w="15" w:type="dxa"/>
                  </w:tcMar>
                  <w:vAlign w:val="center"/>
                </w:tcPr>
                <w:p w14:paraId="2BB0C461">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516" w:type="pct"/>
                  <w:tcBorders>
                    <w:tl2br w:val="nil"/>
                    <w:tr2bl w:val="nil"/>
                  </w:tcBorders>
                  <w:shd w:val="clear"/>
                  <w:tcMar>
                    <w:top w:w="15" w:type="dxa"/>
                    <w:left w:w="15" w:type="dxa"/>
                    <w:right w:w="15" w:type="dxa"/>
                  </w:tcMar>
                  <w:vAlign w:val="center"/>
                </w:tcPr>
                <w:p w14:paraId="37DBC4D9">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68" w:type="pct"/>
                  <w:tcBorders>
                    <w:tl2br w:val="nil"/>
                    <w:tr2bl w:val="nil"/>
                  </w:tcBorders>
                  <w:shd w:val="clear"/>
                  <w:tcMar>
                    <w:top w:w="15" w:type="dxa"/>
                    <w:left w:w="15" w:type="dxa"/>
                    <w:right w:w="15" w:type="dxa"/>
                  </w:tcMar>
                  <w:vAlign w:val="center"/>
                </w:tcPr>
                <w:p w14:paraId="0FDF1A52">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63" w:type="pct"/>
                  <w:tcBorders>
                    <w:tl2br w:val="nil"/>
                    <w:tr2bl w:val="nil"/>
                  </w:tcBorders>
                  <w:shd w:val="clear"/>
                  <w:tcMar>
                    <w:top w:w="15" w:type="dxa"/>
                    <w:left w:w="15" w:type="dxa"/>
                    <w:right w:w="15" w:type="dxa"/>
                  </w:tcMar>
                  <w:vAlign w:val="center"/>
                </w:tcPr>
                <w:p w14:paraId="5758258F">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r>
            <w:tr w14:paraId="163444E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5FE3FEF8">
                  <w:pPr>
                    <w:jc w:val="center"/>
                    <w:rPr>
                      <w:sz w:val="21"/>
                      <w:szCs w:val="21"/>
                    </w:rPr>
                  </w:pPr>
                </w:p>
              </w:tc>
              <w:tc>
                <w:tcPr>
                  <w:tcW w:w="607" w:type="pct"/>
                  <w:tcBorders>
                    <w:tl2br w:val="nil"/>
                    <w:tr2bl w:val="nil"/>
                  </w:tcBorders>
                  <w:shd w:val="clear"/>
                  <w:tcMar>
                    <w:top w:w="15" w:type="dxa"/>
                    <w:left w:w="15" w:type="dxa"/>
                    <w:right w:w="15" w:type="dxa"/>
                  </w:tcMar>
                  <w:vAlign w:val="center"/>
                </w:tcPr>
                <w:p w14:paraId="6B667183">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排放浓度</w:t>
                  </w:r>
                  <w:r>
                    <w:rPr>
                      <w:color w:val="000000" w:themeColor="text1"/>
                      <w:kern w:val="0"/>
                      <w:sz w:val="21"/>
                      <w:szCs w:val="21"/>
                      <w:lang w:bidi="ar"/>
                      <w14:textFill>
                        <w14:solidFill>
                          <w14:schemeClr w14:val="tx1"/>
                        </w14:solidFill>
                      </w14:textFill>
                    </w:rPr>
                    <w:t>（mg/L）</w:t>
                  </w:r>
                </w:p>
              </w:tc>
              <w:tc>
                <w:tcPr>
                  <w:tcW w:w="409" w:type="pct"/>
                  <w:tcBorders>
                    <w:tl2br w:val="nil"/>
                    <w:tr2bl w:val="nil"/>
                  </w:tcBorders>
                  <w:shd w:val="clear"/>
                  <w:tcMar>
                    <w:top w:w="15" w:type="dxa"/>
                    <w:left w:w="15" w:type="dxa"/>
                    <w:right w:w="15" w:type="dxa"/>
                  </w:tcMar>
                  <w:vAlign w:val="center"/>
                </w:tcPr>
                <w:p w14:paraId="48740B17">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6-9</w:t>
                  </w:r>
                </w:p>
              </w:tc>
              <w:tc>
                <w:tcPr>
                  <w:tcW w:w="376" w:type="pct"/>
                  <w:tcBorders>
                    <w:tl2br w:val="nil"/>
                    <w:tr2bl w:val="nil"/>
                  </w:tcBorders>
                  <w:shd w:val="clear" w:color="auto" w:fill="auto"/>
                  <w:tcMar>
                    <w:top w:w="15" w:type="dxa"/>
                    <w:left w:w="15" w:type="dxa"/>
                    <w:right w:w="15" w:type="dxa"/>
                  </w:tcMar>
                  <w:vAlign w:val="center"/>
                </w:tcPr>
                <w:p w14:paraId="793BEC09">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251.6</w:t>
                  </w:r>
                </w:p>
              </w:tc>
              <w:tc>
                <w:tcPr>
                  <w:tcW w:w="376" w:type="pct"/>
                  <w:tcBorders>
                    <w:tl2br w:val="nil"/>
                    <w:tr2bl w:val="nil"/>
                  </w:tcBorders>
                  <w:shd w:val="clear" w:color="auto" w:fill="auto"/>
                  <w:tcMar>
                    <w:top w:w="15" w:type="dxa"/>
                    <w:left w:w="15" w:type="dxa"/>
                    <w:right w:w="15" w:type="dxa"/>
                  </w:tcMar>
                  <w:vAlign w:val="center"/>
                </w:tcPr>
                <w:p w14:paraId="605E159F">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60.16</w:t>
                  </w:r>
                </w:p>
              </w:tc>
              <w:tc>
                <w:tcPr>
                  <w:tcW w:w="370" w:type="pct"/>
                  <w:tcBorders>
                    <w:tl2br w:val="nil"/>
                    <w:tr2bl w:val="nil"/>
                  </w:tcBorders>
                  <w:shd w:val="clear" w:color="auto" w:fill="auto"/>
                  <w:tcMar>
                    <w:top w:w="15" w:type="dxa"/>
                    <w:left w:w="15" w:type="dxa"/>
                    <w:right w:w="15" w:type="dxa"/>
                  </w:tcMar>
                  <w:vAlign w:val="center"/>
                </w:tcPr>
                <w:p w14:paraId="3E665E76">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4.8</w:t>
                  </w:r>
                </w:p>
              </w:tc>
              <w:tc>
                <w:tcPr>
                  <w:tcW w:w="448" w:type="pct"/>
                  <w:tcBorders>
                    <w:tl2br w:val="nil"/>
                    <w:tr2bl w:val="nil"/>
                  </w:tcBorders>
                  <w:shd w:val="clear"/>
                  <w:tcMar>
                    <w:top w:w="15" w:type="dxa"/>
                    <w:left w:w="15" w:type="dxa"/>
                    <w:right w:w="15" w:type="dxa"/>
                  </w:tcMar>
                  <w:vAlign w:val="center"/>
                </w:tcPr>
                <w:p w14:paraId="4D040948">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kern w:val="0"/>
                      <w:sz w:val="21"/>
                      <w:szCs w:val="21"/>
                      <w:lang w:val="en-US" w:eastAsia="zh-CN" w:bidi="ar"/>
                      <w14:textFill>
                        <w14:solidFill>
                          <w14:schemeClr w14:val="tx1"/>
                        </w14:solidFill>
                      </w14:textFill>
                    </w:rPr>
                    <w:t>10.9</w:t>
                  </w:r>
                </w:p>
              </w:tc>
              <w:tc>
                <w:tcPr>
                  <w:tcW w:w="339" w:type="pct"/>
                  <w:tcBorders>
                    <w:tl2br w:val="nil"/>
                    <w:tr2bl w:val="nil"/>
                  </w:tcBorders>
                  <w:shd w:val="clear"/>
                  <w:tcMar>
                    <w:top w:w="15" w:type="dxa"/>
                    <w:left w:w="15" w:type="dxa"/>
                    <w:right w:w="15" w:type="dxa"/>
                  </w:tcMar>
                  <w:vAlign w:val="center"/>
                </w:tcPr>
                <w:p w14:paraId="4FB4D953">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color w:val="000000" w:themeColor="text1"/>
                      <w:kern w:val="0"/>
                      <w:sz w:val="21"/>
                      <w:szCs w:val="21"/>
                      <w:lang w:bidi="ar"/>
                      <w14:textFill>
                        <w14:solidFill>
                          <w14:schemeClr w14:val="tx1"/>
                        </w14:solidFill>
                      </w14:textFill>
                    </w:rPr>
                    <w:t>4</w:t>
                  </w:r>
                </w:p>
              </w:tc>
              <w:tc>
                <w:tcPr>
                  <w:tcW w:w="350" w:type="pct"/>
                  <w:tcBorders>
                    <w:tl2br w:val="nil"/>
                    <w:tr2bl w:val="nil"/>
                  </w:tcBorders>
                  <w:shd w:val="clear"/>
                  <w:tcMar>
                    <w:top w:w="15" w:type="dxa"/>
                    <w:left w:w="15" w:type="dxa"/>
                    <w:right w:w="15" w:type="dxa"/>
                  </w:tcMar>
                  <w:vAlign w:val="center"/>
                </w:tcPr>
                <w:p w14:paraId="5F13B51A">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color w:val="000000" w:themeColor="text1"/>
                      <w:kern w:val="0"/>
                      <w:sz w:val="21"/>
                      <w:szCs w:val="21"/>
                      <w:lang w:bidi="ar"/>
                      <w14:textFill>
                        <w14:solidFill>
                          <w14:schemeClr w14:val="tx1"/>
                        </w14:solidFill>
                      </w14:textFill>
                    </w:rPr>
                    <w:t>30</w:t>
                  </w:r>
                </w:p>
              </w:tc>
              <w:tc>
                <w:tcPr>
                  <w:tcW w:w="516" w:type="pct"/>
                  <w:tcBorders>
                    <w:tl2br w:val="nil"/>
                    <w:tr2bl w:val="nil"/>
                  </w:tcBorders>
                  <w:shd w:val="clear"/>
                  <w:tcMar>
                    <w:top w:w="15" w:type="dxa"/>
                    <w:left w:w="15" w:type="dxa"/>
                    <w:right w:w="15" w:type="dxa"/>
                  </w:tcMar>
                  <w:vAlign w:val="center"/>
                </w:tcPr>
                <w:p w14:paraId="3288D5E5">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1.90</w:t>
                  </w:r>
                </w:p>
              </w:tc>
              <w:tc>
                <w:tcPr>
                  <w:tcW w:w="368" w:type="pct"/>
                  <w:tcBorders>
                    <w:tl2br w:val="nil"/>
                    <w:tr2bl w:val="nil"/>
                  </w:tcBorders>
                  <w:shd w:val="clear"/>
                  <w:tcMar>
                    <w:top w:w="15" w:type="dxa"/>
                    <w:left w:w="15" w:type="dxa"/>
                    <w:right w:w="15" w:type="dxa"/>
                  </w:tcMar>
                  <w:vAlign w:val="center"/>
                </w:tcPr>
                <w:p w14:paraId="6332B92C">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0.60</w:t>
                  </w:r>
                </w:p>
              </w:tc>
              <w:tc>
                <w:tcPr>
                  <w:tcW w:w="363" w:type="pct"/>
                  <w:tcBorders>
                    <w:tl2br w:val="nil"/>
                    <w:tr2bl w:val="nil"/>
                  </w:tcBorders>
                  <w:shd w:val="clear" w:color="auto" w:fill="auto"/>
                  <w:tcMar>
                    <w:top w:w="15" w:type="dxa"/>
                    <w:left w:w="15" w:type="dxa"/>
                    <w:right w:w="15" w:type="dxa"/>
                  </w:tcMar>
                  <w:vAlign w:val="center"/>
                </w:tcPr>
                <w:p w14:paraId="7C042299">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r>
            <w:tr w14:paraId="6324D9A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603A4017">
                  <w:pPr>
                    <w:jc w:val="center"/>
                    <w:rPr>
                      <w:sz w:val="21"/>
                      <w:szCs w:val="21"/>
                    </w:rPr>
                  </w:pPr>
                </w:p>
              </w:tc>
              <w:tc>
                <w:tcPr>
                  <w:tcW w:w="607" w:type="pct"/>
                  <w:tcBorders>
                    <w:tl2br w:val="nil"/>
                    <w:tr2bl w:val="nil"/>
                  </w:tcBorders>
                  <w:shd w:val="clear"/>
                  <w:tcMar>
                    <w:top w:w="15" w:type="dxa"/>
                    <w:left w:w="15" w:type="dxa"/>
                    <w:right w:w="15" w:type="dxa"/>
                  </w:tcMar>
                  <w:vAlign w:val="center"/>
                </w:tcPr>
                <w:p w14:paraId="3D1FD4CD">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排放量（</w:t>
                  </w:r>
                  <w:r>
                    <w:rPr>
                      <w:color w:val="000000" w:themeColor="text1"/>
                      <w:kern w:val="0"/>
                      <w:sz w:val="21"/>
                      <w:szCs w:val="21"/>
                      <w:lang w:bidi="ar"/>
                      <w14:textFill>
                        <w14:solidFill>
                          <w14:schemeClr w14:val="tx1"/>
                        </w14:solidFill>
                      </w14:textFill>
                    </w:rPr>
                    <w:t>m</w:t>
                  </w:r>
                  <w:r>
                    <w:rPr>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/a</w:t>
                  </w:r>
                  <w:r>
                    <w:rPr>
                      <w:rFonts w:hint="eastAsia"/>
                      <w:color w:val="000000" w:themeColor="text1"/>
                      <w:kern w:val="0"/>
                      <w:sz w:val="21"/>
                      <w:szCs w:val="21"/>
                      <w:lang w:bidi="ar"/>
                      <w14:textFill>
                        <w14:solidFill>
                          <w14:schemeClr w14:val="tx1"/>
                        </w14:solidFill>
                      </w14:textFill>
                    </w:rPr>
                    <w:t>）</w:t>
                  </w:r>
                </w:p>
              </w:tc>
              <w:tc>
                <w:tcPr>
                  <w:tcW w:w="409" w:type="pct"/>
                  <w:tcBorders>
                    <w:tl2br w:val="nil"/>
                    <w:tr2bl w:val="nil"/>
                  </w:tcBorders>
                  <w:shd w:val="clear"/>
                  <w:tcMar>
                    <w:top w:w="15" w:type="dxa"/>
                    <w:left w:w="15" w:type="dxa"/>
                    <w:right w:w="15" w:type="dxa"/>
                  </w:tcMar>
                  <w:vAlign w:val="center"/>
                </w:tcPr>
                <w:p w14:paraId="6B981AC5">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76" w:type="pct"/>
                  <w:tcBorders>
                    <w:tl2br w:val="nil"/>
                    <w:tr2bl w:val="nil"/>
                  </w:tcBorders>
                  <w:shd w:val="clear" w:color="auto" w:fill="auto"/>
                  <w:tcMar>
                    <w:top w:w="15" w:type="dxa"/>
                    <w:left w:w="15" w:type="dxa"/>
                    <w:right w:w="15" w:type="dxa"/>
                  </w:tcMar>
                  <w:vAlign w:val="center"/>
                </w:tcPr>
                <w:p w14:paraId="04FF8D80">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0.031</w:t>
                  </w:r>
                </w:p>
              </w:tc>
              <w:tc>
                <w:tcPr>
                  <w:tcW w:w="376" w:type="pct"/>
                  <w:tcBorders>
                    <w:tl2br w:val="nil"/>
                    <w:tr2bl w:val="nil"/>
                  </w:tcBorders>
                  <w:shd w:val="clear" w:color="auto" w:fill="auto"/>
                  <w:tcMar>
                    <w:top w:w="15" w:type="dxa"/>
                    <w:left w:w="15" w:type="dxa"/>
                    <w:right w:w="15" w:type="dxa"/>
                  </w:tcMar>
                  <w:vAlign w:val="center"/>
                </w:tcPr>
                <w:p w14:paraId="678B8818">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00074</w:t>
                  </w:r>
                </w:p>
              </w:tc>
              <w:tc>
                <w:tcPr>
                  <w:tcW w:w="370" w:type="pct"/>
                  <w:tcBorders>
                    <w:tl2br w:val="nil"/>
                    <w:tr2bl w:val="nil"/>
                  </w:tcBorders>
                  <w:shd w:val="clear" w:color="auto" w:fill="auto"/>
                  <w:tcMar>
                    <w:top w:w="15" w:type="dxa"/>
                    <w:left w:w="15" w:type="dxa"/>
                    <w:right w:w="15" w:type="dxa"/>
                  </w:tcMar>
                  <w:vAlign w:val="center"/>
                </w:tcPr>
                <w:p w14:paraId="478E46BA">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0.00059</w:t>
                  </w:r>
                </w:p>
              </w:tc>
              <w:tc>
                <w:tcPr>
                  <w:tcW w:w="448" w:type="pct"/>
                  <w:tcBorders>
                    <w:tl2br w:val="nil"/>
                    <w:tr2bl w:val="nil"/>
                  </w:tcBorders>
                  <w:shd w:val="clear"/>
                  <w:tcMar>
                    <w:top w:w="15" w:type="dxa"/>
                    <w:left w:w="15" w:type="dxa"/>
                    <w:right w:w="15" w:type="dxa"/>
                  </w:tcMar>
                  <w:vAlign w:val="center"/>
                </w:tcPr>
                <w:p w14:paraId="3A7C2020">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kern w:val="0"/>
                      <w:sz w:val="21"/>
                      <w:szCs w:val="21"/>
                      <w:lang w:val="en-US" w:eastAsia="zh-CN" w:bidi="ar"/>
                      <w14:textFill>
                        <w14:solidFill>
                          <w14:schemeClr w14:val="tx1"/>
                        </w14:solidFill>
                      </w14:textFill>
                    </w:rPr>
                    <w:t>0.0013</w:t>
                  </w:r>
                </w:p>
              </w:tc>
              <w:tc>
                <w:tcPr>
                  <w:tcW w:w="339" w:type="pct"/>
                  <w:tcBorders>
                    <w:tl2br w:val="nil"/>
                    <w:tr2bl w:val="nil"/>
                  </w:tcBorders>
                  <w:shd w:val="clear"/>
                  <w:tcMar>
                    <w:top w:w="15" w:type="dxa"/>
                    <w:left w:w="15" w:type="dxa"/>
                    <w:right w:w="15" w:type="dxa"/>
                  </w:tcMar>
                  <w:vAlign w:val="center"/>
                </w:tcPr>
                <w:p w14:paraId="274F9FDD">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w:t>
                  </w:r>
                  <w:r>
                    <w:rPr>
                      <w:rFonts w:hint="eastAsia"/>
                      <w:color w:val="000000" w:themeColor="text1"/>
                      <w:kern w:val="0"/>
                      <w:sz w:val="21"/>
                      <w:szCs w:val="21"/>
                      <w:lang w:val="en-US" w:eastAsia="zh-CN" w:bidi="ar"/>
                      <w14:textFill>
                        <w14:solidFill>
                          <w14:schemeClr w14:val="tx1"/>
                        </w14:solidFill>
                      </w14:textFill>
                    </w:rPr>
                    <w:t>49</w:t>
                  </w:r>
                </w:p>
              </w:tc>
              <w:tc>
                <w:tcPr>
                  <w:tcW w:w="350" w:type="pct"/>
                  <w:tcBorders>
                    <w:tl2br w:val="nil"/>
                    <w:tr2bl w:val="nil"/>
                  </w:tcBorders>
                  <w:shd w:val="clear"/>
                  <w:tcMar>
                    <w:top w:w="15" w:type="dxa"/>
                    <w:left w:w="15" w:type="dxa"/>
                    <w:right w:w="15" w:type="dxa"/>
                  </w:tcMar>
                  <w:vAlign w:val="center"/>
                </w:tcPr>
                <w:p w14:paraId="15BA42DA">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0.0037</w:t>
                  </w:r>
                </w:p>
              </w:tc>
              <w:tc>
                <w:tcPr>
                  <w:tcW w:w="516" w:type="pct"/>
                  <w:tcBorders>
                    <w:tl2br w:val="nil"/>
                    <w:tr2bl w:val="nil"/>
                  </w:tcBorders>
                  <w:shd w:val="clear"/>
                  <w:tcMar>
                    <w:top w:w="15" w:type="dxa"/>
                    <w:left w:w="15" w:type="dxa"/>
                    <w:right w:w="15" w:type="dxa"/>
                  </w:tcMar>
                  <w:vAlign w:val="center"/>
                </w:tcPr>
                <w:p w14:paraId="49402C04">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0.0002</w:t>
                  </w:r>
                  <w:r>
                    <w:rPr>
                      <w:rFonts w:hint="eastAsia"/>
                      <w:color w:val="000000" w:themeColor="text1"/>
                      <w:kern w:val="0"/>
                      <w:sz w:val="21"/>
                      <w:szCs w:val="21"/>
                      <w:lang w:val="en-US" w:eastAsia="zh-CN" w:bidi="ar"/>
                      <w14:textFill>
                        <w14:solidFill>
                          <w14:schemeClr w14:val="tx1"/>
                        </w14:solidFill>
                      </w14:textFill>
                    </w:rPr>
                    <w:t>3</w:t>
                  </w:r>
                </w:p>
              </w:tc>
              <w:tc>
                <w:tcPr>
                  <w:tcW w:w="368" w:type="pct"/>
                  <w:tcBorders>
                    <w:tl2br w:val="nil"/>
                    <w:tr2bl w:val="nil"/>
                  </w:tcBorders>
                  <w:shd w:val="clear"/>
                  <w:tcMar>
                    <w:top w:w="15" w:type="dxa"/>
                    <w:left w:w="15" w:type="dxa"/>
                    <w:right w:w="15" w:type="dxa"/>
                  </w:tcMar>
                  <w:vAlign w:val="center"/>
                </w:tcPr>
                <w:p w14:paraId="70E1ED99">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0.00007</w:t>
                  </w:r>
                  <w:r>
                    <w:rPr>
                      <w:rFonts w:hint="eastAsia"/>
                      <w:kern w:val="0"/>
                      <w:sz w:val="21"/>
                      <w:szCs w:val="21"/>
                      <w:lang w:val="en-US" w:eastAsia="zh-CN" w:bidi="ar"/>
                    </w:rPr>
                    <w:t>4</w:t>
                  </w:r>
                </w:p>
              </w:tc>
              <w:tc>
                <w:tcPr>
                  <w:tcW w:w="363" w:type="pct"/>
                  <w:tcBorders>
                    <w:tl2br w:val="nil"/>
                    <w:tr2bl w:val="nil"/>
                  </w:tcBorders>
                  <w:shd w:val="clear" w:color="auto" w:fill="auto"/>
                  <w:tcMar>
                    <w:top w:w="15" w:type="dxa"/>
                    <w:left w:w="15" w:type="dxa"/>
                    <w:right w:w="15" w:type="dxa"/>
                  </w:tcMar>
                  <w:vAlign w:val="center"/>
                </w:tcPr>
                <w:p w14:paraId="638A7F37">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r>
            <w:tr w14:paraId="47FCA59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restart"/>
                  <w:tcBorders>
                    <w:tl2br w:val="nil"/>
                    <w:tr2bl w:val="nil"/>
                  </w:tcBorders>
                  <w:tcMar>
                    <w:top w:w="15" w:type="dxa"/>
                    <w:left w:w="15" w:type="dxa"/>
                    <w:right w:w="15" w:type="dxa"/>
                  </w:tcMar>
                  <w:vAlign w:val="center"/>
                </w:tcPr>
                <w:p w14:paraId="3C142089">
                  <w:pPr>
                    <w:jc w:val="center"/>
                    <w:rPr>
                      <w:sz w:val="21"/>
                      <w:szCs w:val="21"/>
                    </w:rPr>
                  </w:pPr>
                  <w:r>
                    <w:rPr>
                      <w:rFonts w:hint="eastAsia"/>
                      <w:sz w:val="21"/>
                      <w:szCs w:val="21"/>
                    </w:rPr>
                    <w:t>生活污水、地面清洁废水、职工工作服清洗废水（</w:t>
                  </w:r>
                  <w:r>
                    <w:rPr>
                      <w:rFonts w:hint="eastAsia"/>
                      <w:color w:val="000000" w:themeColor="text1"/>
                      <w:sz w:val="21"/>
                      <w:szCs w:val="21"/>
                      <w14:textFill>
                        <w14:solidFill>
                          <w14:schemeClr w14:val="tx1"/>
                        </w14:solidFill>
                      </w14:textFill>
                    </w:rPr>
                    <w:t>700.4m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/a</w:t>
                  </w:r>
                  <w:r>
                    <w:rPr>
                      <w:rFonts w:hint="eastAsia"/>
                      <w:sz w:val="21"/>
                      <w:szCs w:val="21"/>
                    </w:rPr>
                    <w:t>）</w:t>
                  </w:r>
                </w:p>
              </w:tc>
              <w:tc>
                <w:tcPr>
                  <w:tcW w:w="607" w:type="pct"/>
                  <w:tcBorders>
                    <w:tl2br w:val="nil"/>
                    <w:tr2bl w:val="nil"/>
                  </w:tcBorders>
                  <w:tcMar>
                    <w:top w:w="15" w:type="dxa"/>
                    <w:left w:w="15" w:type="dxa"/>
                    <w:right w:w="15" w:type="dxa"/>
                  </w:tcMar>
                  <w:vAlign w:val="center"/>
                </w:tcPr>
                <w:p w14:paraId="34646E82">
                  <w:pPr>
                    <w:widowControl/>
                    <w:jc w:val="center"/>
                    <w:textAlignment w:val="center"/>
                    <w:rPr>
                      <w:color w:val="000000" w:themeColor="text1"/>
                      <w:sz w:val="21"/>
                      <w:szCs w:val="21"/>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排放</w:t>
                  </w:r>
                  <w:r>
                    <w:rPr>
                      <w:color w:val="000000" w:themeColor="text1"/>
                      <w:kern w:val="0"/>
                      <w:sz w:val="21"/>
                      <w:szCs w:val="21"/>
                      <w:lang w:bidi="ar"/>
                      <w14:textFill>
                        <w14:solidFill>
                          <w14:schemeClr w14:val="tx1"/>
                        </w14:solidFill>
                      </w14:textFill>
                    </w:rPr>
                    <w:t>浓度（mg/L）</w:t>
                  </w:r>
                </w:p>
              </w:tc>
              <w:tc>
                <w:tcPr>
                  <w:tcW w:w="409" w:type="pct"/>
                  <w:tcBorders>
                    <w:tl2br w:val="nil"/>
                    <w:tr2bl w:val="nil"/>
                  </w:tcBorders>
                  <w:tcMar>
                    <w:top w:w="15" w:type="dxa"/>
                    <w:left w:w="15" w:type="dxa"/>
                    <w:right w:w="15" w:type="dxa"/>
                  </w:tcMar>
                  <w:vAlign w:val="center"/>
                </w:tcPr>
                <w:p w14:paraId="3EF7C45C">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7.82</w:t>
                  </w:r>
                </w:p>
              </w:tc>
              <w:tc>
                <w:tcPr>
                  <w:tcW w:w="376" w:type="pct"/>
                  <w:tcBorders>
                    <w:tl2br w:val="nil"/>
                    <w:tr2bl w:val="nil"/>
                  </w:tcBorders>
                  <w:tcMar>
                    <w:top w:w="15" w:type="dxa"/>
                    <w:left w:w="15" w:type="dxa"/>
                    <w:right w:w="15" w:type="dxa"/>
                  </w:tcMar>
                  <w:vAlign w:val="center"/>
                </w:tcPr>
                <w:p w14:paraId="17E5516D">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247</w:t>
                  </w:r>
                </w:p>
              </w:tc>
              <w:tc>
                <w:tcPr>
                  <w:tcW w:w="376" w:type="pct"/>
                  <w:tcBorders>
                    <w:tl2br w:val="nil"/>
                    <w:tr2bl w:val="nil"/>
                  </w:tcBorders>
                  <w:tcMar>
                    <w:top w:w="15" w:type="dxa"/>
                    <w:left w:w="15" w:type="dxa"/>
                    <w:right w:w="15" w:type="dxa"/>
                  </w:tcMar>
                  <w:vAlign w:val="center"/>
                </w:tcPr>
                <w:p w14:paraId="11BD8087">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83.9</w:t>
                  </w:r>
                </w:p>
              </w:tc>
              <w:tc>
                <w:tcPr>
                  <w:tcW w:w="370" w:type="pct"/>
                  <w:tcBorders>
                    <w:tl2br w:val="nil"/>
                    <w:tr2bl w:val="nil"/>
                  </w:tcBorders>
                  <w:tcMar>
                    <w:top w:w="15" w:type="dxa"/>
                    <w:left w:w="15" w:type="dxa"/>
                    <w:right w:w="15" w:type="dxa"/>
                  </w:tcMar>
                  <w:vAlign w:val="center"/>
                </w:tcPr>
                <w:p w14:paraId="0355124E">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80</w:t>
                  </w:r>
                </w:p>
              </w:tc>
              <w:tc>
                <w:tcPr>
                  <w:tcW w:w="448" w:type="pct"/>
                  <w:tcBorders>
                    <w:tl2br w:val="nil"/>
                    <w:tr2bl w:val="nil"/>
                  </w:tcBorders>
                  <w:tcMar>
                    <w:top w:w="15" w:type="dxa"/>
                    <w:left w:w="15" w:type="dxa"/>
                    <w:right w:w="15" w:type="dxa"/>
                  </w:tcMar>
                  <w:vAlign w:val="center"/>
                </w:tcPr>
                <w:p w14:paraId="2F8C145A">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43.4</w:t>
                  </w:r>
                </w:p>
              </w:tc>
              <w:tc>
                <w:tcPr>
                  <w:tcW w:w="339" w:type="pct"/>
                  <w:tcBorders>
                    <w:tl2br w:val="nil"/>
                    <w:tr2bl w:val="nil"/>
                  </w:tcBorders>
                  <w:tcMar>
                    <w:top w:w="15" w:type="dxa"/>
                    <w:left w:w="15" w:type="dxa"/>
                    <w:right w:w="15" w:type="dxa"/>
                  </w:tcMar>
                  <w:vAlign w:val="center"/>
                </w:tcPr>
                <w:p w14:paraId="1CF16DC9">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7.88</w:t>
                  </w:r>
                </w:p>
              </w:tc>
              <w:tc>
                <w:tcPr>
                  <w:tcW w:w="350" w:type="pct"/>
                  <w:tcBorders>
                    <w:tl2br w:val="nil"/>
                    <w:tr2bl w:val="nil"/>
                  </w:tcBorders>
                  <w:tcMar>
                    <w:top w:w="15" w:type="dxa"/>
                    <w:left w:w="15" w:type="dxa"/>
                    <w:right w:w="15" w:type="dxa"/>
                  </w:tcMar>
                  <w:vAlign w:val="center"/>
                </w:tcPr>
                <w:p w14:paraId="0E999EAE">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57.2</w:t>
                  </w:r>
                </w:p>
              </w:tc>
              <w:tc>
                <w:tcPr>
                  <w:tcW w:w="516" w:type="pct"/>
                  <w:tcBorders>
                    <w:tl2br w:val="nil"/>
                    <w:tr2bl w:val="nil"/>
                  </w:tcBorders>
                  <w:tcMar>
                    <w:top w:w="15" w:type="dxa"/>
                    <w:left w:w="15" w:type="dxa"/>
                    <w:right w:w="15" w:type="dxa"/>
                  </w:tcMar>
                  <w:vAlign w:val="center"/>
                </w:tcPr>
                <w:p w14:paraId="3A8BAF67">
                  <w:pPr>
                    <w:widowControl/>
                    <w:jc w:val="center"/>
                    <w:textAlignment w:val="center"/>
                    <w:rPr>
                      <w:rFonts w:hint="eastAsia" w:eastAsia="宋体"/>
                      <w:color w:val="FF0000"/>
                      <w:kern w:val="0"/>
                      <w:sz w:val="21"/>
                      <w:szCs w:val="21"/>
                      <w:lang w:eastAsia="zh-CN" w:bidi="ar"/>
                    </w:rPr>
                  </w:pPr>
                  <w:r>
                    <w:rPr>
                      <w:rFonts w:hint="eastAsia"/>
                      <w:color w:val="FF0000"/>
                      <w:kern w:val="0"/>
                      <w:sz w:val="21"/>
                      <w:szCs w:val="21"/>
                      <w:lang w:val="en-US" w:eastAsia="zh-CN" w:bidi="ar"/>
                    </w:rPr>
                    <w:t>/</w:t>
                  </w:r>
                </w:p>
              </w:tc>
              <w:tc>
                <w:tcPr>
                  <w:tcW w:w="368" w:type="pct"/>
                  <w:tcBorders>
                    <w:tl2br w:val="nil"/>
                    <w:tr2bl w:val="nil"/>
                  </w:tcBorders>
                  <w:tcMar>
                    <w:top w:w="15" w:type="dxa"/>
                    <w:left w:w="15" w:type="dxa"/>
                    <w:right w:w="15" w:type="dxa"/>
                  </w:tcMar>
                  <w:vAlign w:val="center"/>
                </w:tcPr>
                <w:p w14:paraId="2901A4CA">
                  <w:pPr>
                    <w:widowControl/>
                    <w:jc w:val="center"/>
                    <w:textAlignment w:val="center"/>
                    <w:rPr>
                      <w:color w:val="FF0000"/>
                      <w:kern w:val="0"/>
                      <w:sz w:val="21"/>
                      <w:szCs w:val="21"/>
                      <w:lang w:bidi="ar"/>
                    </w:rPr>
                  </w:pPr>
                  <w:r>
                    <w:rPr>
                      <w:rFonts w:hint="eastAsia"/>
                      <w:color w:val="FF0000"/>
                      <w:kern w:val="0"/>
                      <w:sz w:val="21"/>
                      <w:szCs w:val="21"/>
                      <w:lang w:bidi="ar"/>
                    </w:rPr>
                    <w:t>/</w:t>
                  </w:r>
                </w:p>
              </w:tc>
              <w:tc>
                <w:tcPr>
                  <w:tcW w:w="363" w:type="pct"/>
                  <w:tcBorders>
                    <w:tl2br w:val="nil"/>
                    <w:tr2bl w:val="nil"/>
                  </w:tcBorders>
                  <w:tcMar>
                    <w:top w:w="15" w:type="dxa"/>
                    <w:left w:w="15" w:type="dxa"/>
                    <w:right w:w="15" w:type="dxa"/>
                  </w:tcMar>
                  <w:vAlign w:val="center"/>
                </w:tcPr>
                <w:p w14:paraId="44431D4D">
                  <w:pPr>
                    <w:widowControl/>
                    <w:jc w:val="center"/>
                    <w:textAlignment w:val="center"/>
                    <w:rPr>
                      <w:color w:val="FF0000"/>
                      <w:kern w:val="0"/>
                      <w:sz w:val="21"/>
                      <w:szCs w:val="21"/>
                      <w:lang w:bidi="ar"/>
                    </w:rPr>
                  </w:pPr>
                  <w:r>
                    <w:rPr>
                      <w:rFonts w:hint="eastAsia"/>
                      <w:color w:val="FF0000"/>
                      <w:kern w:val="0"/>
                      <w:sz w:val="21"/>
                      <w:szCs w:val="21"/>
                      <w:lang w:bidi="ar"/>
                    </w:rPr>
                    <w:t>/</w:t>
                  </w:r>
                </w:p>
              </w:tc>
            </w:tr>
            <w:tr w14:paraId="1DE4248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6138B55C">
                  <w:pPr>
                    <w:jc w:val="center"/>
                    <w:rPr>
                      <w:sz w:val="21"/>
                      <w:szCs w:val="21"/>
                    </w:rPr>
                  </w:pPr>
                </w:p>
              </w:tc>
              <w:tc>
                <w:tcPr>
                  <w:tcW w:w="607" w:type="pct"/>
                  <w:tcBorders>
                    <w:tl2br w:val="nil"/>
                    <w:tr2bl w:val="nil"/>
                  </w:tcBorders>
                  <w:tcMar>
                    <w:top w:w="15" w:type="dxa"/>
                    <w:left w:w="15" w:type="dxa"/>
                    <w:right w:w="15" w:type="dxa"/>
                  </w:tcMar>
                  <w:vAlign w:val="center"/>
                </w:tcPr>
                <w:p w14:paraId="70F175CA">
                  <w:pPr>
                    <w:widowControl/>
                    <w:jc w:val="center"/>
                    <w:textAlignment w:val="center"/>
                    <w:rPr>
                      <w:color w:val="000000" w:themeColor="text1"/>
                      <w:sz w:val="21"/>
                      <w:szCs w:val="21"/>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排放</w:t>
                  </w:r>
                  <w:r>
                    <w:rPr>
                      <w:color w:val="000000" w:themeColor="text1"/>
                      <w:kern w:val="0"/>
                      <w:sz w:val="21"/>
                      <w:szCs w:val="21"/>
                      <w:lang w:bidi="ar"/>
                      <w14:textFill>
                        <w14:solidFill>
                          <w14:schemeClr w14:val="tx1"/>
                        </w14:solidFill>
                      </w14:textFill>
                    </w:rPr>
                    <w:t>量（m</w:t>
                  </w:r>
                  <w:r>
                    <w:rPr>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/a）</w:t>
                  </w:r>
                </w:p>
              </w:tc>
              <w:tc>
                <w:tcPr>
                  <w:tcW w:w="409" w:type="pct"/>
                  <w:tcBorders>
                    <w:tl2br w:val="nil"/>
                    <w:tr2bl w:val="nil"/>
                  </w:tcBorders>
                  <w:tcMar>
                    <w:top w:w="15" w:type="dxa"/>
                    <w:left w:w="15" w:type="dxa"/>
                    <w:right w:w="15" w:type="dxa"/>
                  </w:tcMar>
                  <w:vAlign w:val="center"/>
                </w:tcPr>
                <w:p w14:paraId="587D8988">
                  <w:pPr>
                    <w:widowControl/>
                    <w:jc w:val="center"/>
                    <w:textAlignment w:val="center"/>
                    <w:rPr>
                      <w:color w:val="FF0000"/>
                      <w:kern w:val="0"/>
                      <w:sz w:val="21"/>
                      <w:szCs w:val="21"/>
                      <w:lang w:bidi="ar"/>
                    </w:rPr>
                  </w:pPr>
                  <w:r>
                    <w:rPr>
                      <w:rFonts w:hint="eastAsia"/>
                      <w:color w:val="FF0000"/>
                      <w:kern w:val="0"/>
                      <w:sz w:val="21"/>
                      <w:szCs w:val="21"/>
                      <w:lang w:bidi="ar"/>
                    </w:rPr>
                    <w:t>/</w:t>
                  </w:r>
                </w:p>
              </w:tc>
              <w:tc>
                <w:tcPr>
                  <w:tcW w:w="376" w:type="pct"/>
                  <w:tcBorders>
                    <w:tl2br w:val="nil"/>
                    <w:tr2bl w:val="nil"/>
                  </w:tcBorders>
                  <w:shd w:val="clear" w:color="auto" w:fill="auto"/>
                  <w:tcMar>
                    <w:top w:w="15" w:type="dxa"/>
                    <w:left w:w="15" w:type="dxa"/>
                    <w:right w:w="15" w:type="dxa"/>
                  </w:tcMar>
                  <w:vAlign w:val="center"/>
                </w:tcPr>
                <w:p w14:paraId="073C66A1">
                  <w:pPr>
                    <w:widowControl/>
                    <w:jc w:val="center"/>
                    <w:textAlignment w:val="center"/>
                    <w:rPr>
                      <w:rFonts w:hint="default" w:eastAsia="宋体"/>
                      <w:color w:val="FF0000"/>
                      <w:sz w:val="21"/>
                      <w:szCs w:val="21"/>
                      <w:lang w:val="en-US" w:eastAsia="zh-CN"/>
                    </w:rPr>
                  </w:pPr>
                  <w:r>
                    <w:rPr>
                      <w:rFonts w:hint="eastAsia"/>
                      <w:color w:val="FF0000"/>
                      <w:sz w:val="21"/>
                      <w:szCs w:val="21"/>
                      <w:lang w:val="en-US" w:eastAsia="zh-CN"/>
                    </w:rPr>
                    <w:t>0.17</w:t>
                  </w:r>
                </w:p>
              </w:tc>
              <w:tc>
                <w:tcPr>
                  <w:tcW w:w="376" w:type="pct"/>
                  <w:tcBorders>
                    <w:tl2br w:val="nil"/>
                    <w:tr2bl w:val="nil"/>
                  </w:tcBorders>
                  <w:shd w:val="clear" w:color="auto" w:fill="auto"/>
                  <w:tcMar>
                    <w:top w:w="15" w:type="dxa"/>
                    <w:left w:w="15" w:type="dxa"/>
                    <w:right w:w="15" w:type="dxa"/>
                  </w:tcMar>
                  <w:vAlign w:val="center"/>
                </w:tcPr>
                <w:p w14:paraId="36A8E35F">
                  <w:pPr>
                    <w:widowControl/>
                    <w:jc w:val="center"/>
                    <w:textAlignment w:val="center"/>
                    <w:rPr>
                      <w:rFonts w:hint="default" w:eastAsia="宋体"/>
                      <w:color w:val="FF0000"/>
                      <w:sz w:val="21"/>
                      <w:szCs w:val="21"/>
                      <w:lang w:val="en-US" w:eastAsia="zh-CN"/>
                    </w:rPr>
                  </w:pPr>
                  <w:r>
                    <w:rPr>
                      <w:rFonts w:hint="eastAsia"/>
                      <w:color w:val="FF0000"/>
                      <w:sz w:val="21"/>
                      <w:szCs w:val="21"/>
                      <w:lang w:val="en-US" w:eastAsia="zh-CN"/>
                    </w:rPr>
                    <w:t>0.059</w:t>
                  </w:r>
                </w:p>
              </w:tc>
              <w:tc>
                <w:tcPr>
                  <w:tcW w:w="370" w:type="pct"/>
                  <w:tcBorders>
                    <w:tl2br w:val="nil"/>
                    <w:tr2bl w:val="nil"/>
                  </w:tcBorders>
                  <w:shd w:val="clear" w:color="auto" w:fill="auto"/>
                  <w:tcMar>
                    <w:top w:w="15" w:type="dxa"/>
                    <w:left w:w="15" w:type="dxa"/>
                    <w:right w:w="15" w:type="dxa"/>
                  </w:tcMar>
                  <w:vAlign w:val="center"/>
                </w:tcPr>
                <w:p w14:paraId="109EF6D5">
                  <w:pPr>
                    <w:widowControl/>
                    <w:jc w:val="center"/>
                    <w:textAlignment w:val="center"/>
                    <w:rPr>
                      <w:rFonts w:hint="default" w:eastAsia="宋体"/>
                      <w:color w:val="FF0000"/>
                      <w:sz w:val="21"/>
                      <w:szCs w:val="21"/>
                      <w:lang w:val="en-US" w:eastAsia="zh-CN"/>
                    </w:rPr>
                  </w:pPr>
                  <w:r>
                    <w:rPr>
                      <w:rFonts w:hint="eastAsia"/>
                      <w:color w:val="FF0000"/>
                      <w:sz w:val="21"/>
                      <w:szCs w:val="21"/>
                      <w:lang w:val="en-US" w:eastAsia="zh-CN"/>
                    </w:rPr>
                    <w:t>0.056</w:t>
                  </w:r>
                </w:p>
              </w:tc>
              <w:tc>
                <w:tcPr>
                  <w:tcW w:w="448" w:type="pct"/>
                  <w:tcBorders>
                    <w:tl2br w:val="nil"/>
                    <w:tr2bl w:val="nil"/>
                  </w:tcBorders>
                  <w:tcMar>
                    <w:top w:w="15" w:type="dxa"/>
                    <w:left w:w="15" w:type="dxa"/>
                    <w:right w:w="15" w:type="dxa"/>
                  </w:tcMar>
                  <w:vAlign w:val="center"/>
                </w:tcPr>
                <w:p w14:paraId="0E0C73A8">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0.030</w:t>
                  </w:r>
                </w:p>
              </w:tc>
              <w:tc>
                <w:tcPr>
                  <w:tcW w:w="339" w:type="pct"/>
                  <w:tcBorders>
                    <w:tl2br w:val="nil"/>
                    <w:tr2bl w:val="nil"/>
                  </w:tcBorders>
                  <w:tcMar>
                    <w:top w:w="15" w:type="dxa"/>
                    <w:left w:w="15" w:type="dxa"/>
                    <w:right w:w="15" w:type="dxa"/>
                  </w:tcMar>
                  <w:vAlign w:val="center"/>
                </w:tcPr>
                <w:p w14:paraId="66EDE07B">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0.0055</w:t>
                  </w:r>
                </w:p>
              </w:tc>
              <w:tc>
                <w:tcPr>
                  <w:tcW w:w="350" w:type="pct"/>
                  <w:tcBorders>
                    <w:tl2br w:val="nil"/>
                    <w:tr2bl w:val="nil"/>
                  </w:tcBorders>
                  <w:tcMar>
                    <w:top w:w="15" w:type="dxa"/>
                    <w:left w:w="15" w:type="dxa"/>
                    <w:right w:w="15" w:type="dxa"/>
                  </w:tcMar>
                  <w:vAlign w:val="center"/>
                </w:tcPr>
                <w:p w14:paraId="25D79473">
                  <w:pPr>
                    <w:widowControl/>
                    <w:jc w:val="center"/>
                    <w:textAlignment w:val="center"/>
                    <w:rPr>
                      <w:rFonts w:hint="default" w:eastAsia="宋体"/>
                      <w:color w:val="FF0000"/>
                      <w:kern w:val="0"/>
                      <w:sz w:val="21"/>
                      <w:szCs w:val="21"/>
                      <w:lang w:val="en-US" w:eastAsia="zh-CN" w:bidi="ar"/>
                    </w:rPr>
                  </w:pPr>
                  <w:r>
                    <w:rPr>
                      <w:rFonts w:hint="eastAsia"/>
                      <w:color w:val="FF0000"/>
                      <w:kern w:val="0"/>
                      <w:sz w:val="21"/>
                      <w:szCs w:val="21"/>
                      <w:lang w:val="en-US" w:eastAsia="zh-CN" w:bidi="ar"/>
                    </w:rPr>
                    <w:t>0.040</w:t>
                  </w:r>
                </w:p>
              </w:tc>
              <w:tc>
                <w:tcPr>
                  <w:tcW w:w="516" w:type="pct"/>
                  <w:tcBorders>
                    <w:tl2br w:val="nil"/>
                    <w:tr2bl w:val="nil"/>
                  </w:tcBorders>
                  <w:tcMar>
                    <w:top w:w="15" w:type="dxa"/>
                    <w:left w:w="15" w:type="dxa"/>
                    <w:right w:w="15" w:type="dxa"/>
                  </w:tcMar>
                  <w:vAlign w:val="center"/>
                </w:tcPr>
                <w:p w14:paraId="562EE01A">
                  <w:pPr>
                    <w:widowControl/>
                    <w:jc w:val="center"/>
                    <w:textAlignment w:val="center"/>
                    <w:rPr>
                      <w:rFonts w:hint="default"/>
                      <w:color w:val="FF0000"/>
                      <w:kern w:val="0"/>
                      <w:sz w:val="21"/>
                      <w:szCs w:val="21"/>
                      <w:lang w:val="en-US" w:bidi="ar"/>
                    </w:rPr>
                  </w:pPr>
                  <w:r>
                    <w:rPr>
                      <w:rFonts w:hint="eastAsia"/>
                      <w:color w:val="FF0000"/>
                      <w:kern w:val="0"/>
                      <w:sz w:val="21"/>
                      <w:szCs w:val="21"/>
                      <w:lang w:val="en-US" w:eastAsia="zh-CN" w:bidi="ar"/>
                    </w:rPr>
                    <w:t>/</w:t>
                  </w:r>
                </w:p>
              </w:tc>
              <w:tc>
                <w:tcPr>
                  <w:tcW w:w="368" w:type="pct"/>
                  <w:tcBorders>
                    <w:tl2br w:val="nil"/>
                    <w:tr2bl w:val="nil"/>
                  </w:tcBorders>
                  <w:tcMar>
                    <w:top w:w="15" w:type="dxa"/>
                    <w:left w:w="15" w:type="dxa"/>
                    <w:right w:w="15" w:type="dxa"/>
                  </w:tcMar>
                  <w:vAlign w:val="center"/>
                </w:tcPr>
                <w:p w14:paraId="45A0F04A">
                  <w:pPr>
                    <w:widowControl/>
                    <w:jc w:val="center"/>
                    <w:textAlignment w:val="center"/>
                    <w:rPr>
                      <w:color w:val="FF0000"/>
                      <w:kern w:val="0"/>
                      <w:sz w:val="21"/>
                      <w:szCs w:val="21"/>
                      <w:lang w:bidi="ar"/>
                    </w:rPr>
                  </w:pPr>
                  <w:r>
                    <w:rPr>
                      <w:rFonts w:hint="eastAsia"/>
                      <w:color w:val="FF0000"/>
                      <w:kern w:val="0"/>
                      <w:sz w:val="21"/>
                      <w:szCs w:val="21"/>
                      <w:lang w:bidi="ar"/>
                    </w:rPr>
                    <w:t>/</w:t>
                  </w:r>
                </w:p>
              </w:tc>
              <w:tc>
                <w:tcPr>
                  <w:tcW w:w="363" w:type="pct"/>
                  <w:tcBorders>
                    <w:tl2br w:val="nil"/>
                    <w:tr2bl w:val="nil"/>
                  </w:tcBorders>
                  <w:tcMar>
                    <w:top w:w="15" w:type="dxa"/>
                    <w:left w:w="15" w:type="dxa"/>
                    <w:right w:w="15" w:type="dxa"/>
                  </w:tcMar>
                  <w:vAlign w:val="center"/>
                </w:tcPr>
                <w:p w14:paraId="3AEEA971">
                  <w:pPr>
                    <w:widowControl/>
                    <w:jc w:val="center"/>
                    <w:textAlignment w:val="center"/>
                    <w:rPr>
                      <w:color w:val="FF0000"/>
                      <w:kern w:val="0"/>
                      <w:sz w:val="21"/>
                      <w:szCs w:val="21"/>
                      <w:lang w:bidi="ar"/>
                    </w:rPr>
                  </w:pPr>
                  <w:r>
                    <w:rPr>
                      <w:rFonts w:hint="eastAsia"/>
                      <w:color w:val="FF0000"/>
                      <w:kern w:val="0"/>
                      <w:sz w:val="21"/>
                      <w:szCs w:val="21"/>
                      <w:lang w:bidi="ar"/>
                    </w:rPr>
                    <w:t>/</w:t>
                  </w:r>
                </w:p>
              </w:tc>
            </w:tr>
            <w:tr w14:paraId="38EE898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restart"/>
                  <w:tcBorders>
                    <w:tl2br w:val="nil"/>
                    <w:tr2bl w:val="nil"/>
                  </w:tcBorders>
                  <w:tcMar>
                    <w:top w:w="15" w:type="dxa"/>
                    <w:left w:w="15" w:type="dxa"/>
                    <w:right w:w="15" w:type="dxa"/>
                  </w:tcMar>
                  <w:vAlign w:val="center"/>
                </w:tcPr>
                <w:p w14:paraId="6F999587">
                  <w:pPr>
                    <w:jc w:val="center"/>
                    <w:rPr>
                      <w:sz w:val="21"/>
                      <w:szCs w:val="21"/>
                    </w:rPr>
                  </w:pPr>
                  <w:r>
                    <w:rPr>
                      <w:rFonts w:hint="eastAsia"/>
                      <w:sz w:val="21"/>
                      <w:szCs w:val="21"/>
                    </w:rPr>
                    <w:t>超纯水制备排放浓水（3.43m</w:t>
                  </w:r>
                  <w:r>
                    <w:rPr>
                      <w:rFonts w:hint="eastAsia"/>
                      <w:sz w:val="21"/>
                      <w:szCs w:val="21"/>
                      <w:vertAlign w:val="superscript"/>
                    </w:rPr>
                    <w:t>3</w:t>
                  </w:r>
                  <w:r>
                    <w:rPr>
                      <w:rFonts w:hint="eastAsia"/>
                      <w:sz w:val="21"/>
                      <w:szCs w:val="21"/>
                    </w:rPr>
                    <w:t>/a）</w:t>
                  </w:r>
                </w:p>
              </w:tc>
              <w:tc>
                <w:tcPr>
                  <w:tcW w:w="607" w:type="pct"/>
                  <w:tcBorders>
                    <w:tl2br w:val="nil"/>
                    <w:tr2bl w:val="nil"/>
                  </w:tcBorders>
                  <w:tcMar>
                    <w:top w:w="15" w:type="dxa"/>
                    <w:left w:w="15" w:type="dxa"/>
                    <w:right w:w="15" w:type="dxa"/>
                  </w:tcMar>
                  <w:vAlign w:val="center"/>
                </w:tcPr>
                <w:p w14:paraId="7D9C82E5">
                  <w:pPr>
                    <w:widowControl/>
                    <w:jc w:val="center"/>
                    <w:textAlignment w:val="center"/>
                    <w:rPr>
                      <w:sz w:val="21"/>
                      <w:szCs w:val="21"/>
                    </w:rPr>
                  </w:pPr>
                  <w:r>
                    <w:rPr>
                      <w:rFonts w:hint="eastAsia"/>
                      <w:kern w:val="0"/>
                      <w:sz w:val="21"/>
                      <w:szCs w:val="21"/>
                      <w:lang w:bidi="ar"/>
                    </w:rPr>
                    <w:t>产生</w:t>
                  </w:r>
                  <w:r>
                    <w:rPr>
                      <w:kern w:val="0"/>
                      <w:sz w:val="21"/>
                      <w:szCs w:val="21"/>
                      <w:lang w:bidi="ar"/>
                    </w:rPr>
                    <w:t>浓度（mg/L）</w:t>
                  </w:r>
                </w:p>
              </w:tc>
              <w:tc>
                <w:tcPr>
                  <w:tcW w:w="409" w:type="pct"/>
                  <w:tcBorders>
                    <w:tl2br w:val="nil"/>
                    <w:tr2bl w:val="nil"/>
                  </w:tcBorders>
                  <w:tcMar>
                    <w:top w:w="15" w:type="dxa"/>
                    <w:left w:w="15" w:type="dxa"/>
                    <w:right w:w="15" w:type="dxa"/>
                  </w:tcMar>
                  <w:vAlign w:val="center"/>
                </w:tcPr>
                <w:p w14:paraId="58E1046E">
                  <w:pPr>
                    <w:widowControl/>
                    <w:jc w:val="center"/>
                    <w:textAlignment w:val="center"/>
                    <w:rPr>
                      <w:kern w:val="0"/>
                      <w:sz w:val="21"/>
                      <w:szCs w:val="21"/>
                      <w:lang w:bidi="ar"/>
                    </w:rPr>
                  </w:pPr>
                  <w:r>
                    <w:rPr>
                      <w:rFonts w:hint="eastAsia"/>
                      <w:kern w:val="0"/>
                      <w:sz w:val="21"/>
                      <w:szCs w:val="21"/>
                      <w:lang w:bidi="ar"/>
                    </w:rPr>
                    <w:t>/</w:t>
                  </w:r>
                </w:p>
              </w:tc>
              <w:tc>
                <w:tcPr>
                  <w:tcW w:w="376" w:type="pct"/>
                  <w:tcBorders>
                    <w:tl2br w:val="nil"/>
                    <w:tr2bl w:val="nil"/>
                  </w:tcBorders>
                  <w:tcMar>
                    <w:top w:w="15" w:type="dxa"/>
                    <w:left w:w="15" w:type="dxa"/>
                    <w:right w:w="15" w:type="dxa"/>
                  </w:tcMar>
                  <w:vAlign w:val="center"/>
                </w:tcPr>
                <w:p w14:paraId="5A54AC3A">
                  <w:pPr>
                    <w:widowControl/>
                    <w:jc w:val="center"/>
                    <w:textAlignment w:val="center"/>
                    <w:rPr>
                      <w:kern w:val="0"/>
                      <w:sz w:val="21"/>
                      <w:szCs w:val="21"/>
                      <w:lang w:bidi="ar"/>
                    </w:rPr>
                  </w:pPr>
                  <w:r>
                    <w:rPr>
                      <w:rFonts w:hint="eastAsia"/>
                      <w:kern w:val="0"/>
                      <w:sz w:val="21"/>
                      <w:szCs w:val="21"/>
                      <w:lang w:bidi="ar"/>
                    </w:rPr>
                    <w:t>/</w:t>
                  </w:r>
                </w:p>
              </w:tc>
              <w:tc>
                <w:tcPr>
                  <w:tcW w:w="376" w:type="pct"/>
                  <w:tcBorders>
                    <w:tl2br w:val="nil"/>
                    <w:tr2bl w:val="nil"/>
                  </w:tcBorders>
                  <w:tcMar>
                    <w:top w:w="15" w:type="dxa"/>
                    <w:left w:w="15" w:type="dxa"/>
                    <w:right w:w="15" w:type="dxa"/>
                  </w:tcMar>
                  <w:vAlign w:val="center"/>
                </w:tcPr>
                <w:p w14:paraId="7EFBBA1B">
                  <w:pPr>
                    <w:widowControl/>
                    <w:jc w:val="center"/>
                    <w:textAlignment w:val="center"/>
                    <w:rPr>
                      <w:kern w:val="0"/>
                      <w:sz w:val="21"/>
                      <w:szCs w:val="21"/>
                      <w:lang w:bidi="ar"/>
                    </w:rPr>
                  </w:pPr>
                  <w:r>
                    <w:rPr>
                      <w:rFonts w:hint="eastAsia"/>
                      <w:kern w:val="0"/>
                      <w:sz w:val="21"/>
                      <w:szCs w:val="21"/>
                      <w:lang w:bidi="ar"/>
                    </w:rPr>
                    <w:t>/</w:t>
                  </w:r>
                </w:p>
              </w:tc>
              <w:tc>
                <w:tcPr>
                  <w:tcW w:w="370" w:type="pct"/>
                  <w:tcBorders>
                    <w:tl2br w:val="nil"/>
                    <w:tr2bl w:val="nil"/>
                  </w:tcBorders>
                  <w:tcMar>
                    <w:top w:w="15" w:type="dxa"/>
                    <w:left w:w="15" w:type="dxa"/>
                    <w:right w:w="15" w:type="dxa"/>
                  </w:tcMar>
                  <w:vAlign w:val="center"/>
                </w:tcPr>
                <w:p w14:paraId="31D158C6">
                  <w:pPr>
                    <w:widowControl/>
                    <w:jc w:val="center"/>
                    <w:textAlignment w:val="center"/>
                    <w:rPr>
                      <w:kern w:val="0"/>
                      <w:sz w:val="21"/>
                      <w:szCs w:val="21"/>
                      <w:lang w:bidi="ar"/>
                    </w:rPr>
                  </w:pPr>
                  <w:r>
                    <w:rPr>
                      <w:rFonts w:hint="eastAsia"/>
                      <w:kern w:val="0"/>
                      <w:sz w:val="21"/>
                      <w:szCs w:val="21"/>
                      <w:lang w:bidi="ar"/>
                    </w:rPr>
                    <w:t>/</w:t>
                  </w:r>
                </w:p>
              </w:tc>
              <w:tc>
                <w:tcPr>
                  <w:tcW w:w="448" w:type="pct"/>
                  <w:tcBorders>
                    <w:tl2br w:val="nil"/>
                    <w:tr2bl w:val="nil"/>
                  </w:tcBorders>
                  <w:tcMar>
                    <w:top w:w="15" w:type="dxa"/>
                    <w:left w:w="15" w:type="dxa"/>
                    <w:right w:w="15" w:type="dxa"/>
                  </w:tcMar>
                  <w:vAlign w:val="center"/>
                </w:tcPr>
                <w:p w14:paraId="417A05CD">
                  <w:pPr>
                    <w:widowControl/>
                    <w:jc w:val="center"/>
                    <w:textAlignment w:val="center"/>
                    <w:rPr>
                      <w:kern w:val="0"/>
                      <w:sz w:val="21"/>
                      <w:szCs w:val="21"/>
                      <w:lang w:bidi="ar"/>
                    </w:rPr>
                  </w:pPr>
                  <w:r>
                    <w:rPr>
                      <w:rFonts w:hint="eastAsia"/>
                      <w:kern w:val="0"/>
                      <w:sz w:val="21"/>
                      <w:szCs w:val="21"/>
                      <w:lang w:bidi="ar"/>
                    </w:rPr>
                    <w:t>/</w:t>
                  </w:r>
                </w:p>
              </w:tc>
              <w:tc>
                <w:tcPr>
                  <w:tcW w:w="339" w:type="pct"/>
                  <w:tcBorders>
                    <w:tl2br w:val="nil"/>
                    <w:tr2bl w:val="nil"/>
                  </w:tcBorders>
                  <w:tcMar>
                    <w:top w:w="15" w:type="dxa"/>
                    <w:left w:w="15" w:type="dxa"/>
                    <w:right w:w="15" w:type="dxa"/>
                  </w:tcMar>
                  <w:vAlign w:val="center"/>
                </w:tcPr>
                <w:p w14:paraId="7A91FDE7">
                  <w:pPr>
                    <w:widowControl/>
                    <w:jc w:val="center"/>
                    <w:textAlignment w:val="center"/>
                    <w:rPr>
                      <w:kern w:val="0"/>
                      <w:sz w:val="21"/>
                      <w:szCs w:val="21"/>
                      <w:lang w:bidi="ar"/>
                    </w:rPr>
                  </w:pPr>
                  <w:r>
                    <w:rPr>
                      <w:rFonts w:hint="eastAsia"/>
                      <w:kern w:val="0"/>
                      <w:sz w:val="21"/>
                      <w:szCs w:val="21"/>
                      <w:lang w:bidi="ar"/>
                    </w:rPr>
                    <w:t>/</w:t>
                  </w:r>
                </w:p>
              </w:tc>
              <w:tc>
                <w:tcPr>
                  <w:tcW w:w="350" w:type="pct"/>
                  <w:tcBorders>
                    <w:tl2br w:val="nil"/>
                    <w:tr2bl w:val="nil"/>
                  </w:tcBorders>
                  <w:tcMar>
                    <w:top w:w="15" w:type="dxa"/>
                    <w:left w:w="15" w:type="dxa"/>
                    <w:right w:w="15" w:type="dxa"/>
                  </w:tcMar>
                  <w:vAlign w:val="center"/>
                </w:tcPr>
                <w:p w14:paraId="730FFCDB">
                  <w:pPr>
                    <w:widowControl/>
                    <w:jc w:val="center"/>
                    <w:textAlignment w:val="center"/>
                    <w:rPr>
                      <w:kern w:val="0"/>
                      <w:sz w:val="21"/>
                      <w:szCs w:val="21"/>
                      <w:lang w:bidi="ar"/>
                    </w:rPr>
                  </w:pPr>
                  <w:r>
                    <w:rPr>
                      <w:rFonts w:hint="eastAsia"/>
                      <w:kern w:val="0"/>
                      <w:sz w:val="21"/>
                      <w:szCs w:val="21"/>
                      <w:lang w:bidi="ar"/>
                    </w:rPr>
                    <w:t>/</w:t>
                  </w:r>
                </w:p>
              </w:tc>
              <w:tc>
                <w:tcPr>
                  <w:tcW w:w="516" w:type="pct"/>
                  <w:tcBorders>
                    <w:tl2br w:val="nil"/>
                    <w:tr2bl w:val="nil"/>
                  </w:tcBorders>
                  <w:tcMar>
                    <w:top w:w="15" w:type="dxa"/>
                    <w:left w:w="15" w:type="dxa"/>
                    <w:right w:w="15" w:type="dxa"/>
                  </w:tcMar>
                  <w:vAlign w:val="center"/>
                </w:tcPr>
                <w:p w14:paraId="394BB50B">
                  <w:pPr>
                    <w:widowControl/>
                    <w:jc w:val="center"/>
                    <w:textAlignment w:val="center"/>
                    <w:rPr>
                      <w:kern w:val="0"/>
                      <w:sz w:val="21"/>
                      <w:szCs w:val="21"/>
                      <w:lang w:bidi="ar"/>
                    </w:rPr>
                  </w:pPr>
                  <w:r>
                    <w:rPr>
                      <w:rFonts w:hint="eastAsia"/>
                      <w:kern w:val="0"/>
                      <w:sz w:val="21"/>
                      <w:szCs w:val="21"/>
                      <w:lang w:bidi="ar"/>
                    </w:rPr>
                    <w:t>/</w:t>
                  </w:r>
                </w:p>
              </w:tc>
              <w:tc>
                <w:tcPr>
                  <w:tcW w:w="368" w:type="pct"/>
                  <w:tcBorders>
                    <w:tl2br w:val="nil"/>
                    <w:tr2bl w:val="nil"/>
                  </w:tcBorders>
                  <w:tcMar>
                    <w:top w:w="15" w:type="dxa"/>
                    <w:left w:w="15" w:type="dxa"/>
                    <w:right w:w="15" w:type="dxa"/>
                  </w:tcMar>
                  <w:vAlign w:val="center"/>
                </w:tcPr>
                <w:p w14:paraId="7AF4C835">
                  <w:pPr>
                    <w:widowControl/>
                    <w:jc w:val="center"/>
                    <w:textAlignment w:val="center"/>
                    <w:rPr>
                      <w:kern w:val="0"/>
                      <w:sz w:val="21"/>
                      <w:szCs w:val="21"/>
                      <w:lang w:bidi="ar"/>
                    </w:rPr>
                  </w:pPr>
                  <w:r>
                    <w:rPr>
                      <w:rFonts w:hint="eastAsia"/>
                      <w:kern w:val="0"/>
                      <w:sz w:val="21"/>
                      <w:szCs w:val="21"/>
                      <w:lang w:bidi="ar"/>
                    </w:rPr>
                    <w:t>/</w:t>
                  </w:r>
                </w:p>
              </w:tc>
              <w:tc>
                <w:tcPr>
                  <w:tcW w:w="363" w:type="pct"/>
                  <w:tcBorders>
                    <w:tl2br w:val="nil"/>
                    <w:tr2bl w:val="nil"/>
                  </w:tcBorders>
                  <w:tcMar>
                    <w:top w:w="15" w:type="dxa"/>
                    <w:left w:w="15" w:type="dxa"/>
                    <w:right w:w="15" w:type="dxa"/>
                  </w:tcMar>
                  <w:vAlign w:val="center"/>
                </w:tcPr>
                <w:p w14:paraId="5FEF1A6E">
                  <w:pPr>
                    <w:widowControl/>
                    <w:jc w:val="center"/>
                    <w:textAlignment w:val="center"/>
                    <w:rPr>
                      <w:kern w:val="0"/>
                      <w:sz w:val="21"/>
                      <w:szCs w:val="21"/>
                      <w:lang w:bidi="ar"/>
                    </w:rPr>
                  </w:pPr>
                  <w:r>
                    <w:rPr>
                      <w:rFonts w:hint="eastAsia"/>
                      <w:kern w:val="0"/>
                      <w:sz w:val="21"/>
                      <w:szCs w:val="21"/>
                      <w:lang w:bidi="ar"/>
                    </w:rPr>
                    <w:t>1300</w:t>
                  </w:r>
                </w:p>
              </w:tc>
            </w:tr>
            <w:tr w14:paraId="6FD520C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2018B6BB">
                  <w:pPr>
                    <w:jc w:val="center"/>
                    <w:rPr>
                      <w:sz w:val="21"/>
                      <w:szCs w:val="21"/>
                    </w:rPr>
                  </w:pPr>
                </w:p>
              </w:tc>
              <w:tc>
                <w:tcPr>
                  <w:tcW w:w="607" w:type="pct"/>
                  <w:tcBorders>
                    <w:tl2br w:val="nil"/>
                    <w:tr2bl w:val="nil"/>
                  </w:tcBorders>
                  <w:tcMar>
                    <w:top w:w="15" w:type="dxa"/>
                    <w:left w:w="15" w:type="dxa"/>
                    <w:right w:w="15" w:type="dxa"/>
                  </w:tcMar>
                  <w:vAlign w:val="center"/>
                </w:tcPr>
                <w:p w14:paraId="55A19846">
                  <w:pPr>
                    <w:widowControl/>
                    <w:jc w:val="center"/>
                    <w:textAlignment w:val="center"/>
                    <w:rPr>
                      <w:sz w:val="21"/>
                      <w:szCs w:val="21"/>
                    </w:rPr>
                  </w:pPr>
                  <w:r>
                    <w:rPr>
                      <w:kern w:val="0"/>
                      <w:sz w:val="21"/>
                      <w:szCs w:val="21"/>
                      <w:lang w:bidi="ar"/>
                    </w:rPr>
                    <w:t>产生量（m</w:t>
                  </w:r>
                  <w:r>
                    <w:rPr>
                      <w:kern w:val="0"/>
                      <w:sz w:val="21"/>
                      <w:szCs w:val="21"/>
                      <w:vertAlign w:val="superscript"/>
                      <w:lang w:bidi="ar"/>
                    </w:rPr>
                    <w:t>3</w:t>
                  </w:r>
                  <w:r>
                    <w:rPr>
                      <w:kern w:val="0"/>
                      <w:sz w:val="21"/>
                      <w:szCs w:val="21"/>
                      <w:lang w:bidi="ar"/>
                    </w:rPr>
                    <w:t>/a）</w:t>
                  </w:r>
                </w:p>
              </w:tc>
              <w:tc>
                <w:tcPr>
                  <w:tcW w:w="409" w:type="pct"/>
                  <w:tcBorders>
                    <w:tl2br w:val="nil"/>
                    <w:tr2bl w:val="nil"/>
                  </w:tcBorders>
                  <w:tcMar>
                    <w:top w:w="15" w:type="dxa"/>
                    <w:left w:w="15" w:type="dxa"/>
                    <w:right w:w="15" w:type="dxa"/>
                  </w:tcMar>
                  <w:vAlign w:val="center"/>
                </w:tcPr>
                <w:p w14:paraId="752A4B7C">
                  <w:pPr>
                    <w:widowControl/>
                    <w:jc w:val="center"/>
                    <w:textAlignment w:val="center"/>
                    <w:rPr>
                      <w:kern w:val="0"/>
                      <w:sz w:val="21"/>
                      <w:szCs w:val="21"/>
                      <w:lang w:bidi="ar"/>
                    </w:rPr>
                  </w:pPr>
                  <w:r>
                    <w:rPr>
                      <w:rFonts w:hint="eastAsia"/>
                      <w:kern w:val="0"/>
                      <w:sz w:val="21"/>
                      <w:szCs w:val="21"/>
                      <w:lang w:bidi="ar"/>
                    </w:rPr>
                    <w:t>/</w:t>
                  </w:r>
                </w:p>
              </w:tc>
              <w:tc>
                <w:tcPr>
                  <w:tcW w:w="376" w:type="pct"/>
                  <w:tcBorders>
                    <w:tl2br w:val="nil"/>
                    <w:tr2bl w:val="nil"/>
                  </w:tcBorders>
                  <w:tcMar>
                    <w:top w:w="15" w:type="dxa"/>
                    <w:left w:w="15" w:type="dxa"/>
                    <w:right w:w="15" w:type="dxa"/>
                  </w:tcMar>
                  <w:vAlign w:val="center"/>
                </w:tcPr>
                <w:p w14:paraId="6E5B31AE">
                  <w:pPr>
                    <w:widowControl/>
                    <w:jc w:val="center"/>
                    <w:textAlignment w:val="center"/>
                    <w:rPr>
                      <w:kern w:val="0"/>
                      <w:sz w:val="21"/>
                      <w:szCs w:val="21"/>
                      <w:lang w:bidi="ar"/>
                    </w:rPr>
                  </w:pPr>
                  <w:r>
                    <w:rPr>
                      <w:rFonts w:hint="eastAsia"/>
                      <w:kern w:val="0"/>
                      <w:sz w:val="21"/>
                      <w:szCs w:val="21"/>
                      <w:lang w:bidi="ar"/>
                    </w:rPr>
                    <w:t>/</w:t>
                  </w:r>
                </w:p>
              </w:tc>
              <w:tc>
                <w:tcPr>
                  <w:tcW w:w="376" w:type="pct"/>
                  <w:tcBorders>
                    <w:tl2br w:val="nil"/>
                    <w:tr2bl w:val="nil"/>
                  </w:tcBorders>
                  <w:tcMar>
                    <w:top w:w="15" w:type="dxa"/>
                    <w:left w:w="15" w:type="dxa"/>
                    <w:right w:w="15" w:type="dxa"/>
                  </w:tcMar>
                  <w:vAlign w:val="center"/>
                </w:tcPr>
                <w:p w14:paraId="5BDE7579">
                  <w:pPr>
                    <w:widowControl/>
                    <w:jc w:val="center"/>
                    <w:textAlignment w:val="center"/>
                    <w:rPr>
                      <w:kern w:val="0"/>
                      <w:sz w:val="21"/>
                      <w:szCs w:val="21"/>
                      <w:lang w:bidi="ar"/>
                    </w:rPr>
                  </w:pPr>
                  <w:r>
                    <w:rPr>
                      <w:rFonts w:hint="eastAsia"/>
                      <w:kern w:val="0"/>
                      <w:sz w:val="21"/>
                      <w:szCs w:val="21"/>
                      <w:lang w:bidi="ar"/>
                    </w:rPr>
                    <w:t>/</w:t>
                  </w:r>
                </w:p>
              </w:tc>
              <w:tc>
                <w:tcPr>
                  <w:tcW w:w="370" w:type="pct"/>
                  <w:tcBorders>
                    <w:tl2br w:val="nil"/>
                    <w:tr2bl w:val="nil"/>
                  </w:tcBorders>
                  <w:tcMar>
                    <w:top w:w="15" w:type="dxa"/>
                    <w:left w:w="15" w:type="dxa"/>
                    <w:right w:w="15" w:type="dxa"/>
                  </w:tcMar>
                  <w:vAlign w:val="center"/>
                </w:tcPr>
                <w:p w14:paraId="1AB12830">
                  <w:pPr>
                    <w:widowControl/>
                    <w:jc w:val="center"/>
                    <w:textAlignment w:val="center"/>
                    <w:rPr>
                      <w:kern w:val="0"/>
                      <w:sz w:val="21"/>
                      <w:szCs w:val="21"/>
                      <w:lang w:bidi="ar"/>
                    </w:rPr>
                  </w:pPr>
                  <w:r>
                    <w:rPr>
                      <w:rFonts w:hint="eastAsia"/>
                      <w:kern w:val="0"/>
                      <w:sz w:val="21"/>
                      <w:szCs w:val="21"/>
                      <w:lang w:bidi="ar"/>
                    </w:rPr>
                    <w:t>/</w:t>
                  </w:r>
                </w:p>
              </w:tc>
              <w:tc>
                <w:tcPr>
                  <w:tcW w:w="448" w:type="pct"/>
                  <w:tcBorders>
                    <w:tl2br w:val="nil"/>
                    <w:tr2bl w:val="nil"/>
                  </w:tcBorders>
                  <w:tcMar>
                    <w:top w:w="15" w:type="dxa"/>
                    <w:left w:w="15" w:type="dxa"/>
                    <w:right w:w="15" w:type="dxa"/>
                  </w:tcMar>
                  <w:vAlign w:val="center"/>
                </w:tcPr>
                <w:p w14:paraId="54045483">
                  <w:pPr>
                    <w:widowControl/>
                    <w:jc w:val="center"/>
                    <w:textAlignment w:val="center"/>
                    <w:rPr>
                      <w:kern w:val="0"/>
                      <w:sz w:val="21"/>
                      <w:szCs w:val="21"/>
                      <w:lang w:bidi="ar"/>
                    </w:rPr>
                  </w:pPr>
                  <w:r>
                    <w:rPr>
                      <w:rFonts w:hint="eastAsia"/>
                      <w:kern w:val="0"/>
                      <w:sz w:val="21"/>
                      <w:szCs w:val="21"/>
                      <w:lang w:bidi="ar"/>
                    </w:rPr>
                    <w:t>/</w:t>
                  </w:r>
                </w:p>
              </w:tc>
              <w:tc>
                <w:tcPr>
                  <w:tcW w:w="339" w:type="pct"/>
                  <w:tcBorders>
                    <w:tl2br w:val="nil"/>
                    <w:tr2bl w:val="nil"/>
                  </w:tcBorders>
                  <w:tcMar>
                    <w:top w:w="15" w:type="dxa"/>
                    <w:left w:w="15" w:type="dxa"/>
                    <w:right w:w="15" w:type="dxa"/>
                  </w:tcMar>
                  <w:vAlign w:val="center"/>
                </w:tcPr>
                <w:p w14:paraId="7C6F595C">
                  <w:pPr>
                    <w:widowControl/>
                    <w:jc w:val="center"/>
                    <w:textAlignment w:val="center"/>
                    <w:rPr>
                      <w:kern w:val="0"/>
                      <w:sz w:val="21"/>
                      <w:szCs w:val="21"/>
                      <w:lang w:bidi="ar"/>
                    </w:rPr>
                  </w:pPr>
                  <w:r>
                    <w:rPr>
                      <w:rFonts w:hint="eastAsia"/>
                      <w:kern w:val="0"/>
                      <w:sz w:val="21"/>
                      <w:szCs w:val="21"/>
                      <w:lang w:bidi="ar"/>
                    </w:rPr>
                    <w:t>/</w:t>
                  </w:r>
                </w:p>
              </w:tc>
              <w:tc>
                <w:tcPr>
                  <w:tcW w:w="350" w:type="pct"/>
                  <w:tcBorders>
                    <w:tl2br w:val="nil"/>
                    <w:tr2bl w:val="nil"/>
                  </w:tcBorders>
                  <w:tcMar>
                    <w:top w:w="15" w:type="dxa"/>
                    <w:left w:w="15" w:type="dxa"/>
                    <w:right w:w="15" w:type="dxa"/>
                  </w:tcMar>
                  <w:vAlign w:val="center"/>
                </w:tcPr>
                <w:p w14:paraId="612FD43A">
                  <w:pPr>
                    <w:widowControl/>
                    <w:jc w:val="center"/>
                    <w:textAlignment w:val="center"/>
                    <w:rPr>
                      <w:kern w:val="0"/>
                      <w:sz w:val="21"/>
                      <w:szCs w:val="21"/>
                      <w:lang w:bidi="ar"/>
                    </w:rPr>
                  </w:pPr>
                  <w:r>
                    <w:rPr>
                      <w:rFonts w:hint="eastAsia"/>
                      <w:kern w:val="0"/>
                      <w:sz w:val="21"/>
                      <w:szCs w:val="21"/>
                      <w:lang w:bidi="ar"/>
                    </w:rPr>
                    <w:t>/</w:t>
                  </w:r>
                </w:p>
              </w:tc>
              <w:tc>
                <w:tcPr>
                  <w:tcW w:w="516" w:type="pct"/>
                  <w:tcBorders>
                    <w:tl2br w:val="nil"/>
                    <w:tr2bl w:val="nil"/>
                  </w:tcBorders>
                  <w:tcMar>
                    <w:top w:w="15" w:type="dxa"/>
                    <w:left w:w="15" w:type="dxa"/>
                    <w:right w:w="15" w:type="dxa"/>
                  </w:tcMar>
                  <w:vAlign w:val="center"/>
                </w:tcPr>
                <w:p w14:paraId="086F6FDE">
                  <w:pPr>
                    <w:widowControl/>
                    <w:jc w:val="center"/>
                    <w:textAlignment w:val="center"/>
                    <w:rPr>
                      <w:kern w:val="0"/>
                      <w:sz w:val="21"/>
                      <w:szCs w:val="21"/>
                      <w:lang w:bidi="ar"/>
                    </w:rPr>
                  </w:pPr>
                  <w:r>
                    <w:rPr>
                      <w:rFonts w:hint="eastAsia"/>
                      <w:kern w:val="0"/>
                      <w:sz w:val="21"/>
                      <w:szCs w:val="21"/>
                      <w:lang w:bidi="ar"/>
                    </w:rPr>
                    <w:t>/</w:t>
                  </w:r>
                </w:p>
              </w:tc>
              <w:tc>
                <w:tcPr>
                  <w:tcW w:w="368" w:type="pct"/>
                  <w:tcBorders>
                    <w:tl2br w:val="nil"/>
                    <w:tr2bl w:val="nil"/>
                  </w:tcBorders>
                  <w:tcMar>
                    <w:top w:w="15" w:type="dxa"/>
                    <w:left w:w="15" w:type="dxa"/>
                    <w:right w:w="15" w:type="dxa"/>
                  </w:tcMar>
                  <w:vAlign w:val="center"/>
                </w:tcPr>
                <w:p w14:paraId="02BE48DF">
                  <w:pPr>
                    <w:widowControl/>
                    <w:jc w:val="center"/>
                    <w:textAlignment w:val="center"/>
                    <w:rPr>
                      <w:kern w:val="0"/>
                      <w:sz w:val="21"/>
                      <w:szCs w:val="21"/>
                      <w:lang w:bidi="ar"/>
                    </w:rPr>
                  </w:pPr>
                  <w:r>
                    <w:rPr>
                      <w:rFonts w:hint="eastAsia"/>
                      <w:kern w:val="0"/>
                      <w:sz w:val="21"/>
                      <w:szCs w:val="21"/>
                      <w:lang w:bidi="ar"/>
                    </w:rPr>
                    <w:t>/</w:t>
                  </w:r>
                </w:p>
              </w:tc>
              <w:tc>
                <w:tcPr>
                  <w:tcW w:w="363" w:type="pct"/>
                  <w:tcBorders>
                    <w:tl2br w:val="nil"/>
                    <w:tr2bl w:val="nil"/>
                  </w:tcBorders>
                  <w:tcMar>
                    <w:top w:w="15" w:type="dxa"/>
                    <w:left w:w="15" w:type="dxa"/>
                    <w:right w:w="15" w:type="dxa"/>
                  </w:tcMar>
                  <w:vAlign w:val="center"/>
                </w:tcPr>
                <w:p w14:paraId="197C031A">
                  <w:pPr>
                    <w:widowControl/>
                    <w:jc w:val="center"/>
                    <w:textAlignment w:val="center"/>
                    <w:rPr>
                      <w:kern w:val="0"/>
                      <w:sz w:val="21"/>
                      <w:szCs w:val="21"/>
                      <w:lang w:bidi="ar"/>
                    </w:rPr>
                  </w:pPr>
                  <w:r>
                    <w:rPr>
                      <w:rFonts w:hint="eastAsia"/>
                      <w:kern w:val="0"/>
                      <w:sz w:val="21"/>
                      <w:szCs w:val="21"/>
                      <w:lang w:bidi="ar"/>
                    </w:rPr>
                    <w:t>0.0045</w:t>
                  </w:r>
                </w:p>
              </w:tc>
            </w:tr>
            <w:tr w14:paraId="48282E8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52431F7D">
                  <w:pPr>
                    <w:jc w:val="center"/>
                    <w:rPr>
                      <w:sz w:val="21"/>
                      <w:szCs w:val="21"/>
                    </w:rPr>
                  </w:pPr>
                </w:p>
              </w:tc>
              <w:tc>
                <w:tcPr>
                  <w:tcW w:w="607" w:type="pct"/>
                  <w:tcBorders>
                    <w:tl2br w:val="nil"/>
                    <w:tr2bl w:val="nil"/>
                  </w:tcBorders>
                  <w:shd w:val="clear" w:color="auto" w:fill="auto"/>
                  <w:tcMar>
                    <w:top w:w="15" w:type="dxa"/>
                    <w:left w:w="15" w:type="dxa"/>
                    <w:right w:w="15" w:type="dxa"/>
                  </w:tcMar>
                  <w:vAlign w:val="center"/>
                </w:tcPr>
                <w:p w14:paraId="69DAEF15">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治理工艺</w:t>
                  </w:r>
                </w:p>
              </w:tc>
              <w:tc>
                <w:tcPr>
                  <w:tcW w:w="3921" w:type="pct"/>
                  <w:gridSpan w:val="10"/>
                  <w:tcBorders>
                    <w:tl2br w:val="nil"/>
                    <w:tr2bl w:val="nil"/>
                  </w:tcBorders>
                  <w:shd w:val="clear" w:color="auto" w:fill="auto"/>
                  <w:tcMar>
                    <w:top w:w="15" w:type="dxa"/>
                    <w:left w:w="15" w:type="dxa"/>
                    <w:right w:w="15" w:type="dxa"/>
                  </w:tcMar>
                  <w:vAlign w:val="center"/>
                </w:tcPr>
                <w:p w14:paraId="1789C2AE">
                  <w:pPr>
                    <w:widowControl/>
                    <w:jc w:val="center"/>
                    <w:textAlignment w:val="center"/>
                    <w:rPr>
                      <w:rFonts w:hint="eastAsia"/>
                      <w:kern w:val="0"/>
                      <w:sz w:val="21"/>
                      <w:szCs w:val="21"/>
                      <w:lang w:bidi="ar"/>
                    </w:rPr>
                  </w:pPr>
                  <w:r>
                    <w:rPr>
                      <w:rFonts w:hint="eastAsia"/>
                      <w:color w:val="000000" w:themeColor="text1"/>
                      <w:kern w:val="0"/>
                      <w:sz w:val="21"/>
                      <w:szCs w:val="21"/>
                      <w:lang w:bidi="ar"/>
                      <w14:textFill>
                        <w14:solidFill>
                          <w14:schemeClr w14:val="tx1"/>
                        </w14:solidFill>
                      </w14:textFill>
                    </w:rPr>
                    <w:t>园区化粪池</w:t>
                  </w:r>
                </w:p>
              </w:tc>
            </w:tr>
            <w:tr w14:paraId="343F719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559124D8">
                  <w:pPr>
                    <w:jc w:val="center"/>
                    <w:rPr>
                      <w:sz w:val="21"/>
                      <w:szCs w:val="21"/>
                    </w:rPr>
                  </w:pPr>
                </w:p>
              </w:tc>
              <w:tc>
                <w:tcPr>
                  <w:tcW w:w="607" w:type="pct"/>
                  <w:tcBorders>
                    <w:tl2br w:val="nil"/>
                    <w:tr2bl w:val="nil"/>
                  </w:tcBorders>
                  <w:shd w:val="clear" w:color="auto" w:fill="auto"/>
                  <w:tcMar>
                    <w:top w:w="15" w:type="dxa"/>
                    <w:left w:w="15" w:type="dxa"/>
                    <w:right w:w="15" w:type="dxa"/>
                  </w:tcMar>
                  <w:vAlign w:val="center"/>
                </w:tcPr>
                <w:p w14:paraId="16521F79">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治理效率</w:t>
                  </w:r>
                  <w:r>
                    <w:rPr>
                      <w:color w:val="000000" w:themeColor="text1"/>
                      <w:kern w:val="0"/>
                      <w:sz w:val="21"/>
                      <w:szCs w:val="21"/>
                      <w:lang w:bidi="ar"/>
                      <w14:textFill>
                        <w14:solidFill>
                          <w14:schemeClr w14:val="tx1"/>
                        </w14:solidFill>
                      </w14:textFill>
                    </w:rPr>
                    <w:t>（%）</w:t>
                  </w:r>
                </w:p>
              </w:tc>
              <w:tc>
                <w:tcPr>
                  <w:tcW w:w="409" w:type="pct"/>
                  <w:tcBorders>
                    <w:tl2br w:val="nil"/>
                    <w:tr2bl w:val="nil"/>
                  </w:tcBorders>
                  <w:shd w:val="clear" w:color="auto" w:fill="auto"/>
                  <w:tcMar>
                    <w:top w:w="15" w:type="dxa"/>
                    <w:left w:w="15" w:type="dxa"/>
                    <w:right w:w="15" w:type="dxa"/>
                  </w:tcMar>
                  <w:vAlign w:val="center"/>
                </w:tcPr>
                <w:p w14:paraId="6E65F3C2">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76" w:type="pct"/>
                  <w:tcBorders>
                    <w:tl2br w:val="nil"/>
                    <w:tr2bl w:val="nil"/>
                  </w:tcBorders>
                  <w:shd w:val="clear" w:color="auto" w:fill="auto"/>
                  <w:tcMar>
                    <w:top w:w="15" w:type="dxa"/>
                    <w:left w:w="15" w:type="dxa"/>
                    <w:right w:w="15" w:type="dxa"/>
                  </w:tcMar>
                  <w:vAlign w:val="center"/>
                </w:tcPr>
                <w:p w14:paraId="3E8A84E2">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15</w:t>
                  </w:r>
                </w:p>
              </w:tc>
              <w:tc>
                <w:tcPr>
                  <w:tcW w:w="376" w:type="pct"/>
                  <w:tcBorders>
                    <w:tl2br w:val="nil"/>
                    <w:tr2bl w:val="nil"/>
                  </w:tcBorders>
                  <w:shd w:val="clear" w:color="auto" w:fill="auto"/>
                  <w:tcMar>
                    <w:top w:w="15" w:type="dxa"/>
                    <w:left w:w="15" w:type="dxa"/>
                    <w:right w:w="15" w:type="dxa"/>
                  </w:tcMar>
                  <w:vAlign w:val="center"/>
                </w:tcPr>
                <w:p w14:paraId="3D70745F">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20</w:t>
                  </w:r>
                </w:p>
              </w:tc>
              <w:tc>
                <w:tcPr>
                  <w:tcW w:w="370" w:type="pct"/>
                  <w:tcBorders>
                    <w:tl2br w:val="nil"/>
                    <w:tr2bl w:val="nil"/>
                  </w:tcBorders>
                  <w:shd w:val="clear" w:color="auto" w:fill="auto"/>
                  <w:tcMar>
                    <w:top w:w="15" w:type="dxa"/>
                    <w:left w:w="15" w:type="dxa"/>
                    <w:right w:w="15" w:type="dxa"/>
                  </w:tcMar>
                  <w:vAlign w:val="center"/>
                </w:tcPr>
                <w:p w14:paraId="2670F3E5">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40</w:t>
                  </w:r>
                </w:p>
              </w:tc>
              <w:tc>
                <w:tcPr>
                  <w:tcW w:w="448" w:type="pct"/>
                  <w:tcBorders>
                    <w:tl2br w:val="nil"/>
                    <w:tr2bl w:val="nil"/>
                  </w:tcBorders>
                  <w:shd w:val="clear" w:color="auto" w:fill="auto"/>
                  <w:tcMar>
                    <w:top w:w="15" w:type="dxa"/>
                    <w:left w:w="15" w:type="dxa"/>
                    <w:right w:w="15" w:type="dxa"/>
                  </w:tcMar>
                  <w:vAlign w:val="center"/>
                </w:tcPr>
                <w:p w14:paraId="65CD42BC">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39" w:type="pct"/>
                  <w:tcBorders>
                    <w:tl2br w:val="nil"/>
                    <w:tr2bl w:val="nil"/>
                  </w:tcBorders>
                  <w:shd w:val="clear" w:color="auto" w:fill="auto"/>
                  <w:tcMar>
                    <w:top w:w="15" w:type="dxa"/>
                    <w:left w:w="15" w:type="dxa"/>
                    <w:right w:w="15" w:type="dxa"/>
                  </w:tcMar>
                  <w:vAlign w:val="center"/>
                </w:tcPr>
                <w:p w14:paraId="13AF891D">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50" w:type="pct"/>
                  <w:tcBorders>
                    <w:tl2br w:val="nil"/>
                    <w:tr2bl w:val="nil"/>
                  </w:tcBorders>
                  <w:shd w:val="clear" w:color="auto" w:fill="auto"/>
                  <w:tcMar>
                    <w:top w:w="15" w:type="dxa"/>
                    <w:left w:w="15" w:type="dxa"/>
                    <w:right w:w="15" w:type="dxa"/>
                  </w:tcMar>
                  <w:vAlign w:val="center"/>
                </w:tcPr>
                <w:p w14:paraId="5C4BBD1F">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516" w:type="pct"/>
                  <w:tcBorders>
                    <w:tl2br w:val="nil"/>
                    <w:tr2bl w:val="nil"/>
                  </w:tcBorders>
                  <w:shd w:val="clear" w:color="auto" w:fill="auto"/>
                  <w:tcMar>
                    <w:top w:w="15" w:type="dxa"/>
                    <w:left w:w="15" w:type="dxa"/>
                    <w:right w:w="15" w:type="dxa"/>
                  </w:tcMar>
                  <w:vAlign w:val="center"/>
                </w:tcPr>
                <w:p w14:paraId="2101D6E9">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68" w:type="pct"/>
                  <w:tcBorders>
                    <w:tl2br w:val="nil"/>
                    <w:tr2bl w:val="nil"/>
                  </w:tcBorders>
                  <w:shd w:val="clear" w:color="auto" w:fill="auto"/>
                  <w:tcMar>
                    <w:top w:w="15" w:type="dxa"/>
                    <w:left w:w="15" w:type="dxa"/>
                    <w:right w:w="15" w:type="dxa"/>
                  </w:tcMar>
                  <w:vAlign w:val="center"/>
                </w:tcPr>
                <w:p w14:paraId="139A4265">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63" w:type="pct"/>
                  <w:tcBorders>
                    <w:tl2br w:val="nil"/>
                    <w:tr2bl w:val="nil"/>
                  </w:tcBorders>
                  <w:shd w:val="clear" w:color="auto" w:fill="auto"/>
                  <w:tcMar>
                    <w:top w:w="15" w:type="dxa"/>
                    <w:left w:w="15" w:type="dxa"/>
                    <w:right w:w="15" w:type="dxa"/>
                  </w:tcMar>
                  <w:vAlign w:val="center"/>
                </w:tcPr>
                <w:p w14:paraId="6776AC36">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r>
            <w:tr w14:paraId="4C0AB59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475ED48A">
                  <w:pPr>
                    <w:jc w:val="center"/>
                    <w:rPr>
                      <w:sz w:val="21"/>
                      <w:szCs w:val="21"/>
                    </w:rPr>
                  </w:pPr>
                </w:p>
              </w:tc>
              <w:tc>
                <w:tcPr>
                  <w:tcW w:w="607" w:type="pct"/>
                  <w:tcBorders>
                    <w:tl2br w:val="nil"/>
                    <w:tr2bl w:val="nil"/>
                  </w:tcBorders>
                  <w:shd w:val="clear" w:color="auto" w:fill="auto"/>
                  <w:tcMar>
                    <w:top w:w="15" w:type="dxa"/>
                    <w:left w:w="15" w:type="dxa"/>
                    <w:right w:w="15" w:type="dxa"/>
                  </w:tcMar>
                  <w:vAlign w:val="center"/>
                </w:tcPr>
                <w:p w14:paraId="46FF2D18">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排放浓度</w:t>
                  </w:r>
                  <w:r>
                    <w:rPr>
                      <w:color w:val="000000" w:themeColor="text1"/>
                      <w:kern w:val="0"/>
                      <w:sz w:val="21"/>
                      <w:szCs w:val="21"/>
                      <w:lang w:bidi="ar"/>
                      <w14:textFill>
                        <w14:solidFill>
                          <w14:schemeClr w14:val="tx1"/>
                        </w14:solidFill>
                      </w14:textFill>
                    </w:rPr>
                    <w:t>（mg/L）</w:t>
                  </w:r>
                </w:p>
              </w:tc>
              <w:tc>
                <w:tcPr>
                  <w:tcW w:w="409" w:type="pct"/>
                  <w:tcBorders>
                    <w:tl2br w:val="nil"/>
                    <w:tr2bl w:val="nil"/>
                  </w:tcBorders>
                  <w:shd w:val="clear" w:color="auto" w:fill="auto"/>
                  <w:tcMar>
                    <w:top w:w="15" w:type="dxa"/>
                    <w:left w:w="15" w:type="dxa"/>
                    <w:right w:w="15" w:type="dxa"/>
                  </w:tcMar>
                  <w:vAlign w:val="center"/>
                </w:tcPr>
                <w:p w14:paraId="18DE06D7">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6-9</w:t>
                  </w:r>
                </w:p>
              </w:tc>
              <w:tc>
                <w:tcPr>
                  <w:tcW w:w="376" w:type="pct"/>
                  <w:tcBorders>
                    <w:tl2br w:val="nil"/>
                    <w:tr2bl w:val="nil"/>
                  </w:tcBorders>
                  <w:shd w:val="clear" w:color="auto" w:fill="auto"/>
                  <w:tcMar>
                    <w:top w:w="15" w:type="dxa"/>
                    <w:left w:w="15" w:type="dxa"/>
                    <w:right w:w="15" w:type="dxa"/>
                  </w:tcMar>
                  <w:vAlign w:val="center"/>
                </w:tcPr>
                <w:p w14:paraId="729ECFEF">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376" w:type="pct"/>
                  <w:tcBorders>
                    <w:tl2br w:val="nil"/>
                    <w:tr2bl w:val="nil"/>
                  </w:tcBorders>
                  <w:shd w:val="clear"/>
                  <w:tcMar>
                    <w:top w:w="15" w:type="dxa"/>
                    <w:left w:w="15" w:type="dxa"/>
                    <w:right w:w="15" w:type="dxa"/>
                  </w:tcMar>
                  <w:vAlign w:val="center"/>
                </w:tcPr>
                <w:p w14:paraId="4BD5DD71">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70" w:type="pct"/>
                  <w:tcBorders>
                    <w:tl2br w:val="nil"/>
                    <w:tr2bl w:val="nil"/>
                  </w:tcBorders>
                  <w:shd w:val="clear"/>
                  <w:tcMar>
                    <w:top w:w="15" w:type="dxa"/>
                    <w:left w:w="15" w:type="dxa"/>
                    <w:right w:w="15" w:type="dxa"/>
                  </w:tcMar>
                  <w:vAlign w:val="center"/>
                </w:tcPr>
                <w:p w14:paraId="7765F89A">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448" w:type="pct"/>
                  <w:tcBorders>
                    <w:tl2br w:val="nil"/>
                    <w:tr2bl w:val="nil"/>
                  </w:tcBorders>
                  <w:shd w:val="clear"/>
                  <w:tcMar>
                    <w:top w:w="15" w:type="dxa"/>
                    <w:left w:w="15" w:type="dxa"/>
                    <w:right w:w="15" w:type="dxa"/>
                  </w:tcMar>
                  <w:vAlign w:val="center"/>
                </w:tcPr>
                <w:p w14:paraId="4535BE0B">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39" w:type="pct"/>
                  <w:tcBorders>
                    <w:tl2br w:val="nil"/>
                    <w:tr2bl w:val="nil"/>
                  </w:tcBorders>
                  <w:shd w:val="clear"/>
                  <w:tcMar>
                    <w:top w:w="15" w:type="dxa"/>
                    <w:left w:w="15" w:type="dxa"/>
                    <w:right w:w="15" w:type="dxa"/>
                  </w:tcMar>
                  <w:vAlign w:val="center"/>
                </w:tcPr>
                <w:p w14:paraId="35D1F7D1">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50" w:type="pct"/>
                  <w:tcBorders>
                    <w:tl2br w:val="nil"/>
                    <w:tr2bl w:val="nil"/>
                  </w:tcBorders>
                  <w:shd w:val="clear"/>
                  <w:tcMar>
                    <w:top w:w="15" w:type="dxa"/>
                    <w:left w:w="15" w:type="dxa"/>
                    <w:right w:w="15" w:type="dxa"/>
                  </w:tcMar>
                  <w:vAlign w:val="center"/>
                </w:tcPr>
                <w:p w14:paraId="2FE4F9C9">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516" w:type="pct"/>
                  <w:tcBorders>
                    <w:tl2br w:val="nil"/>
                    <w:tr2bl w:val="nil"/>
                  </w:tcBorders>
                  <w:shd w:val="clear"/>
                  <w:tcMar>
                    <w:top w:w="15" w:type="dxa"/>
                    <w:left w:w="15" w:type="dxa"/>
                    <w:right w:w="15" w:type="dxa"/>
                  </w:tcMar>
                  <w:vAlign w:val="center"/>
                </w:tcPr>
                <w:p w14:paraId="355F8CE5">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68" w:type="pct"/>
                  <w:tcBorders>
                    <w:tl2br w:val="nil"/>
                    <w:tr2bl w:val="nil"/>
                  </w:tcBorders>
                  <w:shd w:val="clear"/>
                  <w:tcMar>
                    <w:top w:w="15" w:type="dxa"/>
                    <w:left w:w="15" w:type="dxa"/>
                    <w:right w:w="15" w:type="dxa"/>
                  </w:tcMar>
                  <w:vAlign w:val="center"/>
                </w:tcPr>
                <w:p w14:paraId="6EFE15BB">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63" w:type="pct"/>
                  <w:tcBorders>
                    <w:tl2br w:val="nil"/>
                    <w:tr2bl w:val="nil"/>
                  </w:tcBorders>
                  <w:shd w:val="clear"/>
                  <w:tcMar>
                    <w:top w:w="15" w:type="dxa"/>
                    <w:left w:w="15" w:type="dxa"/>
                    <w:right w:w="15" w:type="dxa"/>
                  </w:tcMar>
                  <w:vAlign w:val="center"/>
                </w:tcPr>
                <w:p w14:paraId="518DB7C2">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1300</w:t>
                  </w:r>
                </w:p>
              </w:tc>
            </w:tr>
            <w:tr w14:paraId="7F7AF8D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736FDF12">
                  <w:pPr>
                    <w:jc w:val="center"/>
                    <w:rPr>
                      <w:sz w:val="21"/>
                      <w:szCs w:val="21"/>
                    </w:rPr>
                  </w:pPr>
                </w:p>
              </w:tc>
              <w:tc>
                <w:tcPr>
                  <w:tcW w:w="607" w:type="pct"/>
                  <w:tcBorders>
                    <w:tl2br w:val="nil"/>
                    <w:tr2bl w:val="nil"/>
                  </w:tcBorders>
                  <w:shd w:val="clear" w:color="auto" w:fill="auto"/>
                  <w:tcMar>
                    <w:top w:w="15" w:type="dxa"/>
                    <w:left w:w="15" w:type="dxa"/>
                    <w:right w:w="15" w:type="dxa"/>
                  </w:tcMar>
                  <w:vAlign w:val="center"/>
                </w:tcPr>
                <w:p w14:paraId="51B48C48">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排放量（</w:t>
                  </w:r>
                  <w:r>
                    <w:rPr>
                      <w:color w:val="000000" w:themeColor="text1"/>
                      <w:kern w:val="0"/>
                      <w:sz w:val="21"/>
                      <w:szCs w:val="21"/>
                      <w:lang w:bidi="ar"/>
                      <w14:textFill>
                        <w14:solidFill>
                          <w14:schemeClr w14:val="tx1"/>
                        </w14:solidFill>
                      </w14:textFill>
                    </w:rPr>
                    <w:t>m</w:t>
                  </w:r>
                  <w:r>
                    <w:rPr>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/a</w:t>
                  </w:r>
                  <w:r>
                    <w:rPr>
                      <w:rFonts w:hint="eastAsia"/>
                      <w:color w:val="000000" w:themeColor="text1"/>
                      <w:kern w:val="0"/>
                      <w:sz w:val="21"/>
                      <w:szCs w:val="21"/>
                      <w:lang w:bidi="ar"/>
                      <w14:textFill>
                        <w14:solidFill>
                          <w14:schemeClr w14:val="tx1"/>
                        </w14:solidFill>
                      </w14:textFill>
                    </w:rPr>
                    <w:t>）</w:t>
                  </w:r>
                </w:p>
              </w:tc>
              <w:tc>
                <w:tcPr>
                  <w:tcW w:w="409" w:type="pct"/>
                  <w:tcBorders>
                    <w:tl2br w:val="nil"/>
                    <w:tr2bl w:val="nil"/>
                  </w:tcBorders>
                  <w:shd w:val="clear" w:color="auto" w:fill="auto"/>
                  <w:tcMar>
                    <w:top w:w="15" w:type="dxa"/>
                    <w:left w:w="15" w:type="dxa"/>
                    <w:right w:w="15" w:type="dxa"/>
                  </w:tcMar>
                  <w:vAlign w:val="center"/>
                </w:tcPr>
                <w:p w14:paraId="34C53D03">
                  <w:pPr>
                    <w:widowControl/>
                    <w:jc w:val="center"/>
                    <w:textAlignment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76" w:type="pct"/>
                  <w:tcBorders>
                    <w:tl2br w:val="nil"/>
                    <w:tr2bl w:val="nil"/>
                  </w:tcBorders>
                  <w:shd w:val="clear" w:color="auto" w:fill="auto"/>
                  <w:tcMar>
                    <w:top w:w="15" w:type="dxa"/>
                    <w:left w:w="15" w:type="dxa"/>
                    <w:right w:w="15" w:type="dxa"/>
                  </w:tcMar>
                  <w:vAlign w:val="center"/>
                </w:tcPr>
                <w:p w14:paraId="5BBC9AC9">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376" w:type="pct"/>
                  <w:tcBorders>
                    <w:tl2br w:val="nil"/>
                    <w:tr2bl w:val="nil"/>
                  </w:tcBorders>
                  <w:shd w:val="clear" w:color="auto" w:fill="auto"/>
                  <w:tcMar>
                    <w:top w:w="15" w:type="dxa"/>
                    <w:left w:w="15" w:type="dxa"/>
                    <w:right w:w="15" w:type="dxa"/>
                  </w:tcMar>
                  <w:vAlign w:val="center"/>
                </w:tcPr>
                <w:p w14:paraId="2BEC27CF">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70" w:type="pct"/>
                  <w:tcBorders>
                    <w:tl2br w:val="nil"/>
                    <w:tr2bl w:val="nil"/>
                  </w:tcBorders>
                  <w:shd w:val="clear" w:color="auto" w:fill="auto"/>
                  <w:tcMar>
                    <w:top w:w="15" w:type="dxa"/>
                    <w:left w:w="15" w:type="dxa"/>
                    <w:right w:w="15" w:type="dxa"/>
                  </w:tcMar>
                  <w:vAlign w:val="center"/>
                </w:tcPr>
                <w:p w14:paraId="43BC1314">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448" w:type="pct"/>
                  <w:tcBorders>
                    <w:tl2br w:val="nil"/>
                    <w:tr2bl w:val="nil"/>
                  </w:tcBorders>
                  <w:shd w:val="clear" w:color="auto" w:fill="auto"/>
                  <w:tcMar>
                    <w:top w:w="15" w:type="dxa"/>
                    <w:left w:w="15" w:type="dxa"/>
                    <w:right w:w="15" w:type="dxa"/>
                  </w:tcMar>
                  <w:vAlign w:val="center"/>
                </w:tcPr>
                <w:p w14:paraId="1BD91B17">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39" w:type="pct"/>
                  <w:tcBorders>
                    <w:tl2br w:val="nil"/>
                    <w:tr2bl w:val="nil"/>
                  </w:tcBorders>
                  <w:shd w:val="clear" w:color="auto" w:fill="auto"/>
                  <w:tcMar>
                    <w:top w:w="15" w:type="dxa"/>
                    <w:left w:w="15" w:type="dxa"/>
                    <w:right w:w="15" w:type="dxa"/>
                  </w:tcMar>
                  <w:vAlign w:val="center"/>
                </w:tcPr>
                <w:p w14:paraId="2CC45CAB">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50" w:type="pct"/>
                  <w:tcBorders>
                    <w:tl2br w:val="nil"/>
                    <w:tr2bl w:val="nil"/>
                  </w:tcBorders>
                  <w:shd w:val="clear" w:color="auto" w:fill="auto"/>
                  <w:tcMar>
                    <w:top w:w="15" w:type="dxa"/>
                    <w:left w:w="15" w:type="dxa"/>
                    <w:right w:w="15" w:type="dxa"/>
                  </w:tcMar>
                  <w:vAlign w:val="center"/>
                </w:tcPr>
                <w:p w14:paraId="4BD15F4D">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516" w:type="pct"/>
                  <w:tcBorders>
                    <w:tl2br w:val="nil"/>
                    <w:tr2bl w:val="nil"/>
                  </w:tcBorders>
                  <w:shd w:val="clear" w:color="auto" w:fill="auto"/>
                  <w:tcMar>
                    <w:top w:w="15" w:type="dxa"/>
                    <w:left w:w="15" w:type="dxa"/>
                    <w:right w:w="15" w:type="dxa"/>
                  </w:tcMar>
                  <w:vAlign w:val="center"/>
                </w:tcPr>
                <w:p w14:paraId="1F11F65D">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68" w:type="pct"/>
                  <w:tcBorders>
                    <w:tl2br w:val="nil"/>
                    <w:tr2bl w:val="nil"/>
                  </w:tcBorders>
                  <w:shd w:val="clear" w:color="auto" w:fill="auto"/>
                  <w:tcMar>
                    <w:top w:w="15" w:type="dxa"/>
                    <w:left w:w="15" w:type="dxa"/>
                    <w:right w:w="15" w:type="dxa"/>
                  </w:tcMar>
                  <w:vAlign w:val="center"/>
                </w:tcPr>
                <w:p w14:paraId="3FB09E98">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kern w:val="0"/>
                      <w:sz w:val="21"/>
                      <w:szCs w:val="21"/>
                      <w:lang w:bidi="ar"/>
                    </w:rPr>
                    <w:t>/</w:t>
                  </w:r>
                </w:p>
              </w:tc>
              <w:tc>
                <w:tcPr>
                  <w:tcW w:w="363" w:type="pct"/>
                  <w:tcBorders>
                    <w:tl2br w:val="nil"/>
                    <w:tr2bl w:val="nil"/>
                  </w:tcBorders>
                  <w:shd w:val="clear" w:color="auto" w:fill="auto"/>
                  <w:tcMar>
                    <w:top w:w="15" w:type="dxa"/>
                    <w:left w:w="15" w:type="dxa"/>
                    <w:right w:w="15" w:type="dxa"/>
                  </w:tcMar>
                  <w:vAlign w:val="center"/>
                </w:tcPr>
                <w:p w14:paraId="64F31897">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kern w:val="0"/>
                      <w:sz w:val="21"/>
                      <w:szCs w:val="21"/>
                      <w:lang w:val="en-US" w:eastAsia="zh-CN" w:bidi="ar"/>
                      <w14:textFill>
                        <w14:solidFill>
                          <w14:schemeClr w14:val="tx1"/>
                        </w14:solidFill>
                      </w14:textFill>
                    </w:rPr>
                    <w:t>0.0045</w:t>
                  </w:r>
                </w:p>
              </w:tc>
            </w:tr>
            <w:tr w14:paraId="6BC172F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restart"/>
                  <w:tcBorders>
                    <w:tl2br w:val="nil"/>
                    <w:tr2bl w:val="nil"/>
                  </w:tcBorders>
                  <w:tcMar>
                    <w:top w:w="15" w:type="dxa"/>
                    <w:left w:w="15" w:type="dxa"/>
                    <w:right w:w="15" w:type="dxa"/>
                  </w:tcMar>
                  <w:vAlign w:val="center"/>
                </w:tcPr>
                <w:p w14:paraId="60CE6838">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综合废水（827.33m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/a）</w:t>
                  </w:r>
                </w:p>
              </w:tc>
              <w:tc>
                <w:tcPr>
                  <w:tcW w:w="607" w:type="pct"/>
                  <w:tcBorders>
                    <w:tl2br w:val="nil"/>
                    <w:tr2bl w:val="nil"/>
                  </w:tcBorders>
                  <w:shd w:val="clear"/>
                  <w:tcMar>
                    <w:top w:w="15" w:type="dxa"/>
                    <w:left w:w="15" w:type="dxa"/>
                    <w:right w:w="15" w:type="dxa"/>
                  </w:tcMar>
                  <w:vAlign w:val="center"/>
                </w:tcPr>
                <w:p w14:paraId="5F5935C5">
                  <w:pPr>
                    <w:widowControl/>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排放浓度</w:t>
                  </w:r>
                  <w:r>
                    <w:rPr>
                      <w:color w:val="000000" w:themeColor="text1"/>
                      <w:kern w:val="0"/>
                      <w:sz w:val="21"/>
                      <w:szCs w:val="21"/>
                      <w:lang w:bidi="ar"/>
                      <w14:textFill>
                        <w14:solidFill>
                          <w14:schemeClr w14:val="tx1"/>
                        </w14:solidFill>
                      </w14:textFill>
                    </w:rPr>
                    <w:t>（mg/L）</w:t>
                  </w:r>
                </w:p>
              </w:tc>
              <w:tc>
                <w:tcPr>
                  <w:tcW w:w="409" w:type="pct"/>
                  <w:tcBorders>
                    <w:tl2br w:val="nil"/>
                    <w:tr2bl w:val="nil"/>
                  </w:tcBorders>
                  <w:shd w:val="clear"/>
                  <w:tcMar>
                    <w:top w:w="15" w:type="dxa"/>
                    <w:left w:w="15" w:type="dxa"/>
                    <w:right w:w="15" w:type="dxa"/>
                  </w:tcMar>
                  <w:vAlign w:val="center"/>
                </w:tcPr>
                <w:p w14:paraId="35973509">
                  <w:pPr>
                    <w:widowControl/>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6-9</w:t>
                  </w:r>
                </w:p>
              </w:tc>
              <w:tc>
                <w:tcPr>
                  <w:tcW w:w="376" w:type="pct"/>
                  <w:tcBorders>
                    <w:tl2br w:val="nil"/>
                    <w:tr2bl w:val="nil"/>
                  </w:tcBorders>
                  <w:shd w:val="clear" w:color="auto" w:fill="auto"/>
                  <w:tcMar>
                    <w:top w:w="15" w:type="dxa"/>
                    <w:left w:w="15" w:type="dxa"/>
                    <w:right w:w="15" w:type="dxa"/>
                  </w:tcMar>
                  <w:vAlign w:val="center"/>
                </w:tcPr>
                <w:p w14:paraId="68927B7A">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246.66</w:t>
                  </w:r>
                </w:p>
              </w:tc>
              <w:tc>
                <w:tcPr>
                  <w:tcW w:w="376" w:type="pct"/>
                  <w:tcBorders>
                    <w:tl2br w:val="nil"/>
                    <w:tr2bl w:val="nil"/>
                  </w:tcBorders>
                  <w:shd w:val="clear" w:color="auto" w:fill="auto"/>
                  <w:tcMar>
                    <w:top w:w="15" w:type="dxa"/>
                    <w:left w:w="15" w:type="dxa"/>
                    <w:right w:w="15" w:type="dxa"/>
                  </w:tcMar>
                  <w:vAlign w:val="center"/>
                </w:tcPr>
                <w:p w14:paraId="71A6114D">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80.01</w:t>
                  </w:r>
                </w:p>
              </w:tc>
              <w:tc>
                <w:tcPr>
                  <w:tcW w:w="370" w:type="pct"/>
                  <w:tcBorders>
                    <w:tl2br w:val="nil"/>
                    <w:tr2bl w:val="nil"/>
                  </w:tcBorders>
                  <w:shd w:val="clear" w:color="auto" w:fill="auto"/>
                  <w:tcMar>
                    <w:top w:w="15" w:type="dxa"/>
                    <w:left w:w="15" w:type="dxa"/>
                    <w:right w:w="15" w:type="dxa"/>
                  </w:tcMar>
                  <w:vAlign w:val="center"/>
                </w:tcPr>
                <w:p w14:paraId="032883C4">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68.44</w:t>
                  </w:r>
                </w:p>
              </w:tc>
              <w:tc>
                <w:tcPr>
                  <w:tcW w:w="448" w:type="pct"/>
                  <w:tcBorders>
                    <w:tl2br w:val="nil"/>
                    <w:tr2bl w:val="nil"/>
                  </w:tcBorders>
                  <w:shd w:val="clear"/>
                  <w:tcMar>
                    <w:top w:w="15" w:type="dxa"/>
                    <w:left w:w="15" w:type="dxa"/>
                    <w:right w:w="15" w:type="dxa"/>
                  </w:tcMar>
                  <w:vAlign w:val="center"/>
                </w:tcPr>
                <w:p w14:paraId="5FCA3C32">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38.37</w:t>
                  </w:r>
                </w:p>
              </w:tc>
              <w:tc>
                <w:tcPr>
                  <w:tcW w:w="339" w:type="pct"/>
                  <w:tcBorders>
                    <w:tl2br w:val="nil"/>
                    <w:tr2bl w:val="nil"/>
                  </w:tcBorders>
                  <w:shd w:val="clear" w:color="auto" w:fill="auto"/>
                  <w:tcMar>
                    <w:top w:w="15" w:type="dxa"/>
                    <w:left w:w="15" w:type="dxa"/>
                    <w:right w:w="15" w:type="dxa"/>
                  </w:tcMar>
                  <w:vAlign w:val="center"/>
                </w:tcPr>
                <w:p w14:paraId="4060C1B1">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7.27</w:t>
                  </w:r>
                </w:p>
              </w:tc>
              <w:tc>
                <w:tcPr>
                  <w:tcW w:w="350" w:type="pct"/>
                  <w:tcBorders>
                    <w:tl2br w:val="nil"/>
                    <w:tr2bl w:val="nil"/>
                  </w:tcBorders>
                  <w:shd w:val="clear" w:color="auto" w:fill="auto"/>
                  <w:tcMar>
                    <w:top w:w="15" w:type="dxa"/>
                    <w:left w:w="15" w:type="dxa"/>
                    <w:right w:w="15" w:type="dxa"/>
                  </w:tcMar>
                  <w:vAlign w:val="center"/>
                </w:tcPr>
                <w:p w14:paraId="4E0ED8BB">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52.90</w:t>
                  </w:r>
                </w:p>
              </w:tc>
              <w:tc>
                <w:tcPr>
                  <w:tcW w:w="516" w:type="pct"/>
                  <w:tcBorders>
                    <w:tl2br w:val="nil"/>
                    <w:tr2bl w:val="nil"/>
                  </w:tcBorders>
                  <w:shd w:val="clear"/>
                  <w:tcMar>
                    <w:top w:w="15" w:type="dxa"/>
                    <w:left w:w="15" w:type="dxa"/>
                    <w:right w:w="15" w:type="dxa"/>
                  </w:tcMar>
                  <w:vAlign w:val="center"/>
                </w:tcPr>
                <w:p w14:paraId="05D82163">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0.28</w:t>
                  </w:r>
                </w:p>
              </w:tc>
              <w:tc>
                <w:tcPr>
                  <w:tcW w:w="368" w:type="pct"/>
                  <w:tcBorders>
                    <w:tl2br w:val="nil"/>
                    <w:tr2bl w:val="nil"/>
                  </w:tcBorders>
                  <w:shd w:val="clear"/>
                  <w:tcMar>
                    <w:top w:w="15" w:type="dxa"/>
                    <w:left w:w="15" w:type="dxa"/>
                    <w:right w:w="15" w:type="dxa"/>
                  </w:tcMar>
                  <w:vAlign w:val="center"/>
                </w:tcPr>
                <w:p w14:paraId="7C9E7DF0">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0.090</w:t>
                  </w:r>
                </w:p>
              </w:tc>
              <w:tc>
                <w:tcPr>
                  <w:tcW w:w="363" w:type="pct"/>
                  <w:tcBorders>
                    <w:tl2br w:val="nil"/>
                    <w:tr2bl w:val="nil"/>
                  </w:tcBorders>
                  <w:shd w:val="clear" w:color="auto" w:fill="auto"/>
                  <w:tcMar>
                    <w:top w:w="15" w:type="dxa"/>
                    <w:left w:w="15" w:type="dxa"/>
                    <w:right w:w="15" w:type="dxa"/>
                  </w:tcMar>
                  <w:vAlign w:val="center"/>
                </w:tcPr>
                <w:p w14:paraId="423DDEDF">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5.39</w:t>
                  </w:r>
                </w:p>
              </w:tc>
            </w:tr>
            <w:tr w14:paraId="159F7A9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470" w:type="pct"/>
                  <w:vMerge w:val="continue"/>
                  <w:tcBorders>
                    <w:tl2br w:val="nil"/>
                    <w:tr2bl w:val="nil"/>
                  </w:tcBorders>
                  <w:tcMar>
                    <w:top w:w="15" w:type="dxa"/>
                    <w:left w:w="15" w:type="dxa"/>
                    <w:right w:w="15" w:type="dxa"/>
                  </w:tcMar>
                  <w:vAlign w:val="center"/>
                </w:tcPr>
                <w:p w14:paraId="3A7BEF08">
                  <w:pPr>
                    <w:jc w:val="center"/>
                    <w:rPr>
                      <w:color w:val="000000" w:themeColor="text1"/>
                      <w:sz w:val="21"/>
                      <w:szCs w:val="21"/>
                      <w14:textFill>
                        <w14:solidFill>
                          <w14:schemeClr w14:val="tx1"/>
                        </w14:solidFill>
                      </w14:textFill>
                    </w:rPr>
                  </w:pPr>
                </w:p>
              </w:tc>
              <w:tc>
                <w:tcPr>
                  <w:tcW w:w="607" w:type="pct"/>
                  <w:tcBorders>
                    <w:tl2br w:val="nil"/>
                    <w:tr2bl w:val="nil"/>
                  </w:tcBorders>
                  <w:shd w:val="clear"/>
                  <w:tcMar>
                    <w:top w:w="15" w:type="dxa"/>
                    <w:left w:w="15" w:type="dxa"/>
                    <w:right w:w="15" w:type="dxa"/>
                  </w:tcMar>
                  <w:vAlign w:val="center"/>
                </w:tcPr>
                <w:p w14:paraId="0519F8C1">
                  <w:pPr>
                    <w:widowControl/>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排放量（</w:t>
                  </w:r>
                  <w:r>
                    <w:rPr>
                      <w:color w:val="000000" w:themeColor="text1"/>
                      <w:kern w:val="0"/>
                      <w:sz w:val="21"/>
                      <w:szCs w:val="21"/>
                      <w:lang w:bidi="ar"/>
                      <w14:textFill>
                        <w14:solidFill>
                          <w14:schemeClr w14:val="tx1"/>
                        </w14:solidFill>
                      </w14:textFill>
                    </w:rPr>
                    <w:t>m</w:t>
                  </w:r>
                  <w:r>
                    <w:rPr>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/a</w:t>
                  </w:r>
                  <w:r>
                    <w:rPr>
                      <w:rFonts w:hint="eastAsia"/>
                      <w:color w:val="000000" w:themeColor="text1"/>
                      <w:kern w:val="0"/>
                      <w:sz w:val="21"/>
                      <w:szCs w:val="21"/>
                      <w:lang w:bidi="ar"/>
                      <w14:textFill>
                        <w14:solidFill>
                          <w14:schemeClr w14:val="tx1"/>
                        </w14:solidFill>
                      </w14:textFill>
                    </w:rPr>
                    <w:t>）</w:t>
                  </w:r>
                </w:p>
              </w:tc>
              <w:tc>
                <w:tcPr>
                  <w:tcW w:w="409" w:type="pct"/>
                  <w:tcBorders>
                    <w:tl2br w:val="nil"/>
                    <w:tr2bl w:val="nil"/>
                  </w:tcBorders>
                  <w:shd w:val="clear"/>
                  <w:tcMar>
                    <w:top w:w="15" w:type="dxa"/>
                    <w:left w:w="15" w:type="dxa"/>
                    <w:right w:w="15" w:type="dxa"/>
                  </w:tcMar>
                  <w:vAlign w:val="center"/>
                </w:tcPr>
                <w:p w14:paraId="1C318860">
                  <w:pPr>
                    <w:widowControl/>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376" w:type="pct"/>
                  <w:tcBorders>
                    <w:tl2br w:val="nil"/>
                    <w:tr2bl w:val="nil"/>
                  </w:tcBorders>
                  <w:shd w:val="clear" w:color="auto" w:fill="auto"/>
                  <w:tcMar>
                    <w:top w:w="15" w:type="dxa"/>
                    <w:left w:w="15" w:type="dxa"/>
                    <w:right w:w="15" w:type="dxa"/>
                  </w:tcMar>
                  <w:vAlign w:val="center"/>
                </w:tcPr>
                <w:p w14:paraId="72FB69CA">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0.20</w:t>
                  </w:r>
                </w:p>
              </w:tc>
              <w:tc>
                <w:tcPr>
                  <w:tcW w:w="376" w:type="pct"/>
                  <w:tcBorders>
                    <w:tl2br w:val="nil"/>
                    <w:tr2bl w:val="nil"/>
                  </w:tcBorders>
                  <w:shd w:val="clear" w:color="auto" w:fill="auto"/>
                  <w:tcMar>
                    <w:top w:w="15" w:type="dxa"/>
                    <w:left w:w="15" w:type="dxa"/>
                    <w:right w:w="15" w:type="dxa"/>
                  </w:tcMar>
                  <w:vAlign w:val="center"/>
                </w:tcPr>
                <w:p w14:paraId="0CDDF234">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0.066</w:t>
                  </w:r>
                </w:p>
              </w:tc>
              <w:tc>
                <w:tcPr>
                  <w:tcW w:w="370" w:type="pct"/>
                  <w:tcBorders>
                    <w:tl2br w:val="nil"/>
                    <w:tr2bl w:val="nil"/>
                  </w:tcBorders>
                  <w:shd w:val="clear" w:color="auto" w:fill="auto"/>
                  <w:tcMar>
                    <w:top w:w="15" w:type="dxa"/>
                    <w:left w:w="15" w:type="dxa"/>
                    <w:right w:w="15" w:type="dxa"/>
                  </w:tcMar>
                  <w:vAlign w:val="center"/>
                </w:tcPr>
                <w:p w14:paraId="7C4CF8BC">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0.057</w:t>
                  </w:r>
                </w:p>
              </w:tc>
              <w:tc>
                <w:tcPr>
                  <w:tcW w:w="448" w:type="pct"/>
                  <w:tcBorders>
                    <w:tl2br w:val="nil"/>
                    <w:tr2bl w:val="nil"/>
                  </w:tcBorders>
                  <w:shd w:val="clear"/>
                  <w:tcMar>
                    <w:top w:w="15" w:type="dxa"/>
                    <w:left w:w="15" w:type="dxa"/>
                    <w:right w:w="15" w:type="dxa"/>
                  </w:tcMar>
                  <w:vAlign w:val="center"/>
                </w:tcPr>
                <w:p w14:paraId="19EE993E">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0.032</w:t>
                  </w:r>
                </w:p>
              </w:tc>
              <w:tc>
                <w:tcPr>
                  <w:tcW w:w="339" w:type="pct"/>
                  <w:tcBorders>
                    <w:tl2br w:val="nil"/>
                    <w:tr2bl w:val="nil"/>
                  </w:tcBorders>
                  <w:shd w:val="clear" w:color="auto" w:fill="auto"/>
                  <w:tcMar>
                    <w:top w:w="15" w:type="dxa"/>
                    <w:left w:w="15" w:type="dxa"/>
                    <w:right w:w="15" w:type="dxa"/>
                  </w:tcMar>
                  <w:vAlign w:val="center"/>
                </w:tcPr>
                <w:p w14:paraId="50BC2C6C">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0.0060</w:t>
                  </w:r>
                </w:p>
              </w:tc>
              <w:tc>
                <w:tcPr>
                  <w:tcW w:w="350" w:type="pct"/>
                  <w:tcBorders>
                    <w:tl2br w:val="nil"/>
                    <w:tr2bl w:val="nil"/>
                  </w:tcBorders>
                  <w:shd w:val="clear" w:color="auto" w:fill="auto"/>
                  <w:tcMar>
                    <w:top w:w="15" w:type="dxa"/>
                    <w:left w:w="15" w:type="dxa"/>
                    <w:right w:w="15" w:type="dxa"/>
                  </w:tcMar>
                  <w:vAlign w:val="center"/>
                </w:tcPr>
                <w:p w14:paraId="3CFD558F">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0.044</w:t>
                  </w:r>
                </w:p>
              </w:tc>
              <w:tc>
                <w:tcPr>
                  <w:tcW w:w="516" w:type="pct"/>
                  <w:tcBorders>
                    <w:tl2br w:val="nil"/>
                    <w:tr2bl w:val="nil"/>
                  </w:tcBorders>
                  <w:shd w:val="clear"/>
                  <w:tcMar>
                    <w:top w:w="15" w:type="dxa"/>
                    <w:left w:w="15" w:type="dxa"/>
                    <w:right w:w="15" w:type="dxa"/>
                  </w:tcMar>
                  <w:vAlign w:val="center"/>
                </w:tcPr>
                <w:p w14:paraId="46060C30">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0.00023</w:t>
                  </w:r>
                </w:p>
              </w:tc>
              <w:tc>
                <w:tcPr>
                  <w:tcW w:w="368" w:type="pct"/>
                  <w:tcBorders>
                    <w:tl2br w:val="nil"/>
                    <w:tr2bl w:val="nil"/>
                  </w:tcBorders>
                  <w:shd w:val="clear"/>
                  <w:tcMar>
                    <w:top w:w="15" w:type="dxa"/>
                    <w:left w:w="15" w:type="dxa"/>
                    <w:right w:w="15" w:type="dxa"/>
                  </w:tcMar>
                  <w:vAlign w:val="center"/>
                </w:tcPr>
                <w:p w14:paraId="1F1CFC26">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0.000074</w:t>
                  </w:r>
                </w:p>
              </w:tc>
              <w:tc>
                <w:tcPr>
                  <w:tcW w:w="363" w:type="pct"/>
                  <w:tcBorders>
                    <w:tl2br w:val="nil"/>
                    <w:tr2bl w:val="nil"/>
                  </w:tcBorders>
                  <w:shd w:val="clear" w:color="auto" w:fill="auto"/>
                  <w:tcMar>
                    <w:top w:w="15" w:type="dxa"/>
                    <w:left w:w="15" w:type="dxa"/>
                    <w:right w:w="15" w:type="dxa"/>
                  </w:tcMar>
                  <w:vAlign w:val="center"/>
                </w:tcPr>
                <w:p w14:paraId="5C21791E">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0.0045</w:t>
                  </w:r>
                </w:p>
              </w:tc>
            </w:tr>
            <w:tr w14:paraId="43FFF94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1078" w:type="pct"/>
                  <w:gridSpan w:val="2"/>
                  <w:tcBorders>
                    <w:tl2br w:val="nil"/>
                    <w:tr2bl w:val="nil"/>
                  </w:tcBorders>
                  <w:tcMar>
                    <w:top w:w="15" w:type="dxa"/>
                    <w:left w:w="15" w:type="dxa"/>
                    <w:right w:w="15" w:type="dxa"/>
                  </w:tcMar>
                  <w:vAlign w:val="center"/>
                </w:tcPr>
                <w:p w14:paraId="52C397B0">
                  <w:pPr>
                    <w:widowControl/>
                    <w:jc w:val="center"/>
                    <w:rPr>
                      <w:bCs/>
                      <w:color w:val="000000" w:themeColor="text1"/>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排放标准（</w:t>
                  </w:r>
                  <w:r>
                    <w:rPr>
                      <w:color w:val="000000" w:themeColor="text1"/>
                      <w:kern w:val="0"/>
                      <w:sz w:val="21"/>
                      <w:szCs w:val="21"/>
                      <w:lang w:bidi="ar"/>
                      <w14:textFill>
                        <w14:solidFill>
                          <w14:schemeClr w14:val="tx1"/>
                        </w14:solidFill>
                      </w14:textFill>
                    </w:rPr>
                    <w:t>《污水综合排放标准》（GB</w:t>
                  </w:r>
                  <w:r>
                    <w:rPr>
                      <w:rFonts w:hint="eastAsia"/>
                      <w:color w:val="000000" w:themeColor="text1"/>
                      <w:kern w:val="0"/>
                      <w:sz w:val="21"/>
                      <w:szCs w:val="21"/>
                      <w:lang w:bidi="ar"/>
                      <w14:textFill>
                        <w14:solidFill>
                          <w14:schemeClr w14:val="tx1"/>
                        </w14:solidFill>
                      </w14:textFill>
                    </w:rPr>
                    <w:t xml:space="preserve"> </w:t>
                  </w:r>
                  <w:r>
                    <w:rPr>
                      <w:color w:val="000000" w:themeColor="text1"/>
                      <w:kern w:val="0"/>
                      <w:sz w:val="21"/>
                      <w:szCs w:val="21"/>
                      <w:lang w:bidi="ar"/>
                      <w14:textFill>
                        <w14:solidFill>
                          <w14:schemeClr w14:val="tx1"/>
                        </w14:solidFill>
                      </w14:textFill>
                    </w:rPr>
                    <w:t>8978-1996）</w:t>
                  </w:r>
                  <w:r>
                    <w:rPr>
                      <w:rFonts w:hint="eastAsia"/>
                      <w:color w:val="000000" w:themeColor="text1"/>
                      <w:kern w:val="0"/>
                      <w:sz w:val="21"/>
                      <w:szCs w:val="21"/>
                      <w:lang w:bidi="ar"/>
                      <w14:textFill>
                        <w14:solidFill>
                          <w14:schemeClr w14:val="tx1"/>
                        </w14:solidFill>
                      </w14:textFill>
                    </w:rPr>
                    <w:t>表4三级标准和《污水排入城镇下水道水质标准》（GB/T 31962-2015）A级标准）</w:t>
                  </w:r>
                </w:p>
              </w:tc>
              <w:tc>
                <w:tcPr>
                  <w:tcW w:w="409" w:type="pct"/>
                  <w:tcBorders>
                    <w:tl2br w:val="nil"/>
                    <w:tr2bl w:val="nil"/>
                  </w:tcBorders>
                  <w:tcMar>
                    <w:top w:w="15" w:type="dxa"/>
                    <w:left w:w="15" w:type="dxa"/>
                    <w:right w:w="15" w:type="dxa"/>
                  </w:tcMar>
                  <w:vAlign w:val="center"/>
                </w:tcPr>
                <w:p w14:paraId="6AB7E048">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6-9（无量纲）</w:t>
                  </w:r>
                </w:p>
              </w:tc>
              <w:tc>
                <w:tcPr>
                  <w:tcW w:w="376" w:type="pct"/>
                  <w:tcBorders>
                    <w:tl2br w:val="nil"/>
                    <w:tr2bl w:val="nil"/>
                  </w:tcBorders>
                  <w:tcMar>
                    <w:top w:w="15" w:type="dxa"/>
                    <w:left w:w="15" w:type="dxa"/>
                    <w:right w:w="15" w:type="dxa"/>
                  </w:tcMar>
                  <w:vAlign w:val="center"/>
                </w:tcPr>
                <w:p w14:paraId="4F1D569F">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500</w:t>
                  </w:r>
                </w:p>
              </w:tc>
              <w:tc>
                <w:tcPr>
                  <w:tcW w:w="376" w:type="pct"/>
                  <w:tcBorders>
                    <w:tl2br w:val="nil"/>
                    <w:tr2bl w:val="nil"/>
                  </w:tcBorders>
                  <w:tcMar>
                    <w:top w:w="15" w:type="dxa"/>
                    <w:left w:w="15" w:type="dxa"/>
                    <w:right w:w="15" w:type="dxa"/>
                  </w:tcMar>
                  <w:vAlign w:val="center"/>
                </w:tcPr>
                <w:p w14:paraId="66457037">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300</w:t>
                  </w:r>
                </w:p>
              </w:tc>
              <w:tc>
                <w:tcPr>
                  <w:tcW w:w="370" w:type="pct"/>
                  <w:tcBorders>
                    <w:tl2br w:val="nil"/>
                    <w:tr2bl w:val="nil"/>
                  </w:tcBorders>
                  <w:tcMar>
                    <w:top w:w="15" w:type="dxa"/>
                    <w:left w:w="15" w:type="dxa"/>
                    <w:right w:w="15" w:type="dxa"/>
                  </w:tcMar>
                  <w:vAlign w:val="center"/>
                </w:tcPr>
                <w:p w14:paraId="1B9AF5BD">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400</w:t>
                  </w:r>
                </w:p>
              </w:tc>
              <w:tc>
                <w:tcPr>
                  <w:tcW w:w="448" w:type="pct"/>
                  <w:tcBorders>
                    <w:tl2br w:val="nil"/>
                    <w:tr2bl w:val="nil"/>
                  </w:tcBorders>
                  <w:tcMar>
                    <w:top w:w="15" w:type="dxa"/>
                    <w:left w:w="15" w:type="dxa"/>
                    <w:right w:w="15" w:type="dxa"/>
                  </w:tcMar>
                  <w:vAlign w:val="center"/>
                </w:tcPr>
                <w:p w14:paraId="328C697C">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45</w:t>
                  </w:r>
                </w:p>
              </w:tc>
              <w:tc>
                <w:tcPr>
                  <w:tcW w:w="339" w:type="pct"/>
                  <w:tcBorders>
                    <w:tl2br w:val="nil"/>
                    <w:tr2bl w:val="nil"/>
                  </w:tcBorders>
                  <w:tcMar>
                    <w:top w:w="15" w:type="dxa"/>
                    <w:left w:w="15" w:type="dxa"/>
                    <w:right w:w="15" w:type="dxa"/>
                  </w:tcMar>
                  <w:vAlign w:val="center"/>
                </w:tcPr>
                <w:p w14:paraId="5C9D6041">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8</w:t>
                  </w:r>
                </w:p>
              </w:tc>
              <w:tc>
                <w:tcPr>
                  <w:tcW w:w="350" w:type="pct"/>
                  <w:tcBorders>
                    <w:tl2br w:val="nil"/>
                    <w:tr2bl w:val="nil"/>
                  </w:tcBorders>
                  <w:tcMar>
                    <w:top w:w="15" w:type="dxa"/>
                    <w:left w:w="15" w:type="dxa"/>
                    <w:right w:w="15" w:type="dxa"/>
                  </w:tcMar>
                  <w:vAlign w:val="center"/>
                </w:tcPr>
                <w:p w14:paraId="2EF6587B">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70</w:t>
                  </w:r>
                </w:p>
              </w:tc>
              <w:tc>
                <w:tcPr>
                  <w:tcW w:w="516" w:type="pct"/>
                  <w:tcBorders>
                    <w:tl2br w:val="nil"/>
                    <w:tr2bl w:val="nil"/>
                  </w:tcBorders>
                  <w:tcMar>
                    <w:top w:w="15" w:type="dxa"/>
                    <w:left w:w="15" w:type="dxa"/>
                    <w:right w:w="15" w:type="dxa"/>
                  </w:tcMar>
                  <w:vAlign w:val="center"/>
                </w:tcPr>
                <w:p w14:paraId="0BD8948F">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20</w:t>
                  </w:r>
                </w:p>
              </w:tc>
              <w:tc>
                <w:tcPr>
                  <w:tcW w:w="368" w:type="pct"/>
                  <w:tcBorders>
                    <w:tl2br w:val="nil"/>
                    <w:tr2bl w:val="nil"/>
                  </w:tcBorders>
                  <w:tcMar>
                    <w:top w:w="15" w:type="dxa"/>
                    <w:left w:w="15" w:type="dxa"/>
                    <w:right w:w="15" w:type="dxa"/>
                  </w:tcMar>
                  <w:vAlign w:val="center"/>
                </w:tcPr>
                <w:p w14:paraId="44845E6B">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15</w:t>
                  </w:r>
                </w:p>
              </w:tc>
              <w:tc>
                <w:tcPr>
                  <w:tcW w:w="363" w:type="pct"/>
                  <w:tcBorders>
                    <w:tl2br w:val="nil"/>
                    <w:tr2bl w:val="nil"/>
                  </w:tcBorders>
                  <w:tcMar>
                    <w:top w:w="15" w:type="dxa"/>
                    <w:left w:w="15" w:type="dxa"/>
                    <w:right w:w="15" w:type="dxa"/>
                  </w:tcMar>
                  <w:vAlign w:val="center"/>
                </w:tcPr>
                <w:p w14:paraId="49882C70">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1500</w:t>
                  </w:r>
                </w:p>
              </w:tc>
            </w:tr>
            <w:bookmarkEnd w:id="6"/>
          </w:tbl>
          <w:p w14:paraId="305385D4">
            <w:pPr>
              <w:pStyle w:val="21"/>
              <w:adjustRightInd/>
              <w:snapToGrid/>
              <w:spacing w:line="360" w:lineRule="auto"/>
              <w:ind w:firstLine="452"/>
              <w:rPr>
                <w:rFonts w:ascii="Times New Roman" w:hAnsi="Times New Roman"/>
                <w:b w:val="0"/>
                <w:bCs/>
                <w:kern w:val="0"/>
                <w:lang w:bidi="ar"/>
              </w:rPr>
            </w:pPr>
            <w:r>
              <w:rPr>
                <w:rFonts w:ascii="Times New Roman" w:hAnsi="Times New Roman"/>
                <w:b w:val="0"/>
                <w:bCs/>
                <w:kern w:val="0"/>
                <w:lang w:bidi="ar"/>
              </w:rPr>
              <w:t>（2）建设项目污染物排放信息</w:t>
            </w:r>
          </w:p>
          <w:p w14:paraId="476CB46D">
            <w:pPr>
              <w:pStyle w:val="21"/>
              <w:adjustRightInd/>
              <w:snapToGrid/>
              <w:spacing w:line="360" w:lineRule="auto"/>
              <w:ind w:firstLine="452"/>
              <w:rPr>
                <w:b w:val="0"/>
                <w:bCs/>
                <w:kern w:val="0"/>
                <w:lang w:bidi="ar"/>
              </w:rPr>
            </w:pPr>
            <w:r>
              <w:rPr>
                <w:b w:val="0"/>
                <w:bCs/>
                <w:kern w:val="0"/>
                <w:lang w:bidi="ar"/>
              </w:rPr>
              <w:t>①</w:t>
            </w:r>
            <w:r>
              <w:rPr>
                <w:rFonts w:hint="eastAsia"/>
                <w:b w:val="0"/>
                <w:bCs/>
                <w:kern w:val="0"/>
                <w:lang w:bidi="ar"/>
              </w:rPr>
              <w:t>废水类别、污染物及污染治理设施信息</w:t>
            </w:r>
          </w:p>
          <w:p w14:paraId="6F065F54">
            <w:pPr>
              <w:pStyle w:val="21"/>
              <w:jc w:val="center"/>
              <w:rPr>
                <w:rFonts w:ascii="Times New Roman" w:hAnsi="Times New Roman"/>
                <w:sz w:val="21"/>
                <w:szCs w:val="21"/>
              </w:rPr>
            </w:pPr>
            <w:r>
              <w:rPr>
                <w:rFonts w:ascii="Times New Roman" w:hAnsi="Times New Roman"/>
                <w:sz w:val="21"/>
                <w:szCs w:val="21"/>
              </w:rPr>
              <w:t>表4-10  废水类别、污染物及治理污染设施信息表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540"/>
              <w:gridCol w:w="696"/>
              <w:gridCol w:w="724"/>
              <w:gridCol w:w="496"/>
              <w:gridCol w:w="795"/>
              <w:gridCol w:w="681"/>
              <w:gridCol w:w="797"/>
              <w:gridCol w:w="708"/>
              <w:gridCol w:w="868"/>
              <w:gridCol w:w="1350"/>
            </w:tblGrid>
            <w:tr w14:paraId="14D5F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266" w:type="pct"/>
                  <w:vMerge w:val="restart"/>
                  <w:vAlign w:val="center"/>
                </w:tcPr>
                <w:p w14:paraId="276CCA93">
                  <w:pPr>
                    <w:jc w:val="center"/>
                    <w:rPr>
                      <w:sz w:val="21"/>
                      <w:szCs w:val="21"/>
                    </w:rPr>
                  </w:pPr>
                  <w:r>
                    <w:rPr>
                      <w:rFonts w:hint="eastAsia"/>
                      <w:sz w:val="21"/>
                      <w:szCs w:val="21"/>
                    </w:rPr>
                    <w:t>序号</w:t>
                  </w:r>
                </w:p>
              </w:tc>
              <w:tc>
                <w:tcPr>
                  <w:tcW w:w="333" w:type="pct"/>
                  <w:vMerge w:val="restart"/>
                  <w:vAlign w:val="center"/>
                </w:tcPr>
                <w:p w14:paraId="2CD0411A">
                  <w:pPr>
                    <w:jc w:val="center"/>
                    <w:rPr>
                      <w:sz w:val="21"/>
                      <w:szCs w:val="21"/>
                    </w:rPr>
                  </w:pPr>
                  <w:r>
                    <w:rPr>
                      <w:rFonts w:hint="eastAsia"/>
                      <w:sz w:val="21"/>
                      <w:szCs w:val="21"/>
                    </w:rPr>
                    <w:t>废水类别</w:t>
                  </w:r>
                </w:p>
              </w:tc>
              <w:tc>
                <w:tcPr>
                  <w:tcW w:w="430" w:type="pct"/>
                  <w:vMerge w:val="restart"/>
                  <w:vAlign w:val="center"/>
                </w:tcPr>
                <w:p w14:paraId="25A91B7A">
                  <w:pPr>
                    <w:jc w:val="center"/>
                    <w:rPr>
                      <w:sz w:val="21"/>
                      <w:szCs w:val="21"/>
                    </w:rPr>
                  </w:pPr>
                  <w:r>
                    <w:rPr>
                      <w:sz w:val="21"/>
                      <w:szCs w:val="21"/>
                    </w:rPr>
                    <w:t>污染物种类</w:t>
                  </w:r>
                </w:p>
              </w:tc>
              <w:tc>
                <w:tcPr>
                  <w:tcW w:w="447" w:type="pct"/>
                  <w:vMerge w:val="restart"/>
                  <w:vAlign w:val="center"/>
                </w:tcPr>
                <w:p w14:paraId="21813F19">
                  <w:pPr>
                    <w:jc w:val="center"/>
                    <w:rPr>
                      <w:sz w:val="21"/>
                      <w:szCs w:val="21"/>
                    </w:rPr>
                  </w:pPr>
                  <w:r>
                    <w:rPr>
                      <w:rFonts w:hint="eastAsia"/>
                      <w:sz w:val="21"/>
                      <w:szCs w:val="21"/>
                    </w:rPr>
                    <w:t>排放去向</w:t>
                  </w:r>
                </w:p>
              </w:tc>
              <w:tc>
                <w:tcPr>
                  <w:tcW w:w="306" w:type="pct"/>
                  <w:vMerge w:val="restart"/>
                  <w:vAlign w:val="center"/>
                </w:tcPr>
                <w:p w14:paraId="18D83400">
                  <w:pPr>
                    <w:jc w:val="center"/>
                    <w:rPr>
                      <w:sz w:val="21"/>
                      <w:szCs w:val="21"/>
                    </w:rPr>
                  </w:pPr>
                  <w:r>
                    <w:rPr>
                      <w:rFonts w:hint="eastAsia"/>
                      <w:sz w:val="21"/>
                      <w:szCs w:val="21"/>
                    </w:rPr>
                    <w:t>排放规律</w:t>
                  </w:r>
                </w:p>
              </w:tc>
              <w:tc>
                <w:tcPr>
                  <w:tcW w:w="1405" w:type="pct"/>
                  <w:gridSpan w:val="3"/>
                  <w:vAlign w:val="center"/>
                </w:tcPr>
                <w:p w14:paraId="46FBCDD1">
                  <w:pPr>
                    <w:jc w:val="center"/>
                    <w:rPr>
                      <w:sz w:val="21"/>
                      <w:szCs w:val="21"/>
                    </w:rPr>
                  </w:pPr>
                  <w:r>
                    <w:rPr>
                      <w:rFonts w:hint="eastAsia"/>
                      <w:sz w:val="21"/>
                      <w:szCs w:val="21"/>
                    </w:rPr>
                    <w:t>污染治理设施</w:t>
                  </w:r>
                </w:p>
              </w:tc>
              <w:tc>
                <w:tcPr>
                  <w:tcW w:w="438" w:type="pct"/>
                  <w:vMerge w:val="restart"/>
                  <w:vAlign w:val="center"/>
                </w:tcPr>
                <w:p w14:paraId="15070D46">
                  <w:pPr>
                    <w:jc w:val="center"/>
                    <w:rPr>
                      <w:sz w:val="21"/>
                      <w:szCs w:val="21"/>
                    </w:rPr>
                  </w:pPr>
                  <w:r>
                    <w:rPr>
                      <w:rFonts w:hint="eastAsia"/>
                      <w:sz w:val="21"/>
                      <w:szCs w:val="21"/>
                    </w:rPr>
                    <w:t>排放口编号</w:t>
                  </w:r>
                </w:p>
              </w:tc>
              <w:tc>
                <w:tcPr>
                  <w:tcW w:w="536" w:type="pct"/>
                  <w:vMerge w:val="restart"/>
                  <w:vAlign w:val="center"/>
                </w:tcPr>
                <w:p w14:paraId="15A49BBF">
                  <w:pPr>
                    <w:jc w:val="center"/>
                    <w:rPr>
                      <w:sz w:val="21"/>
                      <w:szCs w:val="21"/>
                    </w:rPr>
                  </w:pPr>
                  <w:r>
                    <w:rPr>
                      <w:rFonts w:hint="eastAsia"/>
                      <w:sz w:val="21"/>
                      <w:szCs w:val="21"/>
                    </w:rPr>
                    <w:t>排放口设置是否符合要求</w:t>
                  </w:r>
                </w:p>
              </w:tc>
              <w:tc>
                <w:tcPr>
                  <w:tcW w:w="834" w:type="pct"/>
                  <w:vMerge w:val="restart"/>
                  <w:vAlign w:val="center"/>
                </w:tcPr>
                <w:p w14:paraId="02A5B710">
                  <w:pPr>
                    <w:jc w:val="center"/>
                    <w:rPr>
                      <w:sz w:val="21"/>
                      <w:szCs w:val="21"/>
                    </w:rPr>
                  </w:pPr>
                  <w:r>
                    <w:rPr>
                      <w:rFonts w:hint="eastAsia"/>
                      <w:sz w:val="21"/>
                      <w:szCs w:val="21"/>
                    </w:rPr>
                    <w:t>排放口类型</w:t>
                  </w:r>
                </w:p>
              </w:tc>
            </w:tr>
            <w:tr w14:paraId="2FDA9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266" w:type="pct"/>
                  <w:vMerge w:val="continue"/>
                  <w:vAlign w:val="center"/>
                </w:tcPr>
                <w:p w14:paraId="79A5830D">
                  <w:pPr>
                    <w:jc w:val="center"/>
                    <w:rPr>
                      <w:sz w:val="21"/>
                      <w:szCs w:val="21"/>
                    </w:rPr>
                  </w:pPr>
                </w:p>
              </w:tc>
              <w:tc>
                <w:tcPr>
                  <w:tcW w:w="333" w:type="pct"/>
                  <w:vMerge w:val="continue"/>
                  <w:vAlign w:val="center"/>
                </w:tcPr>
                <w:p w14:paraId="1E6C722A">
                  <w:pPr>
                    <w:jc w:val="center"/>
                    <w:rPr>
                      <w:sz w:val="21"/>
                      <w:szCs w:val="21"/>
                    </w:rPr>
                  </w:pPr>
                </w:p>
              </w:tc>
              <w:tc>
                <w:tcPr>
                  <w:tcW w:w="430" w:type="pct"/>
                  <w:vMerge w:val="continue"/>
                  <w:vAlign w:val="center"/>
                </w:tcPr>
                <w:p w14:paraId="7F734CAA">
                  <w:pPr>
                    <w:jc w:val="center"/>
                    <w:rPr>
                      <w:sz w:val="21"/>
                      <w:szCs w:val="21"/>
                    </w:rPr>
                  </w:pPr>
                </w:p>
              </w:tc>
              <w:tc>
                <w:tcPr>
                  <w:tcW w:w="447" w:type="pct"/>
                  <w:vMerge w:val="continue"/>
                  <w:vAlign w:val="center"/>
                </w:tcPr>
                <w:p w14:paraId="603FFF48">
                  <w:pPr>
                    <w:jc w:val="center"/>
                    <w:rPr>
                      <w:sz w:val="21"/>
                      <w:szCs w:val="21"/>
                    </w:rPr>
                  </w:pPr>
                </w:p>
              </w:tc>
              <w:tc>
                <w:tcPr>
                  <w:tcW w:w="306" w:type="pct"/>
                  <w:vMerge w:val="continue"/>
                  <w:vAlign w:val="center"/>
                </w:tcPr>
                <w:p w14:paraId="630381BB">
                  <w:pPr>
                    <w:jc w:val="center"/>
                    <w:rPr>
                      <w:sz w:val="21"/>
                      <w:szCs w:val="21"/>
                    </w:rPr>
                  </w:pPr>
                </w:p>
              </w:tc>
              <w:tc>
                <w:tcPr>
                  <w:tcW w:w="491" w:type="pct"/>
                  <w:vAlign w:val="center"/>
                </w:tcPr>
                <w:p w14:paraId="1BE6445E">
                  <w:pPr>
                    <w:jc w:val="center"/>
                    <w:rPr>
                      <w:sz w:val="21"/>
                      <w:szCs w:val="21"/>
                    </w:rPr>
                  </w:pPr>
                  <w:r>
                    <w:rPr>
                      <w:rFonts w:hint="eastAsia"/>
                      <w:sz w:val="21"/>
                      <w:szCs w:val="21"/>
                    </w:rPr>
                    <w:t>污染治理设施编号</w:t>
                  </w:r>
                </w:p>
              </w:tc>
              <w:tc>
                <w:tcPr>
                  <w:tcW w:w="421" w:type="pct"/>
                  <w:vAlign w:val="center"/>
                </w:tcPr>
                <w:p w14:paraId="5D1B465C">
                  <w:pPr>
                    <w:jc w:val="center"/>
                    <w:rPr>
                      <w:sz w:val="21"/>
                      <w:szCs w:val="21"/>
                    </w:rPr>
                  </w:pPr>
                  <w:r>
                    <w:rPr>
                      <w:rFonts w:hint="eastAsia"/>
                      <w:sz w:val="21"/>
                      <w:szCs w:val="21"/>
                    </w:rPr>
                    <w:t>污染治理设施名称</w:t>
                  </w:r>
                </w:p>
              </w:tc>
              <w:tc>
                <w:tcPr>
                  <w:tcW w:w="491" w:type="pct"/>
                  <w:vAlign w:val="center"/>
                </w:tcPr>
                <w:p w14:paraId="7DB17120">
                  <w:pPr>
                    <w:jc w:val="center"/>
                    <w:rPr>
                      <w:sz w:val="21"/>
                      <w:szCs w:val="21"/>
                    </w:rPr>
                  </w:pPr>
                  <w:r>
                    <w:rPr>
                      <w:rFonts w:hint="eastAsia"/>
                      <w:sz w:val="21"/>
                      <w:szCs w:val="21"/>
                    </w:rPr>
                    <w:t>污染治理设施工艺</w:t>
                  </w:r>
                </w:p>
              </w:tc>
              <w:tc>
                <w:tcPr>
                  <w:tcW w:w="438" w:type="pct"/>
                  <w:vMerge w:val="continue"/>
                  <w:vAlign w:val="center"/>
                </w:tcPr>
                <w:p w14:paraId="646C403F">
                  <w:pPr>
                    <w:jc w:val="center"/>
                    <w:rPr>
                      <w:sz w:val="21"/>
                      <w:szCs w:val="21"/>
                    </w:rPr>
                  </w:pPr>
                </w:p>
              </w:tc>
              <w:tc>
                <w:tcPr>
                  <w:tcW w:w="536" w:type="pct"/>
                  <w:vMerge w:val="continue"/>
                  <w:vAlign w:val="center"/>
                </w:tcPr>
                <w:p w14:paraId="2A1B6F2C">
                  <w:pPr>
                    <w:jc w:val="center"/>
                    <w:rPr>
                      <w:sz w:val="21"/>
                      <w:szCs w:val="21"/>
                    </w:rPr>
                  </w:pPr>
                </w:p>
              </w:tc>
              <w:tc>
                <w:tcPr>
                  <w:tcW w:w="834" w:type="pct"/>
                  <w:vMerge w:val="continue"/>
                  <w:vAlign w:val="center"/>
                </w:tcPr>
                <w:p w14:paraId="6CF13471">
                  <w:pPr>
                    <w:jc w:val="center"/>
                    <w:rPr>
                      <w:sz w:val="21"/>
                      <w:szCs w:val="21"/>
                    </w:rPr>
                  </w:pPr>
                </w:p>
              </w:tc>
            </w:tr>
            <w:tr w14:paraId="41216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 w:type="pct"/>
                  <w:vAlign w:val="center"/>
                </w:tcPr>
                <w:p w14:paraId="64F0E233">
                  <w:pPr>
                    <w:jc w:val="center"/>
                    <w:rPr>
                      <w:sz w:val="21"/>
                      <w:szCs w:val="21"/>
                    </w:rPr>
                  </w:pPr>
                  <w:r>
                    <w:rPr>
                      <w:rFonts w:hint="eastAsia"/>
                      <w:sz w:val="21"/>
                      <w:szCs w:val="21"/>
                    </w:rPr>
                    <w:t>1</w:t>
                  </w:r>
                </w:p>
              </w:tc>
              <w:tc>
                <w:tcPr>
                  <w:tcW w:w="333" w:type="pct"/>
                  <w:vAlign w:val="center"/>
                </w:tcPr>
                <w:p w14:paraId="1E47322E">
                  <w:pPr>
                    <w:jc w:val="center"/>
                    <w:rPr>
                      <w:sz w:val="21"/>
                      <w:szCs w:val="21"/>
                    </w:rPr>
                  </w:pPr>
                  <w:r>
                    <w:rPr>
                      <w:rFonts w:hint="eastAsia"/>
                      <w:sz w:val="21"/>
                      <w:szCs w:val="21"/>
                    </w:rPr>
                    <w:t>综合废水</w:t>
                  </w:r>
                </w:p>
              </w:tc>
              <w:tc>
                <w:tcPr>
                  <w:tcW w:w="430" w:type="pct"/>
                  <w:vAlign w:val="center"/>
                </w:tcPr>
                <w:p w14:paraId="5831A4D8">
                  <w:pPr>
                    <w:jc w:val="center"/>
                    <w:rPr>
                      <w:sz w:val="21"/>
                      <w:szCs w:val="21"/>
                    </w:rPr>
                  </w:pPr>
                  <w:r>
                    <w:rPr>
                      <w:sz w:val="21"/>
                      <w:szCs w:val="21"/>
                    </w:rPr>
                    <w:t>pH值、COD、</w:t>
                  </w:r>
                  <w:r>
                    <w:rPr>
                      <w:rFonts w:hint="eastAsia"/>
                      <w:sz w:val="21"/>
                      <w:szCs w:val="21"/>
                    </w:rPr>
                    <w:t>BOD</w:t>
                  </w:r>
                  <w:r>
                    <w:rPr>
                      <w:rFonts w:hint="eastAsia"/>
                      <w:sz w:val="21"/>
                      <w:szCs w:val="21"/>
                      <w:vertAlign w:val="subscript"/>
                    </w:rPr>
                    <w:t>5</w:t>
                  </w:r>
                  <w:r>
                    <w:rPr>
                      <w:rFonts w:hint="eastAsia"/>
                      <w:sz w:val="21"/>
                      <w:szCs w:val="21"/>
                    </w:rPr>
                    <w:t>、</w:t>
                  </w:r>
                  <w:r>
                    <w:rPr>
                      <w:sz w:val="21"/>
                      <w:szCs w:val="21"/>
                    </w:rPr>
                    <w:t>SS、NH</w:t>
                  </w:r>
                  <w:r>
                    <w:rPr>
                      <w:sz w:val="21"/>
                      <w:szCs w:val="21"/>
                      <w:vertAlign w:val="subscript"/>
                    </w:rPr>
                    <w:t>3</w:t>
                  </w:r>
                  <w:r>
                    <w:rPr>
                      <w:sz w:val="21"/>
                      <w:szCs w:val="21"/>
                    </w:rPr>
                    <w:t>-N</w:t>
                  </w:r>
                  <w:r>
                    <w:rPr>
                      <w:rFonts w:hint="eastAsia"/>
                      <w:sz w:val="21"/>
                      <w:szCs w:val="21"/>
                    </w:rPr>
                    <w:t>、TP、TN、阴离子表面活性剂、石油类、溶解性总固体</w:t>
                  </w:r>
                </w:p>
              </w:tc>
              <w:tc>
                <w:tcPr>
                  <w:tcW w:w="447" w:type="pct"/>
                  <w:vAlign w:val="center"/>
                </w:tcPr>
                <w:p w14:paraId="4974F1B6">
                  <w:pPr>
                    <w:jc w:val="center"/>
                    <w:rPr>
                      <w:sz w:val="21"/>
                      <w:szCs w:val="21"/>
                    </w:rPr>
                  </w:pPr>
                  <w:r>
                    <w:rPr>
                      <w:rFonts w:hint="eastAsia"/>
                      <w:sz w:val="21"/>
                      <w:szCs w:val="21"/>
                    </w:rPr>
                    <w:t>西安净水处理有限责任公司第六再生水厂</w:t>
                  </w:r>
                </w:p>
              </w:tc>
              <w:tc>
                <w:tcPr>
                  <w:tcW w:w="306" w:type="pct"/>
                  <w:vAlign w:val="center"/>
                </w:tcPr>
                <w:p w14:paraId="28F74707">
                  <w:pPr>
                    <w:jc w:val="center"/>
                    <w:rPr>
                      <w:sz w:val="21"/>
                      <w:szCs w:val="21"/>
                    </w:rPr>
                  </w:pPr>
                  <w:r>
                    <w:rPr>
                      <w:rFonts w:hint="eastAsia"/>
                      <w:sz w:val="21"/>
                      <w:szCs w:val="21"/>
                    </w:rPr>
                    <w:t>间接排放</w:t>
                  </w:r>
                </w:p>
              </w:tc>
              <w:tc>
                <w:tcPr>
                  <w:tcW w:w="491" w:type="pct"/>
                  <w:vAlign w:val="center"/>
                </w:tcPr>
                <w:p w14:paraId="266C86A7">
                  <w:pPr>
                    <w:jc w:val="center"/>
                    <w:rPr>
                      <w:sz w:val="21"/>
                      <w:szCs w:val="21"/>
                    </w:rPr>
                  </w:pPr>
                  <w:r>
                    <w:rPr>
                      <w:rFonts w:hint="eastAsia"/>
                      <w:sz w:val="21"/>
                      <w:szCs w:val="21"/>
                    </w:rPr>
                    <w:t>TW001</w:t>
                  </w:r>
                </w:p>
              </w:tc>
              <w:tc>
                <w:tcPr>
                  <w:tcW w:w="421" w:type="pct"/>
                  <w:vAlign w:val="center"/>
                </w:tcPr>
                <w:p w14:paraId="01AD721E">
                  <w:pPr>
                    <w:jc w:val="center"/>
                    <w:rPr>
                      <w:sz w:val="21"/>
                      <w:szCs w:val="21"/>
                    </w:rPr>
                  </w:pPr>
                  <w:r>
                    <w:rPr>
                      <w:rFonts w:hint="eastAsia"/>
                      <w:bCs/>
                      <w:kern w:val="0"/>
                      <w:sz w:val="21"/>
                      <w:szCs w:val="21"/>
                    </w:rPr>
                    <w:t>园区化粪池</w:t>
                  </w:r>
                </w:p>
              </w:tc>
              <w:tc>
                <w:tcPr>
                  <w:tcW w:w="491" w:type="pct"/>
                  <w:vAlign w:val="center"/>
                </w:tcPr>
                <w:p w14:paraId="2B1A09A5">
                  <w:pPr>
                    <w:jc w:val="center"/>
                    <w:rPr>
                      <w:sz w:val="21"/>
                      <w:szCs w:val="21"/>
                    </w:rPr>
                  </w:pPr>
                  <w:r>
                    <w:rPr>
                      <w:rFonts w:hint="eastAsia"/>
                      <w:sz w:val="21"/>
                      <w:szCs w:val="18"/>
                    </w:rPr>
                    <w:t>化粪池</w:t>
                  </w:r>
                </w:p>
              </w:tc>
              <w:tc>
                <w:tcPr>
                  <w:tcW w:w="438" w:type="pct"/>
                  <w:vAlign w:val="center"/>
                </w:tcPr>
                <w:p w14:paraId="63AC0CA0">
                  <w:pPr>
                    <w:jc w:val="center"/>
                    <w:rPr>
                      <w:sz w:val="21"/>
                      <w:szCs w:val="21"/>
                    </w:rPr>
                  </w:pPr>
                  <w:r>
                    <w:rPr>
                      <w:rFonts w:hint="eastAsia"/>
                      <w:sz w:val="21"/>
                      <w:szCs w:val="21"/>
                    </w:rPr>
                    <w:t>DW001</w:t>
                  </w:r>
                </w:p>
              </w:tc>
              <w:tc>
                <w:tcPr>
                  <w:tcW w:w="536" w:type="pct"/>
                  <w:vAlign w:val="center"/>
                </w:tcPr>
                <w:p w14:paraId="30871520">
                  <w:pPr>
                    <w:pStyle w:val="40"/>
                    <w:jc w:val="center"/>
                    <w:rPr>
                      <w:rFonts w:cs="Times New Roman"/>
                      <w:color w:val="auto"/>
                      <w:sz w:val="21"/>
                      <w:szCs w:val="21"/>
                    </w:rPr>
                  </w:pPr>
                  <w:r>
                    <w:rPr>
                      <w:rFonts w:cs="Times New Roman"/>
                      <w:color w:val="auto"/>
                      <w:sz w:val="21"/>
                      <w:szCs w:val="21"/>
                    </w:rPr>
                    <w:sym w:font="Wingdings 2" w:char="0052"/>
                  </w:r>
                  <w:r>
                    <w:rPr>
                      <w:rFonts w:cs="Times New Roman"/>
                      <w:color w:val="auto"/>
                      <w:sz w:val="21"/>
                      <w:szCs w:val="21"/>
                    </w:rPr>
                    <w:t>是</w:t>
                  </w:r>
                </w:p>
                <w:p w14:paraId="7934D5D6">
                  <w:pPr>
                    <w:jc w:val="center"/>
                    <w:rPr>
                      <w:sz w:val="21"/>
                      <w:szCs w:val="21"/>
                    </w:rPr>
                  </w:pPr>
                  <w:r>
                    <w:rPr>
                      <w:sz w:val="21"/>
                      <w:szCs w:val="21"/>
                    </w:rPr>
                    <w:sym w:font="Wingdings 2" w:char="00A3"/>
                  </w:r>
                  <w:r>
                    <w:rPr>
                      <w:sz w:val="21"/>
                      <w:szCs w:val="21"/>
                    </w:rPr>
                    <w:t>否</w:t>
                  </w:r>
                </w:p>
              </w:tc>
              <w:tc>
                <w:tcPr>
                  <w:tcW w:w="834" w:type="pct"/>
                  <w:vAlign w:val="center"/>
                </w:tcPr>
                <w:p w14:paraId="50A6BFD1">
                  <w:pPr>
                    <w:pStyle w:val="40"/>
                    <w:jc w:val="center"/>
                    <w:rPr>
                      <w:rFonts w:cs="Times New Roman"/>
                      <w:color w:val="auto"/>
                      <w:sz w:val="21"/>
                      <w:szCs w:val="21"/>
                    </w:rPr>
                  </w:pPr>
                  <w:r>
                    <w:rPr>
                      <w:rFonts w:cs="Times New Roman"/>
                      <w:color w:val="auto"/>
                      <w:sz w:val="21"/>
                      <w:szCs w:val="21"/>
                    </w:rPr>
                    <w:sym w:font="Wingdings 2" w:char="0052"/>
                  </w:r>
                  <w:r>
                    <w:rPr>
                      <w:rFonts w:cs="Times New Roman"/>
                      <w:color w:val="auto"/>
                      <w:sz w:val="21"/>
                      <w:szCs w:val="21"/>
                    </w:rPr>
                    <w:t>企业总排</w:t>
                  </w:r>
                </w:p>
                <w:p w14:paraId="18D3074B">
                  <w:pPr>
                    <w:pStyle w:val="40"/>
                    <w:jc w:val="center"/>
                    <w:rPr>
                      <w:rFonts w:cs="Times New Roman"/>
                      <w:color w:val="auto"/>
                      <w:sz w:val="21"/>
                      <w:szCs w:val="21"/>
                    </w:rPr>
                  </w:pPr>
                  <w:r>
                    <w:rPr>
                      <w:rFonts w:cs="Times New Roman"/>
                      <w:color w:val="auto"/>
                      <w:sz w:val="21"/>
                      <w:szCs w:val="21"/>
                    </w:rPr>
                    <w:sym w:font="Wingdings 2" w:char="00A3"/>
                  </w:r>
                  <w:r>
                    <w:rPr>
                      <w:rFonts w:cs="Times New Roman"/>
                      <w:color w:val="auto"/>
                      <w:sz w:val="21"/>
                      <w:szCs w:val="21"/>
                    </w:rPr>
                    <w:t>雨水排放</w:t>
                  </w:r>
                </w:p>
                <w:p w14:paraId="13834CD4">
                  <w:pPr>
                    <w:pStyle w:val="40"/>
                    <w:jc w:val="center"/>
                    <w:rPr>
                      <w:rFonts w:cs="Times New Roman"/>
                      <w:color w:val="auto"/>
                      <w:sz w:val="21"/>
                      <w:szCs w:val="21"/>
                    </w:rPr>
                  </w:pPr>
                  <w:r>
                    <w:rPr>
                      <w:rFonts w:cs="Times New Roman"/>
                      <w:color w:val="auto"/>
                      <w:sz w:val="21"/>
                      <w:szCs w:val="21"/>
                    </w:rPr>
                    <w:sym w:font="Wingdings 2" w:char="00A3"/>
                  </w:r>
                  <w:r>
                    <w:rPr>
                      <w:rFonts w:cs="Times New Roman"/>
                      <w:color w:val="auto"/>
                      <w:sz w:val="21"/>
                      <w:szCs w:val="21"/>
                    </w:rPr>
                    <w:t>清净下水排放</w:t>
                  </w:r>
                </w:p>
                <w:p w14:paraId="2404A192">
                  <w:pPr>
                    <w:pStyle w:val="40"/>
                    <w:jc w:val="center"/>
                    <w:rPr>
                      <w:rFonts w:cs="Times New Roman"/>
                      <w:color w:val="auto"/>
                      <w:sz w:val="21"/>
                      <w:szCs w:val="21"/>
                    </w:rPr>
                  </w:pPr>
                  <w:r>
                    <w:rPr>
                      <w:rFonts w:cs="Times New Roman"/>
                      <w:color w:val="auto"/>
                      <w:sz w:val="21"/>
                      <w:szCs w:val="21"/>
                    </w:rPr>
                    <w:sym w:font="Wingdings 2" w:char="00A3"/>
                  </w:r>
                  <w:r>
                    <w:rPr>
                      <w:rFonts w:cs="Times New Roman"/>
                      <w:color w:val="auto"/>
                      <w:sz w:val="21"/>
                      <w:szCs w:val="21"/>
                    </w:rPr>
                    <w:t>温排水排放</w:t>
                  </w:r>
                </w:p>
                <w:p w14:paraId="3972BB19">
                  <w:pPr>
                    <w:jc w:val="center"/>
                    <w:rPr>
                      <w:sz w:val="21"/>
                      <w:szCs w:val="21"/>
                    </w:rPr>
                  </w:pPr>
                  <w:r>
                    <w:rPr>
                      <w:sz w:val="21"/>
                      <w:szCs w:val="21"/>
                    </w:rPr>
                    <w:sym w:font="Wingdings 2" w:char="00A3"/>
                  </w:r>
                  <w:r>
                    <w:rPr>
                      <w:sz w:val="21"/>
                      <w:szCs w:val="21"/>
                    </w:rPr>
                    <w:t>车间或车间处理设施排放口</w:t>
                  </w:r>
                </w:p>
              </w:tc>
            </w:tr>
          </w:tbl>
          <w:p w14:paraId="5FBCEFB1">
            <w:pPr>
              <w:spacing w:line="360" w:lineRule="auto"/>
              <w:ind w:firstLine="480" w:firstLineChars="200"/>
            </w:pPr>
            <w:r>
              <w:t>②</w:t>
            </w:r>
            <w:r>
              <w:rPr>
                <w:rFonts w:hint="eastAsia"/>
              </w:rPr>
              <w:t>废水污染物排放执行标准</w:t>
            </w:r>
          </w:p>
          <w:p w14:paraId="0038B8C2">
            <w:pPr>
              <w:pStyle w:val="21"/>
              <w:jc w:val="center"/>
              <w:rPr>
                <w:rFonts w:ascii="Times New Roman" w:hAnsi="Times New Roman"/>
                <w:sz w:val="21"/>
                <w:szCs w:val="21"/>
              </w:rPr>
            </w:pPr>
            <w:r>
              <w:rPr>
                <w:rFonts w:ascii="Times New Roman" w:hAnsi="Times New Roman"/>
                <w:sz w:val="21"/>
                <w:szCs w:val="21"/>
              </w:rPr>
              <w:t>表4-11  废水污染物排放执行标准</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365"/>
              <w:gridCol w:w="1177"/>
              <w:gridCol w:w="2220"/>
              <w:gridCol w:w="2453"/>
            </w:tblGrid>
            <w:tr w14:paraId="0C742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restart"/>
                  <w:vAlign w:val="center"/>
                </w:tcPr>
                <w:p w14:paraId="2422C615">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序号</w:t>
                  </w:r>
                </w:p>
              </w:tc>
              <w:tc>
                <w:tcPr>
                  <w:tcW w:w="843" w:type="pct"/>
                  <w:vMerge w:val="restart"/>
                  <w:vAlign w:val="center"/>
                </w:tcPr>
                <w:p w14:paraId="16C4B0D4">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排放口编号</w:t>
                  </w:r>
                </w:p>
              </w:tc>
              <w:tc>
                <w:tcPr>
                  <w:tcW w:w="727" w:type="pct"/>
                  <w:vMerge w:val="restart"/>
                  <w:vAlign w:val="center"/>
                </w:tcPr>
                <w:p w14:paraId="7D09E475">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污染物种类</w:t>
                  </w:r>
                </w:p>
              </w:tc>
              <w:tc>
                <w:tcPr>
                  <w:tcW w:w="2888" w:type="pct"/>
                  <w:gridSpan w:val="2"/>
                  <w:vAlign w:val="center"/>
                </w:tcPr>
                <w:p w14:paraId="030E5929">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国家或地方污染物排放标准及其他按规定商定的排放协议</w:t>
                  </w:r>
                </w:p>
              </w:tc>
            </w:tr>
            <w:tr w14:paraId="67CCE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476B1A80">
                  <w:pPr>
                    <w:pStyle w:val="4"/>
                    <w:spacing w:line="240" w:lineRule="auto"/>
                    <w:ind w:firstLine="0"/>
                    <w:jc w:val="center"/>
                    <w:rPr>
                      <w:rFonts w:ascii="Times New Roman" w:hAnsi="Times New Roman"/>
                      <w:b/>
                      <w:bCs/>
                      <w:sz w:val="21"/>
                      <w:szCs w:val="21"/>
                    </w:rPr>
                  </w:pPr>
                </w:p>
              </w:tc>
              <w:tc>
                <w:tcPr>
                  <w:tcW w:w="843" w:type="pct"/>
                  <w:vMerge w:val="continue"/>
                  <w:vAlign w:val="center"/>
                </w:tcPr>
                <w:p w14:paraId="60F3BCD2">
                  <w:pPr>
                    <w:pStyle w:val="4"/>
                    <w:spacing w:line="240" w:lineRule="auto"/>
                    <w:ind w:firstLine="0"/>
                    <w:jc w:val="center"/>
                    <w:rPr>
                      <w:rFonts w:ascii="Times New Roman" w:hAnsi="Times New Roman"/>
                      <w:b/>
                      <w:bCs/>
                      <w:sz w:val="21"/>
                      <w:szCs w:val="21"/>
                    </w:rPr>
                  </w:pPr>
                </w:p>
              </w:tc>
              <w:tc>
                <w:tcPr>
                  <w:tcW w:w="727" w:type="pct"/>
                  <w:vMerge w:val="continue"/>
                  <w:vAlign w:val="center"/>
                </w:tcPr>
                <w:p w14:paraId="02DFB39E">
                  <w:pPr>
                    <w:pStyle w:val="4"/>
                    <w:spacing w:line="240" w:lineRule="auto"/>
                    <w:ind w:firstLine="0"/>
                    <w:jc w:val="center"/>
                    <w:rPr>
                      <w:rFonts w:ascii="Times New Roman" w:hAnsi="Times New Roman"/>
                      <w:b/>
                      <w:bCs/>
                      <w:sz w:val="21"/>
                      <w:szCs w:val="21"/>
                    </w:rPr>
                  </w:pPr>
                </w:p>
              </w:tc>
              <w:tc>
                <w:tcPr>
                  <w:tcW w:w="1372" w:type="pct"/>
                  <w:vAlign w:val="center"/>
                </w:tcPr>
                <w:p w14:paraId="3F2F7F58">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名称</w:t>
                  </w:r>
                </w:p>
              </w:tc>
              <w:tc>
                <w:tcPr>
                  <w:tcW w:w="1516" w:type="pct"/>
                  <w:vAlign w:val="center"/>
                </w:tcPr>
                <w:p w14:paraId="0B64E8DB">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浓度限值/（mg/L）</w:t>
                  </w:r>
                </w:p>
              </w:tc>
            </w:tr>
            <w:tr w14:paraId="03895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restart"/>
                  <w:vAlign w:val="center"/>
                </w:tcPr>
                <w:p w14:paraId="7AF1A71F">
                  <w:pPr>
                    <w:pStyle w:val="4"/>
                    <w:spacing w:line="240" w:lineRule="auto"/>
                    <w:ind w:firstLine="0"/>
                    <w:jc w:val="center"/>
                    <w:rPr>
                      <w:rFonts w:ascii="Times New Roman" w:hAnsi="Times New Roman"/>
                      <w:sz w:val="21"/>
                      <w:szCs w:val="21"/>
                    </w:rPr>
                  </w:pPr>
                  <w:r>
                    <w:rPr>
                      <w:rFonts w:ascii="Times New Roman" w:hAnsi="Times New Roman"/>
                      <w:sz w:val="21"/>
                      <w:szCs w:val="21"/>
                    </w:rPr>
                    <w:t>1</w:t>
                  </w:r>
                </w:p>
              </w:tc>
              <w:tc>
                <w:tcPr>
                  <w:tcW w:w="843" w:type="pct"/>
                  <w:vMerge w:val="restart"/>
                  <w:vAlign w:val="center"/>
                </w:tcPr>
                <w:p w14:paraId="3078A584">
                  <w:pPr>
                    <w:pStyle w:val="4"/>
                    <w:spacing w:line="240" w:lineRule="auto"/>
                    <w:ind w:firstLine="0"/>
                    <w:jc w:val="center"/>
                    <w:rPr>
                      <w:rFonts w:ascii="Times New Roman" w:hAnsi="Times New Roman"/>
                      <w:sz w:val="21"/>
                      <w:szCs w:val="21"/>
                    </w:rPr>
                  </w:pPr>
                  <w:r>
                    <w:rPr>
                      <w:rFonts w:ascii="Times New Roman" w:hAnsi="Times New Roman"/>
                      <w:sz w:val="21"/>
                      <w:szCs w:val="21"/>
                    </w:rPr>
                    <w:t>DW001</w:t>
                  </w:r>
                </w:p>
              </w:tc>
              <w:tc>
                <w:tcPr>
                  <w:tcW w:w="727" w:type="pct"/>
                  <w:vAlign w:val="center"/>
                </w:tcPr>
                <w:p w14:paraId="6BEAB66F">
                  <w:pPr>
                    <w:pStyle w:val="4"/>
                    <w:spacing w:line="240" w:lineRule="auto"/>
                    <w:ind w:firstLine="0"/>
                    <w:jc w:val="center"/>
                    <w:rPr>
                      <w:rFonts w:ascii="Times New Roman" w:hAnsi="Times New Roman"/>
                      <w:b/>
                      <w:bCs/>
                      <w:sz w:val="21"/>
                      <w:szCs w:val="21"/>
                    </w:rPr>
                  </w:pPr>
                  <w:r>
                    <w:rPr>
                      <w:rFonts w:hint="eastAsia" w:ascii="Times New Roman" w:hAnsi="Times New Roman"/>
                      <w:sz w:val="21"/>
                      <w:szCs w:val="21"/>
                    </w:rPr>
                    <w:t>pH</w:t>
                  </w:r>
                </w:p>
              </w:tc>
              <w:tc>
                <w:tcPr>
                  <w:tcW w:w="1372" w:type="pct"/>
                  <w:vMerge w:val="restart"/>
                  <w:vAlign w:val="center"/>
                </w:tcPr>
                <w:p w14:paraId="5AA93DE4">
                  <w:pPr>
                    <w:pStyle w:val="4"/>
                    <w:spacing w:line="240" w:lineRule="auto"/>
                    <w:ind w:firstLine="0"/>
                    <w:jc w:val="center"/>
                    <w:rPr>
                      <w:rFonts w:ascii="Times New Roman" w:hAnsi="Times New Roman"/>
                      <w:sz w:val="21"/>
                      <w:szCs w:val="21"/>
                    </w:rPr>
                  </w:pPr>
                  <w:r>
                    <w:rPr>
                      <w:rFonts w:ascii="Times New Roman" w:hAnsi="Times New Roman"/>
                      <w:sz w:val="21"/>
                      <w:szCs w:val="21"/>
                    </w:rPr>
                    <w:t>《污水综合排放标准》（GB8978-1996）中的三级标准</w:t>
                  </w:r>
                  <w:r>
                    <w:rPr>
                      <w:rFonts w:hint="eastAsia" w:ascii="Times New Roman" w:hAnsi="Times New Roman"/>
                      <w:sz w:val="21"/>
                      <w:szCs w:val="21"/>
                    </w:rPr>
                    <w:t>和</w:t>
                  </w:r>
                  <w:r>
                    <w:rPr>
                      <w:rFonts w:ascii="Times New Roman" w:hAnsi="Times New Roman"/>
                      <w:sz w:val="21"/>
                      <w:szCs w:val="21"/>
                    </w:rPr>
                    <w:t>《污水排入城镇下水道水质标准》（GB/T31962-2015）中A级限值</w:t>
                  </w:r>
                </w:p>
              </w:tc>
              <w:tc>
                <w:tcPr>
                  <w:tcW w:w="1516" w:type="pct"/>
                  <w:vAlign w:val="center"/>
                </w:tcPr>
                <w:p w14:paraId="73CF46BE">
                  <w:pPr>
                    <w:pStyle w:val="4"/>
                    <w:spacing w:line="240" w:lineRule="auto"/>
                    <w:ind w:firstLine="0"/>
                    <w:jc w:val="center"/>
                    <w:rPr>
                      <w:rFonts w:ascii="Times New Roman" w:hAnsi="Times New Roman"/>
                      <w:b/>
                      <w:bCs/>
                      <w:sz w:val="21"/>
                      <w:szCs w:val="21"/>
                    </w:rPr>
                  </w:pPr>
                  <w:r>
                    <w:rPr>
                      <w:rFonts w:hint="eastAsia" w:ascii="Times New Roman" w:hAnsi="Times New Roman"/>
                      <w:sz w:val="21"/>
                      <w:szCs w:val="21"/>
                    </w:rPr>
                    <w:t>6~9</w:t>
                  </w:r>
                </w:p>
              </w:tc>
            </w:tr>
            <w:tr w14:paraId="17B30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118E2D80">
                  <w:pPr>
                    <w:pStyle w:val="4"/>
                    <w:spacing w:line="240" w:lineRule="auto"/>
                    <w:ind w:firstLine="0"/>
                    <w:jc w:val="center"/>
                    <w:rPr>
                      <w:rFonts w:ascii="Times New Roman" w:hAnsi="Times New Roman"/>
                      <w:sz w:val="21"/>
                      <w:szCs w:val="21"/>
                    </w:rPr>
                  </w:pPr>
                </w:p>
              </w:tc>
              <w:tc>
                <w:tcPr>
                  <w:tcW w:w="843" w:type="pct"/>
                  <w:vMerge w:val="continue"/>
                  <w:vAlign w:val="center"/>
                </w:tcPr>
                <w:p w14:paraId="7E26348A">
                  <w:pPr>
                    <w:pStyle w:val="4"/>
                    <w:spacing w:line="240" w:lineRule="auto"/>
                    <w:ind w:firstLine="0"/>
                    <w:jc w:val="center"/>
                    <w:rPr>
                      <w:rFonts w:ascii="Times New Roman" w:hAnsi="Times New Roman"/>
                      <w:sz w:val="21"/>
                      <w:szCs w:val="21"/>
                    </w:rPr>
                  </w:pPr>
                </w:p>
              </w:tc>
              <w:tc>
                <w:tcPr>
                  <w:tcW w:w="727" w:type="pct"/>
                  <w:vAlign w:val="center"/>
                </w:tcPr>
                <w:p w14:paraId="5C6842A8">
                  <w:pPr>
                    <w:pStyle w:val="4"/>
                    <w:spacing w:line="240" w:lineRule="auto"/>
                    <w:ind w:firstLine="0"/>
                    <w:jc w:val="center"/>
                    <w:rPr>
                      <w:rFonts w:ascii="Times New Roman" w:hAnsi="Times New Roman"/>
                      <w:sz w:val="21"/>
                      <w:szCs w:val="21"/>
                    </w:rPr>
                  </w:pPr>
                  <w:r>
                    <w:rPr>
                      <w:rFonts w:ascii="Times New Roman" w:hAnsi="Times New Roman"/>
                      <w:sz w:val="21"/>
                      <w:szCs w:val="21"/>
                    </w:rPr>
                    <w:t>COD</w:t>
                  </w:r>
                </w:p>
              </w:tc>
              <w:tc>
                <w:tcPr>
                  <w:tcW w:w="1372" w:type="pct"/>
                  <w:vMerge w:val="continue"/>
                  <w:vAlign w:val="center"/>
                </w:tcPr>
                <w:p w14:paraId="5FB176A3">
                  <w:pPr>
                    <w:pStyle w:val="4"/>
                    <w:spacing w:line="240" w:lineRule="auto"/>
                    <w:ind w:firstLine="0"/>
                    <w:jc w:val="center"/>
                    <w:rPr>
                      <w:rFonts w:ascii="Times New Roman" w:hAnsi="Times New Roman"/>
                      <w:sz w:val="21"/>
                      <w:szCs w:val="21"/>
                    </w:rPr>
                  </w:pPr>
                </w:p>
              </w:tc>
              <w:tc>
                <w:tcPr>
                  <w:tcW w:w="1516" w:type="pct"/>
                  <w:vAlign w:val="center"/>
                </w:tcPr>
                <w:p w14:paraId="361ACEE7">
                  <w:pPr>
                    <w:pStyle w:val="4"/>
                    <w:spacing w:line="240" w:lineRule="auto"/>
                    <w:ind w:firstLine="0"/>
                    <w:jc w:val="center"/>
                    <w:rPr>
                      <w:rFonts w:ascii="Times New Roman" w:hAnsi="Times New Roman"/>
                      <w:sz w:val="21"/>
                      <w:szCs w:val="21"/>
                    </w:rPr>
                  </w:pPr>
                  <w:r>
                    <w:rPr>
                      <w:rFonts w:ascii="Times New Roman" w:hAnsi="Times New Roman"/>
                      <w:sz w:val="21"/>
                      <w:szCs w:val="21"/>
                    </w:rPr>
                    <w:t>500</w:t>
                  </w:r>
                </w:p>
              </w:tc>
            </w:tr>
            <w:tr w14:paraId="2F24F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7AC1C68B">
                  <w:pPr>
                    <w:pStyle w:val="4"/>
                    <w:spacing w:line="240" w:lineRule="auto"/>
                    <w:ind w:firstLine="0"/>
                    <w:jc w:val="center"/>
                    <w:rPr>
                      <w:rFonts w:ascii="Times New Roman" w:hAnsi="Times New Roman"/>
                      <w:sz w:val="21"/>
                      <w:szCs w:val="21"/>
                    </w:rPr>
                  </w:pPr>
                </w:p>
              </w:tc>
              <w:tc>
                <w:tcPr>
                  <w:tcW w:w="843" w:type="pct"/>
                  <w:vMerge w:val="continue"/>
                  <w:vAlign w:val="center"/>
                </w:tcPr>
                <w:p w14:paraId="7DBE170E">
                  <w:pPr>
                    <w:pStyle w:val="4"/>
                    <w:spacing w:line="240" w:lineRule="auto"/>
                    <w:ind w:firstLine="0"/>
                    <w:jc w:val="center"/>
                    <w:rPr>
                      <w:rFonts w:ascii="Times New Roman" w:hAnsi="Times New Roman"/>
                      <w:sz w:val="21"/>
                      <w:szCs w:val="21"/>
                    </w:rPr>
                  </w:pPr>
                </w:p>
              </w:tc>
              <w:tc>
                <w:tcPr>
                  <w:tcW w:w="727" w:type="pct"/>
                  <w:vAlign w:val="center"/>
                </w:tcPr>
                <w:p w14:paraId="0282285E">
                  <w:pPr>
                    <w:pStyle w:val="4"/>
                    <w:spacing w:line="240" w:lineRule="auto"/>
                    <w:ind w:firstLine="0"/>
                    <w:jc w:val="center"/>
                    <w:rPr>
                      <w:rFonts w:ascii="Times New Roman" w:hAnsi="Times New Roman"/>
                      <w:sz w:val="21"/>
                      <w:szCs w:val="21"/>
                    </w:rPr>
                  </w:pPr>
                  <w:r>
                    <w:rPr>
                      <w:rFonts w:ascii="Times New Roman" w:hAnsi="Times New Roman"/>
                      <w:sz w:val="21"/>
                      <w:szCs w:val="21"/>
                    </w:rPr>
                    <w:t>BOD</w:t>
                  </w:r>
                  <w:r>
                    <w:rPr>
                      <w:rFonts w:ascii="Times New Roman" w:hAnsi="Times New Roman"/>
                      <w:sz w:val="21"/>
                      <w:szCs w:val="21"/>
                      <w:vertAlign w:val="subscript"/>
                    </w:rPr>
                    <w:t>5</w:t>
                  </w:r>
                </w:p>
              </w:tc>
              <w:tc>
                <w:tcPr>
                  <w:tcW w:w="1372" w:type="pct"/>
                  <w:vMerge w:val="continue"/>
                  <w:vAlign w:val="center"/>
                </w:tcPr>
                <w:p w14:paraId="1806FEB0">
                  <w:pPr>
                    <w:pStyle w:val="4"/>
                    <w:spacing w:line="240" w:lineRule="auto"/>
                    <w:ind w:firstLine="0"/>
                    <w:jc w:val="center"/>
                    <w:rPr>
                      <w:rFonts w:ascii="Times New Roman" w:hAnsi="Times New Roman"/>
                      <w:sz w:val="21"/>
                      <w:szCs w:val="21"/>
                    </w:rPr>
                  </w:pPr>
                </w:p>
              </w:tc>
              <w:tc>
                <w:tcPr>
                  <w:tcW w:w="1516" w:type="pct"/>
                  <w:vAlign w:val="center"/>
                </w:tcPr>
                <w:p w14:paraId="5B2F262F">
                  <w:pPr>
                    <w:pStyle w:val="4"/>
                    <w:spacing w:line="240" w:lineRule="auto"/>
                    <w:ind w:firstLine="0"/>
                    <w:jc w:val="center"/>
                    <w:rPr>
                      <w:rFonts w:ascii="Times New Roman" w:hAnsi="Times New Roman"/>
                      <w:sz w:val="21"/>
                      <w:szCs w:val="21"/>
                    </w:rPr>
                  </w:pPr>
                  <w:r>
                    <w:rPr>
                      <w:rFonts w:ascii="Times New Roman" w:hAnsi="Times New Roman"/>
                      <w:sz w:val="21"/>
                      <w:szCs w:val="21"/>
                    </w:rPr>
                    <w:t>300</w:t>
                  </w:r>
                </w:p>
              </w:tc>
            </w:tr>
            <w:tr w14:paraId="5892F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2DC2BE3D">
                  <w:pPr>
                    <w:pStyle w:val="4"/>
                    <w:spacing w:line="240" w:lineRule="auto"/>
                    <w:ind w:firstLine="0"/>
                    <w:jc w:val="center"/>
                    <w:rPr>
                      <w:rFonts w:ascii="Times New Roman" w:hAnsi="Times New Roman"/>
                      <w:sz w:val="21"/>
                      <w:szCs w:val="21"/>
                    </w:rPr>
                  </w:pPr>
                </w:p>
              </w:tc>
              <w:tc>
                <w:tcPr>
                  <w:tcW w:w="843" w:type="pct"/>
                  <w:vMerge w:val="continue"/>
                  <w:vAlign w:val="center"/>
                </w:tcPr>
                <w:p w14:paraId="4EB0E41D">
                  <w:pPr>
                    <w:pStyle w:val="4"/>
                    <w:spacing w:line="240" w:lineRule="auto"/>
                    <w:ind w:firstLine="0"/>
                    <w:jc w:val="center"/>
                    <w:rPr>
                      <w:rFonts w:ascii="Times New Roman" w:hAnsi="Times New Roman"/>
                      <w:sz w:val="21"/>
                      <w:szCs w:val="21"/>
                    </w:rPr>
                  </w:pPr>
                </w:p>
              </w:tc>
              <w:tc>
                <w:tcPr>
                  <w:tcW w:w="727" w:type="pct"/>
                  <w:vAlign w:val="center"/>
                </w:tcPr>
                <w:p w14:paraId="2D257E69">
                  <w:pPr>
                    <w:pStyle w:val="4"/>
                    <w:spacing w:line="240" w:lineRule="auto"/>
                    <w:ind w:firstLine="0"/>
                    <w:jc w:val="center"/>
                    <w:rPr>
                      <w:rFonts w:ascii="Times New Roman" w:hAnsi="Times New Roman"/>
                      <w:sz w:val="21"/>
                      <w:szCs w:val="21"/>
                    </w:rPr>
                  </w:pPr>
                  <w:r>
                    <w:rPr>
                      <w:rFonts w:ascii="Times New Roman" w:hAnsi="Times New Roman"/>
                      <w:sz w:val="21"/>
                      <w:szCs w:val="21"/>
                    </w:rPr>
                    <w:t>SS</w:t>
                  </w:r>
                </w:p>
              </w:tc>
              <w:tc>
                <w:tcPr>
                  <w:tcW w:w="1372" w:type="pct"/>
                  <w:vMerge w:val="continue"/>
                  <w:vAlign w:val="center"/>
                </w:tcPr>
                <w:p w14:paraId="3A6A6CE7">
                  <w:pPr>
                    <w:pStyle w:val="4"/>
                    <w:spacing w:line="240" w:lineRule="auto"/>
                    <w:ind w:firstLine="0"/>
                    <w:jc w:val="center"/>
                    <w:rPr>
                      <w:rFonts w:ascii="Times New Roman" w:hAnsi="Times New Roman"/>
                      <w:sz w:val="21"/>
                      <w:szCs w:val="21"/>
                    </w:rPr>
                  </w:pPr>
                </w:p>
              </w:tc>
              <w:tc>
                <w:tcPr>
                  <w:tcW w:w="1516" w:type="pct"/>
                  <w:vAlign w:val="center"/>
                </w:tcPr>
                <w:p w14:paraId="5CDD7891">
                  <w:pPr>
                    <w:pStyle w:val="4"/>
                    <w:spacing w:line="240" w:lineRule="auto"/>
                    <w:ind w:firstLine="0"/>
                    <w:jc w:val="center"/>
                    <w:rPr>
                      <w:rFonts w:ascii="Times New Roman" w:hAnsi="Times New Roman"/>
                      <w:sz w:val="21"/>
                      <w:szCs w:val="21"/>
                    </w:rPr>
                  </w:pPr>
                  <w:r>
                    <w:rPr>
                      <w:rFonts w:ascii="Times New Roman" w:hAnsi="Times New Roman"/>
                      <w:sz w:val="21"/>
                      <w:szCs w:val="21"/>
                    </w:rPr>
                    <w:t>400</w:t>
                  </w:r>
                </w:p>
              </w:tc>
            </w:tr>
            <w:tr w14:paraId="6749E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6E5D6D32">
                  <w:pPr>
                    <w:pStyle w:val="4"/>
                    <w:spacing w:line="240" w:lineRule="auto"/>
                    <w:ind w:firstLine="0"/>
                    <w:jc w:val="center"/>
                    <w:rPr>
                      <w:rFonts w:ascii="Times New Roman" w:hAnsi="Times New Roman"/>
                      <w:sz w:val="21"/>
                      <w:szCs w:val="21"/>
                    </w:rPr>
                  </w:pPr>
                </w:p>
              </w:tc>
              <w:tc>
                <w:tcPr>
                  <w:tcW w:w="843" w:type="pct"/>
                  <w:vMerge w:val="continue"/>
                  <w:vAlign w:val="center"/>
                </w:tcPr>
                <w:p w14:paraId="6F7A60F5">
                  <w:pPr>
                    <w:pStyle w:val="4"/>
                    <w:spacing w:line="240" w:lineRule="auto"/>
                    <w:ind w:firstLine="0"/>
                    <w:jc w:val="center"/>
                    <w:rPr>
                      <w:rFonts w:ascii="Times New Roman" w:hAnsi="Times New Roman"/>
                      <w:sz w:val="21"/>
                      <w:szCs w:val="21"/>
                    </w:rPr>
                  </w:pPr>
                </w:p>
              </w:tc>
              <w:tc>
                <w:tcPr>
                  <w:tcW w:w="727" w:type="pct"/>
                  <w:vAlign w:val="center"/>
                </w:tcPr>
                <w:p w14:paraId="1BA52B46">
                  <w:pPr>
                    <w:pStyle w:val="4"/>
                    <w:spacing w:line="240" w:lineRule="auto"/>
                    <w:ind w:firstLine="0"/>
                    <w:jc w:val="center"/>
                    <w:rPr>
                      <w:rFonts w:ascii="Times New Roman" w:hAnsi="Times New Roman"/>
                      <w:sz w:val="21"/>
                      <w:szCs w:val="21"/>
                    </w:rPr>
                  </w:pP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w:t>
                  </w:r>
                </w:p>
              </w:tc>
              <w:tc>
                <w:tcPr>
                  <w:tcW w:w="1372" w:type="pct"/>
                  <w:vMerge w:val="continue"/>
                  <w:vAlign w:val="center"/>
                </w:tcPr>
                <w:p w14:paraId="79091F31">
                  <w:pPr>
                    <w:pStyle w:val="4"/>
                    <w:spacing w:line="240" w:lineRule="auto"/>
                    <w:ind w:firstLine="0"/>
                    <w:jc w:val="center"/>
                    <w:rPr>
                      <w:rFonts w:ascii="Times New Roman" w:hAnsi="Times New Roman"/>
                      <w:sz w:val="21"/>
                      <w:szCs w:val="21"/>
                    </w:rPr>
                  </w:pPr>
                </w:p>
              </w:tc>
              <w:tc>
                <w:tcPr>
                  <w:tcW w:w="1516" w:type="pct"/>
                  <w:vAlign w:val="center"/>
                </w:tcPr>
                <w:p w14:paraId="344C3625">
                  <w:pPr>
                    <w:pStyle w:val="4"/>
                    <w:spacing w:line="240" w:lineRule="auto"/>
                    <w:ind w:firstLine="0"/>
                    <w:jc w:val="center"/>
                    <w:rPr>
                      <w:rFonts w:ascii="Times New Roman" w:hAnsi="Times New Roman"/>
                      <w:sz w:val="21"/>
                      <w:szCs w:val="21"/>
                    </w:rPr>
                  </w:pPr>
                  <w:r>
                    <w:rPr>
                      <w:rFonts w:ascii="Times New Roman" w:hAnsi="Times New Roman"/>
                      <w:sz w:val="21"/>
                      <w:szCs w:val="21"/>
                    </w:rPr>
                    <w:t>45</w:t>
                  </w:r>
                </w:p>
              </w:tc>
            </w:tr>
            <w:tr w14:paraId="701B6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57FB1D5A">
                  <w:pPr>
                    <w:pStyle w:val="4"/>
                    <w:spacing w:line="240" w:lineRule="auto"/>
                    <w:ind w:firstLine="0"/>
                    <w:jc w:val="center"/>
                    <w:rPr>
                      <w:rFonts w:ascii="Times New Roman" w:hAnsi="Times New Roman"/>
                      <w:sz w:val="21"/>
                      <w:szCs w:val="21"/>
                    </w:rPr>
                  </w:pPr>
                </w:p>
              </w:tc>
              <w:tc>
                <w:tcPr>
                  <w:tcW w:w="843" w:type="pct"/>
                  <w:vMerge w:val="continue"/>
                  <w:vAlign w:val="center"/>
                </w:tcPr>
                <w:p w14:paraId="6B5486A3">
                  <w:pPr>
                    <w:pStyle w:val="4"/>
                    <w:spacing w:line="240" w:lineRule="auto"/>
                    <w:ind w:firstLine="0"/>
                    <w:jc w:val="center"/>
                    <w:rPr>
                      <w:rFonts w:ascii="Times New Roman" w:hAnsi="Times New Roman"/>
                      <w:sz w:val="21"/>
                      <w:szCs w:val="21"/>
                    </w:rPr>
                  </w:pPr>
                </w:p>
              </w:tc>
              <w:tc>
                <w:tcPr>
                  <w:tcW w:w="727" w:type="pct"/>
                  <w:vAlign w:val="center"/>
                </w:tcPr>
                <w:p w14:paraId="69DF698A">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TP</w:t>
                  </w:r>
                </w:p>
              </w:tc>
              <w:tc>
                <w:tcPr>
                  <w:tcW w:w="1372" w:type="pct"/>
                  <w:vMerge w:val="continue"/>
                  <w:vAlign w:val="center"/>
                </w:tcPr>
                <w:p w14:paraId="6150A735">
                  <w:pPr>
                    <w:pStyle w:val="4"/>
                    <w:spacing w:line="240" w:lineRule="auto"/>
                    <w:ind w:firstLine="0"/>
                    <w:jc w:val="center"/>
                    <w:rPr>
                      <w:rFonts w:ascii="Times New Roman" w:hAnsi="Times New Roman"/>
                      <w:sz w:val="21"/>
                      <w:szCs w:val="21"/>
                    </w:rPr>
                  </w:pPr>
                </w:p>
              </w:tc>
              <w:tc>
                <w:tcPr>
                  <w:tcW w:w="1516" w:type="pct"/>
                  <w:vAlign w:val="center"/>
                </w:tcPr>
                <w:p w14:paraId="409B769E">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8</w:t>
                  </w:r>
                </w:p>
              </w:tc>
            </w:tr>
            <w:tr w14:paraId="03AB1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56157420">
                  <w:pPr>
                    <w:pStyle w:val="4"/>
                    <w:spacing w:line="240" w:lineRule="auto"/>
                    <w:ind w:firstLine="0"/>
                    <w:jc w:val="center"/>
                    <w:rPr>
                      <w:rFonts w:ascii="Times New Roman" w:hAnsi="Times New Roman"/>
                      <w:sz w:val="21"/>
                      <w:szCs w:val="21"/>
                    </w:rPr>
                  </w:pPr>
                </w:p>
              </w:tc>
              <w:tc>
                <w:tcPr>
                  <w:tcW w:w="843" w:type="pct"/>
                  <w:vMerge w:val="continue"/>
                  <w:vAlign w:val="center"/>
                </w:tcPr>
                <w:p w14:paraId="724B8E00">
                  <w:pPr>
                    <w:pStyle w:val="4"/>
                    <w:spacing w:line="240" w:lineRule="auto"/>
                    <w:ind w:firstLine="0"/>
                    <w:jc w:val="center"/>
                    <w:rPr>
                      <w:rFonts w:ascii="Times New Roman" w:hAnsi="Times New Roman"/>
                      <w:sz w:val="21"/>
                      <w:szCs w:val="21"/>
                    </w:rPr>
                  </w:pPr>
                </w:p>
              </w:tc>
              <w:tc>
                <w:tcPr>
                  <w:tcW w:w="727" w:type="pct"/>
                  <w:vAlign w:val="center"/>
                </w:tcPr>
                <w:p w14:paraId="0639E115">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TN</w:t>
                  </w:r>
                </w:p>
              </w:tc>
              <w:tc>
                <w:tcPr>
                  <w:tcW w:w="1372" w:type="pct"/>
                  <w:vMerge w:val="continue"/>
                  <w:vAlign w:val="center"/>
                </w:tcPr>
                <w:p w14:paraId="7AAB9CA5">
                  <w:pPr>
                    <w:pStyle w:val="4"/>
                    <w:spacing w:line="240" w:lineRule="auto"/>
                    <w:ind w:firstLine="0"/>
                    <w:jc w:val="center"/>
                    <w:rPr>
                      <w:rFonts w:ascii="Times New Roman" w:hAnsi="Times New Roman"/>
                      <w:sz w:val="21"/>
                      <w:szCs w:val="21"/>
                    </w:rPr>
                  </w:pPr>
                </w:p>
              </w:tc>
              <w:tc>
                <w:tcPr>
                  <w:tcW w:w="1516" w:type="pct"/>
                  <w:vAlign w:val="center"/>
                </w:tcPr>
                <w:p w14:paraId="1E189951">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70</w:t>
                  </w:r>
                </w:p>
              </w:tc>
            </w:tr>
            <w:tr w14:paraId="3078D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14D2B145">
                  <w:pPr>
                    <w:pStyle w:val="4"/>
                    <w:spacing w:line="240" w:lineRule="auto"/>
                    <w:ind w:firstLine="0"/>
                    <w:jc w:val="center"/>
                    <w:rPr>
                      <w:rFonts w:ascii="Times New Roman" w:hAnsi="Times New Roman"/>
                      <w:sz w:val="21"/>
                      <w:szCs w:val="21"/>
                    </w:rPr>
                  </w:pPr>
                </w:p>
              </w:tc>
              <w:tc>
                <w:tcPr>
                  <w:tcW w:w="843" w:type="pct"/>
                  <w:vMerge w:val="continue"/>
                  <w:vAlign w:val="center"/>
                </w:tcPr>
                <w:p w14:paraId="4256AC04">
                  <w:pPr>
                    <w:pStyle w:val="4"/>
                    <w:spacing w:line="240" w:lineRule="auto"/>
                    <w:ind w:firstLine="0"/>
                    <w:jc w:val="center"/>
                    <w:rPr>
                      <w:rFonts w:ascii="Times New Roman" w:hAnsi="Times New Roman"/>
                      <w:sz w:val="21"/>
                      <w:szCs w:val="21"/>
                    </w:rPr>
                  </w:pPr>
                </w:p>
              </w:tc>
              <w:tc>
                <w:tcPr>
                  <w:tcW w:w="727" w:type="pct"/>
                  <w:vAlign w:val="center"/>
                </w:tcPr>
                <w:p w14:paraId="195B7735">
                  <w:pPr>
                    <w:pStyle w:val="4"/>
                    <w:spacing w:line="240" w:lineRule="auto"/>
                    <w:ind w:firstLine="0"/>
                    <w:jc w:val="center"/>
                    <w:rPr>
                      <w:rFonts w:ascii="Times New Roman" w:hAnsi="Times New Roman"/>
                      <w:sz w:val="21"/>
                      <w:szCs w:val="21"/>
                    </w:rPr>
                  </w:pPr>
                  <w:r>
                    <w:rPr>
                      <w:rFonts w:hint="eastAsia"/>
                      <w:sz w:val="21"/>
                      <w:szCs w:val="21"/>
                    </w:rPr>
                    <w:t>阴离子表面活性剂</w:t>
                  </w:r>
                </w:p>
              </w:tc>
              <w:tc>
                <w:tcPr>
                  <w:tcW w:w="1372" w:type="pct"/>
                  <w:vMerge w:val="continue"/>
                  <w:vAlign w:val="center"/>
                </w:tcPr>
                <w:p w14:paraId="3B159213">
                  <w:pPr>
                    <w:pStyle w:val="4"/>
                    <w:spacing w:line="240" w:lineRule="auto"/>
                    <w:ind w:firstLine="0"/>
                    <w:jc w:val="center"/>
                    <w:rPr>
                      <w:rFonts w:ascii="Times New Roman" w:hAnsi="Times New Roman"/>
                      <w:sz w:val="21"/>
                      <w:szCs w:val="21"/>
                    </w:rPr>
                  </w:pPr>
                </w:p>
              </w:tc>
              <w:tc>
                <w:tcPr>
                  <w:tcW w:w="1516" w:type="pct"/>
                  <w:vAlign w:val="center"/>
                </w:tcPr>
                <w:p w14:paraId="5545B4F8">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20</w:t>
                  </w:r>
                </w:p>
              </w:tc>
            </w:tr>
            <w:tr w14:paraId="246BA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7BB807F7">
                  <w:pPr>
                    <w:pStyle w:val="4"/>
                    <w:spacing w:line="240" w:lineRule="auto"/>
                    <w:ind w:firstLine="0"/>
                    <w:jc w:val="center"/>
                    <w:rPr>
                      <w:rFonts w:ascii="Times New Roman" w:hAnsi="Times New Roman"/>
                      <w:sz w:val="21"/>
                      <w:szCs w:val="21"/>
                    </w:rPr>
                  </w:pPr>
                </w:p>
              </w:tc>
              <w:tc>
                <w:tcPr>
                  <w:tcW w:w="843" w:type="pct"/>
                  <w:vMerge w:val="continue"/>
                  <w:vAlign w:val="center"/>
                </w:tcPr>
                <w:p w14:paraId="788AF28E">
                  <w:pPr>
                    <w:pStyle w:val="4"/>
                    <w:spacing w:line="240" w:lineRule="auto"/>
                    <w:ind w:firstLine="0"/>
                    <w:jc w:val="center"/>
                    <w:rPr>
                      <w:rFonts w:ascii="Times New Roman" w:hAnsi="Times New Roman"/>
                      <w:sz w:val="21"/>
                      <w:szCs w:val="21"/>
                    </w:rPr>
                  </w:pPr>
                </w:p>
              </w:tc>
              <w:tc>
                <w:tcPr>
                  <w:tcW w:w="727" w:type="pct"/>
                  <w:vAlign w:val="center"/>
                </w:tcPr>
                <w:p w14:paraId="791C2A6C">
                  <w:pPr>
                    <w:pStyle w:val="4"/>
                    <w:spacing w:line="240" w:lineRule="auto"/>
                    <w:ind w:firstLine="0"/>
                    <w:jc w:val="center"/>
                    <w:rPr>
                      <w:rFonts w:ascii="Times New Roman" w:hAnsi="Times New Roman"/>
                      <w:sz w:val="21"/>
                      <w:szCs w:val="21"/>
                    </w:rPr>
                  </w:pPr>
                  <w:r>
                    <w:rPr>
                      <w:rFonts w:hint="eastAsia"/>
                      <w:sz w:val="21"/>
                      <w:szCs w:val="21"/>
                    </w:rPr>
                    <w:t>石油类</w:t>
                  </w:r>
                </w:p>
              </w:tc>
              <w:tc>
                <w:tcPr>
                  <w:tcW w:w="1372" w:type="pct"/>
                  <w:vMerge w:val="continue"/>
                  <w:vAlign w:val="center"/>
                </w:tcPr>
                <w:p w14:paraId="5E9A42F5">
                  <w:pPr>
                    <w:pStyle w:val="4"/>
                    <w:spacing w:line="240" w:lineRule="auto"/>
                    <w:ind w:firstLine="0"/>
                    <w:jc w:val="center"/>
                    <w:rPr>
                      <w:rFonts w:ascii="Times New Roman" w:hAnsi="Times New Roman"/>
                      <w:sz w:val="21"/>
                      <w:szCs w:val="21"/>
                    </w:rPr>
                  </w:pPr>
                </w:p>
              </w:tc>
              <w:tc>
                <w:tcPr>
                  <w:tcW w:w="1516" w:type="pct"/>
                  <w:vAlign w:val="center"/>
                </w:tcPr>
                <w:p w14:paraId="5E980190">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15</w:t>
                  </w:r>
                </w:p>
              </w:tc>
            </w:tr>
            <w:tr w14:paraId="0D7FA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41" w:type="pct"/>
                  <w:vMerge w:val="continue"/>
                  <w:vAlign w:val="center"/>
                </w:tcPr>
                <w:p w14:paraId="6948FC33">
                  <w:pPr>
                    <w:pStyle w:val="4"/>
                    <w:spacing w:line="240" w:lineRule="auto"/>
                    <w:ind w:firstLine="0"/>
                    <w:jc w:val="center"/>
                    <w:rPr>
                      <w:rFonts w:ascii="Times New Roman" w:hAnsi="Times New Roman"/>
                      <w:sz w:val="21"/>
                      <w:szCs w:val="21"/>
                    </w:rPr>
                  </w:pPr>
                </w:p>
              </w:tc>
              <w:tc>
                <w:tcPr>
                  <w:tcW w:w="843" w:type="pct"/>
                  <w:vMerge w:val="continue"/>
                  <w:vAlign w:val="center"/>
                </w:tcPr>
                <w:p w14:paraId="66359FBB">
                  <w:pPr>
                    <w:pStyle w:val="4"/>
                    <w:spacing w:line="240" w:lineRule="auto"/>
                    <w:ind w:firstLine="0"/>
                    <w:jc w:val="center"/>
                    <w:rPr>
                      <w:rFonts w:ascii="Times New Roman" w:hAnsi="Times New Roman"/>
                      <w:sz w:val="21"/>
                      <w:szCs w:val="21"/>
                    </w:rPr>
                  </w:pPr>
                </w:p>
              </w:tc>
              <w:tc>
                <w:tcPr>
                  <w:tcW w:w="727" w:type="pct"/>
                  <w:vAlign w:val="center"/>
                </w:tcPr>
                <w:p w14:paraId="0D0A3FCF">
                  <w:pPr>
                    <w:pStyle w:val="4"/>
                    <w:spacing w:line="240" w:lineRule="auto"/>
                    <w:ind w:firstLine="0"/>
                    <w:jc w:val="center"/>
                    <w:rPr>
                      <w:sz w:val="21"/>
                      <w:szCs w:val="21"/>
                    </w:rPr>
                  </w:pPr>
                  <w:r>
                    <w:rPr>
                      <w:rFonts w:hint="eastAsia"/>
                      <w:sz w:val="21"/>
                      <w:szCs w:val="21"/>
                    </w:rPr>
                    <w:t>溶解性总固体</w:t>
                  </w:r>
                </w:p>
              </w:tc>
              <w:tc>
                <w:tcPr>
                  <w:tcW w:w="1372" w:type="pct"/>
                  <w:vMerge w:val="continue"/>
                  <w:vAlign w:val="center"/>
                </w:tcPr>
                <w:p w14:paraId="38BC7866">
                  <w:pPr>
                    <w:pStyle w:val="4"/>
                    <w:spacing w:line="240" w:lineRule="auto"/>
                    <w:ind w:firstLine="0"/>
                    <w:jc w:val="center"/>
                    <w:rPr>
                      <w:rFonts w:ascii="Times New Roman" w:hAnsi="Times New Roman"/>
                      <w:sz w:val="21"/>
                      <w:szCs w:val="21"/>
                    </w:rPr>
                  </w:pPr>
                </w:p>
              </w:tc>
              <w:tc>
                <w:tcPr>
                  <w:tcW w:w="1516" w:type="pct"/>
                  <w:vAlign w:val="center"/>
                </w:tcPr>
                <w:p w14:paraId="7F4EBF89">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1500</w:t>
                  </w:r>
                </w:p>
              </w:tc>
            </w:tr>
          </w:tbl>
          <w:p w14:paraId="271A0CD3">
            <w:pPr>
              <w:spacing w:line="360" w:lineRule="auto"/>
              <w:ind w:firstLine="480" w:firstLineChars="200"/>
            </w:pPr>
            <w:r>
              <w:t>③</w:t>
            </w:r>
            <w:r>
              <w:rPr>
                <w:rFonts w:hint="eastAsia"/>
              </w:rPr>
              <w:t>废水排放口基本情况及监测要求</w:t>
            </w:r>
          </w:p>
          <w:p w14:paraId="7ED20002">
            <w:pPr>
              <w:pStyle w:val="21"/>
              <w:jc w:val="center"/>
              <w:rPr>
                <w:rFonts w:ascii="Times New Roman" w:hAnsi="Times New Roman"/>
                <w:sz w:val="21"/>
                <w:szCs w:val="21"/>
              </w:rPr>
            </w:pPr>
          </w:p>
          <w:p w14:paraId="6530198C">
            <w:pPr>
              <w:pStyle w:val="21"/>
              <w:jc w:val="center"/>
              <w:rPr>
                <w:rFonts w:ascii="Times New Roman" w:hAnsi="Times New Roman"/>
                <w:sz w:val="21"/>
                <w:szCs w:val="21"/>
              </w:rPr>
            </w:pPr>
          </w:p>
          <w:p w14:paraId="75E6A60D">
            <w:pPr>
              <w:pStyle w:val="21"/>
              <w:jc w:val="center"/>
              <w:rPr>
                <w:rFonts w:ascii="Times New Roman" w:hAnsi="Times New Roman"/>
                <w:sz w:val="21"/>
                <w:szCs w:val="21"/>
              </w:rPr>
            </w:pPr>
          </w:p>
          <w:p w14:paraId="55B7E7BA">
            <w:pPr>
              <w:pStyle w:val="21"/>
              <w:jc w:val="center"/>
              <w:rPr>
                <w:rFonts w:ascii="Times New Roman" w:hAnsi="Times New Roman"/>
                <w:sz w:val="21"/>
                <w:szCs w:val="21"/>
              </w:rPr>
            </w:pPr>
          </w:p>
          <w:p w14:paraId="11593A3B">
            <w:pPr>
              <w:pStyle w:val="21"/>
              <w:jc w:val="center"/>
              <w:rPr>
                <w:rFonts w:ascii="Times New Roman" w:hAnsi="Times New Roman"/>
                <w:sz w:val="21"/>
                <w:szCs w:val="21"/>
              </w:rPr>
            </w:pPr>
          </w:p>
          <w:p w14:paraId="3E44CF86">
            <w:pPr>
              <w:pStyle w:val="21"/>
              <w:jc w:val="center"/>
              <w:rPr>
                <w:rFonts w:ascii="Times New Roman" w:hAnsi="Times New Roman"/>
                <w:sz w:val="21"/>
                <w:szCs w:val="21"/>
              </w:rPr>
            </w:pPr>
          </w:p>
          <w:p w14:paraId="2C904BD0">
            <w:pPr>
              <w:pStyle w:val="21"/>
              <w:jc w:val="center"/>
            </w:pPr>
            <w:r>
              <w:rPr>
                <w:rFonts w:ascii="Times New Roman" w:hAnsi="Times New Roman"/>
                <w:sz w:val="21"/>
                <w:szCs w:val="21"/>
              </w:rPr>
              <w:t>表4-12  废水排放口信息</w:t>
            </w:r>
          </w:p>
          <w:tbl>
            <w:tblPr>
              <w:tblStyle w:val="22"/>
              <w:tblW w:w="496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494"/>
              <w:gridCol w:w="728"/>
              <w:gridCol w:w="732"/>
              <w:gridCol w:w="765"/>
              <w:gridCol w:w="496"/>
              <w:gridCol w:w="679"/>
              <w:gridCol w:w="525"/>
              <w:gridCol w:w="708"/>
              <w:gridCol w:w="909"/>
              <w:gridCol w:w="1498"/>
            </w:tblGrid>
            <w:tr w14:paraId="411A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restart"/>
                  <w:vAlign w:val="center"/>
                </w:tcPr>
                <w:p w14:paraId="7B358F28">
                  <w:pPr>
                    <w:pStyle w:val="4"/>
                    <w:spacing w:line="240" w:lineRule="auto"/>
                    <w:ind w:firstLine="0"/>
                    <w:jc w:val="center"/>
                    <w:rPr>
                      <w:rFonts w:ascii="Times New Roman" w:hAnsi="Times New Roman"/>
                      <w:b/>
                      <w:bCs/>
                      <w:sz w:val="21"/>
                      <w:szCs w:val="21"/>
                    </w:rPr>
                  </w:pPr>
                  <w:r>
                    <w:rPr>
                      <w:rFonts w:hint="eastAsia" w:ascii="Times New Roman" w:hAnsi="Times New Roman"/>
                      <w:b/>
                      <w:bCs/>
                      <w:sz w:val="21"/>
                      <w:szCs w:val="21"/>
                    </w:rPr>
                    <w:t>序号</w:t>
                  </w:r>
                </w:p>
              </w:tc>
              <w:tc>
                <w:tcPr>
                  <w:tcW w:w="307" w:type="pct"/>
                  <w:vMerge w:val="restart"/>
                  <w:vAlign w:val="center"/>
                </w:tcPr>
                <w:p w14:paraId="4D6266BE">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排放口编号</w:t>
                  </w:r>
                </w:p>
              </w:tc>
              <w:tc>
                <w:tcPr>
                  <w:tcW w:w="908" w:type="pct"/>
                  <w:gridSpan w:val="2"/>
                  <w:vAlign w:val="center"/>
                </w:tcPr>
                <w:p w14:paraId="703936B5">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排放口地理坐标</w:t>
                  </w:r>
                </w:p>
              </w:tc>
              <w:tc>
                <w:tcPr>
                  <w:tcW w:w="476" w:type="pct"/>
                  <w:vMerge w:val="restart"/>
                  <w:vAlign w:val="center"/>
                </w:tcPr>
                <w:p w14:paraId="2068D633">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废水排放量/（</w:t>
                  </w:r>
                  <w:r>
                    <w:rPr>
                      <w:rFonts w:hint="eastAsia" w:ascii="Times New Roman" w:hAnsi="Times New Roman"/>
                      <w:b/>
                      <w:bCs/>
                      <w:sz w:val="21"/>
                      <w:szCs w:val="21"/>
                    </w:rPr>
                    <w:t>万</w:t>
                  </w:r>
                  <w:r>
                    <w:rPr>
                      <w:rFonts w:ascii="Times New Roman" w:hAnsi="Times New Roman"/>
                      <w:b/>
                      <w:bCs/>
                      <w:sz w:val="21"/>
                      <w:szCs w:val="21"/>
                    </w:rPr>
                    <w:t>t/a）</w:t>
                  </w:r>
                </w:p>
              </w:tc>
              <w:tc>
                <w:tcPr>
                  <w:tcW w:w="309" w:type="pct"/>
                  <w:vMerge w:val="restart"/>
                  <w:vAlign w:val="center"/>
                </w:tcPr>
                <w:p w14:paraId="6E1C8F31">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排放去向</w:t>
                  </w:r>
                </w:p>
              </w:tc>
              <w:tc>
                <w:tcPr>
                  <w:tcW w:w="423" w:type="pct"/>
                  <w:vMerge w:val="restart"/>
                  <w:vAlign w:val="center"/>
                </w:tcPr>
                <w:p w14:paraId="14E9F7D5">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排放规律</w:t>
                  </w:r>
                </w:p>
              </w:tc>
              <w:tc>
                <w:tcPr>
                  <w:tcW w:w="327" w:type="pct"/>
                  <w:vMerge w:val="restart"/>
                  <w:vAlign w:val="center"/>
                </w:tcPr>
                <w:p w14:paraId="72CDBF0B">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间歇排放</w:t>
                  </w:r>
                  <w:r>
                    <w:rPr>
                      <w:rFonts w:hint="eastAsia" w:ascii="Times New Roman" w:hAnsi="Times New Roman"/>
                      <w:b/>
                      <w:bCs/>
                      <w:sz w:val="21"/>
                      <w:szCs w:val="21"/>
                    </w:rPr>
                    <w:t>时段</w:t>
                  </w:r>
                </w:p>
              </w:tc>
              <w:tc>
                <w:tcPr>
                  <w:tcW w:w="1938" w:type="pct"/>
                  <w:gridSpan w:val="3"/>
                  <w:vAlign w:val="center"/>
                </w:tcPr>
                <w:p w14:paraId="151F1594">
                  <w:pPr>
                    <w:pStyle w:val="4"/>
                    <w:spacing w:line="240" w:lineRule="auto"/>
                    <w:ind w:firstLine="0"/>
                    <w:jc w:val="center"/>
                    <w:rPr>
                      <w:rFonts w:ascii="Times New Roman" w:hAnsi="Times New Roman"/>
                      <w:b/>
                      <w:bCs/>
                      <w:sz w:val="21"/>
                      <w:szCs w:val="21"/>
                    </w:rPr>
                  </w:pPr>
                  <w:r>
                    <w:rPr>
                      <w:rFonts w:hint="eastAsia" w:ascii="Times New Roman" w:hAnsi="Times New Roman"/>
                      <w:b/>
                      <w:bCs/>
                      <w:sz w:val="21"/>
                      <w:szCs w:val="21"/>
                    </w:rPr>
                    <w:t>受纳污水处理厂信息</w:t>
                  </w:r>
                </w:p>
              </w:tc>
            </w:tr>
            <w:tr w14:paraId="469D2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15BFCDF4">
                  <w:pPr>
                    <w:pStyle w:val="4"/>
                    <w:spacing w:line="240" w:lineRule="auto"/>
                    <w:ind w:firstLine="0"/>
                    <w:jc w:val="center"/>
                    <w:rPr>
                      <w:rFonts w:ascii="Times New Roman" w:hAnsi="Times New Roman"/>
                      <w:sz w:val="21"/>
                      <w:szCs w:val="21"/>
                    </w:rPr>
                  </w:pPr>
                </w:p>
              </w:tc>
              <w:tc>
                <w:tcPr>
                  <w:tcW w:w="307" w:type="pct"/>
                  <w:vMerge w:val="continue"/>
                  <w:vAlign w:val="center"/>
                </w:tcPr>
                <w:p w14:paraId="169621FD">
                  <w:pPr>
                    <w:pStyle w:val="4"/>
                    <w:spacing w:line="240" w:lineRule="auto"/>
                    <w:ind w:firstLine="0"/>
                    <w:jc w:val="center"/>
                    <w:rPr>
                      <w:rFonts w:ascii="Times New Roman" w:hAnsi="Times New Roman"/>
                      <w:sz w:val="21"/>
                      <w:szCs w:val="21"/>
                    </w:rPr>
                  </w:pPr>
                </w:p>
              </w:tc>
              <w:tc>
                <w:tcPr>
                  <w:tcW w:w="453" w:type="pct"/>
                  <w:vAlign w:val="center"/>
                </w:tcPr>
                <w:p w14:paraId="232704EE">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经度</w:t>
                  </w:r>
                </w:p>
              </w:tc>
              <w:tc>
                <w:tcPr>
                  <w:tcW w:w="455" w:type="pct"/>
                  <w:vAlign w:val="center"/>
                </w:tcPr>
                <w:p w14:paraId="0206D776">
                  <w:pPr>
                    <w:pStyle w:val="4"/>
                    <w:spacing w:line="240" w:lineRule="auto"/>
                    <w:ind w:firstLine="0"/>
                    <w:jc w:val="center"/>
                    <w:rPr>
                      <w:rFonts w:ascii="Times New Roman" w:hAnsi="Times New Roman"/>
                      <w:b/>
                      <w:bCs/>
                      <w:sz w:val="21"/>
                      <w:szCs w:val="21"/>
                    </w:rPr>
                  </w:pPr>
                  <w:r>
                    <w:rPr>
                      <w:rFonts w:ascii="Times New Roman" w:hAnsi="Times New Roman"/>
                      <w:b/>
                      <w:bCs/>
                      <w:sz w:val="21"/>
                      <w:szCs w:val="21"/>
                    </w:rPr>
                    <w:t>纬度</w:t>
                  </w:r>
                </w:p>
              </w:tc>
              <w:tc>
                <w:tcPr>
                  <w:tcW w:w="476" w:type="pct"/>
                  <w:vMerge w:val="continue"/>
                  <w:vAlign w:val="center"/>
                </w:tcPr>
                <w:p w14:paraId="2934153F">
                  <w:pPr>
                    <w:pStyle w:val="4"/>
                    <w:spacing w:line="240" w:lineRule="auto"/>
                    <w:ind w:firstLine="0"/>
                    <w:jc w:val="center"/>
                    <w:rPr>
                      <w:rFonts w:ascii="Times New Roman" w:hAnsi="Times New Roman"/>
                      <w:sz w:val="21"/>
                      <w:szCs w:val="21"/>
                    </w:rPr>
                  </w:pPr>
                </w:p>
              </w:tc>
              <w:tc>
                <w:tcPr>
                  <w:tcW w:w="309" w:type="pct"/>
                  <w:vMerge w:val="continue"/>
                  <w:vAlign w:val="center"/>
                </w:tcPr>
                <w:p w14:paraId="45BBACA3">
                  <w:pPr>
                    <w:pStyle w:val="4"/>
                    <w:spacing w:line="240" w:lineRule="auto"/>
                    <w:ind w:firstLine="0"/>
                    <w:jc w:val="center"/>
                    <w:rPr>
                      <w:rFonts w:ascii="Times New Roman" w:hAnsi="Times New Roman"/>
                      <w:sz w:val="21"/>
                      <w:szCs w:val="21"/>
                    </w:rPr>
                  </w:pPr>
                </w:p>
              </w:tc>
              <w:tc>
                <w:tcPr>
                  <w:tcW w:w="423" w:type="pct"/>
                  <w:vMerge w:val="continue"/>
                  <w:vAlign w:val="center"/>
                </w:tcPr>
                <w:p w14:paraId="5AE109E1">
                  <w:pPr>
                    <w:pStyle w:val="4"/>
                    <w:spacing w:line="240" w:lineRule="auto"/>
                    <w:ind w:firstLine="0"/>
                    <w:jc w:val="center"/>
                    <w:rPr>
                      <w:rFonts w:ascii="Times New Roman" w:hAnsi="Times New Roman"/>
                      <w:sz w:val="21"/>
                      <w:szCs w:val="21"/>
                    </w:rPr>
                  </w:pPr>
                </w:p>
              </w:tc>
              <w:tc>
                <w:tcPr>
                  <w:tcW w:w="327" w:type="pct"/>
                  <w:vMerge w:val="continue"/>
                  <w:vAlign w:val="center"/>
                </w:tcPr>
                <w:p w14:paraId="0C64E821">
                  <w:pPr>
                    <w:pStyle w:val="4"/>
                    <w:spacing w:line="240" w:lineRule="auto"/>
                    <w:ind w:firstLine="0"/>
                    <w:jc w:val="center"/>
                    <w:rPr>
                      <w:rFonts w:ascii="Times New Roman" w:hAnsi="Times New Roman"/>
                      <w:sz w:val="21"/>
                      <w:szCs w:val="21"/>
                    </w:rPr>
                  </w:pPr>
                </w:p>
              </w:tc>
              <w:tc>
                <w:tcPr>
                  <w:tcW w:w="441" w:type="pct"/>
                  <w:vAlign w:val="center"/>
                </w:tcPr>
                <w:p w14:paraId="6CE2E663">
                  <w:pPr>
                    <w:pStyle w:val="4"/>
                    <w:spacing w:line="240" w:lineRule="auto"/>
                    <w:ind w:firstLine="0"/>
                    <w:jc w:val="center"/>
                    <w:rPr>
                      <w:rFonts w:ascii="Times New Roman" w:hAnsi="Times New Roman"/>
                      <w:b/>
                      <w:bCs/>
                      <w:sz w:val="21"/>
                      <w:szCs w:val="21"/>
                    </w:rPr>
                  </w:pPr>
                  <w:r>
                    <w:rPr>
                      <w:rFonts w:hint="eastAsia" w:ascii="Times New Roman" w:hAnsi="Times New Roman"/>
                      <w:b/>
                      <w:bCs/>
                      <w:sz w:val="21"/>
                      <w:szCs w:val="21"/>
                    </w:rPr>
                    <w:t>名称</w:t>
                  </w:r>
                </w:p>
              </w:tc>
              <w:tc>
                <w:tcPr>
                  <w:tcW w:w="565" w:type="pct"/>
                  <w:vAlign w:val="center"/>
                </w:tcPr>
                <w:p w14:paraId="3BD31CF3">
                  <w:pPr>
                    <w:pStyle w:val="4"/>
                    <w:spacing w:line="240" w:lineRule="auto"/>
                    <w:ind w:firstLine="0"/>
                    <w:jc w:val="center"/>
                    <w:rPr>
                      <w:rFonts w:ascii="Times New Roman" w:hAnsi="Times New Roman"/>
                      <w:b/>
                      <w:bCs/>
                      <w:sz w:val="21"/>
                      <w:szCs w:val="21"/>
                    </w:rPr>
                  </w:pPr>
                  <w:r>
                    <w:rPr>
                      <w:rFonts w:hint="eastAsia" w:ascii="Times New Roman" w:hAnsi="Times New Roman"/>
                      <w:b/>
                      <w:bCs/>
                      <w:sz w:val="21"/>
                      <w:szCs w:val="21"/>
                    </w:rPr>
                    <w:t>污染物种类</w:t>
                  </w:r>
                </w:p>
              </w:tc>
              <w:tc>
                <w:tcPr>
                  <w:tcW w:w="931" w:type="pct"/>
                  <w:vAlign w:val="center"/>
                </w:tcPr>
                <w:p w14:paraId="3A2B09AF">
                  <w:pPr>
                    <w:pStyle w:val="4"/>
                    <w:spacing w:line="240" w:lineRule="auto"/>
                    <w:ind w:firstLine="0"/>
                    <w:jc w:val="center"/>
                    <w:rPr>
                      <w:rFonts w:ascii="Times New Roman" w:hAnsi="Times New Roman"/>
                      <w:b/>
                      <w:bCs/>
                      <w:sz w:val="21"/>
                      <w:szCs w:val="21"/>
                    </w:rPr>
                  </w:pPr>
                  <w:r>
                    <w:rPr>
                      <w:rFonts w:hint="eastAsia" w:ascii="Times New Roman" w:hAnsi="Times New Roman"/>
                      <w:b/>
                      <w:bCs/>
                      <w:sz w:val="21"/>
                      <w:szCs w:val="21"/>
                    </w:rPr>
                    <w:t>国家或地方污染物排放标准浓度限值/（mg/L）</w:t>
                  </w:r>
                </w:p>
              </w:tc>
            </w:tr>
            <w:tr w14:paraId="499F7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restart"/>
                  <w:vAlign w:val="center"/>
                </w:tcPr>
                <w:p w14:paraId="61AE4468">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1</w:t>
                  </w:r>
                </w:p>
              </w:tc>
              <w:tc>
                <w:tcPr>
                  <w:tcW w:w="307" w:type="pct"/>
                  <w:vMerge w:val="restart"/>
                  <w:vAlign w:val="center"/>
                </w:tcPr>
                <w:p w14:paraId="485ABD0C">
                  <w:pPr>
                    <w:pStyle w:val="4"/>
                    <w:spacing w:line="240" w:lineRule="auto"/>
                    <w:ind w:firstLine="0"/>
                    <w:jc w:val="center"/>
                    <w:rPr>
                      <w:rFonts w:ascii="Times New Roman" w:hAnsi="Times New Roman"/>
                      <w:sz w:val="21"/>
                      <w:szCs w:val="21"/>
                    </w:rPr>
                  </w:pPr>
                  <w:r>
                    <w:rPr>
                      <w:rFonts w:ascii="Times New Roman" w:hAnsi="Times New Roman"/>
                      <w:sz w:val="21"/>
                      <w:szCs w:val="21"/>
                    </w:rPr>
                    <w:t>DW001</w:t>
                  </w:r>
                </w:p>
              </w:tc>
              <w:tc>
                <w:tcPr>
                  <w:tcW w:w="453" w:type="pct"/>
                  <w:vMerge w:val="restart"/>
                  <w:vAlign w:val="center"/>
                </w:tcPr>
                <w:p w14:paraId="1CD79707">
                  <w:pPr>
                    <w:jc w:val="center"/>
                    <w:rPr>
                      <w:color w:val="000000" w:themeColor="text1"/>
                      <w:sz w:val="21"/>
                      <w:szCs w:val="18"/>
                      <w14:textFill>
                        <w14:solidFill>
                          <w14:schemeClr w14:val="tx1"/>
                        </w14:solidFill>
                      </w14:textFill>
                    </w:rPr>
                  </w:pPr>
                  <w:r>
                    <w:rPr>
                      <w:rFonts w:hint="eastAsia"/>
                      <w:color w:val="000000" w:themeColor="text1"/>
                      <w:sz w:val="21"/>
                      <w:szCs w:val="21"/>
                      <w14:textFill>
                        <w14:solidFill>
                          <w14:schemeClr w14:val="tx1"/>
                        </w14:solidFill>
                      </w14:textFill>
                    </w:rPr>
                    <w:t>108°</w:t>
                  </w:r>
                  <w:r>
                    <w:rPr>
                      <w:color w:val="000000" w:themeColor="text1"/>
                      <w:sz w:val="21"/>
                      <w:szCs w:val="18"/>
                      <w14:textFill>
                        <w14:solidFill>
                          <w14:schemeClr w14:val="tx1"/>
                        </w14:solidFill>
                      </w14:textFill>
                    </w:rPr>
                    <w:t>46′20.964″</w:t>
                  </w:r>
                </w:p>
              </w:tc>
              <w:tc>
                <w:tcPr>
                  <w:tcW w:w="455" w:type="pct"/>
                  <w:vMerge w:val="restart"/>
                  <w:vAlign w:val="center"/>
                </w:tcPr>
                <w:p w14:paraId="148EAA8D">
                  <w:pPr>
                    <w:jc w:val="center"/>
                    <w:rPr>
                      <w:color w:val="000000" w:themeColor="text1"/>
                      <w:sz w:val="21"/>
                      <w:szCs w:val="18"/>
                      <w14:textFill>
                        <w14:solidFill>
                          <w14:schemeClr w14:val="tx1"/>
                        </w14:solidFill>
                      </w14:textFill>
                    </w:rPr>
                  </w:pPr>
                  <w:r>
                    <w:rPr>
                      <w:rFonts w:hint="eastAsia"/>
                      <w:color w:val="000000" w:themeColor="text1"/>
                      <w:sz w:val="21"/>
                      <w:szCs w:val="21"/>
                      <w14:textFill>
                        <w14:solidFill>
                          <w14:schemeClr w14:val="tx1"/>
                        </w14:solidFill>
                      </w14:textFill>
                    </w:rPr>
                    <w:t>34°</w:t>
                  </w:r>
                  <w:r>
                    <w:rPr>
                      <w:rFonts w:eastAsia="仿宋"/>
                      <w:color w:val="000000" w:themeColor="text1"/>
                      <w:sz w:val="21"/>
                      <w:szCs w:val="18"/>
                      <w14:textFill>
                        <w14:solidFill>
                          <w14:schemeClr w14:val="tx1"/>
                        </w14:solidFill>
                      </w14:textFill>
                    </w:rPr>
                    <w:t>15′42.674″</w:t>
                  </w:r>
                </w:p>
              </w:tc>
              <w:tc>
                <w:tcPr>
                  <w:tcW w:w="476" w:type="pct"/>
                  <w:vMerge w:val="restart"/>
                  <w:vAlign w:val="center"/>
                </w:tcPr>
                <w:p w14:paraId="3EFEDBDC">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0.0786154</w:t>
                  </w:r>
                </w:p>
              </w:tc>
              <w:tc>
                <w:tcPr>
                  <w:tcW w:w="309" w:type="pct"/>
                  <w:vMerge w:val="restart"/>
                  <w:vAlign w:val="center"/>
                </w:tcPr>
                <w:p w14:paraId="691744DA">
                  <w:pPr>
                    <w:pStyle w:val="4"/>
                    <w:spacing w:line="240" w:lineRule="auto"/>
                    <w:ind w:firstLine="0"/>
                    <w:jc w:val="center"/>
                    <w:rPr>
                      <w:rFonts w:ascii="Times New Roman" w:hAnsi="Times New Roman"/>
                      <w:sz w:val="21"/>
                      <w:szCs w:val="21"/>
                    </w:rPr>
                  </w:pPr>
                  <w:r>
                    <w:rPr>
                      <w:rFonts w:ascii="Times New Roman" w:hAnsi="Times New Roman"/>
                      <w:sz w:val="21"/>
                      <w:szCs w:val="21"/>
                    </w:rPr>
                    <w:t>市政污水管网</w:t>
                  </w:r>
                </w:p>
              </w:tc>
              <w:tc>
                <w:tcPr>
                  <w:tcW w:w="423" w:type="pct"/>
                  <w:vMerge w:val="restart"/>
                  <w:vAlign w:val="center"/>
                </w:tcPr>
                <w:p w14:paraId="2110687C">
                  <w:pPr>
                    <w:pStyle w:val="4"/>
                    <w:spacing w:line="240" w:lineRule="auto"/>
                    <w:ind w:firstLine="0"/>
                    <w:jc w:val="center"/>
                    <w:rPr>
                      <w:rFonts w:ascii="Times New Roman" w:hAnsi="Times New Roman"/>
                      <w:sz w:val="21"/>
                      <w:szCs w:val="21"/>
                    </w:rPr>
                  </w:pPr>
                  <w:r>
                    <w:rPr>
                      <w:rFonts w:ascii="Times New Roman" w:hAnsi="Times New Roman"/>
                      <w:sz w:val="21"/>
                      <w:szCs w:val="21"/>
                    </w:rPr>
                    <w:t>间断排放，流量不稳定</w:t>
                  </w:r>
                </w:p>
              </w:tc>
              <w:tc>
                <w:tcPr>
                  <w:tcW w:w="327" w:type="pct"/>
                  <w:vMerge w:val="restart"/>
                  <w:vAlign w:val="center"/>
                </w:tcPr>
                <w:p w14:paraId="3097A8CC">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8:30~17:30</w:t>
                  </w:r>
                </w:p>
              </w:tc>
              <w:tc>
                <w:tcPr>
                  <w:tcW w:w="441" w:type="pct"/>
                  <w:vMerge w:val="restart"/>
                  <w:vAlign w:val="center"/>
                </w:tcPr>
                <w:p w14:paraId="629BC3C5">
                  <w:pPr>
                    <w:pStyle w:val="4"/>
                    <w:spacing w:line="240" w:lineRule="auto"/>
                    <w:ind w:firstLine="0"/>
                    <w:jc w:val="center"/>
                    <w:rPr>
                      <w:rFonts w:ascii="Times New Roman" w:hAnsi="Times New Roman"/>
                      <w:sz w:val="21"/>
                      <w:szCs w:val="21"/>
                    </w:rPr>
                  </w:pPr>
                  <w:r>
                    <w:rPr>
                      <w:rFonts w:hint="eastAsia"/>
                      <w:sz w:val="21"/>
                      <w:szCs w:val="21"/>
                    </w:rPr>
                    <w:t>西安净水处理有限责任公司第六再生水厂</w:t>
                  </w:r>
                </w:p>
              </w:tc>
              <w:tc>
                <w:tcPr>
                  <w:tcW w:w="565" w:type="pct"/>
                  <w:vAlign w:val="center"/>
                </w:tcPr>
                <w:p w14:paraId="70F911E0">
                  <w:pPr>
                    <w:pStyle w:val="4"/>
                    <w:spacing w:line="240" w:lineRule="auto"/>
                    <w:ind w:firstLine="0"/>
                    <w:jc w:val="center"/>
                    <w:rPr>
                      <w:rFonts w:ascii="Times New Roman" w:hAnsi="Times New Roman"/>
                      <w:b/>
                      <w:bCs/>
                      <w:sz w:val="21"/>
                      <w:szCs w:val="21"/>
                    </w:rPr>
                  </w:pPr>
                  <w:r>
                    <w:rPr>
                      <w:rFonts w:hint="eastAsia" w:ascii="Times New Roman" w:hAnsi="Times New Roman"/>
                      <w:sz w:val="21"/>
                      <w:szCs w:val="21"/>
                    </w:rPr>
                    <w:t>pH</w:t>
                  </w:r>
                </w:p>
              </w:tc>
              <w:tc>
                <w:tcPr>
                  <w:tcW w:w="931" w:type="pct"/>
                  <w:vAlign w:val="center"/>
                </w:tcPr>
                <w:p w14:paraId="2C8BE443">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6~9（无量纲）</w:t>
                  </w:r>
                </w:p>
              </w:tc>
            </w:tr>
            <w:tr w14:paraId="483EB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4391EA50">
                  <w:pPr>
                    <w:pStyle w:val="4"/>
                    <w:spacing w:line="240" w:lineRule="auto"/>
                    <w:ind w:firstLine="0"/>
                    <w:jc w:val="center"/>
                    <w:rPr>
                      <w:rFonts w:ascii="Times New Roman" w:hAnsi="Times New Roman"/>
                      <w:sz w:val="21"/>
                      <w:szCs w:val="21"/>
                    </w:rPr>
                  </w:pPr>
                </w:p>
              </w:tc>
              <w:tc>
                <w:tcPr>
                  <w:tcW w:w="307" w:type="pct"/>
                  <w:vMerge w:val="continue"/>
                  <w:vAlign w:val="center"/>
                </w:tcPr>
                <w:p w14:paraId="354E4113">
                  <w:pPr>
                    <w:pStyle w:val="4"/>
                    <w:spacing w:line="240" w:lineRule="auto"/>
                    <w:ind w:firstLine="0"/>
                    <w:jc w:val="center"/>
                    <w:rPr>
                      <w:rFonts w:ascii="Times New Roman" w:hAnsi="Times New Roman"/>
                      <w:sz w:val="21"/>
                      <w:szCs w:val="21"/>
                    </w:rPr>
                  </w:pPr>
                </w:p>
              </w:tc>
              <w:tc>
                <w:tcPr>
                  <w:tcW w:w="453" w:type="pct"/>
                  <w:vMerge w:val="continue"/>
                  <w:vAlign w:val="center"/>
                </w:tcPr>
                <w:p w14:paraId="4EDC0580">
                  <w:pPr>
                    <w:jc w:val="center"/>
                    <w:rPr>
                      <w:sz w:val="21"/>
                      <w:szCs w:val="18"/>
                    </w:rPr>
                  </w:pPr>
                </w:p>
              </w:tc>
              <w:tc>
                <w:tcPr>
                  <w:tcW w:w="455" w:type="pct"/>
                  <w:vMerge w:val="continue"/>
                  <w:vAlign w:val="center"/>
                </w:tcPr>
                <w:p w14:paraId="1E43B826">
                  <w:pPr>
                    <w:jc w:val="center"/>
                    <w:rPr>
                      <w:sz w:val="21"/>
                      <w:szCs w:val="18"/>
                    </w:rPr>
                  </w:pPr>
                </w:p>
              </w:tc>
              <w:tc>
                <w:tcPr>
                  <w:tcW w:w="476" w:type="pct"/>
                  <w:vMerge w:val="continue"/>
                  <w:vAlign w:val="center"/>
                </w:tcPr>
                <w:p w14:paraId="47DF65B1">
                  <w:pPr>
                    <w:pStyle w:val="4"/>
                    <w:spacing w:line="240" w:lineRule="auto"/>
                    <w:ind w:firstLine="0"/>
                    <w:jc w:val="center"/>
                    <w:rPr>
                      <w:rFonts w:ascii="Times New Roman" w:hAnsi="Times New Roman"/>
                      <w:sz w:val="21"/>
                      <w:szCs w:val="21"/>
                    </w:rPr>
                  </w:pPr>
                </w:p>
              </w:tc>
              <w:tc>
                <w:tcPr>
                  <w:tcW w:w="309" w:type="pct"/>
                  <w:vMerge w:val="continue"/>
                  <w:vAlign w:val="center"/>
                </w:tcPr>
                <w:p w14:paraId="5583D151">
                  <w:pPr>
                    <w:pStyle w:val="4"/>
                    <w:spacing w:line="240" w:lineRule="auto"/>
                    <w:ind w:firstLine="0"/>
                    <w:jc w:val="center"/>
                    <w:rPr>
                      <w:rFonts w:ascii="Times New Roman" w:hAnsi="Times New Roman"/>
                      <w:sz w:val="21"/>
                      <w:szCs w:val="21"/>
                    </w:rPr>
                  </w:pPr>
                </w:p>
              </w:tc>
              <w:tc>
                <w:tcPr>
                  <w:tcW w:w="423" w:type="pct"/>
                  <w:vMerge w:val="continue"/>
                  <w:vAlign w:val="center"/>
                </w:tcPr>
                <w:p w14:paraId="7540DF1F">
                  <w:pPr>
                    <w:pStyle w:val="4"/>
                    <w:spacing w:line="240" w:lineRule="auto"/>
                    <w:ind w:firstLine="0"/>
                    <w:jc w:val="center"/>
                    <w:rPr>
                      <w:rFonts w:ascii="Times New Roman" w:hAnsi="Times New Roman"/>
                      <w:sz w:val="21"/>
                      <w:szCs w:val="21"/>
                    </w:rPr>
                  </w:pPr>
                </w:p>
              </w:tc>
              <w:tc>
                <w:tcPr>
                  <w:tcW w:w="327" w:type="pct"/>
                  <w:vMerge w:val="continue"/>
                  <w:vAlign w:val="center"/>
                </w:tcPr>
                <w:p w14:paraId="55B8371B">
                  <w:pPr>
                    <w:pStyle w:val="4"/>
                    <w:spacing w:line="240" w:lineRule="auto"/>
                    <w:ind w:firstLine="0"/>
                    <w:jc w:val="center"/>
                    <w:rPr>
                      <w:rFonts w:ascii="Times New Roman" w:hAnsi="Times New Roman"/>
                      <w:sz w:val="21"/>
                      <w:szCs w:val="21"/>
                    </w:rPr>
                  </w:pPr>
                </w:p>
              </w:tc>
              <w:tc>
                <w:tcPr>
                  <w:tcW w:w="441" w:type="pct"/>
                  <w:vMerge w:val="continue"/>
                  <w:vAlign w:val="center"/>
                </w:tcPr>
                <w:p w14:paraId="5931AB86">
                  <w:pPr>
                    <w:pStyle w:val="4"/>
                    <w:spacing w:line="240" w:lineRule="auto"/>
                    <w:ind w:firstLine="0"/>
                    <w:jc w:val="center"/>
                    <w:rPr>
                      <w:sz w:val="21"/>
                      <w:szCs w:val="21"/>
                    </w:rPr>
                  </w:pPr>
                </w:p>
              </w:tc>
              <w:tc>
                <w:tcPr>
                  <w:tcW w:w="565" w:type="pct"/>
                  <w:vAlign w:val="center"/>
                </w:tcPr>
                <w:p w14:paraId="7F2D47D5">
                  <w:pPr>
                    <w:pStyle w:val="4"/>
                    <w:spacing w:line="240" w:lineRule="auto"/>
                    <w:ind w:firstLine="0"/>
                    <w:jc w:val="center"/>
                    <w:rPr>
                      <w:rFonts w:ascii="Times New Roman" w:hAnsi="Times New Roman"/>
                      <w:sz w:val="21"/>
                      <w:szCs w:val="21"/>
                    </w:rPr>
                  </w:pPr>
                  <w:r>
                    <w:rPr>
                      <w:rFonts w:ascii="Times New Roman" w:hAnsi="Times New Roman"/>
                      <w:sz w:val="21"/>
                      <w:szCs w:val="21"/>
                    </w:rPr>
                    <w:t>COD</w:t>
                  </w:r>
                </w:p>
              </w:tc>
              <w:tc>
                <w:tcPr>
                  <w:tcW w:w="931" w:type="pct"/>
                  <w:vAlign w:val="center"/>
                </w:tcPr>
                <w:p w14:paraId="2CE6FC6D">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30</w:t>
                  </w:r>
                </w:p>
              </w:tc>
            </w:tr>
            <w:tr w14:paraId="7056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238BE317">
                  <w:pPr>
                    <w:pStyle w:val="4"/>
                    <w:spacing w:line="240" w:lineRule="auto"/>
                    <w:ind w:firstLine="0"/>
                    <w:jc w:val="center"/>
                    <w:rPr>
                      <w:rFonts w:ascii="Times New Roman" w:hAnsi="Times New Roman"/>
                      <w:sz w:val="21"/>
                      <w:szCs w:val="21"/>
                    </w:rPr>
                  </w:pPr>
                </w:p>
              </w:tc>
              <w:tc>
                <w:tcPr>
                  <w:tcW w:w="307" w:type="pct"/>
                  <w:vMerge w:val="continue"/>
                  <w:vAlign w:val="center"/>
                </w:tcPr>
                <w:p w14:paraId="488DA026">
                  <w:pPr>
                    <w:pStyle w:val="4"/>
                    <w:spacing w:line="240" w:lineRule="auto"/>
                    <w:ind w:firstLine="0"/>
                    <w:jc w:val="center"/>
                    <w:rPr>
                      <w:rFonts w:ascii="Times New Roman" w:hAnsi="Times New Roman"/>
                      <w:sz w:val="21"/>
                      <w:szCs w:val="21"/>
                    </w:rPr>
                  </w:pPr>
                </w:p>
              </w:tc>
              <w:tc>
                <w:tcPr>
                  <w:tcW w:w="453" w:type="pct"/>
                  <w:vMerge w:val="continue"/>
                  <w:vAlign w:val="center"/>
                </w:tcPr>
                <w:p w14:paraId="1DE71775">
                  <w:pPr>
                    <w:jc w:val="center"/>
                    <w:rPr>
                      <w:sz w:val="21"/>
                      <w:szCs w:val="18"/>
                    </w:rPr>
                  </w:pPr>
                </w:p>
              </w:tc>
              <w:tc>
                <w:tcPr>
                  <w:tcW w:w="455" w:type="pct"/>
                  <w:vMerge w:val="continue"/>
                  <w:vAlign w:val="center"/>
                </w:tcPr>
                <w:p w14:paraId="0703783F">
                  <w:pPr>
                    <w:jc w:val="center"/>
                    <w:rPr>
                      <w:sz w:val="21"/>
                      <w:szCs w:val="18"/>
                    </w:rPr>
                  </w:pPr>
                </w:p>
              </w:tc>
              <w:tc>
                <w:tcPr>
                  <w:tcW w:w="476" w:type="pct"/>
                  <w:vMerge w:val="continue"/>
                  <w:vAlign w:val="center"/>
                </w:tcPr>
                <w:p w14:paraId="02178A3B">
                  <w:pPr>
                    <w:pStyle w:val="4"/>
                    <w:spacing w:line="240" w:lineRule="auto"/>
                    <w:ind w:firstLine="0"/>
                    <w:jc w:val="center"/>
                    <w:rPr>
                      <w:rFonts w:ascii="Times New Roman" w:hAnsi="Times New Roman"/>
                      <w:sz w:val="21"/>
                      <w:szCs w:val="21"/>
                    </w:rPr>
                  </w:pPr>
                </w:p>
              </w:tc>
              <w:tc>
                <w:tcPr>
                  <w:tcW w:w="309" w:type="pct"/>
                  <w:vMerge w:val="continue"/>
                  <w:vAlign w:val="center"/>
                </w:tcPr>
                <w:p w14:paraId="095BA626">
                  <w:pPr>
                    <w:pStyle w:val="4"/>
                    <w:spacing w:line="240" w:lineRule="auto"/>
                    <w:ind w:firstLine="0"/>
                    <w:jc w:val="center"/>
                    <w:rPr>
                      <w:rFonts w:ascii="Times New Roman" w:hAnsi="Times New Roman"/>
                      <w:sz w:val="21"/>
                      <w:szCs w:val="21"/>
                    </w:rPr>
                  </w:pPr>
                </w:p>
              </w:tc>
              <w:tc>
                <w:tcPr>
                  <w:tcW w:w="423" w:type="pct"/>
                  <w:vMerge w:val="continue"/>
                  <w:vAlign w:val="center"/>
                </w:tcPr>
                <w:p w14:paraId="03491B99">
                  <w:pPr>
                    <w:pStyle w:val="4"/>
                    <w:spacing w:line="240" w:lineRule="auto"/>
                    <w:ind w:firstLine="0"/>
                    <w:jc w:val="center"/>
                    <w:rPr>
                      <w:rFonts w:ascii="Times New Roman" w:hAnsi="Times New Roman"/>
                      <w:sz w:val="21"/>
                      <w:szCs w:val="21"/>
                    </w:rPr>
                  </w:pPr>
                </w:p>
              </w:tc>
              <w:tc>
                <w:tcPr>
                  <w:tcW w:w="327" w:type="pct"/>
                  <w:vMerge w:val="continue"/>
                  <w:vAlign w:val="center"/>
                </w:tcPr>
                <w:p w14:paraId="609A5ABD">
                  <w:pPr>
                    <w:pStyle w:val="4"/>
                    <w:spacing w:line="240" w:lineRule="auto"/>
                    <w:ind w:firstLine="0"/>
                    <w:jc w:val="center"/>
                    <w:rPr>
                      <w:rFonts w:ascii="Times New Roman" w:hAnsi="Times New Roman"/>
                      <w:sz w:val="21"/>
                      <w:szCs w:val="21"/>
                    </w:rPr>
                  </w:pPr>
                </w:p>
              </w:tc>
              <w:tc>
                <w:tcPr>
                  <w:tcW w:w="441" w:type="pct"/>
                  <w:vMerge w:val="continue"/>
                  <w:vAlign w:val="center"/>
                </w:tcPr>
                <w:p w14:paraId="7C1D1CAA">
                  <w:pPr>
                    <w:pStyle w:val="4"/>
                    <w:spacing w:line="240" w:lineRule="auto"/>
                    <w:ind w:firstLine="0"/>
                    <w:jc w:val="center"/>
                    <w:rPr>
                      <w:sz w:val="21"/>
                      <w:szCs w:val="21"/>
                    </w:rPr>
                  </w:pPr>
                </w:p>
              </w:tc>
              <w:tc>
                <w:tcPr>
                  <w:tcW w:w="565" w:type="pct"/>
                  <w:vAlign w:val="center"/>
                </w:tcPr>
                <w:p w14:paraId="3C30C9F3">
                  <w:pPr>
                    <w:pStyle w:val="4"/>
                    <w:spacing w:line="240" w:lineRule="auto"/>
                    <w:ind w:firstLine="0"/>
                    <w:jc w:val="center"/>
                    <w:rPr>
                      <w:rFonts w:ascii="Times New Roman" w:hAnsi="Times New Roman"/>
                      <w:sz w:val="21"/>
                      <w:szCs w:val="21"/>
                    </w:rPr>
                  </w:pPr>
                  <w:r>
                    <w:rPr>
                      <w:rFonts w:ascii="Times New Roman" w:hAnsi="Times New Roman"/>
                      <w:sz w:val="21"/>
                      <w:szCs w:val="21"/>
                    </w:rPr>
                    <w:t>BOD</w:t>
                  </w:r>
                  <w:r>
                    <w:rPr>
                      <w:rFonts w:ascii="Times New Roman" w:hAnsi="Times New Roman"/>
                      <w:sz w:val="21"/>
                      <w:szCs w:val="21"/>
                      <w:vertAlign w:val="subscript"/>
                    </w:rPr>
                    <w:t>5</w:t>
                  </w:r>
                </w:p>
              </w:tc>
              <w:tc>
                <w:tcPr>
                  <w:tcW w:w="931" w:type="pct"/>
                  <w:vAlign w:val="center"/>
                </w:tcPr>
                <w:p w14:paraId="57335F78">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6</w:t>
                  </w:r>
                </w:p>
              </w:tc>
            </w:tr>
            <w:tr w14:paraId="728A1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6B128881">
                  <w:pPr>
                    <w:pStyle w:val="4"/>
                    <w:spacing w:line="240" w:lineRule="auto"/>
                    <w:ind w:firstLine="0"/>
                    <w:jc w:val="center"/>
                    <w:rPr>
                      <w:rFonts w:ascii="Times New Roman" w:hAnsi="Times New Roman"/>
                      <w:sz w:val="21"/>
                      <w:szCs w:val="21"/>
                    </w:rPr>
                  </w:pPr>
                </w:p>
              </w:tc>
              <w:tc>
                <w:tcPr>
                  <w:tcW w:w="307" w:type="pct"/>
                  <w:vMerge w:val="continue"/>
                  <w:vAlign w:val="center"/>
                </w:tcPr>
                <w:p w14:paraId="183D14DF">
                  <w:pPr>
                    <w:pStyle w:val="4"/>
                    <w:spacing w:line="240" w:lineRule="auto"/>
                    <w:ind w:firstLine="0"/>
                    <w:jc w:val="center"/>
                    <w:rPr>
                      <w:rFonts w:ascii="Times New Roman" w:hAnsi="Times New Roman"/>
                      <w:sz w:val="21"/>
                      <w:szCs w:val="21"/>
                    </w:rPr>
                  </w:pPr>
                </w:p>
              </w:tc>
              <w:tc>
                <w:tcPr>
                  <w:tcW w:w="453" w:type="pct"/>
                  <w:vMerge w:val="continue"/>
                  <w:vAlign w:val="center"/>
                </w:tcPr>
                <w:p w14:paraId="1F6A588A">
                  <w:pPr>
                    <w:jc w:val="center"/>
                    <w:rPr>
                      <w:sz w:val="21"/>
                      <w:szCs w:val="18"/>
                    </w:rPr>
                  </w:pPr>
                </w:p>
              </w:tc>
              <w:tc>
                <w:tcPr>
                  <w:tcW w:w="455" w:type="pct"/>
                  <w:vMerge w:val="continue"/>
                  <w:vAlign w:val="center"/>
                </w:tcPr>
                <w:p w14:paraId="6C4E219C">
                  <w:pPr>
                    <w:jc w:val="center"/>
                    <w:rPr>
                      <w:sz w:val="21"/>
                      <w:szCs w:val="18"/>
                    </w:rPr>
                  </w:pPr>
                </w:p>
              </w:tc>
              <w:tc>
                <w:tcPr>
                  <w:tcW w:w="476" w:type="pct"/>
                  <w:vMerge w:val="continue"/>
                  <w:vAlign w:val="center"/>
                </w:tcPr>
                <w:p w14:paraId="21384250">
                  <w:pPr>
                    <w:pStyle w:val="4"/>
                    <w:spacing w:line="240" w:lineRule="auto"/>
                    <w:ind w:firstLine="0"/>
                    <w:jc w:val="center"/>
                    <w:rPr>
                      <w:rFonts w:ascii="Times New Roman" w:hAnsi="Times New Roman"/>
                      <w:sz w:val="21"/>
                      <w:szCs w:val="21"/>
                    </w:rPr>
                  </w:pPr>
                </w:p>
              </w:tc>
              <w:tc>
                <w:tcPr>
                  <w:tcW w:w="309" w:type="pct"/>
                  <w:vMerge w:val="continue"/>
                  <w:vAlign w:val="center"/>
                </w:tcPr>
                <w:p w14:paraId="67EBAC4B">
                  <w:pPr>
                    <w:pStyle w:val="4"/>
                    <w:spacing w:line="240" w:lineRule="auto"/>
                    <w:ind w:firstLine="0"/>
                    <w:jc w:val="center"/>
                    <w:rPr>
                      <w:rFonts w:ascii="Times New Roman" w:hAnsi="Times New Roman"/>
                      <w:sz w:val="21"/>
                      <w:szCs w:val="21"/>
                    </w:rPr>
                  </w:pPr>
                </w:p>
              </w:tc>
              <w:tc>
                <w:tcPr>
                  <w:tcW w:w="423" w:type="pct"/>
                  <w:vMerge w:val="continue"/>
                  <w:vAlign w:val="center"/>
                </w:tcPr>
                <w:p w14:paraId="4E24EF72">
                  <w:pPr>
                    <w:pStyle w:val="4"/>
                    <w:spacing w:line="240" w:lineRule="auto"/>
                    <w:ind w:firstLine="0"/>
                    <w:jc w:val="center"/>
                    <w:rPr>
                      <w:rFonts w:ascii="Times New Roman" w:hAnsi="Times New Roman"/>
                      <w:sz w:val="21"/>
                      <w:szCs w:val="21"/>
                    </w:rPr>
                  </w:pPr>
                </w:p>
              </w:tc>
              <w:tc>
                <w:tcPr>
                  <w:tcW w:w="327" w:type="pct"/>
                  <w:vMerge w:val="continue"/>
                  <w:vAlign w:val="center"/>
                </w:tcPr>
                <w:p w14:paraId="171EC26E">
                  <w:pPr>
                    <w:pStyle w:val="4"/>
                    <w:spacing w:line="240" w:lineRule="auto"/>
                    <w:ind w:firstLine="0"/>
                    <w:jc w:val="center"/>
                    <w:rPr>
                      <w:rFonts w:ascii="Times New Roman" w:hAnsi="Times New Roman"/>
                      <w:sz w:val="21"/>
                      <w:szCs w:val="21"/>
                    </w:rPr>
                  </w:pPr>
                </w:p>
              </w:tc>
              <w:tc>
                <w:tcPr>
                  <w:tcW w:w="441" w:type="pct"/>
                  <w:vMerge w:val="continue"/>
                  <w:vAlign w:val="center"/>
                </w:tcPr>
                <w:p w14:paraId="5A88BB1B">
                  <w:pPr>
                    <w:pStyle w:val="4"/>
                    <w:spacing w:line="240" w:lineRule="auto"/>
                    <w:ind w:firstLine="0"/>
                    <w:jc w:val="center"/>
                    <w:rPr>
                      <w:sz w:val="21"/>
                      <w:szCs w:val="21"/>
                    </w:rPr>
                  </w:pPr>
                </w:p>
              </w:tc>
              <w:tc>
                <w:tcPr>
                  <w:tcW w:w="565" w:type="pct"/>
                  <w:vAlign w:val="center"/>
                </w:tcPr>
                <w:p w14:paraId="674672A7">
                  <w:pPr>
                    <w:pStyle w:val="4"/>
                    <w:spacing w:line="240" w:lineRule="auto"/>
                    <w:ind w:firstLine="0"/>
                    <w:jc w:val="center"/>
                    <w:rPr>
                      <w:rFonts w:ascii="Times New Roman" w:hAnsi="Times New Roman"/>
                      <w:sz w:val="21"/>
                      <w:szCs w:val="21"/>
                    </w:rPr>
                  </w:pPr>
                  <w:r>
                    <w:rPr>
                      <w:rFonts w:ascii="Times New Roman" w:hAnsi="Times New Roman"/>
                      <w:sz w:val="21"/>
                      <w:szCs w:val="21"/>
                    </w:rPr>
                    <w:t>SS</w:t>
                  </w:r>
                </w:p>
              </w:tc>
              <w:tc>
                <w:tcPr>
                  <w:tcW w:w="931" w:type="pct"/>
                  <w:vAlign w:val="center"/>
                </w:tcPr>
                <w:p w14:paraId="589C424D">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10</w:t>
                  </w:r>
                </w:p>
              </w:tc>
            </w:tr>
            <w:tr w14:paraId="1AAF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4AF542D3">
                  <w:pPr>
                    <w:pStyle w:val="4"/>
                    <w:spacing w:line="240" w:lineRule="auto"/>
                    <w:ind w:firstLine="0"/>
                    <w:jc w:val="center"/>
                    <w:rPr>
                      <w:rFonts w:ascii="Times New Roman" w:hAnsi="Times New Roman"/>
                      <w:sz w:val="21"/>
                      <w:szCs w:val="21"/>
                    </w:rPr>
                  </w:pPr>
                </w:p>
              </w:tc>
              <w:tc>
                <w:tcPr>
                  <w:tcW w:w="307" w:type="pct"/>
                  <w:vMerge w:val="continue"/>
                  <w:vAlign w:val="center"/>
                </w:tcPr>
                <w:p w14:paraId="6014B601">
                  <w:pPr>
                    <w:pStyle w:val="4"/>
                    <w:spacing w:line="240" w:lineRule="auto"/>
                    <w:ind w:firstLine="0"/>
                    <w:jc w:val="center"/>
                    <w:rPr>
                      <w:rFonts w:ascii="Times New Roman" w:hAnsi="Times New Roman"/>
                      <w:sz w:val="21"/>
                      <w:szCs w:val="21"/>
                    </w:rPr>
                  </w:pPr>
                </w:p>
              </w:tc>
              <w:tc>
                <w:tcPr>
                  <w:tcW w:w="453" w:type="pct"/>
                  <w:vMerge w:val="continue"/>
                  <w:vAlign w:val="center"/>
                </w:tcPr>
                <w:p w14:paraId="066DBB31">
                  <w:pPr>
                    <w:jc w:val="center"/>
                    <w:rPr>
                      <w:sz w:val="21"/>
                      <w:szCs w:val="18"/>
                    </w:rPr>
                  </w:pPr>
                </w:p>
              </w:tc>
              <w:tc>
                <w:tcPr>
                  <w:tcW w:w="455" w:type="pct"/>
                  <w:vMerge w:val="continue"/>
                  <w:vAlign w:val="center"/>
                </w:tcPr>
                <w:p w14:paraId="06A7F53A">
                  <w:pPr>
                    <w:jc w:val="center"/>
                    <w:rPr>
                      <w:sz w:val="21"/>
                      <w:szCs w:val="18"/>
                    </w:rPr>
                  </w:pPr>
                </w:p>
              </w:tc>
              <w:tc>
                <w:tcPr>
                  <w:tcW w:w="476" w:type="pct"/>
                  <w:vMerge w:val="continue"/>
                  <w:vAlign w:val="center"/>
                </w:tcPr>
                <w:p w14:paraId="47C23A9E">
                  <w:pPr>
                    <w:pStyle w:val="4"/>
                    <w:spacing w:line="240" w:lineRule="auto"/>
                    <w:ind w:firstLine="0"/>
                    <w:jc w:val="center"/>
                    <w:rPr>
                      <w:rFonts w:ascii="Times New Roman" w:hAnsi="Times New Roman"/>
                      <w:sz w:val="21"/>
                      <w:szCs w:val="21"/>
                    </w:rPr>
                  </w:pPr>
                </w:p>
              </w:tc>
              <w:tc>
                <w:tcPr>
                  <w:tcW w:w="309" w:type="pct"/>
                  <w:vMerge w:val="continue"/>
                  <w:vAlign w:val="center"/>
                </w:tcPr>
                <w:p w14:paraId="0B5A7B9F">
                  <w:pPr>
                    <w:pStyle w:val="4"/>
                    <w:spacing w:line="240" w:lineRule="auto"/>
                    <w:ind w:firstLine="0"/>
                    <w:jc w:val="center"/>
                    <w:rPr>
                      <w:rFonts w:ascii="Times New Roman" w:hAnsi="Times New Roman"/>
                      <w:sz w:val="21"/>
                      <w:szCs w:val="21"/>
                    </w:rPr>
                  </w:pPr>
                </w:p>
              </w:tc>
              <w:tc>
                <w:tcPr>
                  <w:tcW w:w="423" w:type="pct"/>
                  <w:vMerge w:val="continue"/>
                  <w:vAlign w:val="center"/>
                </w:tcPr>
                <w:p w14:paraId="469BE7E7">
                  <w:pPr>
                    <w:pStyle w:val="4"/>
                    <w:spacing w:line="240" w:lineRule="auto"/>
                    <w:ind w:firstLine="0"/>
                    <w:jc w:val="center"/>
                    <w:rPr>
                      <w:rFonts w:ascii="Times New Roman" w:hAnsi="Times New Roman"/>
                      <w:sz w:val="21"/>
                      <w:szCs w:val="21"/>
                    </w:rPr>
                  </w:pPr>
                </w:p>
              </w:tc>
              <w:tc>
                <w:tcPr>
                  <w:tcW w:w="327" w:type="pct"/>
                  <w:vMerge w:val="continue"/>
                  <w:vAlign w:val="center"/>
                </w:tcPr>
                <w:p w14:paraId="3A8FD025">
                  <w:pPr>
                    <w:pStyle w:val="4"/>
                    <w:spacing w:line="240" w:lineRule="auto"/>
                    <w:ind w:firstLine="0"/>
                    <w:jc w:val="center"/>
                    <w:rPr>
                      <w:rFonts w:ascii="Times New Roman" w:hAnsi="Times New Roman"/>
                      <w:sz w:val="21"/>
                      <w:szCs w:val="21"/>
                    </w:rPr>
                  </w:pPr>
                </w:p>
              </w:tc>
              <w:tc>
                <w:tcPr>
                  <w:tcW w:w="441" w:type="pct"/>
                  <w:vMerge w:val="continue"/>
                  <w:vAlign w:val="center"/>
                </w:tcPr>
                <w:p w14:paraId="52AC6415">
                  <w:pPr>
                    <w:pStyle w:val="4"/>
                    <w:spacing w:line="240" w:lineRule="auto"/>
                    <w:ind w:firstLine="0"/>
                    <w:jc w:val="center"/>
                    <w:rPr>
                      <w:sz w:val="21"/>
                      <w:szCs w:val="21"/>
                    </w:rPr>
                  </w:pPr>
                </w:p>
              </w:tc>
              <w:tc>
                <w:tcPr>
                  <w:tcW w:w="565" w:type="pct"/>
                  <w:vAlign w:val="center"/>
                </w:tcPr>
                <w:p w14:paraId="4312B5CE">
                  <w:pPr>
                    <w:pStyle w:val="4"/>
                    <w:spacing w:line="240" w:lineRule="auto"/>
                    <w:ind w:firstLine="0"/>
                    <w:jc w:val="center"/>
                    <w:rPr>
                      <w:rFonts w:ascii="Times New Roman" w:hAnsi="Times New Roman"/>
                      <w:sz w:val="21"/>
                      <w:szCs w:val="21"/>
                    </w:rPr>
                  </w:pPr>
                  <w:r>
                    <w:rPr>
                      <w:rFonts w:ascii="Times New Roman" w:hAnsi="Times New Roman"/>
                      <w:sz w:val="21"/>
                      <w:szCs w:val="21"/>
                    </w:rPr>
                    <w:t>NH</w:t>
                  </w:r>
                  <w:r>
                    <w:rPr>
                      <w:rFonts w:ascii="Times New Roman" w:hAnsi="Times New Roman"/>
                      <w:sz w:val="21"/>
                      <w:szCs w:val="21"/>
                      <w:vertAlign w:val="subscript"/>
                    </w:rPr>
                    <w:t>3</w:t>
                  </w:r>
                  <w:r>
                    <w:rPr>
                      <w:rFonts w:ascii="Times New Roman" w:hAnsi="Times New Roman"/>
                      <w:sz w:val="21"/>
                      <w:szCs w:val="21"/>
                    </w:rPr>
                    <w:t>-N</w:t>
                  </w:r>
                </w:p>
              </w:tc>
              <w:tc>
                <w:tcPr>
                  <w:tcW w:w="931" w:type="pct"/>
                  <w:vAlign w:val="center"/>
                </w:tcPr>
                <w:p w14:paraId="1CBF17E0">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1.5</w:t>
                  </w:r>
                </w:p>
              </w:tc>
            </w:tr>
            <w:tr w14:paraId="6068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280CCDEC">
                  <w:pPr>
                    <w:pStyle w:val="4"/>
                    <w:spacing w:line="240" w:lineRule="auto"/>
                    <w:ind w:firstLine="0"/>
                    <w:jc w:val="center"/>
                    <w:rPr>
                      <w:rFonts w:ascii="Times New Roman" w:hAnsi="Times New Roman"/>
                      <w:sz w:val="21"/>
                      <w:szCs w:val="21"/>
                    </w:rPr>
                  </w:pPr>
                </w:p>
              </w:tc>
              <w:tc>
                <w:tcPr>
                  <w:tcW w:w="307" w:type="pct"/>
                  <w:vMerge w:val="continue"/>
                  <w:vAlign w:val="center"/>
                </w:tcPr>
                <w:p w14:paraId="3DAB9A73">
                  <w:pPr>
                    <w:pStyle w:val="4"/>
                    <w:spacing w:line="240" w:lineRule="auto"/>
                    <w:ind w:firstLine="0"/>
                    <w:jc w:val="center"/>
                    <w:rPr>
                      <w:rFonts w:ascii="Times New Roman" w:hAnsi="Times New Roman"/>
                      <w:sz w:val="21"/>
                      <w:szCs w:val="21"/>
                    </w:rPr>
                  </w:pPr>
                </w:p>
              </w:tc>
              <w:tc>
                <w:tcPr>
                  <w:tcW w:w="453" w:type="pct"/>
                  <w:vMerge w:val="continue"/>
                  <w:vAlign w:val="center"/>
                </w:tcPr>
                <w:p w14:paraId="53151A25">
                  <w:pPr>
                    <w:jc w:val="center"/>
                    <w:rPr>
                      <w:sz w:val="21"/>
                      <w:szCs w:val="18"/>
                    </w:rPr>
                  </w:pPr>
                </w:p>
              </w:tc>
              <w:tc>
                <w:tcPr>
                  <w:tcW w:w="455" w:type="pct"/>
                  <w:vMerge w:val="continue"/>
                  <w:vAlign w:val="center"/>
                </w:tcPr>
                <w:p w14:paraId="68325E53">
                  <w:pPr>
                    <w:jc w:val="center"/>
                    <w:rPr>
                      <w:sz w:val="21"/>
                      <w:szCs w:val="18"/>
                    </w:rPr>
                  </w:pPr>
                </w:p>
              </w:tc>
              <w:tc>
                <w:tcPr>
                  <w:tcW w:w="476" w:type="pct"/>
                  <w:vMerge w:val="continue"/>
                  <w:vAlign w:val="center"/>
                </w:tcPr>
                <w:p w14:paraId="112151AB">
                  <w:pPr>
                    <w:pStyle w:val="4"/>
                    <w:spacing w:line="240" w:lineRule="auto"/>
                    <w:ind w:firstLine="0"/>
                    <w:jc w:val="center"/>
                    <w:rPr>
                      <w:rFonts w:ascii="Times New Roman" w:hAnsi="Times New Roman"/>
                      <w:sz w:val="21"/>
                      <w:szCs w:val="21"/>
                    </w:rPr>
                  </w:pPr>
                </w:p>
              </w:tc>
              <w:tc>
                <w:tcPr>
                  <w:tcW w:w="309" w:type="pct"/>
                  <w:vMerge w:val="continue"/>
                  <w:vAlign w:val="center"/>
                </w:tcPr>
                <w:p w14:paraId="33215C70">
                  <w:pPr>
                    <w:pStyle w:val="4"/>
                    <w:spacing w:line="240" w:lineRule="auto"/>
                    <w:ind w:firstLine="0"/>
                    <w:jc w:val="center"/>
                    <w:rPr>
                      <w:rFonts w:ascii="Times New Roman" w:hAnsi="Times New Roman"/>
                      <w:sz w:val="21"/>
                      <w:szCs w:val="21"/>
                    </w:rPr>
                  </w:pPr>
                </w:p>
              </w:tc>
              <w:tc>
                <w:tcPr>
                  <w:tcW w:w="423" w:type="pct"/>
                  <w:vMerge w:val="continue"/>
                  <w:vAlign w:val="center"/>
                </w:tcPr>
                <w:p w14:paraId="470BCFDF">
                  <w:pPr>
                    <w:pStyle w:val="4"/>
                    <w:spacing w:line="240" w:lineRule="auto"/>
                    <w:ind w:firstLine="0"/>
                    <w:jc w:val="center"/>
                    <w:rPr>
                      <w:rFonts w:ascii="Times New Roman" w:hAnsi="Times New Roman"/>
                      <w:sz w:val="21"/>
                      <w:szCs w:val="21"/>
                    </w:rPr>
                  </w:pPr>
                </w:p>
              </w:tc>
              <w:tc>
                <w:tcPr>
                  <w:tcW w:w="327" w:type="pct"/>
                  <w:vMerge w:val="continue"/>
                  <w:vAlign w:val="center"/>
                </w:tcPr>
                <w:p w14:paraId="3250FCA7">
                  <w:pPr>
                    <w:pStyle w:val="4"/>
                    <w:spacing w:line="240" w:lineRule="auto"/>
                    <w:ind w:firstLine="0"/>
                    <w:jc w:val="center"/>
                    <w:rPr>
                      <w:rFonts w:ascii="Times New Roman" w:hAnsi="Times New Roman"/>
                      <w:sz w:val="21"/>
                      <w:szCs w:val="21"/>
                    </w:rPr>
                  </w:pPr>
                </w:p>
              </w:tc>
              <w:tc>
                <w:tcPr>
                  <w:tcW w:w="441" w:type="pct"/>
                  <w:vMerge w:val="continue"/>
                  <w:vAlign w:val="center"/>
                </w:tcPr>
                <w:p w14:paraId="2E153EEF">
                  <w:pPr>
                    <w:pStyle w:val="4"/>
                    <w:spacing w:line="240" w:lineRule="auto"/>
                    <w:ind w:firstLine="0"/>
                    <w:jc w:val="center"/>
                    <w:rPr>
                      <w:sz w:val="21"/>
                      <w:szCs w:val="21"/>
                    </w:rPr>
                  </w:pPr>
                </w:p>
              </w:tc>
              <w:tc>
                <w:tcPr>
                  <w:tcW w:w="565" w:type="pct"/>
                  <w:vAlign w:val="center"/>
                </w:tcPr>
                <w:p w14:paraId="0E0194C1">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TP</w:t>
                  </w:r>
                </w:p>
              </w:tc>
              <w:tc>
                <w:tcPr>
                  <w:tcW w:w="931" w:type="pct"/>
                  <w:vAlign w:val="center"/>
                </w:tcPr>
                <w:p w14:paraId="5B45BE7B">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0.3</w:t>
                  </w:r>
                </w:p>
              </w:tc>
            </w:tr>
            <w:tr w14:paraId="1CA88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69" w:hRule="atLeast"/>
              </w:trPr>
              <w:tc>
                <w:tcPr>
                  <w:tcW w:w="307" w:type="pct"/>
                  <w:vMerge w:val="continue"/>
                  <w:vAlign w:val="center"/>
                </w:tcPr>
                <w:p w14:paraId="75FB9B2C">
                  <w:pPr>
                    <w:pStyle w:val="4"/>
                    <w:spacing w:line="240" w:lineRule="auto"/>
                    <w:ind w:firstLine="0"/>
                    <w:jc w:val="center"/>
                    <w:rPr>
                      <w:rFonts w:ascii="Times New Roman" w:hAnsi="Times New Roman"/>
                      <w:sz w:val="21"/>
                      <w:szCs w:val="21"/>
                    </w:rPr>
                  </w:pPr>
                </w:p>
              </w:tc>
              <w:tc>
                <w:tcPr>
                  <w:tcW w:w="307" w:type="pct"/>
                  <w:vMerge w:val="continue"/>
                  <w:vAlign w:val="center"/>
                </w:tcPr>
                <w:p w14:paraId="2C8C11FE">
                  <w:pPr>
                    <w:pStyle w:val="4"/>
                    <w:spacing w:line="240" w:lineRule="auto"/>
                    <w:ind w:firstLine="0"/>
                    <w:jc w:val="center"/>
                    <w:rPr>
                      <w:rFonts w:ascii="Times New Roman" w:hAnsi="Times New Roman"/>
                      <w:sz w:val="21"/>
                      <w:szCs w:val="21"/>
                    </w:rPr>
                  </w:pPr>
                </w:p>
              </w:tc>
              <w:tc>
                <w:tcPr>
                  <w:tcW w:w="453" w:type="pct"/>
                  <w:vMerge w:val="continue"/>
                  <w:vAlign w:val="center"/>
                </w:tcPr>
                <w:p w14:paraId="22965519">
                  <w:pPr>
                    <w:jc w:val="center"/>
                    <w:rPr>
                      <w:sz w:val="21"/>
                      <w:szCs w:val="18"/>
                    </w:rPr>
                  </w:pPr>
                </w:p>
              </w:tc>
              <w:tc>
                <w:tcPr>
                  <w:tcW w:w="455" w:type="pct"/>
                  <w:vMerge w:val="continue"/>
                  <w:vAlign w:val="center"/>
                </w:tcPr>
                <w:p w14:paraId="1D2420FB">
                  <w:pPr>
                    <w:jc w:val="center"/>
                    <w:rPr>
                      <w:sz w:val="21"/>
                      <w:szCs w:val="18"/>
                    </w:rPr>
                  </w:pPr>
                </w:p>
              </w:tc>
              <w:tc>
                <w:tcPr>
                  <w:tcW w:w="476" w:type="pct"/>
                  <w:vMerge w:val="continue"/>
                  <w:vAlign w:val="center"/>
                </w:tcPr>
                <w:p w14:paraId="65E9DC50">
                  <w:pPr>
                    <w:pStyle w:val="4"/>
                    <w:spacing w:line="240" w:lineRule="auto"/>
                    <w:ind w:firstLine="0"/>
                    <w:jc w:val="center"/>
                    <w:rPr>
                      <w:rFonts w:ascii="Times New Roman" w:hAnsi="Times New Roman"/>
                      <w:sz w:val="21"/>
                      <w:szCs w:val="21"/>
                    </w:rPr>
                  </w:pPr>
                </w:p>
              </w:tc>
              <w:tc>
                <w:tcPr>
                  <w:tcW w:w="309" w:type="pct"/>
                  <w:vMerge w:val="continue"/>
                  <w:vAlign w:val="center"/>
                </w:tcPr>
                <w:p w14:paraId="033F9B62">
                  <w:pPr>
                    <w:pStyle w:val="4"/>
                    <w:spacing w:line="240" w:lineRule="auto"/>
                    <w:ind w:firstLine="0"/>
                    <w:jc w:val="center"/>
                    <w:rPr>
                      <w:rFonts w:ascii="Times New Roman" w:hAnsi="Times New Roman"/>
                      <w:sz w:val="21"/>
                      <w:szCs w:val="21"/>
                    </w:rPr>
                  </w:pPr>
                </w:p>
              </w:tc>
              <w:tc>
                <w:tcPr>
                  <w:tcW w:w="423" w:type="pct"/>
                  <w:vMerge w:val="continue"/>
                  <w:vAlign w:val="center"/>
                </w:tcPr>
                <w:p w14:paraId="4D998E84">
                  <w:pPr>
                    <w:pStyle w:val="4"/>
                    <w:spacing w:line="240" w:lineRule="auto"/>
                    <w:ind w:firstLine="0"/>
                    <w:jc w:val="center"/>
                    <w:rPr>
                      <w:rFonts w:ascii="Times New Roman" w:hAnsi="Times New Roman"/>
                      <w:sz w:val="21"/>
                      <w:szCs w:val="21"/>
                    </w:rPr>
                  </w:pPr>
                </w:p>
              </w:tc>
              <w:tc>
                <w:tcPr>
                  <w:tcW w:w="327" w:type="pct"/>
                  <w:vMerge w:val="continue"/>
                  <w:vAlign w:val="center"/>
                </w:tcPr>
                <w:p w14:paraId="034F9DF0">
                  <w:pPr>
                    <w:pStyle w:val="4"/>
                    <w:spacing w:line="240" w:lineRule="auto"/>
                    <w:ind w:firstLine="0"/>
                    <w:jc w:val="center"/>
                    <w:rPr>
                      <w:rFonts w:ascii="Times New Roman" w:hAnsi="Times New Roman"/>
                      <w:sz w:val="21"/>
                      <w:szCs w:val="21"/>
                    </w:rPr>
                  </w:pPr>
                </w:p>
              </w:tc>
              <w:tc>
                <w:tcPr>
                  <w:tcW w:w="441" w:type="pct"/>
                  <w:vMerge w:val="continue"/>
                  <w:vAlign w:val="center"/>
                </w:tcPr>
                <w:p w14:paraId="434FAEC8">
                  <w:pPr>
                    <w:pStyle w:val="4"/>
                    <w:spacing w:line="240" w:lineRule="auto"/>
                    <w:ind w:firstLine="0"/>
                    <w:jc w:val="center"/>
                    <w:rPr>
                      <w:sz w:val="21"/>
                      <w:szCs w:val="21"/>
                    </w:rPr>
                  </w:pPr>
                </w:p>
              </w:tc>
              <w:tc>
                <w:tcPr>
                  <w:tcW w:w="565" w:type="pct"/>
                  <w:vAlign w:val="center"/>
                </w:tcPr>
                <w:p w14:paraId="7BCD6C36">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TN</w:t>
                  </w:r>
                </w:p>
              </w:tc>
              <w:tc>
                <w:tcPr>
                  <w:tcW w:w="931" w:type="pct"/>
                  <w:vAlign w:val="center"/>
                </w:tcPr>
                <w:p w14:paraId="28DBBA4F">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15</w:t>
                  </w:r>
                </w:p>
              </w:tc>
            </w:tr>
            <w:tr w14:paraId="3C624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056B377B">
                  <w:pPr>
                    <w:pStyle w:val="4"/>
                    <w:spacing w:line="240" w:lineRule="auto"/>
                    <w:ind w:firstLine="0"/>
                    <w:jc w:val="center"/>
                    <w:rPr>
                      <w:rFonts w:ascii="Times New Roman" w:hAnsi="Times New Roman"/>
                      <w:sz w:val="21"/>
                      <w:szCs w:val="21"/>
                    </w:rPr>
                  </w:pPr>
                </w:p>
              </w:tc>
              <w:tc>
                <w:tcPr>
                  <w:tcW w:w="307" w:type="pct"/>
                  <w:vMerge w:val="continue"/>
                  <w:vAlign w:val="center"/>
                </w:tcPr>
                <w:p w14:paraId="693CB97B">
                  <w:pPr>
                    <w:pStyle w:val="4"/>
                    <w:spacing w:line="240" w:lineRule="auto"/>
                    <w:ind w:firstLine="0"/>
                    <w:jc w:val="center"/>
                    <w:rPr>
                      <w:rFonts w:ascii="Times New Roman" w:hAnsi="Times New Roman"/>
                      <w:sz w:val="21"/>
                      <w:szCs w:val="21"/>
                    </w:rPr>
                  </w:pPr>
                </w:p>
              </w:tc>
              <w:tc>
                <w:tcPr>
                  <w:tcW w:w="453" w:type="pct"/>
                  <w:vMerge w:val="continue"/>
                  <w:vAlign w:val="center"/>
                </w:tcPr>
                <w:p w14:paraId="661395E4">
                  <w:pPr>
                    <w:jc w:val="center"/>
                    <w:rPr>
                      <w:sz w:val="21"/>
                      <w:szCs w:val="18"/>
                    </w:rPr>
                  </w:pPr>
                </w:p>
              </w:tc>
              <w:tc>
                <w:tcPr>
                  <w:tcW w:w="455" w:type="pct"/>
                  <w:vMerge w:val="continue"/>
                  <w:vAlign w:val="center"/>
                </w:tcPr>
                <w:p w14:paraId="577436C5">
                  <w:pPr>
                    <w:jc w:val="center"/>
                    <w:rPr>
                      <w:sz w:val="21"/>
                      <w:szCs w:val="18"/>
                    </w:rPr>
                  </w:pPr>
                </w:p>
              </w:tc>
              <w:tc>
                <w:tcPr>
                  <w:tcW w:w="476" w:type="pct"/>
                  <w:vMerge w:val="continue"/>
                  <w:vAlign w:val="center"/>
                </w:tcPr>
                <w:p w14:paraId="1184F9E2">
                  <w:pPr>
                    <w:pStyle w:val="4"/>
                    <w:spacing w:line="240" w:lineRule="auto"/>
                    <w:ind w:firstLine="0"/>
                    <w:jc w:val="center"/>
                    <w:rPr>
                      <w:rFonts w:ascii="Times New Roman" w:hAnsi="Times New Roman"/>
                      <w:sz w:val="21"/>
                      <w:szCs w:val="21"/>
                    </w:rPr>
                  </w:pPr>
                </w:p>
              </w:tc>
              <w:tc>
                <w:tcPr>
                  <w:tcW w:w="309" w:type="pct"/>
                  <w:vMerge w:val="continue"/>
                  <w:vAlign w:val="center"/>
                </w:tcPr>
                <w:p w14:paraId="0E4A8BCF">
                  <w:pPr>
                    <w:pStyle w:val="4"/>
                    <w:spacing w:line="240" w:lineRule="auto"/>
                    <w:ind w:firstLine="0"/>
                    <w:jc w:val="center"/>
                    <w:rPr>
                      <w:rFonts w:ascii="Times New Roman" w:hAnsi="Times New Roman"/>
                      <w:sz w:val="21"/>
                      <w:szCs w:val="21"/>
                    </w:rPr>
                  </w:pPr>
                </w:p>
              </w:tc>
              <w:tc>
                <w:tcPr>
                  <w:tcW w:w="423" w:type="pct"/>
                  <w:vMerge w:val="continue"/>
                  <w:vAlign w:val="center"/>
                </w:tcPr>
                <w:p w14:paraId="37EFFDA7">
                  <w:pPr>
                    <w:pStyle w:val="4"/>
                    <w:spacing w:line="240" w:lineRule="auto"/>
                    <w:ind w:firstLine="0"/>
                    <w:jc w:val="center"/>
                    <w:rPr>
                      <w:rFonts w:ascii="Times New Roman" w:hAnsi="Times New Roman"/>
                      <w:sz w:val="21"/>
                      <w:szCs w:val="21"/>
                    </w:rPr>
                  </w:pPr>
                </w:p>
              </w:tc>
              <w:tc>
                <w:tcPr>
                  <w:tcW w:w="327" w:type="pct"/>
                  <w:vMerge w:val="continue"/>
                  <w:vAlign w:val="center"/>
                </w:tcPr>
                <w:p w14:paraId="2DC4507D">
                  <w:pPr>
                    <w:pStyle w:val="4"/>
                    <w:spacing w:line="240" w:lineRule="auto"/>
                    <w:ind w:firstLine="0"/>
                    <w:jc w:val="center"/>
                    <w:rPr>
                      <w:rFonts w:ascii="Times New Roman" w:hAnsi="Times New Roman"/>
                      <w:sz w:val="21"/>
                      <w:szCs w:val="21"/>
                    </w:rPr>
                  </w:pPr>
                </w:p>
              </w:tc>
              <w:tc>
                <w:tcPr>
                  <w:tcW w:w="441" w:type="pct"/>
                  <w:vMerge w:val="continue"/>
                  <w:vAlign w:val="center"/>
                </w:tcPr>
                <w:p w14:paraId="7D96F3FE">
                  <w:pPr>
                    <w:pStyle w:val="4"/>
                    <w:spacing w:line="240" w:lineRule="auto"/>
                    <w:ind w:firstLine="0"/>
                    <w:jc w:val="center"/>
                    <w:rPr>
                      <w:sz w:val="21"/>
                      <w:szCs w:val="21"/>
                    </w:rPr>
                  </w:pPr>
                </w:p>
              </w:tc>
              <w:tc>
                <w:tcPr>
                  <w:tcW w:w="565" w:type="pct"/>
                  <w:vAlign w:val="center"/>
                </w:tcPr>
                <w:p w14:paraId="3BFF4525">
                  <w:pPr>
                    <w:pStyle w:val="4"/>
                    <w:spacing w:line="240" w:lineRule="auto"/>
                    <w:ind w:firstLine="0"/>
                    <w:jc w:val="center"/>
                    <w:rPr>
                      <w:rFonts w:ascii="Times New Roman" w:hAnsi="Times New Roman"/>
                      <w:sz w:val="21"/>
                      <w:szCs w:val="21"/>
                    </w:rPr>
                  </w:pPr>
                  <w:r>
                    <w:rPr>
                      <w:rFonts w:hint="eastAsia"/>
                      <w:sz w:val="21"/>
                      <w:szCs w:val="21"/>
                    </w:rPr>
                    <w:t>阴离子表面活性剂</w:t>
                  </w:r>
                </w:p>
              </w:tc>
              <w:tc>
                <w:tcPr>
                  <w:tcW w:w="931" w:type="pct"/>
                  <w:vAlign w:val="center"/>
                </w:tcPr>
                <w:p w14:paraId="6BB969D2">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0.5</w:t>
                  </w:r>
                </w:p>
              </w:tc>
            </w:tr>
            <w:tr w14:paraId="1E279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307" w:type="pct"/>
                  <w:vMerge w:val="continue"/>
                  <w:vAlign w:val="center"/>
                </w:tcPr>
                <w:p w14:paraId="4FFA554C">
                  <w:pPr>
                    <w:pStyle w:val="4"/>
                    <w:spacing w:line="240" w:lineRule="auto"/>
                    <w:ind w:firstLine="0"/>
                    <w:jc w:val="center"/>
                    <w:rPr>
                      <w:rFonts w:ascii="Times New Roman" w:hAnsi="Times New Roman"/>
                      <w:sz w:val="21"/>
                      <w:szCs w:val="21"/>
                    </w:rPr>
                  </w:pPr>
                </w:p>
              </w:tc>
              <w:tc>
                <w:tcPr>
                  <w:tcW w:w="307" w:type="pct"/>
                  <w:vMerge w:val="continue"/>
                  <w:vAlign w:val="center"/>
                </w:tcPr>
                <w:p w14:paraId="06D04FD3">
                  <w:pPr>
                    <w:pStyle w:val="4"/>
                    <w:spacing w:line="240" w:lineRule="auto"/>
                    <w:ind w:firstLine="0"/>
                    <w:jc w:val="center"/>
                    <w:rPr>
                      <w:rFonts w:ascii="Times New Roman" w:hAnsi="Times New Roman"/>
                      <w:sz w:val="21"/>
                      <w:szCs w:val="21"/>
                    </w:rPr>
                  </w:pPr>
                </w:p>
              </w:tc>
              <w:tc>
                <w:tcPr>
                  <w:tcW w:w="453" w:type="pct"/>
                  <w:vMerge w:val="continue"/>
                  <w:vAlign w:val="center"/>
                </w:tcPr>
                <w:p w14:paraId="0F48D70A">
                  <w:pPr>
                    <w:jc w:val="center"/>
                    <w:rPr>
                      <w:sz w:val="21"/>
                      <w:szCs w:val="18"/>
                    </w:rPr>
                  </w:pPr>
                </w:p>
              </w:tc>
              <w:tc>
                <w:tcPr>
                  <w:tcW w:w="455" w:type="pct"/>
                  <w:vMerge w:val="continue"/>
                  <w:vAlign w:val="center"/>
                </w:tcPr>
                <w:p w14:paraId="7F0CA640">
                  <w:pPr>
                    <w:jc w:val="center"/>
                    <w:rPr>
                      <w:sz w:val="21"/>
                      <w:szCs w:val="18"/>
                    </w:rPr>
                  </w:pPr>
                </w:p>
              </w:tc>
              <w:tc>
                <w:tcPr>
                  <w:tcW w:w="476" w:type="pct"/>
                  <w:vMerge w:val="continue"/>
                  <w:vAlign w:val="center"/>
                </w:tcPr>
                <w:p w14:paraId="38D86B42">
                  <w:pPr>
                    <w:pStyle w:val="4"/>
                    <w:spacing w:line="240" w:lineRule="auto"/>
                    <w:ind w:firstLine="0"/>
                    <w:jc w:val="center"/>
                    <w:rPr>
                      <w:rFonts w:ascii="Times New Roman" w:hAnsi="Times New Roman"/>
                      <w:sz w:val="21"/>
                      <w:szCs w:val="21"/>
                    </w:rPr>
                  </w:pPr>
                </w:p>
              </w:tc>
              <w:tc>
                <w:tcPr>
                  <w:tcW w:w="309" w:type="pct"/>
                  <w:vMerge w:val="continue"/>
                  <w:vAlign w:val="center"/>
                </w:tcPr>
                <w:p w14:paraId="5CF506DA">
                  <w:pPr>
                    <w:pStyle w:val="4"/>
                    <w:spacing w:line="240" w:lineRule="auto"/>
                    <w:ind w:firstLine="0"/>
                    <w:jc w:val="center"/>
                    <w:rPr>
                      <w:rFonts w:ascii="Times New Roman" w:hAnsi="Times New Roman"/>
                      <w:sz w:val="21"/>
                      <w:szCs w:val="21"/>
                    </w:rPr>
                  </w:pPr>
                </w:p>
              </w:tc>
              <w:tc>
                <w:tcPr>
                  <w:tcW w:w="423" w:type="pct"/>
                  <w:vMerge w:val="continue"/>
                  <w:vAlign w:val="center"/>
                </w:tcPr>
                <w:p w14:paraId="1AC45C3A">
                  <w:pPr>
                    <w:pStyle w:val="4"/>
                    <w:spacing w:line="240" w:lineRule="auto"/>
                    <w:ind w:firstLine="0"/>
                    <w:jc w:val="center"/>
                    <w:rPr>
                      <w:rFonts w:ascii="Times New Roman" w:hAnsi="Times New Roman"/>
                      <w:sz w:val="21"/>
                      <w:szCs w:val="21"/>
                    </w:rPr>
                  </w:pPr>
                </w:p>
              </w:tc>
              <w:tc>
                <w:tcPr>
                  <w:tcW w:w="327" w:type="pct"/>
                  <w:vMerge w:val="continue"/>
                  <w:vAlign w:val="center"/>
                </w:tcPr>
                <w:p w14:paraId="662D0698">
                  <w:pPr>
                    <w:pStyle w:val="4"/>
                    <w:spacing w:line="240" w:lineRule="auto"/>
                    <w:ind w:firstLine="0"/>
                    <w:jc w:val="center"/>
                    <w:rPr>
                      <w:rFonts w:ascii="Times New Roman" w:hAnsi="Times New Roman"/>
                      <w:sz w:val="21"/>
                      <w:szCs w:val="21"/>
                    </w:rPr>
                  </w:pPr>
                </w:p>
              </w:tc>
              <w:tc>
                <w:tcPr>
                  <w:tcW w:w="441" w:type="pct"/>
                  <w:vMerge w:val="continue"/>
                  <w:vAlign w:val="center"/>
                </w:tcPr>
                <w:p w14:paraId="25CC5749">
                  <w:pPr>
                    <w:pStyle w:val="4"/>
                    <w:spacing w:line="240" w:lineRule="auto"/>
                    <w:ind w:firstLine="0"/>
                    <w:jc w:val="center"/>
                    <w:rPr>
                      <w:sz w:val="21"/>
                      <w:szCs w:val="21"/>
                    </w:rPr>
                  </w:pPr>
                </w:p>
              </w:tc>
              <w:tc>
                <w:tcPr>
                  <w:tcW w:w="565" w:type="pct"/>
                  <w:vAlign w:val="center"/>
                </w:tcPr>
                <w:p w14:paraId="29384089">
                  <w:pPr>
                    <w:pStyle w:val="4"/>
                    <w:spacing w:line="240" w:lineRule="auto"/>
                    <w:ind w:firstLine="0"/>
                    <w:jc w:val="center"/>
                    <w:rPr>
                      <w:rFonts w:ascii="Times New Roman" w:hAnsi="Times New Roman"/>
                      <w:sz w:val="21"/>
                      <w:szCs w:val="21"/>
                    </w:rPr>
                  </w:pPr>
                  <w:r>
                    <w:rPr>
                      <w:rFonts w:hint="eastAsia"/>
                      <w:sz w:val="21"/>
                      <w:szCs w:val="21"/>
                    </w:rPr>
                    <w:t>石油类</w:t>
                  </w:r>
                </w:p>
              </w:tc>
              <w:tc>
                <w:tcPr>
                  <w:tcW w:w="931" w:type="pct"/>
                  <w:vAlign w:val="center"/>
                </w:tcPr>
                <w:p w14:paraId="033962A4">
                  <w:pPr>
                    <w:pStyle w:val="4"/>
                    <w:spacing w:line="240" w:lineRule="auto"/>
                    <w:ind w:firstLine="0"/>
                    <w:jc w:val="center"/>
                    <w:rPr>
                      <w:rFonts w:ascii="Times New Roman" w:hAnsi="Times New Roman"/>
                      <w:sz w:val="21"/>
                      <w:szCs w:val="21"/>
                    </w:rPr>
                  </w:pPr>
                  <w:r>
                    <w:rPr>
                      <w:rFonts w:hint="eastAsia" w:ascii="Times New Roman" w:hAnsi="Times New Roman"/>
                      <w:sz w:val="21"/>
                      <w:szCs w:val="21"/>
                    </w:rPr>
                    <w:t>1</w:t>
                  </w:r>
                </w:p>
              </w:tc>
            </w:tr>
          </w:tbl>
          <w:p w14:paraId="31EF39A8">
            <w:pPr>
              <w:pStyle w:val="21"/>
              <w:adjustRightInd/>
              <w:snapToGrid/>
              <w:spacing w:line="360" w:lineRule="auto"/>
              <w:ind w:firstLine="452"/>
              <w:rPr>
                <w:rFonts w:ascii="Times New Roman" w:hAnsi="Times New Roman"/>
                <w:b w:val="0"/>
                <w:bCs/>
                <w:kern w:val="0"/>
                <w:lang w:bidi="ar"/>
              </w:rPr>
            </w:pPr>
            <w:r>
              <w:rPr>
                <w:rFonts w:ascii="Times New Roman" w:hAnsi="Times New Roman"/>
                <w:b w:val="0"/>
                <w:bCs/>
                <w:kern w:val="0"/>
                <w:lang w:bidi="ar"/>
              </w:rPr>
              <w:t>（3）废水处理设备、污水处理厂依托可行性分析</w:t>
            </w:r>
          </w:p>
          <w:p w14:paraId="4C7ED26B">
            <w:pPr>
              <w:tabs>
                <w:tab w:val="left" w:pos="3836"/>
              </w:tabs>
              <w:spacing w:line="360" w:lineRule="auto"/>
              <w:ind w:firstLine="480"/>
              <w:rPr>
                <w:szCs w:val="21"/>
              </w:rPr>
            </w:pPr>
            <w:r>
              <w:rPr>
                <w:rFonts w:hint="eastAsia" w:ascii="宋体" w:hAnsi="宋体" w:cs="宋体"/>
                <w:szCs w:val="21"/>
              </w:rPr>
              <w:t>①</w:t>
            </w:r>
            <w:r>
              <w:rPr>
                <w:rFonts w:hint="eastAsia"/>
                <w:szCs w:val="21"/>
              </w:rPr>
              <w:t>废水处理设备</w:t>
            </w:r>
          </w:p>
          <w:p w14:paraId="0C1DAF4A">
            <w:pPr>
              <w:tabs>
                <w:tab w:val="left" w:pos="3836"/>
              </w:tabs>
              <w:spacing w:line="360" w:lineRule="auto"/>
              <w:ind w:firstLine="480"/>
            </w:pPr>
            <w:r>
              <w:rPr>
                <w:rFonts w:hint="eastAsia"/>
                <w:color w:val="000000" w:themeColor="text1"/>
                <w:szCs w:val="21"/>
                <w14:textFill>
                  <w14:solidFill>
                    <w14:schemeClr w14:val="tx1"/>
                  </w14:solidFill>
                </w14:textFill>
              </w:rPr>
              <w:t>根据实验室布局，本项目4楼无足够空间设置污水处理间，故本项目在3楼东北侧设置1间污水处理间，放置废水处理设备（酸碱中和，1t/d）。本项目</w:t>
            </w:r>
            <w:r>
              <w:rPr>
                <w:rFonts w:hint="eastAsia"/>
                <w:color w:val="000000" w:themeColor="text1"/>
                <w14:textFill>
                  <w14:solidFill>
                    <w14:schemeClr w14:val="tx1"/>
                  </w14:solidFill>
                </w14:textFill>
              </w:rPr>
              <w:t>实验器皿清洗废水和剩余一般水样经4楼实验室水池</w:t>
            </w:r>
            <w:r>
              <w:rPr>
                <w:rFonts w:hint="eastAsia"/>
              </w:rPr>
              <w:t>下方排水管道收集，排入3楼污水处理间自建废水处理设备（酸碱中和，1t/d），经处理后排入园区化粪池；喷淋塔排水采用专用桶收集后转入废水处理设备，经处理后排入园区化粪池。</w:t>
            </w:r>
          </w:p>
          <w:p w14:paraId="19081CBC">
            <w:pPr>
              <w:tabs>
                <w:tab w:val="left" w:pos="3836"/>
              </w:tabs>
              <w:spacing w:line="360" w:lineRule="auto"/>
              <w:ind w:firstLine="480"/>
              <w:rPr>
                <w:szCs w:val="21"/>
              </w:rPr>
            </w:pPr>
            <w:r>
              <w:rPr>
                <w:rFonts w:hint="eastAsia"/>
                <w:szCs w:val="21"/>
              </w:rPr>
              <w:t>污水处理间远离办公区，临靠卫生间，对人员办公影响较小。实验清洗废水、剩余一般水样和喷淋塔排水中污染物浓度较低，主要是避免pH值不达标，因此，废水处理设备采用酸碱中和处理工艺，设备外排废水之前，人工调节pH值并检测，符合6~9（无量纲）时再行排放。</w:t>
            </w:r>
          </w:p>
          <w:p w14:paraId="0E617639">
            <w:pPr>
              <w:tabs>
                <w:tab w:val="left" w:pos="3836"/>
              </w:tabs>
              <w:spacing w:line="360" w:lineRule="auto"/>
              <w:ind w:firstLine="480"/>
              <w:rPr>
                <w:szCs w:val="21"/>
              </w:rPr>
            </w:pPr>
            <w:r>
              <w:rPr>
                <w:rFonts w:hint="eastAsia" w:ascii="宋体" w:hAnsi="宋体" w:cs="宋体"/>
                <w:szCs w:val="21"/>
              </w:rPr>
              <w:t>②</w:t>
            </w:r>
            <w:r>
              <w:rPr>
                <w:szCs w:val="21"/>
              </w:rPr>
              <w:t>依托</w:t>
            </w:r>
            <w:r>
              <w:rPr>
                <w:rFonts w:hint="eastAsia"/>
                <w:szCs w:val="21"/>
              </w:rPr>
              <w:t>园区化粪池可行性</w:t>
            </w:r>
          </w:p>
          <w:p w14:paraId="26300199">
            <w:pPr>
              <w:tabs>
                <w:tab w:val="left" w:pos="3836"/>
              </w:tabs>
              <w:spacing w:line="360" w:lineRule="auto"/>
              <w:ind w:firstLine="480"/>
            </w:pPr>
            <w:r>
              <w:rPr>
                <w:rFonts w:hint="eastAsia"/>
                <w:szCs w:val="21"/>
              </w:rPr>
              <w:t>本项目</w:t>
            </w:r>
            <w:r>
              <w:rPr>
                <w:rFonts w:hint="eastAsia"/>
              </w:rPr>
              <w:t>实验器皿清洗废水、剩余一般水样和喷淋塔排水经</w:t>
            </w:r>
            <w:r>
              <w:rPr>
                <w:rFonts w:hint="eastAsia"/>
                <w:szCs w:val="21"/>
              </w:rPr>
              <w:t>废水处理设备处理后，同</w:t>
            </w:r>
            <w:r>
              <w:rPr>
                <w:rFonts w:hint="eastAsia"/>
              </w:rPr>
              <w:t>生活污水和其他废水（地面清洁废水、职工工作服清洗废水、超纯水制备排放浓水）排入园区化粪池进一步处理。项目综合废水排放量为3.145m</w:t>
            </w:r>
            <w:r>
              <w:rPr>
                <w:rFonts w:hint="eastAsia"/>
                <w:vertAlign w:val="superscript"/>
              </w:rPr>
              <w:t>3</w:t>
            </w:r>
            <w:r>
              <w:rPr>
                <w:rFonts w:hint="eastAsia"/>
              </w:rPr>
              <w:t>/d，园区已建化粪池2座，园区东侧和西侧各1座，容积分别为75m</w:t>
            </w:r>
            <w:r>
              <w:rPr>
                <w:rFonts w:hint="eastAsia"/>
                <w:vertAlign w:val="superscript"/>
              </w:rPr>
              <w:t>3</w:t>
            </w:r>
            <w:r>
              <w:rPr>
                <w:rFonts w:hint="eastAsia"/>
              </w:rPr>
              <w:t>和30m</w:t>
            </w:r>
            <w:r>
              <w:rPr>
                <w:rFonts w:hint="eastAsia"/>
                <w:vertAlign w:val="superscript"/>
              </w:rPr>
              <w:t>3</w:t>
            </w:r>
            <w:r>
              <w:rPr>
                <w:rFonts w:hint="eastAsia"/>
              </w:rPr>
              <w:t>，本项目废水进入东侧化粪池，目前化粪池预留充足，能够满足本项目废水排放需求。</w:t>
            </w:r>
          </w:p>
          <w:p w14:paraId="3A6BECE9">
            <w:pPr>
              <w:tabs>
                <w:tab w:val="left" w:pos="3836"/>
              </w:tabs>
              <w:spacing w:line="360" w:lineRule="auto"/>
              <w:ind w:firstLine="480"/>
            </w:pPr>
            <w:r>
              <w:rPr>
                <w:rFonts w:hint="eastAsia"/>
                <w:szCs w:val="21"/>
              </w:rPr>
              <w:t>化粪池是一种利用沉淀和厌氧发酵的原理，去除生活污水中悬浮性有机物的处理设施，属于初级的过渡性生活处理构筑物。污水进入化粪池经过12～24h的沉淀，可去除50%～60%的悬浮物。沉淀下来的污泥经过3个月以上的厌氧发酵分解，使污泥中的有机物分解成稳定的无机物，易腐败的生污泥转化为稳定的熟污泥，改变了污泥的结构，降低了污泥的含水率。</w:t>
            </w:r>
          </w:p>
          <w:p w14:paraId="2FFF07A5">
            <w:pPr>
              <w:tabs>
                <w:tab w:val="left" w:pos="3836"/>
              </w:tabs>
              <w:spacing w:line="360" w:lineRule="auto"/>
              <w:ind w:firstLine="480"/>
              <w:rPr>
                <w:szCs w:val="21"/>
              </w:rPr>
            </w:pPr>
            <w:r>
              <w:rPr>
                <w:rFonts w:hint="eastAsia"/>
                <w:szCs w:val="21"/>
              </w:rPr>
              <w:t>根据表4-9计算可知，本项目综合废水经园区化粪池处理后</w:t>
            </w:r>
            <w:r>
              <w:rPr>
                <w:szCs w:val="21"/>
              </w:rPr>
              <w:t>废水</w:t>
            </w:r>
            <w:r>
              <w:rPr>
                <w:rFonts w:hint="eastAsia"/>
                <w:szCs w:val="21"/>
              </w:rPr>
              <w:t>能够</w:t>
            </w:r>
            <w:r>
              <w:rPr>
                <w:szCs w:val="21"/>
              </w:rPr>
              <w:t>满足</w:t>
            </w:r>
            <w:r>
              <w:rPr>
                <w:rFonts w:hint="eastAsia"/>
                <w:szCs w:val="21"/>
              </w:rPr>
              <w:t>《污水综合排放标准》（GB 8978-1996）三级标准和《污水排入城镇下水道水质标准》（GB/T 31962-2015）A级标准要求。同时项目废水</w:t>
            </w:r>
            <w:r>
              <w:rPr>
                <w:szCs w:val="21"/>
              </w:rPr>
              <w:t>昼间排放比较稳定，符合</w:t>
            </w:r>
            <w:r>
              <w:rPr>
                <w:rFonts w:hint="eastAsia"/>
                <w:szCs w:val="21"/>
              </w:rPr>
              <w:t>化粪池</w:t>
            </w:r>
            <w:r>
              <w:rPr>
                <w:szCs w:val="21"/>
              </w:rPr>
              <w:t>收水指标，不会造成冲击，依托可行。</w:t>
            </w:r>
          </w:p>
          <w:p w14:paraId="4EA65E59">
            <w:pPr>
              <w:tabs>
                <w:tab w:val="left" w:pos="3836"/>
              </w:tabs>
              <w:spacing w:line="360" w:lineRule="auto"/>
              <w:ind w:firstLine="480" w:firstLineChars="200"/>
              <w:rPr>
                <w:szCs w:val="21"/>
              </w:rPr>
            </w:pPr>
            <w:r>
              <w:rPr>
                <w:rFonts w:hint="eastAsia" w:ascii="宋体" w:hAnsi="宋体" w:cs="宋体"/>
                <w:szCs w:val="21"/>
              </w:rPr>
              <w:t>③</w:t>
            </w:r>
            <w:r>
              <w:rPr>
                <w:szCs w:val="21"/>
              </w:rPr>
              <w:t>依托</w:t>
            </w:r>
            <w:r>
              <w:rPr>
                <w:rFonts w:hint="eastAsia"/>
                <w:szCs w:val="21"/>
              </w:rPr>
              <w:t>污水处理厂可行性</w:t>
            </w:r>
          </w:p>
          <w:p w14:paraId="1F2B2339">
            <w:pPr>
              <w:tabs>
                <w:tab w:val="left" w:pos="3836"/>
              </w:tabs>
              <w:spacing w:line="360" w:lineRule="auto"/>
              <w:ind w:firstLine="480" w:firstLineChars="200"/>
            </w:pPr>
            <w:r>
              <w:rPr>
                <w:rFonts w:hint="eastAsia"/>
                <w:szCs w:val="21"/>
              </w:rPr>
              <w:t>项目废水经园区化粪池处理后经市政污水管网排入西安净水处理有限责任公司第六再生水厂</w:t>
            </w:r>
            <w:r>
              <w:t>进一步处理</w:t>
            </w:r>
            <w:r>
              <w:rPr>
                <w:rFonts w:hint="eastAsia"/>
              </w:rPr>
              <w:t>。西安净水处理有限责任公司第六再生水厂位于西安市北郊六村堡的北绕城高速以北，太平河、郑西高铁以南，尚航路以东，福银高速以西，总占地面积16.95公顷，该污水处理厂分两期建设，采用以A</w:t>
            </w:r>
            <w:r>
              <w:rPr>
                <w:rFonts w:hint="eastAsia"/>
                <w:vertAlign w:val="superscript"/>
              </w:rPr>
              <w:t>2</w:t>
            </w:r>
            <w:r>
              <w:rPr>
                <w:rFonts w:hint="eastAsia"/>
              </w:rPr>
              <w:t>/O为主的生物处理工艺。一期工程10×10</w:t>
            </w:r>
            <w:r>
              <w:rPr>
                <w:rFonts w:hint="eastAsia"/>
                <w:vertAlign w:val="superscript"/>
              </w:rPr>
              <w:t>4</w:t>
            </w:r>
            <w:r>
              <w:rPr>
                <w:rFonts w:hint="eastAsia"/>
              </w:rPr>
              <w:t>m</w:t>
            </w:r>
            <w:r>
              <w:rPr>
                <w:rFonts w:hint="eastAsia"/>
                <w:vertAlign w:val="superscript"/>
              </w:rPr>
              <w:t>3</w:t>
            </w:r>
            <w:r>
              <w:rPr>
                <w:rFonts w:hint="eastAsia"/>
              </w:rPr>
              <w:t>/d及二期的5×10</w:t>
            </w:r>
            <w:r>
              <w:rPr>
                <w:rFonts w:hint="eastAsia"/>
                <w:vertAlign w:val="superscript"/>
              </w:rPr>
              <w:t>4</w:t>
            </w:r>
            <w:r>
              <w:rPr>
                <w:rFonts w:hint="eastAsia"/>
              </w:rPr>
              <w:t>m</w:t>
            </w:r>
            <w:r>
              <w:rPr>
                <w:rFonts w:hint="eastAsia"/>
                <w:vertAlign w:val="superscript"/>
              </w:rPr>
              <w:t>3</w:t>
            </w:r>
            <w:r>
              <w:rPr>
                <w:rFonts w:hint="eastAsia"/>
              </w:rPr>
              <w:t>/d工程。一期工程于2016年8月进行验收，并于2016年10月28日取得西安市环境保护局沣渭新区分局关于西安市污水处理有限责任公司西安净水处理有限责任公司第六再生水厂工程（15万吨/天处理规模）竣工环保验收的批复（市环沣渭验[2016]10号）。二期工程剩余5×10</w:t>
            </w:r>
            <w:r>
              <w:rPr>
                <w:rFonts w:hint="eastAsia"/>
                <w:vertAlign w:val="superscript"/>
              </w:rPr>
              <w:t>4</w:t>
            </w:r>
            <w:r>
              <w:rPr>
                <w:rFonts w:hint="eastAsia"/>
              </w:rPr>
              <w:t>m</w:t>
            </w:r>
            <w:r>
              <w:rPr>
                <w:rFonts w:hint="eastAsia"/>
                <w:vertAlign w:val="superscript"/>
              </w:rPr>
              <w:t>3</w:t>
            </w:r>
            <w:r>
              <w:rPr>
                <w:rFonts w:hint="eastAsia"/>
              </w:rPr>
              <w:t>/d已建成并完成调试，于2018年4月完成竣工环保验收并全部正式投入使用。处理后的水质达到《陕西省黄河流域污水综合排放标准》（DB61/224-2018）表1中A级标准。</w:t>
            </w:r>
          </w:p>
          <w:p w14:paraId="2D79E4D6">
            <w:pPr>
              <w:tabs>
                <w:tab w:val="left" w:pos="3836"/>
              </w:tabs>
              <w:spacing w:line="360" w:lineRule="auto"/>
              <w:ind w:firstLine="480"/>
            </w:pPr>
            <w:r>
              <w:rPr>
                <w:rFonts w:hint="eastAsia"/>
              </w:rPr>
              <w:t>西安净水处理有限责任公司第六再生水厂服务范围具体包括：主要收集和处理西安市主城区西北端沿皂河流域（包括三桥工业区）、六村堡组团及纪阳组团范围内的生产废水和生活污水，服务面积约3388公顷，其服务范围目前绝大部分位于沣东新城。本项目位于西安净水处理有限责任公司第六再生水厂的收水范围之内，现阶段污水管网已覆盖到位，本项目废水产生量仅为</w:t>
            </w:r>
            <w:r>
              <w:rPr>
                <w:rFonts w:hint="eastAsia"/>
                <w:color w:val="000000" w:themeColor="text1"/>
                <w14:textFill>
                  <w14:solidFill>
                    <w14:schemeClr w14:val="tx1"/>
                  </w14:solidFill>
                </w14:textFill>
              </w:rPr>
              <w:t>3.31m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/d，经</w:t>
            </w:r>
            <w:r>
              <w:rPr>
                <w:rFonts w:hint="eastAsia"/>
              </w:rPr>
              <w:t>处理后能够达到《污水综合排放标准》（GB 8978-1996）三级标准以及《污水排入城镇下水道水质标准》（GB/T 31962-2015）A级标准要求以及西安净水处理有限责任公司第六再生水厂接管要求，且项目废水排放量占污水处理厂设计处理水量份额较小，废水水质简单，废水可生化降解性较好，废水排入后对西安净水处理有限责任公司第六再生水厂的影响较小。故项目产生的废水处理达标后依托西安净水处理有限责任公司第六再生水厂处理可行。</w:t>
            </w:r>
          </w:p>
          <w:p w14:paraId="6E86D055">
            <w:pPr>
              <w:tabs>
                <w:tab w:val="left" w:pos="3836"/>
              </w:tabs>
              <w:spacing w:line="360" w:lineRule="auto"/>
              <w:ind w:firstLine="480"/>
              <w:rPr>
                <w:szCs w:val="21"/>
              </w:rPr>
            </w:pPr>
            <w:r>
              <w:rPr>
                <w:szCs w:val="21"/>
              </w:rPr>
              <w:t>（</w:t>
            </w:r>
            <w:r>
              <w:rPr>
                <w:rFonts w:hint="eastAsia"/>
                <w:szCs w:val="21"/>
              </w:rPr>
              <w:t>4</w:t>
            </w:r>
            <w:r>
              <w:rPr>
                <w:szCs w:val="21"/>
              </w:rPr>
              <w:t>）监测要求</w:t>
            </w:r>
          </w:p>
          <w:p w14:paraId="530362CA">
            <w:pPr>
              <w:tabs>
                <w:tab w:val="left" w:pos="3836"/>
              </w:tabs>
              <w:spacing w:line="360" w:lineRule="auto"/>
              <w:ind w:firstLine="480"/>
              <w:rPr>
                <w:szCs w:val="21"/>
              </w:rPr>
            </w:pPr>
            <w:r>
              <w:rPr>
                <w:szCs w:val="21"/>
              </w:rPr>
              <w:t>参考《排污单位自行监测技术指南  总则》（HJ 819-2017）相关要求，提出企业废水自行监测计划，详见表4-</w:t>
            </w:r>
            <w:r>
              <w:rPr>
                <w:rFonts w:hint="eastAsia"/>
                <w:szCs w:val="21"/>
              </w:rPr>
              <w:t>13</w:t>
            </w:r>
            <w:r>
              <w:rPr>
                <w:szCs w:val="21"/>
              </w:rPr>
              <w:t>。</w:t>
            </w:r>
          </w:p>
          <w:p w14:paraId="391CF792">
            <w:pPr>
              <w:jc w:val="center"/>
              <w:rPr>
                <w:b/>
                <w:sz w:val="21"/>
                <w:szCs w:val="18"/>
              </w:rPr>
            </w:pPr>
            <w:r>
              <w:rPr>
                <w:b/>
                <w:sz w:val="21"/>
                <w:szCs w:val="18"/>
              </w:rPr>
              <w:t>表4-</w:t>
            </w:r>
            <w:r>
              <w:rPr>
                <w:rFonts w:hint="eastAsia"/>
                <w:b/>
                <w:sz w:val="21"/>
                <w:szCs w:val="18"/>
              </w:rPr>
              <w:t>13</w:t>
            </w:r>
            <w:r>
              <w:rPr>
                <w:b/>
                <w:sz w:val="21"/>
                <w:szCs w:val="18"/>
              </w:rPr>
              <w:t xml:space="preserve">  项目运营期废水监测计划一览表</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79"/>
              <w:gridCol w:w="1589"/>
              <w:gridCol w:w="1206"/>
              <w:gridCol w:w="4117"/>
            </w:tblGrid>
            <w:tr w14:paraId="2DC5B7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29" w:type="pct"/>
                  <w:shd w:val="clear" w:color="auto" w:fill="auto"/>
                  <w:vAlign w:val="center"/>
                </w:tcPr>
                <w:p w14:paraId="6B16FA4D">
                  <w:pPr>
                    <w:jc w:val="center"/>
                    <w:rPr>
                      <w:b/>
                      <w:sz w:val="21"/>
                      <w:szCs w:val="21"/>
                    </w:rPr>
                  </w:pPr>
                  <w:r>
                    <w:rPr>
                      <w:b/>
                      <w:sz w:val="21"/>
                      <w:szCs w:val="21"/>
                    </w:rPr>
                    <w:t>监测位置</w:t>
                  </w:r>
                </w:p>
              </w:tc>
              <w:tc>
                <w:tcPr>
                  <w:tcW w:w="982" w:type="pct"/>
                  <w:shd w:val="clear" w:color="auto" w:fill="auto"/>
                  <w:vAlign w:val="center"/>
                </w:tcPr>
                <w:p w14:paraId="64E44183">
                  <w:pPr>
                    <w:jc w:val="center"/>
                    <w:rPr>
                      <w:b/>
                      <w:sz w:val="21"/>
                      <w:szCs w:val="21"/>
                    </w:rPr>
                  </w:pPr>
                  <w:r>
                    <w:rPr>
                      <w:b/>
                      <w:sz w:val="21"/>
                      <w:szCs w:val="21"/>
                    </w:rPr>
                    <w:t>监测指标</w:t>
                  </w:r>
                </w:p>
              </w:tc>
              <w:tc>
                <w:tcPr>
                  <w:tcW w:w="745" w:type="pct"/>
                  <w:shd w:val="clear" w:color="auto" w:fill="auto"/>
                  <w:vAlign w:val="center"/>
                </w:tcPr>
                <w:p w14:paraId="4D573A73">
                  <w:pPr>
                    <w:jc w:val="center"/>
                    <w:rPr>
                      <w:b/>
                      <w:sz w:val="21"/>
                      <w:szCs w:val="21"/>
                    </w:rPr>
                  </w:pPr>
                  <w:r>
                    <w:rPr>
                      <w:b/>
                      <w:sz w:val="21"/>
                      <w:szCs w:val="21"/>
                    </w:rPr>
                    <w:t>监测频次</w:t>
                  </w:r>
                </w:p>
              </w:tc>
              <w:tc>
                <w:tcPr>
                  <w:tcW w:w="2543" w:type="pct"/>
                  <w:shd w:val="clear" w:color="auto" w:fill="auto"/>
                  <w:vAlign w:val="center"/>
                </w:tcPr>
                <w:p w14:paraId="78BF7BC0">
                  <w:pPr>
                    <w:jc w:val="center"/>
                    <w:rPr>
                      <w:b/>
                      <w:sz w:val="21"/>
                      <w:szCs w:val="21"/>
                    </w:rPr>
                  </w:pPr>
                  <w:r>
                    <w:rPr>
                      <w:b/>
                      <w:sz w:val="21"/>
                      <w:szCs w:val="21"/>
                    </w:rPr>
                    <w:t>执行标准</w:t>
                  </w:r>
                </w:p>
              </w:tc>
            </w:tr>
            <w:tr w14:paraId="71CFB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29" w:type="pct"/>
                  <w:shd w:val="clear" w:color="auto" w:fill="auto"/>
                  <w:vAlign w:val="center"/>
                </w:tcPr>
                <w:p w14:paraId="440BD050">
                  <w:pPr>
                    <w:jc w:val="center"/>
                    <w:rPr>
                      <w:bCs/>
                      <w:sz w:val="21"/>
                      <w:szCs w:val="21"/>
                    </w:rPr>
                  </w:pPr>
                  <w:r>
                    <w:rPr>
                      <w:bCs/>
                      <w:sz w:val="21"/>
                      <w:szCs w:val="21"/>
                    </w:rPr>
                    <w:t>园区废水总排口DW001</w:t>
                  </w:r>
                </w:p>
              </w:tc>
              <w:tc>
                <w:tcPr>
                  <w:tcW w:w="982" w:type="pct"/>
                  <w:shd w:val="clear" w:color="auto" w:fill="auto"/>
                  <w:vAlign w:val="center"/>
                </w:tcPr>
                <w:p w14:paraId="64568585">
                  <w:pPr>
                    <w:jc w:val="center"/>
                    <w:rPr>
                      <w:bCs/>
                      <w:sz w:val="21"/>
                      <w:szCs w:val="21"/>
                    </w:rPr>
                  </w:pPr>
                  <w:r>
                    <w:rPr>
                      <w:sz w:val="21"/>
                      <w:szCs w:val="21"/>
                    </w:rPr>
                    <w:t>pH、COD、BOD</w:t>
                  </w:r>
                  <w:r>
                    <w:rPr>
                      <w:sz w:val="21"/>
                      <w:szCs w:val="21"/>
                      <w:vertAlign w:val="subscript"/>
                    </w:rPr>
                    <w:t>5</w:t>
                  </w:r>
                  <w:r>
                    <w:rPr>
                      <w:sz w:val="21"/>
                      <w:szCs w:val="21"/>
                    </w:rPr>
                    <w:t>、SS、氨氮</w:t>
                  </w:r>
                  <w:r>
                    <w:rPr>
                      <w:rFonts w:hint="eastAsia"/>
                      <w:sz w:val="21"/>
                      <w:szCs w:val="21"/>
                    </w:rPr>
                    <w:t>、TP、TN、阴离子表面活性剂、石油类、溶解性总固体</w:t>
                  </w:r>
                </w:p>
              </w:tc>
              <w:tc>
                <w:tcPr>
                  <w:tcW w:w="745" w:type="pct"/>
                  <w:shd w:val="clear" w:color="auto" w:fill="auto"/>
                  <w:vAlign w:val="center"/>
                </w:tcPr>
                <w:p w14:paraId="050BFF08">
                  <w:pPr>
                    <w:jc w:val="center"/>
                    <w:rPr>
                      <w:bCs/>
                      <w:sz w:val="21"/>
                      <w:szCs w:val="21"/>
                    </w:rPr>
                  </w:pPr>
                  <w:r>
                    <w:rPr>
                      <w:bCs/>
                      <w:sz w:val="21"/>
                      <w:szCs w:val="21"/>
                    </w:rPr>
                    <w:t>1次</w:t>
                  </w:r>
                  <w:r>
                    <w:rPr>
                      <w:rFonts w:hint="eastAsia"/>
                      <w:bCs/>
                      <w:sz w:val="21"/>
                      <w:szCs w:val="21"/>
                    </w:rPr>
                    <w:t>/</w:t>
                  </w:r>
                  <w:r>
                    <w:rPr>
                      <w:bCs/>
                      <w:sz w:val="21"/>
                      <w:szCs w:val="21"/>
                    </w:rPr>
                    <w:t>年</w:t>
                  </w:r>
                </w:p>
              </w:tc>
              <w:tc>
                <w:tcPr>
                  <w:tcW w:w="2543" w:type="pct"/>
                  <w:shd w:val="clear" w:color="auto" w:fill="auto"/>
                  <w:vAlign w:val="center"/>
                </w:tcPr>
                <w:p w14:paraId="68CD6377">
                  <w:pPr>
                    <w:widowControl/>
                    <w:jc w:val="center"/>
                    <w:rPr>
                      <w:bCs/>
                      <w:sz w:val="21"/>
                      <w:szCs w:val="21"/>
                    </w:rPr>
                  </w:pPr>
                  <w:r>
                    <w:rPr>
                      <w:sz w:val="21"/>
                      <w:szCs w:val="18"/>
                    </w:rPr>
                    <w:t>《污水综合排放标准》（GB8978-1996）三级标准</w:t>
                  </w:r>
                  <w:r>
                    <w:rPr>
                      <w:rFonts w:hint="eastAsia"/>
                      <w:sz w:val="21"/>
                      <w:szCs w:val="18"/>
                    </w:rPr>
                    <w:t>和</w:t>
                  </w:r>
                  <w:r>
                    <w:rPr>
                      <w:kern w:val="0"/>
                      <w:sz w:val="21"/>
                      <w:szCs w:val="21"/>
                      <w:lang w:bidi="ar"/>
                    </w:rPr>
                    <w:t>《污水排入城镇下水道水质标准》（GB/T31962-2015）</w:t>
                  </w:r>
                  <w:r>
                    <w:rPr>
                      <w:rFonts w:hint="eastAsia"/>
                      <w:kern w:val="0"/>
                      <w:sz w:val="21"/>
                      <w:szCs w:val="21"/>
                      <w:lang w:bidi="ar"/>
                    </w:rPr>
                    <w:t>A</w:t>
                  </w:r>
                  <w:r>
                    <w:rPr>
                      <w:kern w:val="0"/>
                      <w:sz w:val="21"/>
                      <w:szCs w:val="21"/>
                      <w:lang w:bidi="ar"/>
                    </w:rPr>
                    <w:t>级标准</w:t>
                  </w:r>
                </w:p>
              </w:tc>
            </w:tr>
          </w:tbl>
          <w:p w14:paraId="5323BEC8">
            <w:pPr>
              <w:tabs>
                <w:tab w:val="left" w:pos="3836"/>
              </w:tabs>
              <w:spacing w:line="360" w:lineRule="auto"/>
              <w:ind w:firstLine="482" w:firstLineChars="200"/>
              <w:rPr>
                <w:b/>
                <w:bCs/>
                <w:szCs w:val="21"/>
              </w:rPr>
            </w:pPr>
            <w:r>
              <w:rPr>
                <w:b/>
                <w:bCs/>
                <w:szCs w:val="21"/>
              </w:rPr>
              <w:t>3、噪声</w:t>
            </w:r>
          </w:p>
          <w:p w14:paraId="7B97ED5E">
            <w:pPr>
              <w:tabs>
                <w:tab w:val="left" w:pos="3836"/>
              </w:tabs>
              <w:spacing w:line="360" w:lineRule="auto"/>
              <w:ind w:firstLine="480" w:firstLineChars="200"/>
              <w:rPr>
                <w:szCs w:val="21"/>
              </w:rPr>
            </w:pPr>
            <w:r>
              <w:rPr>
                <w:szCs w:val="21"/>
              </w:rPr>
              <w:t>（1）主要噪声源</w:t>
            </w:r>
          </w:p>
          <w:p w14:paraId="4F8FA25B">
            <w:pPr>
              <w:tabs>
                <w:tab w:val="left" w:pos="3836"/>
              </w:tabs>
              <w:spacing w:line="360" w:lineRule="auto"/>
              <w:ind w:firstLine="480" w:firstLineChars="200"/>
              <w:rPr>
                <w:bCs/>
                <w:szCs w:val="21"/>
              </w:rPr>
            </w:pPr>
            <w:r>
              <w:rPr>
                <w:szCs w:val="21"/>
              </w:rPr>
              <w:t>本</w:t>
            </w:r>
            <w:r>
              <w:rPr>
                <w:rFonts w:hint="eastAsia"/>
                <w:szCs w:val="21"/>
              </w:rPr>
              <w:t>项目运营期噪声污染源主要来源于实验室设备及废气处理风机等。类比同类设备的噪声源强，本项目运营期主要噪声源强见表4-14和表4-15。</w:t>
            </w:r>
          </w:p>
          <w:p w14:paraId="0A432373">
            <w:pPr>
              <w:tabs>
                <w:tab w:val="left" w:pos="3836"/>
              </w:tabs>
              <w:jc w:val="center"/>
              <w:rPr>
                <w:b/>
                <w:bCs/>
                <w:sz w:val="21"/>
                <w:szCs w:val="18"/>
              </w:rPr>
            </w:pPr>
            <w:r>
              <w:rPr>
                <w:rFonts w:hint="eastAsia"/>
                <w:b/>
                <w:bCs/>
                <w:sz w:val="21"/>
                <w:szCs w:val="18"/>
              </w:rPr>
              <w:t>表</w:t>
            </w:r>
            <w:r>
              <w:rPr>
                <w:b/>
                <w:bCs/>
                <w:sz w:val="21"/>
                <w:szCs w:val="18"/>
              </w:rPr>
              <w:t>4-1</w:t>
            </w:r>
            <w:r>
              <w:rPr>
                <w:rFonts w:hint="eastAsia"/>
                <w:b/>
                <w:bCs/>
                <w:sz w:val="21"/>
                <w:szCs w:val="18"/>
              </w:rPr>
              <w:t>4</w:t>
            </w:r>
            <w:r>
              <w:rPr>
                <w:b/>
                <w:bCs/>
                <w:sz w:val="21"/>
                <w:szCs w:val="18"/>
              </w:rPr>
              <w:t xml:space="preserve"> </w:t>
            </w:r>
            <w:r>
              <w:rPr>
                <w:rFonts w:hint="eastAsia"/>
                <w:b/>
                <w:bCs/>
                <w:sz w:val="21"/>
                <w:szCs w:val="18"/>
              </w:rPr>
              <w:t xml:space="preserve"> 项目噪声源强调查清单（室内声源）</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396"/>
              <w:gridCol w:w="396"/>
              <w:gridCol w:w="399"/>
              <w:gridCol w:w="736"/>
              <w:gridCol w:w="592"/>
              <w:gridCol w:w="459"/>
              <w:gridCol w:w="459"/>
              <w:gridCol w:w="466"/>
              <w:gridCol w:w="514"/>
              <w:gridCol w:w="726"/>
              <w:gridCol w:w="676"/>
              <w:gridCol w:w="726"/>
              <w:gridCol w:w="559"/>
              <w:gridCol w:w="582"/>
            </w:tblGrid>
            <w:tr w14:paraId="2C049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6" w:type="pct"/>
                  <w:vMerge w:val="restart"/>
                  <w:vAlign w:val="center"/>
                </w:tcPr>
                <w:p w14:paraId="4B7721F6">
                  <w:pPr>
                    <w:rPr>
                      <w:b/>
                      <w:bCs/>
                      <w:kern w:val="0"/>
                      <w:sz w:val="21"/>
                      <w:szCs w:val="21"/>
                    </w:rPr>
                  </w:pPr>
                  <w:r>
                    <w:rPr>
                      <w:b/>
                      <w:bCs/>
                      <w:kern w:val="0"/>
                      <w:sz w:val="21"/>
                      <w:szCs w:val="21"/>
                    </w:rPr>
                    <w:t>序号</w:t>
                  </w:r>
                </w:p>
              </w:tc>
              <w:tc>
                <w:tcPr>
                  <w:tcW w:w="245" w:type="pct"/>
                  <w:vMerge w:val="restart"/>
                  <w:vAlign w:val="center"/>
                </w:tcPr>
                <w:p w14:paraId="6BD6994E">
                  <w:pPr>
                    <w:jc w:val="center"/>
                    <w:rPr>
                      <w:b/>
                      <w:bCs/>
                      <w:kern w:val="0"/>
                      <w:sz w:val="21"/>
                      <w:szCs w:val="21"/>
                    </w:rPr>
                  </w:pPr>
                  <w:r>
                    <w:rPr>
                      <w:b/>
                      <w:bCs/>
                      <w:kern w:val="0"/>
                      <w:sz w:val="21"/>
                      <w:szCs w:val="21"/>
                    </w:rPr>
                    <w:t>建筑物名称</w:t>
                  </w:r>
                </w:p>
              </w:tc>
              <w:tc>
                <w:tcPr>
                  <w:tcW w:w="245" w:type="pct"/>
                  <w:vMerge w:val="restart"/>
                  <w:vAlign w:val="center"/>
                </w:tcPr>
                <w:p w14:paraId="0D351C5F">
                  <w:pPr>
                    <w:jc w:val="center"/>
                    <w:rPr>
                      <w:b/>
                      <w:bCs/>
                      <w:kern w:val="0"/>
                      <w:sz w:val="21"/>
                      <w:szCs w:val="21"/>
                      <w:lang w:eastAsia="en-US"/>
                    </w:rPr>
                  </w:pPr>
                  <w:r>
                    <w:rPr>
                      <w:b/>
                      <w:bCs/>
                      <w:kern w:val="0"/>
                      <w:sz w:val="21"/>
                      <w:szCs w:val="21"/>
                      <w:lang w:eastAsia="en-US"/>
                    </w:rPr>
                    <w:t>声源名称</w:t>
                  </w:r>
                </w:p>
              </w:tc>
              <w:tc>
                <w:tcPr>
                  <w:tcW w:w="247" w:type="pct"/>
                  <w:vMerge w:val="restart"/>
                  <w:vAlign w:val="center"/>
                </w:tcPr>
                <w:p w14:paraId="17237678">
                  <w:pPr>
                    <w:jc w:val="center"/>
                    <w:rPr>
                      <w:b/>
                      <w:bCs/>
                      <w:kern w:val="0"/>
                      <w:sz w:val="21"/>
                      <w:szCs w:val="21"/>
                    </w:rPr>
                  </w:pPr>
                  <w:r>
                    <w:rPr>
                      <w:b/>
                      <w:bCs/>
                      <w:kern w:val="0"/>
                      <w:sz w:val="21"/>
                      <w:szCs w:val="21"/>
                    </w:rPr>
                    <w:t>型号</w:t>
                  </w:r>
                </w:p>
              </w:tc>
              <w:tc>
                <w:tcPr>
                  <w:tcW w:w="455" w:type="pct"/>
                  <w:vAlign w:val="center"/>
                </w:tcPr>
                <w:p w14:paraId="57A055DD">
                  <w:pPr>
                    <w:jc w:val="center"/>
                    <w:rPr>
                      <w:b/>
                      <w:bCs/>
                      <w:kern w:val="0"/>
                      <w:sz w:val="21"/>
                      <w:szCs w:val="21"/>
                    </w:rPr>
                  </w:pPr>
                  <w:r>
                    <w:rPr>
                      <w:b/>
                      <w:bCs/>
                      <w:kern w:val="0"/>
                      <w:sz w:val="21"/>
                      <w:szCs w:val="21"/>
                    </w:rPr>
                    <w:t>声源源强</w:t>
                  </w:r>
                </w:p>
              </w:tc>
              <w:tc>
                <w:tcPr>
                  <w:tcW w:w="366" w:type="pct"/>
                  <w:vMerge w:val="restart"/>
                  <w:vAlign w:val="center"/>
                </w:tcPr>
                <w:p w14:paraId="5D4A7C08">
                  <w:pPr>
                    <w:jc w:val="center"/>
                    <w:rPr>
                      <w:b/>
                      <w:bCs/>
                      <w:kern w:val="0"/>
                      <w:sz w:val="21"/>
                      <w:szCs w:val="21"/>
                    </w:rPr>
                  </w:pPr>
                  <w:r>
                    <w:rPr>
                      <w:b/>
                      <w:bCs/>
                      <w:kern w:val="0"/>
                      <w:sz w:val="21"/>
                      <w:szCs w:val="21"/>
                    </w:rPr>
                    <w:t>声源控制措施</w:t>
                  </w:r>
                </w:p>
              </w:tc>
              <w:tc>
                <w:tcPr>
                  <w:tcW w:w="856" w:type="pct"/>
                  <w:gridSpan w:val="3"/>
                  <w:vAlign w:val="center"/>
                </w:tcPr>
                <w:p w14:paraId="62C8B6F2">
                  <w:pPr>
                    <w:jc w:val="center"/>
                    <w:rPr>
                      <w:b/>
                      <w:bCs/>
                      <w:kern w:val="0"/>
                      <w:sz w:val="21"/>
                      <w:szCs w:val="21"/>
                    </w:rPr>
                  </w:pPr>
                  <w:r>
                    <w:rPr>
                      <w:b/>
                      <w:bCs/>
                      <w:kern w:val="0"/>
                      <w:sz w:val="21"/>
                      <w:szCs w:val="21"/>
                    </w:rPr>
                    <w:t>空间相对位置（m）</w:t>
                  </w:r>
                  <w:r>
                    <w:rPr>
                      <w:kern w:val="0"/>
                      <w:sz w:val="21"/>
                      <w:szCs w:val="21"/>
                      <w:vertAlign w:val="superscript"/>
                    </w:rPr>
                    <w:t>①</w:t>
                  </w:r>
                </w:p>
              </w:tc>
              <w:tc>
                <w:tcPr>
                  <w:tcW w:w="318" w:type="pct"/>
                  <w:vMerge w:val="restart"/>
                  <w:vAlign w:val="center"/>
                </w:tcPr>
                <w:p w14:paraId="5F1F9A45">
                  <w:pPr>
                    <w:jc w:val="center"/>
                    <w:rPr>
                      <w:b/>
                      <w:bCs/>
                      <w:kern w:val="0"/>
                      <w:sz w:val="21"/>
                      <w:szCs w:val="21"/>
                    </w:rPr>
                  </w:pPr>
                  <w:r>
                    <w:rPr>
                      <w:b/>
                      <w:bCs/>
                      <w:kern w:val="0"/>
                      <w:sz w:val="21"/>
                      <w:szCs w:val="21"/>
                    </w:rPr>
                    <w:t>距室内边界距离/m</w:t>
                  </w:r>
                  <w:r>
                    <w:rPr>
                      <w:kern w:val="0"/>
                      <w:sz w:val="21"/>
                      <w:szCs w:val="21"/>
                      <w:vertAlign w:val="superscript"/>
                    </w:rPr>
                    <w:t>②</w:t>
                  </w:r>
                </w:p>
              </w:tc>
              <w:tc>
                <w:tcPr>
                  <w:tcW w:w="449" w:type="pct"/>
                  <w:vMerge w:val="restart"/>
                  <w:vAlign w:val="center"/>
                </w:tcPr>
                <w:p w14:paraId="33266353">
                  <w:pPr>
                    <w:jc w:val="center"/>
                    <w:rPr>
                      <w:b/>
                      <w:bCs/>
                      <w:kern w:val="0"/>
                      <w:sz w:val="21"/>
                      <w:szCs w:val="21"/>
                    </w:rPr>
                  </w:pPr>
                  <w:r>
                    <w:rPr>
                      <w:b/>
                      <w:bCs/>
                      <w:kern w:val="0"/>
                      <w:sz w:val="21"/>
                      <w:szCs w:val="21"/>
                    </w:rPr>
                    <w:t>室内边界声级/dB（A）</w:t>
                  </w:r>
                  <w:r>
                    <w:rPr>
                      <w:kern w:val="0"/>
                      <w:sz w:val="21"/>
                      <w:szCs w:val="21"/>
                      <w:vertAlign w:val="superscript"/>
                    </w:rPr>
                    <w:t>②</w:t>
                  </w:r>
                </w:p>
              </w:tc>
              <w:tc>
                <w:tcPr>
                  <w:tcW w:w="418" w:type="pct"/>
                  <w:vMerge w:val="restart"/>
                  <w:vAlign w:val="center"/>
                </w:tcPr>
                <w:p w14:paraId="4A850655">
                  <w:pPr>
                    <w:jc w:val="center"/>
                    <w:rPr>
                      <w:b/>
                      <w:bCs/>
                      <w:kern w:val="0"/>
                      <w:sz w:val="21"/>
                      <w:szCs w:val="21"/>
                    </w:rPr>
                  </w:pPr>
                  <w:r>
                    <w:rPr>
                      <w:b/>
                      <w:bCs/>
                      <w:kern w:val="0"/>
                      <w:sz w:val="21"/>
                      <w:szCs w:val="21"/>
                    </w:rPr>
                    <w:t>运行时段</w:t>
                  </w:r>
                </w:p>
              </w:tc>
              <w:tc>
                <w:tcPr>
                  <w:tcW w:w="449" w:type="pct"/>
                  <w:vMerge w:val="restart"/>
                  <w:vAlign w:val="center"/>
                </w:tcPr>
                <w:p w14:paraId="0EBF9AB5">
                  <w:pPr>
                    <w:jc w:val="center"/>
                    <w:rPr>
                      <w:b/>
                      <w:bCs/>
                      <w:kern w:val="0"/>
                      <w:sz w:val="21"/>
                      <w:szCs w:val="21"/>
                    </w:rPr>
                  </w:pPr>
                  <w:r>
                    <w:rPr>
                      <w:b/>
                      <w:bCs/>
                      <w:kern w:val="0"/>
                      <w:sz w:val="21"/>
                      <w:szCs w:val="21"/>
                    </w:rPr>
                    <w:t>建筑物插入损失/dB（A）</w:t>
                  </w:r>
                </w:p>
              </w:tc>
              <w:tc>
                <w:tcPr>
                  <w:tcW w:w="700" w:type="pct"/>
                  <w:gridSpan w:val="2"/>
                  <w:vAlign w:val="center"/>
                </w:tcPr>
                <w:p w14:paraId="52F84175">
                  <w:pPr>
                    <w:jc w:val="center"/>
                    <w:rPr>
                      <w:b/>
                      <w:bCs/>
                      <w:kern w:val="0"/>
                      <w:sz w:val="21"/>
                      <w:szCs w:val="21"/>
                    </w:rPr>
                  </w:pPr>
                  <w:r>
                    <w:rPr>
                      <w:b/>
                      <w:bCs/>
                      <w:kern w:val="0"/>
                      <w:sz w:val="21"/>
                      <w:szCs w:val="21"/>
                    </w:rPr>
                    <w:t>建筑物外噪声</w:t>
                  </w:r>
                </w:p>
              </w:tc>
            </w:tr>
            <w:tr w14:paraId="7356A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6" w:type="pct"/>
                  <w:vMerge w:val="continue"/>
                  <w:vAlign w:val="center"/>
                </w:tcPr>
                <w:p w14:paraId="2AE5B648">
                  <w:pPr>
                    <w:jc w:val="center"/>
                    <w:rPr>
                      <w:b/>
                      <w:bCs/>
                      <w:kern w:val="0"/>
                      <w:sz w:val="21"/>
                      <w:szCs w:val="21"/>
                      <w:lang w:eastAsia="en-US"/>
                    </w:rPr>
                  </w:pPr>
                </w:p>
              </w:tc>
              <w:tc>
                <w:tcPr>
                  <w:tcW w:w="245" w:type="pct"/>
                  <w:vMerge w:val="continue"/>
                  <w:vAlign w:val="center"/>
                </w:tcPr>
                <w:p w14:paraId="3AC42957">
                  <w:pPr>
                    <w:jc w:val="center"/>
                    <w:rPr>
                      <w:b/>
                      <w:bCs/>
                      <w:kern w:val="0"/>
                      <w:sz w:val="21"/>
                      <w:szCs w:val="21"/>
                      <w:lang w:eastAsia="en-US"/>
                    </w:rPr>
                  </w:pPr>
                </w:p>
              </w:tc>
              <w:tc>
                <w:tcPr>
                  <w:tcW w:w="245" w:type="pct"/>
                  <w:vMerge w:val="continue"/>
                  <w:vAlign w:val="center"/>
                </w:tcPr>
                <w:p w14:paraId="558FF273">
                  <w:pPr>
                    <w:jc w:val="center"/>
                    <w:rPr>
                      <w:b/>
                      <w:bCs/>
                      <w:kern w:val="0"/>
                      <w:sz w:val="21"/>
                      <w:szCs w:val="21"/>
                      <w:lang w:eastAsia="en-US"/>
                    </w:rPr>
                  </w:pPr>
                </w:p>
              </w:tc>
              <w:tc>
                <w:tcPr>
                  <w:tcW w:w="247" w:type="pct"/>
                  <w:vMerge w:val="continue"/>
                  <w:vAlign w:val="center"/>
                </w:tcPr>
                <w:p w14:paraId="44A4E225">
                  <w:pPr>
                    <w:jc w:val="center"/>
                    <w:rPr>
                      <w:b/>
                      <w:bCs/>
                      <w:kern w:val="0"/>
                      <w:sz w:val="21"/>
                      <w:szCs w:val="21"/>
                      <w:lang w:eastAsia="en-US"/>
                    </w:rPr>
                  </w:pPr>
                </w:p>
              </w:tc>
              <w:tc>
                <w:tcPr>
                  <w:tcW w:w="455" w:type="pct"/>
                  <w:vAlign w:val="center"/>
                </w:tcPr>
                <w:p w14:paraId="72D426A7">
                  <w:pPr>
                    <w:jc w:val="center"/>
                    <w:rPr>
                      <w:b/>
                      <w:bCs/>
                      <w:kern w:val="0"/>
                      <w:sz w:val="21"/>
                      <w:szCs w:val="21"/>
                    </w:rPr>
                  </w:pPr>
                  <w:r>
                    <w:rPr>
                      <w:b/>
                      <w:bCs/>
                      <w:kern w:val="0"/>
                      <w:sz w:val="21"/>
                      <w:szCs w:val="21"/>
                    </w:rPr>
                    <w:t>声功率级/dB（A）</w:t>
                  </w:r>
                </w:p>
              </w:tc>
              <w:tc>
                <w:tcPr>
                  <w:tcW w:w="366" w:type="pct"/>
                  <w:vMerge w:val="continue"/>
                  <w:vAlign w:val="center"/>
                </w:tcPr>
                <w:p w14:paraId="256FF20B">
                  <w:pPr>
                    <w:jc w:val="center"/>
                    <w:rPr>
                      <w:b/>
                      <w:bCs/>
                      <w:kern w:val="0"/>
                      <w:sz w:val="21"/>
                      <w:szCs w:val="21"/>
                      <w:lang w:eastAsia="en-US"/>
                    </w:rPr>
                  </w:pPr>
                </w:p>
              </w:tc>
              <w:tc>
                <w:tcPr>
                  <w:tcW w:w="284" w:type="pct"/>
                  <w:vAlign w:val="center"/>
                </w:tcPr>
                <w:p w14:paraId="260B6116">
                  <w:pPr>
                    <w:jc w:val="center"/>
                    <w:rPr>
                      <w:b/>
                      <w:bCs/>
                      <w:kern w:val="0"/>
                      <w:sz w:val="21"/>
                      <w:szCs w:val="21"/>
                      <w:lang w:eastAsia="en-US"/>
                    </w:rPr>
                  </w:pPr>
                  <w:r>
                    <w:rPr>
                      <w:b/>
                      <w:bCs/>
                      <w:kern w:val="0"/>
                      <w:sz w:val="21"/>
                      <w:szCs w:val="21"/>
                      <w:lang w:eastAsia="en-US"/>
                    </w:rPr>
                    <w:t>X</w:t>
                  </w:r>
                </w:p>
              </w:tc>
              <w:tc>
                <w:tcPr>
                  <w:tcW w:w="284" w:type="pct"/>
                  <w:vAlign w:val="center"/>
                </w:tcPr>
                <w:p w14:paraId="75D73F71">
                  <w:pPr>
                    <w:jc w:val="center"/>
                    <w:rPr>
                      <w:b/>
                      <w:bCs/>
                      <w:kern w:val="0"/>
                      <w:sz w:val="21"/>
                      <w:szCs w:val="21"/>
                      <w:lang w:eastAsia="en-US"/>
                    </w:rPr>
                  </w:pPr>
                  <w:r>
                    <w:rPr>
                      <w:b/>
                      <w:bCs/>
                      <w:kern w:val="0"/>
                      <w:sz w:val="21"/>
                      <w:szCs w:val="21"/>
                      <w:lang w:eastAsia="en-US"/>
                    </w:rPr>
                    <w:t>Y</w:t>
                  </w:r>
                </w:p>
              </w:tc>
              <w:tc>
                <w:tcPr>
                  <w:tcW w:w="287" w:type="pct"/>
                  <w:vAlign w:val="center"/>
                </w:tcPr>
                <w:p w14:paraId="773736D7">
                  <w:pPr>
                    <w:jc w:val="center"/>
                    <w:rPr>
                      <w:b/>
                      <w:bCs/>
                      <w:kern w:val="0"/>
                      <w:sz w:val="21"/>
                      <w:szCs w:val="21"/>
                      <w:lang w:eastAsia="en-US"/>
                    </w:rPr>
                  </w:pPr>
                  <w:r>
                    <w:rPr>
                      <w:b/>
                      <w:bCs/>
                      <w:kern w:val="0"/>
                      <w:sz w:val="21"/>
                      <w:szCs w:val="21"/>
                      <w:lang w:eastAsia="en-US"/>
                    </w:rPr>
                    <w:t>Z</w:t>
                  </w:r>
                </w:p>
              </w:tc>
              <w:tc>
                <w:tcPr>
                  <w:tcW w:w="318" w:type="pct"/>
                  <w:vMerge w:val="continue"/>
                  <w:vAlign w:val="center"/>
                </w:tcPr>
                <w:p w14:paraId="14FEE49E">
                  <w:pPr>
                    <w:jc w:val="center"/>
                    <w:rPr>
                      <w:b/>
                      <w:bCs/>
                      <w:kern w:val="0"/>
                      <w:sz w:val="21"/>
                      <w:szCs w:val="21"/>
                      <w:lang w:eastAsia="en-US"/>
                    </w:rPr>
                  </w:pPr>
                </w:p>
              </w:tc>
              <w:tc>
                <w:tcPr>
                  <w:tcW w:w="449" w:type="pct"/>
                  <w:vMerge w:val="continue"/>
                  <w:vAlign w:val="center"/>
                </w:tcPr>
                <w:p w14:paraId="0D432328">
                  <w:pPr>
                    <w:jc w:val="center"/>
                    <w:rPr>
                      <w:b/>
                      <w:bCs/>
                      <w:kern w:val="0"/>
                      <w:sz w:val="21"/>
                      <w:szCs w:val="21"/>
                      <w:lang w:eastAsia="en-US"/>
                    </w:rPr>
                  </w:pPr>
                </w:p>
              </w:tc>
              <w:tc>
                <w:tcPr>
                  <w:tcW w:w="418" w:type="pct"/>
                  <w:vMerge w:val="continue"/>
                  <w:vAlign w:val="center"/>
                </w:tcPr>
                <w:p w14:paraId="6A715487">
                  <w:pPr>
                    <w:jc w:val="center"/>
                    <w:rPr>
                      <w:b/>
                      <w:bCs/>
                      <w:kern w:val="0"/>
                      <w:sz w:val="21"/>
                      <w:szCs w:val="21"/>
                      <w:lang w:eastAsia="en-US"/>
                    </w:rPr>
                  </w:pPr>
                </w:p>
              </w:tc>
              <w:tc>
                <w:tcPr>
                  <w:tcW w:w="449" w:type="pct"/>
                  <w:vMerge w:val="continue"/>
                  <w:vAlign w:val="center"/>
                </w:tcPr>
                <w:p w14:paraId="5F7BD3A4">
                  <w:pPr>
                    <w:jc w:val="center"/>
                    <w:rPr>
                      <w:b/>
                      <w:bCs/>
                      <w:kern w:val="0"/>
                      <w:sz w:val="21"/>
                      <w:szCs w:val="21"/>
                      <w:lang w:eastAsia="en-US"/>
                    </w:rPr>
                  </w:pPr>
                </w:p>
              </w:tc>
              <w:tc>
                <w:tcPr>
                  <w:tcW w:w="346" w:type="pct"/>
                  <w:vAlign w:val="center"/>
                </w:tcPr>
                <w:p w14:paraId="68A9B029">
                  <w:pPr>
                    <w:jc w:val="center"/>
                    <w:rPr>
                      <w:b/>
                      <w:bCs/>
                      <w:kern w:val="0"/>
                      <w:sz w:val="21"/>
                      <w:szCs w:val="21"/>
                    </w:rPr>
                  </w:pPr>
                  <w:r>
                    <w:rPr>
                      <w:b/>
                      <w:bCs/>
                      <w:kern w:val="0"/>
                      <w:sz w:val="21"/>
                      <w:szCs w:val="21"/>
                    </w:rPr>
                    <w:t>声压级/dB（A）</w:t>
                  </w:r>
                </w:p>
              </w:tc>
              <w:tc>
                <w:tcPr>
                  <w:tcW w:w="353" w:type="pct"/>
                  <w:vAlign w:val="center"/>
                </w:tcPr>
                <w:p w14:paraId="1FCFD9FA">
                  <w:pPr>
                    <w:jc w:val="center"/>
                    <w:rPr>
                      <w:b/>
                      <w:bCs/>
                      <w:kern w:val="0"/>
                      <w:sz w:val="21"/>
                      <w:szCs w:val="21"/>
                    </w:rPr>
                  </w:pPr>
                  <w:r>
                    <w:rPr>
                      <w:b/>
                      <w:bCs/>
                      <w:kern w:val="0"/>
                      <w:sz w:val="21"/>
                      <w:szCs w:val="21"/>
                    </w:rPr>
                    <w:t>建筑物外距离</w:t>
                  </w:r>
                  <w:r>
                    <w:rPr>
                      <w:kern w:val="0"/>
                      <w:sz w:val="21"/>
                      <w:szCs w:val="21"/>
                      <w:vertAlign w:val="superscript"/>
                    </w:rPr>
                    <w:t>③</w:t>
                  </w:r>
                </w:p>
              </w:tc>
            </w:tr>
            <w:tr w14:paraId="38F53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6" w:type="pct"/>
                  <w:vMerge w:val="restart"/>
                  <w:vAlign w:val="center"/>
                </w:tcPr>
                <w:p w14:paraId="2E70158E">
                  <w:pPr>
                    <w:jc w:val="center"/>
                    <w:rPr>
                      <w:b/>
                      <w:bCs/>
                      <w:kern w:val="0"/>
                      <w:sz w:val="21"/>
                      <w:szCs w:val="21"/>
                    </w:rPr>
                  </w:pPr>
                  <w:r>
                    <w:rPr>
                      <w:rFonts w:hint="eastAsia"/>
                      <w:kern w:val="0"/>
                      <w:sz w:val="21"/>
                      <w:szCs w:val="21"/>
                    </w:rPr>
                    <w:t>1</w:t>
                  </w:r>
                </w:p>
              </w:tc>
              <w:tc>
                <w:tcPr>
                  <w:tcW w:w="245" w:type="pct"/>
                  <w:vMerge w:val="restart"/>
                  <w:vAlign w:val="center"/>
                </w:tcPr>
                <w:p w14:paraId="38EB570F">
                  <w:pPr>
                    <w:rPr>
                      <w:kern w:val="0"/>
                      <w:sz w:val="21"/>
                      <w:szCs w:val="21"/>
                    </w:rPr>
                  </w:pPr>
                  <w:r>
                    <w:rPr>
                      <w:rFonts w:hint="eastAsia"/>
                      <w:kern w:val="0"/>
                      <w:sz w:val="21"/>
                      <w:szCs w:val="21"/>
                    </w:rPr>
                    <w:t>土壤制备室（细磨）</w:t>
                  </w:r>
                </w:p>
              </w:tc>
              <w:tc>
                <w:tcPr>
                  <w:tcW w:w="245" w:type="pct"/>
                  <w:vAlign w:val="center"/>
                </w:tcPr>
                <w:p w14:paraId="51F4E872">
                  <w:pPr>
                    <w:jc w:val="center"/>
                    <w:rPr>
                      <w:b/>
                      <w:bCs/>
                      <w:kern w:val="0"/>
                      <w:sz w:val="21"/>
                      <w:szCs w:val="21"/>
                      <w:lang w:eastAsia="en-US"/>
                    </w:rPr>
                  </w:pPr>
                  <w:r>
                    <w:rPr>
                      <w:rFonts w:hint="eastAsia"/>
                      <w:kern w:val="0"/>
                      <w:sz w:val="21"/>
                      <w:szCs w:val="21"/>
                    </w:rPr>
                    <w:t>研磨机1</w:t>
                  </w:r>
                </w:p>
              </w:tc>
              <w:tc>
                <w:tcPr>
                  <w:tcW w:w="247" w:type="pct"/>
                  <w:vMerge w:val="restart"/>
                  <w:vAlign w:val="center"/>
                </w:tcPr>
                <w:p w14:paraId="6A77F4F9">
                  <w:pPr>
                    <w:jc w:val="center"/>
                    <w:rPr>
                      <w:b/>
                      <w:bCs/>
                      <w:kern w:val="0"/>
                      <w:sz w:val="21"/>
                      <w:szCs w:val="21"/>
                      <w:lang w:eastAsia="en-US"/>
                    </w:rPr>
                  </w:pPr>
                  <w:r>
                    <w:rPr>
                      <w:rFonts w:hint="eastAsia"/>
                      <w:kern w:val="0"/>
                      <w:sz w:val="21"/>
                      <w:szCs w:val="21"/>
                    </w:rPr>
                    <w:t>XQM-4</w:t>
                  </w:r>
                </w:p>
              </w:tc>
              <w:tc>
                <w:tcPr>
                  <w:tcW w:w="455" w:type="pct"/>
                  <w:vAlign w:val="center"/>
                </w:tcPr>
                <w:p w14:paraId="4D018FA0">
                  <w:pPr>
                    <w:jc w:val="center"/>
                    <w:rPr>
                      <w:kern w:val="0"/>
                      <w:sz w:val="21"/>
                      <w:szCs w:val="21"/>
                      <w:lang w:eastAsia="en-US"/>
                    </w:rPr>
                  </w:pPr>
                  <w:r>
                    <w:rPr>
                      <w:rFonts w:hint="eastAsia"/>
                      <w:kern w:val="0"/>
                      <w:sz w:val="21"/>
                      <w:szCs w:val="21"/>
                    </w:rPr>
                    <w:t>70</w:t>
                  </w:r>
                </w:p>
              </w:tc>
              <w:tc>
                <w:tcPr>
                  <w:tcW w:w="366" w:type="pct"/>
                  <w:vMerge w:val="restart"/>
                  <w:vAlign w:val="center"/>
                </w:tcPr>
                <w:p w14:paraId="6C6C1AC9">
                  <w:pPr>
                    <w:jc w:val="center"/>
                    <w:rPr>
                      <w:b/>
                      <w:bCs/>
                      <w:kern w:val="0"/>
                      <w:sz w:val="21"/>
                      <w:szCs w:val="21"/>
                    </w:rPr>
                  </w:pPr>
                  <w:r>
                    <w:rPr>
                      <w:rFonts w:hint="eastAsia"/>
                      <w:kern w:val="0"/>
                      <w:sz w:val="21"/>
                      <w:szCs w:val="21"/>
                      <w:lang w:bidi="ar"/>
                    </w:rPr>
                    <w:t>低噪声设备、</w:t>
                  </w:r>
                  <w:r>
                    <w:rPr>
                      <w:sz w:val="21"/>
                      <w:szCs w:val="21"/>
                    </w:rPr>
                    <w:t>房体隔声、</w:t>
                  </w:r>
                  <w:r>
                    <w:rPr>
                      <w:rFonts w:hint="eastAsia"/>
                      <w:sz w:val="21"/>
                      <w:szCs w:val="21"/>
                    </w:rPr>
                    <w:t>设备基础减震、</w:t>
                  </w:r>
                  <w:r>
                    <w:rPr>
                      <w:sz w:val="21"/>
                      <w:szCs w:val="21"/>
                    </w:rPr>
                    <w:t>距离衰减</w:t>
                  </w:r>
                  <w:r>
                    <w:rPr>
                      <w:rFonts w:hint="eastAsia"/>
                      <w:sz w:val="21"/>
                      <w:szCs w:val="21"/>
                    </w:rPr>
                    <w:t>等</w:t>
                  </w:r>
                </w:p>
              </w:tc>
              <w:tc>
                <w:tcPr>
                  <w:tcW w:w="284" w:type="pct"/>
                  <w:vAlign w:val="center"/>
                </w:tcPr>
                <w:p w14:paraId="0B002A14">
                  <w:pPr>
                    <w:jc w:val="center"/>
                    <w:rPr>
                      <w:kern w:val="0"/>
                      <w:sz w:val="21"/>
                      <w:szCs w:val="21"/>
                    </w:rPr>
                  </w:pPr>
                  <w:r>
                    <w:rPr>
                      <w:rFonts w:hint="eastAsia"/>
                      <w:kern w:val="0"/>
                      <w:sz w:val="21"/>
                      <w:szCs w:val="21"/>
                    </w:rPr>
                    <w:t>46.7</w:t>
                  </w:r>
                </w:p>
              </w:tc>
              <w:tc>
                <w:tcPr>
                  <w:tcW w:w="284" w:type="pct"/>
                  <w:vAlign w:val="center"/>
                </w:tcPr>
                <w:p w14:paraId="1619462E">
                  <w:pPr>
                    <w:jc w:val="center"/>
                    <w:rPr>
                      <w:kern w:val="0"/>
                      <w:sz w:val="21"/>
                      <w:szCs w:val="21"/>
                    </w:rPr>
                  </w:pPr>
                  <w:r>
                    <w:rPr>
                      <w:rFonts w:hint="eastAsia"/>
                      <w:kern w:val="0"/>
                      <w:sz w:val="21"/>
                      <w:szCs w:val="21"/>
                    </w:rPr>
                    <w:t>4</w:t>
                  </w:r>
                </w:p>
              </w:tc>
              <w:tc>
                <w:tcPr>
                  <w:tcW w:w="287" w:type="pct"/>
                  <w:vAlign w:val="center"/>
                </w:tcPr>
                <w:p w14:paraId="7064354E">
                  <w:pPr>
                    <w:jc w:val="center"/>
                    <w:rPr>
                      <w:rFonts w:hint="eastAsia" w:eastAsia="宋体"/>
                      <w:color w:val="FF0000"/>
                      <w:kern w:val="0"/>
                      <w:sz w:val="21"/>
                      <w:szCs w:val="21"/>
                      <w:lang w:eastAsia="zh-CN"/>
                    </w:rPr>
                  </w:pPr>
                  <w:r>
                    <w:rPr>
                      <w:rFonts w:hint="eastAsia"/>
                      <w:color w:val="FF0000"/>
                      <w:kern w:val="0"/>
                      <w:sz w:val="21"/>
                      <w:szCs w:val="21"/>
                    </w:rPr>
                    <w:t>1</w:t>
                  </w:r>
                  <w:r>
                    <w:rPr>
                      <w:rFonts w:hint="eastAsia"/>
                      <w:color w:val="FF0000"/>
                      <w:kern w:val="0"/>
                      <w:sz w:val="21"/>
                      <w:szCs w:val="21"/>
                      <w:lang w:val="en-US" w:eastAsia="zh-CN"/>
                    </w:rPr>
                    <w:t>4</w:t>
                  </w:r>
                </w:p>
              </w:tc>
              <w:tc>
                <w:tcPr>
                  <w:tcW w:w="318" w:type="pct"/>
                  <w:vAlign w:val="center"/>
                </w:tcPr>
                <w:p w14:paraId="0F8E5422">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0</w:t>
                  </w:r>
                </w:p>
              </w:tc>
              <w:tc>
                <w:tcPr>
                  <w:tcW w:w="449" w:type="pct"/>
                  <w:vAlign w:val="center"/>
                </w:tcPr>
                <w:p w14:paraId="7210E2CC">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65</w:t>
                  </w:r>
                </w:p>
              </w:tc>
              <w:tc>
                <w:tcPr>
                  <w:tcW w:w="418" w:type="pct"/>
                  <w:vMerge w:val="restart"/>
                  <w:vAlign w:val="center"/>
                </w:tcPr>
                <w:p w14:paraId="528D4F91">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250h</w:t>
                  </w:r>
                </w:p>
              </w:tc>
              <w:tc>
                <w:tcPr>
                  <w:tcW w:w="449" w:type="pct"/>
                  <w:vAlign w:val="center"/>
                </w:tcPr>
                <w:p w14:paraId="5F9D4E9F">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20</w:t>
                  </w:r>
                </w:p>
              </w:tc>
              <w:tc>
                <w:tcPr>
                  <w:tcW w:w="346" w:type="pct"/>
                  <w:vAlign w:val="center"/>
                </w:tcPr>
                <w:p w14:paraId="55A99989">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45</w:t>
                  </w:r>
                </w:p>
              </w:tc>
              <w:tc>
                <w:tcPr>
                  <w:tcW w:w="353" w:type="pct"/>
                  <w:vMerge w:val="restart"/>
                  <w:vAlign w:val="center"/>
                </w:tcPr>
                <w:p w14:paraId="51B48457">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1m</w:t>
                  </w:r>
                </w:p>
              </w:tc>
            </w:tr>
            <w:tr w14:paraId="16477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6" w:type="pct"/>
                  <w:vMerge w:val="continue"/>
                  <w:vAlign w:val="center"/>
                </w:tcPr>
                <w:p w14:paraId="5B7C099E">
                  <w:pPr>
                    <w:jc w:val="center"/>
                    <w:rPr>
                      <w:b/>
                      <w:bCs/>
                      <w:kern w:val="0"/>
                      <w:sz w:val="21"/>
                      <w:szCs w:val="21"/>
                      <w:lang w:eastAsia="en-US"/>
                    </w:rPr>
                  </w:pPr>
                </w:p>
              </w:tc>
              <w:tc>
                <w:tcPr>
                  <w:tcW w:w="245" w:type="pct"/>
                  <w:vMerge w:val="continue"/>
                  <w:vAlign w:val="center"/>
                </w:tcPr>
                <w:p w14:paraId="2CF6578B">
                  <w:pPr>
                    <w:jc w:val="center"/>
                    <w:rPr>
                      <w:b/>
                      <w:bCs/>
                      <w:kern w:val="0"/>
                      <w:sz w:val="21"/>
                      <w:szCs w:val="21"/>
                      <w:lang w:eastAsia="en-US"/>
                    </w:rPr>
                  </w:pPr>
                </w:p>
              </w:tc>
              <w:tc>
                <w:tcPr>
                  <w:tcW w:w="245" w:type="pct"/>
                  <w:vAlign w:val="center"/>
                </w:tcPr>
                <w:p w14:paraId="4285056B">
                  <w:pPr>
                    <w:jc w:val="center"/>
                    <w:rPr>
                      <w:b/>
                      <w:bCs/>
                      <w:kern w:val="0"/>
                      <w:sz w:val="21"/>
                      <w:szCs w:val="21"/>
                      <w:lang w:eastAsia="en-US"/>
                    </w:rPr>
                  </w:pPr>
                  <w:r>
                    <w:rPr>
                      <w:rFonts w:hint="eastAsia"/>
                      <w:kern w:val="0"/>
                      <w:sz w:val="21"/>
                      <w:szCs w:val="21"/>
                    </w:rPr>
                    <w:t>研磨机2</w:t>
                  </w:r>
                </w:p>
              </w:tc>
              <w:tc>
                <w:tcPr>
                  <w:tcW w:w="247" w:type="pct"/>
                  <w:vMerge w:val="continue"/>
                  <w:vAlign w:val="center"/>
                </w:tcPr>
                <w:p w14:paraId="44BB22E1">
                  <w:pPr>
                    <w:jc w:val="center"/>
                    <w:rPr>
                      <w:b/>
                      <w:bCs/>
                      <w:kern w:val="0"/>
                      <w:sz w:val="21"/>
                      <w:szCs w:val="21"/>
                    </w:rPr>
                  </w:pPr>
                </w:p>
              </w:tc>
              <w:tc>
                <w:tcPr>
                  <w:tcW w:w="455" w:type="pct"/>
                  <w:vAlign w:val="center"/>
                </w:tcPr>
                <w:p w14:paraId="39BC7D95">
                  <w:pPr>
                    <w:jc w:val="center"/>
                    <w:rPr>
                      <w:kern w:val="0"/>
                      <w:sz w:val="21"/>
                      <w:szCs w:val="21"/>
                    </w:rPr>
                  </w:pPr>
                  <w:r>
                    <w:rPr>
                      <w:rFonts w:hint="eastAsia"/>
                      <w:kern w:val="0"/>
                      <w:sz w:val="21"/>
                      <w:szCs w:val="21"/>
                    </w:rPr>
                    <w:t>70</w:t>
                  </w:r>
                </w:p>
              </w:tc>
              <w:tc>
                <w:tcPr>
                  <w:tcW w:w="366" w:type="pct"/>
                  <w:vMerge w:val="continue"/>
                  <w:vAlign w:val="center"/>
                </w:tcPr>
                <w:p w14:paraId="1D607483">
                  <w:pPr>
                    <w:jc w:val="center"/>
                    <w:rPr>
                      <w:b/>
                      <w:bCs/>
                      <w:kern w:val="0"/>
                      <w:sz w:val="21"/>
                      <w:szCs w:val="21"/>
                      <w:lang w:eastAsia="en-US"/>
                    </w:rPr>
                  </w:pPr>
                </w:p>
              </w:tc>
              <w:tc>
                <w:tcPr>
                  <w:tcW w:w="284" w:type="pct"/>
                  <w:vAlign w:val="center"/>
                </w:tcPr>
                <w:p w14:paraId="3C20F693">
                  <w:pPr>
                    <w:jc w:val="center"/>
                    <w:rPr>
                      <w:kern w:val="0"/>
                      <w:sz w:val="21"/>
                      <w:szCs w:val="21"/>
                    </w:rPr>
                  </w:pPr>
                  <w:r>
                    <w:rPr>
                      <w:rFonts w:hint="eastAsia"/>
                      <w:kern w:val="0"/>
                      <w:sz w:val="21"/>
                      <w:szCs w:val="21"/>
                    </w:rPr>
                    <w:t>47.7</w:t>
                  </w:r>
                </w:p>
              </w:tc>
              <w:tc>
                <w:tcPr>
                  <w:tcW w:w="284" w:type="pct"/>
                  <w:vAlign w:val="center"/>
                </w:tcPr>
                <w:p w14:paraId="52B1F1A3">
                  <w:pPr>
                    <w:jc w:val="center"/>
                    <w:rPr>
                      <w:kern w:val="0"/>
                      <w:sz w:val="21"/>
                      <w:szCs w:val="21"/>
                    </w:rPr>
                  </w:pPr>
                  <w:r>
                    <w:rPr>
                      <w:rFonts w:hint="eastAsia"/>
                      <w:kern w:val="0"/>
                      <w:sz w:val="21"/>
                      <w:szCs w:val="21"/>
                    </w:rPr>
                    <w:t>4</w:t>
                  </w:r>
                </w:p>
              </w:tc>
              <w:tc>
                <w:tcPr>
                  <w:tcW w:w="287" w:type="pct"/>
                  <w:vAlign w:val="center"/>
                </w:tcPr>
                <w:p w14:paraId="7D91CD7A">
                  <w:pPr>
                    <w:jc w:val="center"/>
                    <w:rPr>
                      <w:rFonts w:hint="eastAsia" w:eastAsia="宋体"/>
                      <w:color w:val="FF0000"/>
                      <w:kern w:val="0"/>
                      <w:sz w:val="21"/>
                      <w:szCs w:val="21"/>
                      <w:lang w:eastAsia="zh-CN"/>
                    </w:rPr>
                  </w:pPr>
                  <w:r>
                    <w:rPr>
                      <w:rFonts w:hint="eastAsia"/>
                      <w:color w:val="FF0000"/>
                      <w:kern w:val="0"/>
                      <w:sz w:val="21"/>
                      <w:szCs w:val="21"/>
                    </w:rPr>
                    <w:t>1</w:t>
                  </w:r>
                  <w:r>
                    <w:rPr>
                      <w:rFonts w:hint="eastAsia"/>
                      <w:color w:val="FF0000"/>
                      <w:kern w:val="0"/>
                      <w:sz w:val="21"/>
                      <w:szCs w:val="21"/>
                      <w:lang w:val="en-US" w:eastAsia="zh-CN"/>
                    </w:rPr>
                    <w:t>4</w:t>
                  </w:r>
                </w:p>
              </w:tc>
              <w:tc>
                <w:tcPr>
                  <w:tcW w:w="318" w:type="pct"/>
                  <w:vAlign w:val="center"/>
                </w:tcPr>
                <w:p w14:paraId="7F7C38DB">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w:t>
                  </w:r>
                </w:p>
              </w:tc>
              <w:tc>
                <w:tcPr>
                  <w:tcW w:w="449" w:type="pct"/>
                  <w:vAlign w:val="center"/>
                </w:tcPr>
                <w:p w14:paraId="15590129">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65</w:t>
                  </w:r>
                </w:p>
              </w:tc>
              <w:tc>
                <w:tcPr>
                  <w:tcW w:w="418" w:type="pct"/>
                  <w:vMerge w:val="continue"/>
                  <w:vAlign w:val="center"/>
                </w:tcPr>
                <w:p w14:paraId="3376B968">
                  <w:pPr>
                    <w:jc w:val="center"/>
                    <w:rPr>
                      <w:b/>
                      <w:bCs/>
                      <w:kern w:val="0"/>
                      <w:sz w:val="21"/>
                      <w:szCs w:val="21"/>
                      <w:lang w:eastAsia="en-US"/>
                    </w:rPr>
                  </w:pPr>
                </w:p>
              </w:tc>
              <w:tc>
                <w:tcPr>
                  <w:tcW w:w="449" w:type="pct"/>
                  <w:vAlign w:val="center"/>
                </w:tcPr>
                <w:p w14:paraId="6CE20F02">
                  <w:pPr>
                    <w:jc w:val="center"/>
                    <w:rPr>
                      <w:kern w:val="0"/>
                      <w:sz w:val="21"/>
                      <w:szCs w:val="21"/>
                    </w:rPr>
                  </w:pPr>
                  <w:r>
                    <w:rPr>
                      <w:rFonts w:hint="eastAsia"/>
                      <w:kern w:val="0"/>
                      <w:sz w:val="21"/>
                      <w:szCs w:val="21"/>
                    </w:rPr>
                    <w:t>20</w:t>
                  </w:r>
                </w:p>
              </w:tc>
              <w:tc>
                <w:tcPr>
                  <w:tcW w:w="346" w:type="pct"/>
                  <w:vAlign w:val="center"/>
                </w:tcPr>
                <w:p w14:paraId="665C9002">
                  <w:pPr>
                    <w:jc w:val="center"/>
                    <w:rPr>
                      <w:kern w:val="0"/>
                      <w:sz w:val="21"/>
                      <w:szCs w:val="21"/>
                    </w:rPr>
                  </w:pPr>
                  <w:r>
                    <w:rPr>
                      <w:rFonts w:hint="eastAsia"/>
                      <w:kern w:val="0"/>
                      <w:sz w:val="21"/>
                      <w:szCs w:val="21"/>
                    </w:rPr>
                    <w:t>45</w:t>
                  </w:r>
                </w:p>
              </w:tc>
              <w:tc>
                <w:tcPr>
                  <w:tcW w:w="353" w:type="pct"/>
                  <w:vMerge w:val="continue"/>
                  <w:vAlign w:val="center"/>
                </w:tcPr>
                <w:p w14:paraId="2F0E0E80">
                  <w:pPr>
                    <w:jc w:val="center"/>
                    <w:rPr>
                      <w:b/>
                      <w:bCs/>
                      <w:kern w:val="0"/>
                      <w:sz w:val="21"/>
                      <w:szCs w:val="21"/>
                    </w:rPr>
                  </w:pPr>
                </w:p>
              </w:tc>
            </w:tr>
            <w:tr w14:paraId="64A57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6" w:type="pct"/>
                  <w:vMerge w:val="continue"/>
                  <w:vAlign w:val="center"/>
                </w:tcPr>
                <w:p w14:paraId="280941E7">
                  <w:pPr>
                    <w:jc w:val="center"/>
                    <w:rPr>
                      <w:b/>
                      <w:bCs/>
                      <w:kern w:val="0"/>
                      <w:sz w:val="21"/>
                      <w:szCs w:val="21"/>
                      <w:lang w:eastAsia="en-US"/>
                    </w:rPr>
                  </w:pPr>
                </w:p>
              </w:tc>
              <w:tc>
                <w:tcPr>
                  <w:tcW w:w="245" w:type="pct"/>
                  <w:vMerge w:val="continue"/>
                  <w:vAlign w:val="center"/>
                </w:tcPr>
                <w:p w14:paraId="1BA91471">
                  <w:pPr>
                    <w:jc w:val="center"/>
                    <w:rPr>
                      <w:b/>
                      <w:bCs/>
                      <w:kern w:val="0"/>
                      <w:sz w:val="21"/>
                      <w:szCs w:val="21"/>
                      <w:lang w:eastAsia="en-US"/>
                    </w:rPr>
                  </w:pPr>
                </w:p>
              </w:tc>
              <w:tc>
                <w:tcPr>
                  <w:tcW w:w="245" w:type="pct"/>
                  <w:vAlign w:val="center"/>
                </w:tcPr>
                <w:p w14:paraId="08EEE95E">
                  <w:pPr>
                    <w:jc w:val="center"/>
                    <w:rPr>
                      <w:b/>
                      <w:bCs/>
                      <w:kern w:val="0"/>
                      <w:sz w:val="21"/>
                      <w:szCs w:val="21"/>
                      <w:lang w:eastAsia="en-US"/>
                    </w:rPr>
                  </w:pPr>
                  <w:r>
                    <w:rPr>
                      <w:rFonts w:hint="eastAsia"/>
                      <w:kern w:val="0"/>
                      <w:sz w:val="21"/>
                      <w:szCs w:val="21"/>
                    </w:rPr>
                    <w:t>研磨机3</w:t>
                  </w:r>
                </w:p>
              </w:tc>
              <w:tc>
                <w:tcPr>
                  <w:tcW w:w="247" w:type="pct"/>
                  <w:vMerge w:val="continue"/>
                  <w:vAlign w:val="center"/>
                </w:tcPr>
                <w:p w14:paraId="70FBF78A">
                  <w:pPr>
                    <w:jc w:val="center"/>
                    <w:rPr>
                      <w:b/>
                      <w:bCs/>
                      <w:kern w:val="0"/>
                      <w:sz w:val="21"/>
                      <w:szCs w:val="21"/>
                    </w:rPr>
                  </w:pPr>
                </w:p>
              </w:tc>
              <w:tc>
                <w:tcPr>
                  <w:tcW w:w="455" w:type="pct"/>
                  <w:vAlign w:val="center"/>
                </w:tcPr>
                <w:p w14:paraId="5D2181B5">
                  <w:pPr>
                    <w:jc w:val="center"/>
                    <w:rPr>
                      <w:kern w:val="0"/>
                      <w:sz w:val="21"/>
                      <w:szCs w:val="21"/>
                    </w:rPr>
                  </w:pPr>
                  <w:r>
                    <w:rPr>
                      <w:rFonts w:hint="eastAsia"/>
                      <w:kern w:val="0"/>
                      <w:sz w:val="21"/>
                      <w:szCs w:val="21"/>
                    </w:rPr>
                    <w:t>70</w:t>
                  </w:r>
                </w:p>
              </w:tc>
              <w:tc>
                <w:tcPr>
                  <w:tcW w:w="366" w:type="pct"/>
                  <w:vMerge w:val="continue"/>
                  <w:vAlign w:val="center"/>
                </w:tcPr>
                <w:p w14:paraId="2349FBCC">
                  <w:pPr>
                    <w:jc w:val="center"/>
                    <w:rPr>
                      <w:b/>
                      <w:bCs/>
                      <w:kern w:val="0"/>
                      <w:sz w:val="21"/>
                      <w:szCs w:val="21"/>
                      <w:lang w:eastAsia="en-US"/>
                    </w:rPr>
                  </w:pPr>
                </w:p>
              </w:tc>
              <w:tc>
                <w:tcPr>
                  <w:tcW w:w="284" w:type="pct"/>
                  <w:vAlign w:val="center"/>
                </w:tcPr>
                <w:p w14:paraId="701471B6">
                  <w:pPr>
                    <w:jc w:val="center"/>
                    <w:rPr>
                      <w:kern w:val="0"/>
                      <w:sz w:val="21"/>
                      <w:szCs w:val="21"/>
                    </w:rPr>
                  </w:pPr>
                  <w:r>
                    <w:rPr>
                      <w:rFonts w:hint="eastAsia"/>
                      <w:kern w:val="0"/>
                      <w:sz w:val="21"/>
                      <w:szCs w:val="21"/>
                    </w:rPr>
                    <w:t>48.7</w:t>
                  </w:r>
                </w:p>
              </w:tc>
              <w:tc>
                <w:tcPr>
                  <w:tcW w:w="284" w:type="pct"/>
                  <w:vAlign w:val="center"/>
                </w:tcPr>
                <w:p w14:paraId="4951871F">
                  <w:pPr>
                    <w:jc w:val="center"/>
                    <w:rPr>
                      <w:kern w:val="0"/>
                      <w:sz w:val="21"/>
                      <w:szCs w:val="21"/>
                    </w:rPr>
                  </w:pPr>
                  <w:r>
                    <w:rPr>
                      <w:rFonts w:hint="eastAsia"/>
                      <w:kern w:val="0"/>
                      <w:sz w:val="21"/>
                      <w:szCs w:val="21"/>
                    </w:rPr>
                    <w:t>3</w:t>
                  </w:r>
                </w:p>
              </w:tc>
              <w:tc>
                <w:tcPr>
                  <w:tcW w:w="287" w:type="pct"/>
                  <w:vAlign w:val="center"/>
                </w:tcPr>
                <w:p w14:paraId="0D665203">
                  <w:pPr>
                    <w:jc w:val="center"/>
                    <w:rPr>
                      <w:rFonts w:hint="eastAsia" w:eastAsia="宋体"/>
                      <w:color w:val="FF0000"/>
                      <w:kern w:val="0"/>
                      <w:sz w:val="21"/>
                      <w:szCs w:val="21"/>
                      <w:lang w:eastAsia="zh-CN"/>
                    </w:rPr>
                  </w:pPr>
                  <w:r>
                    <w:rPr>
                      <w:rFonts w:hint="eastAsia"/>
                      <w:color w:val="FF0000"/>
                      <w:kern w:val="0"/>
                      <w:sz w:val="21"/>
                      <w:szCs w:val="21"/>
                    </w:rPr>
                    <w:t>1</w:t>
                  </w:r>
                  <w:r>
                    <w:rPr>
                      <w:rFonts w:hint="eastAsia"/>
                      <w:color w:val="FF0000"/>
                      <w:kern w:val="0"/>
                      <w:sz w:val="21"/>
                      <w:szCs w:val="21"/>
                      <w:lang w:val="en-US" w:eastAsia="zh-CN"/>
                    </w:rPr>
                    <w:t>4</w:t>
                  </w:r>
                </w:p>
              </w:tc>
              <w:tc>
                <w:tcPr>
                  <w:tcW w:w="318" w:type="pct"/>
                  <w:vAlign w:val="center"/>
                </w:tcPr>
                <w:p w14:paraId="5B8789CF">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1.5</w:t>
                  </w:r>
                </w:p>
              </w:tc>
              <w:tc>
                <w:tcPr>
                  <w:tcW w:w="449" w:type="pct"/>
                  <w:vAlign w:val="center"/>
                </w:tcPr>
                <w:p w14:paraId="027B9603">
                  <w:pPr>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65</w:t>
                  </w:r>
                </w:p>
              </w:tc>
              <w:tc>
                <w:tcPr>
                  <w:tcW w:w="418" w:type="pct"/>
                  <w:vMerge w:val="continue"/>
                  <w:vAlign w:val="center"/>
                </w:tcPr>
                <w:p w14:paraId="4969EEFF">
                  <w:pPr>
                    <w:jc w:val="center"/>
                    <w:rPr>
                      <w:b/>
                      <w:bCs/>
                      <w:kern w:val="0"/>
                      <w:sz w:val="21"/>
                      <w:szCs w:val="21"/>
                      <w:lang w:eastAsia="en-US"/>
                    </w:rPr>
                  </w:pPr>
                </w:p>
              </w:tc>
              <w:tc>
                <w:tcPr>
                  <w:tcW w:w="449" w:type="pct"/>
                  <w:vAlign w:val="center"/>
                </w:tcPr>
                <w:p w14:paraId="72BF62CA">
                  <w:pPr>
                    <w:jc w:val="center"/>
                    <w:rPr>
                      <w:kern w:val="0"/>
                      <w:sz w:val="21"/>
                      <w:szCs w:val="21"/>
                    </w:rPr>
                  </w:pPr>
                  <w:r>
                    <w:rPr>
                      <w:rFonts w:hint="eastAsia"/>
                      <w:kern w:val="0"/>
                      <w:sz w:val="21"/>
                      <w:szCs w:val="21"/>
                    </w:rPr>
                    <w:t>20</w:t>
                  </w:r>
                </w:p>
              </w:tc>
              <w:tc>
                <w:tcPr>
                  <w:tcW w:w="346" w:type="pct"/>
                  <w:vAlign w:val="center"/>
                </w:tcPr>
                <w:p w14:paraId="3FA2D3D3">
                  <w:pPr>
                    <w:jc w:val="center"/>
                    <w:rPr>
                      <w:kern w:val="0"/>
                      <w:sz w:val="21"/>
                      <w:szCs w:val="21"/>
                    </w:rPr>
                  </w:pPr>
                  <w:r>
                    <w:rPr>
                      <w:rFonts w:hint="eastAsia"/>
                      <w:kern w:val="0"/>
                      <w:sz w:val="21"/>
                      <w:szCs w:val="21"/>
                    </w:rPr>
                    <w:t>45</w:t>
                  </w:r>
                </w:p>
              </w:tc>
              <w:tc>
                <w:tcPr>
                  <w:tcW w:w="353" w:type="pct"/>
                  <w:vMerge w:val="continue"/>
                  <w:vAlign w:val="center"/>
                </w:tcPr>
                <w:p w14:paraId="0124FB4F">
                  <w:pPr>
                    <w:jc w:val="center"/>
                    <w:rPr>
                      <w:b/>
                      <w:bCs/>
                      <w:kern w:val="0"/>
                      <w:sz w:val="21"/>
                      <w:szCs w:val="21"/>
                    </w:rPr>
                  </w:pPr>
                </w:p>
              </w:tc>
            </w:tr>
            <w:tr w14:paraId="459CB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000" w:type="pct"/>
                  <w:gridSpan w:val="15"/>
                  <w:vAlign w:val="center"/>
                </w:tcPr>
                <w:p w14:paraId="43295B2E">
                  <w:pPr>
                    <w:tabs>
                      <w:tab w:val="left" w:pos="3836"/>
                    </w:tabs>
                    <w:rPr>
                      <w:kern w:val="0"/>
                      <w:sz w:val="21"/>
                      <w:szCs w:val="21"/>
                    </w:rPr>
                  </w:pPr>
                  <w:r>
                    <w:rPr>
                      <w:rFonts w:hint="eastAsia"/>
                      <w:kern w:val="0"/>
                      <w:sz w:val="21"/>
                      <w:szCs w:val="21"/>
                    </w:rPr>
                    <w:t>注：</w:t>
                  </w:r>
                  <w:r>
                    <w:rPr>
                      <w:kern w:val="0"/>
                      <w:sz w:val="21"/>
                      <w:szCs w:val="21"/>
                    </w:rPr>
                    <w:t>①</w:t>
                  </w:r>
                  <w:r>
                    <w:rPr>
                      <w:rFonts w:hint="eastAsia"/>
                      <w:kern w:val="0"/>
                      <w:sz w:val="21"/>
                      <w:szCs w:val="21"/>
                    </w:rPr>
                    <w:t>表中坐标以项目所在1#楼西南角为坐标原点（0，0），正东向为X轴正方向，正北向为Y轴正方</w:t>
                  </w:r>
                  <w:r>
                    <w:rPr>
                      <w:rFonts w:hint="eastAsia"/>
                      <w:color w:val="000000" w:themeColor="text1"/>
                      <w:kern w:val="0"/>
                      <w:sz w:val="21"/>
                      <w:szCs w:val="21"/>
                      <w14:textFill>
                        <w14:solidFill>
                          <w14:schemeClr w14:val="tx1"/>
                        </w14:solidFill>
                      </w14:textFill>
                    </w:rPr>
                    <w:t>向；</w:t>
                  </w:r>
                  <w:r>
                    <w:rPr>
                      <w:color w:val="000000" w:themeColor="text1"/>
                      <w:kern w:val="0"/>
                      <w:sz w:val="21"/>
                      <w:szCs w:val="21"/>
                      <w14:textFill>
                        <w14:solidFill>
                          <w14:schemeClr w14:val="tx1"/>
                        </w14:solidFill>
                      </w14:textFill>
                    </w:rPr>
                    <w:t>②</w:t>
                  </w:r>
                  <w:r>
                    <w:rPr>
                      <w:rFonts w:hint="eastAsia"/>
                      <w:color w:val="000000" w:themeColor="text1"/>
                      <w:kern w:val="0"/>
                      <w:sz w:val="21"/>
                      <w:szCs w:val="21"/>
                      <w14:textFill>
                        <w14:solidFill>
                          <w14:schemeClr w14:val="tx1"/>
                        </w14:solidFill>
                      </w14:textFill>
                    </w:rPr>
                    <w:t>距室内边界距离及其对应的室内边界声级所指的边界即为距离设备最近的室内边界，本项目研磨机1、2、3距离室内边界距离分别为距离室内西侧边界、西侧边界、东侧边界的距离；</w:t>
                  </w:r>
                  <w:r>
                    <w:rPr>
                      <w:color w:val="000000" w:themeColor="text1"/>
                      <w:kern w:val="0"/>
                      <w:sz w:val="21"/>
                      <w:szCs w:val="21"/>
                      <w14:textFill>
                        <w14:solidFill>
                          <w14:schemeClr w14:val="tx1"/>
                        </w14:solidFill>
                      </w14:textFill>
                    </w:rPr>
                    <w:t>③</w:t>
                  </w:r>
                  <w:r>
                    <w:rPr>
                      <w:rFonts w:hint="eastAsia"/>
                      <w:color w:val="000000" w:themeColor="text1"/>
                      <w:kern w:val="0"/>
                      <w:sz w:val="21"/>
                      <w:szCs w:val="21"/>
                      <w14:textFill>
                        <w14:solidFill>
                          <w14:schemeClr w14:val="tx1"/>
                        </w14:solidFill>
                      </w14:textFill>
                    </w:rPr>
                    <w:t>建筑物外噪声对应距离即指距离设备最近的1号楼所在边界外1m。</w:t>
                  </w:r>
                </w:p>
              </w:tc>
            </w:tr>
          </w:tbl>
          <w:p w14:paraId="726BF46A">
            <w:pPr>
              <w:widowControl/>
              <w:tabs>
                <w:tab w:val="left" w:pos="3836"/>
              </w:tabs>
              <w:spacing w:before="156" w:beforeLines="50"/>
              <w:jc w:val="center"/>
              <w:rPr>
                <w:b/>
                <w:bCs/>
                <w:sz w:val="21"/>
                <w:szCs w:val="18"/>
              </w:rPr>
            </w:pPr>
            <w:r>
              <w:rPr>
                <w:b/>
                <w:bCs/>
                <w:sz w:val="21"/>
                <w:szCs w:val="18"/>
              </w:rPr>
              <w:t>表4-</w:t>
            </w:r>
            <w:r>
              <w:rPr>
                <w:rFonts w:hint="eastAsia"/>
                <w:b/>
                <w:bCs/>
                <w:sz w:val="21"/>
                <w:szCs w:val="18"/>
              </w:rPr>
              <w:t>15</w:t>
            </w:r>
            <w:r>
              <w:rPr>
                <w:b/>
                <w:bCs/>
                <w:sz w:val="21"/>
                <w:szCs w:val="18"/>
              </w:rPr>
              <w:t xml:space="preserve">  工业企业噪声源强调查清单（室外声源）</w:t>
            </w:r>
          </w:p>
          <w:tbl>
            <w:tblPr>
              <w:tblStyle w:val="2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876"/>
              <w:gridCol w:w="580"/>
              <w:gridCol w:w="792"/>
              <w:gridCol w:w="792"/>
              <w:gridCol w:w="794"/>
              <w:gridCol w:w="1261"/>
              <w:gridCol w:w="1560"/>
              <w:gridCol w:w="854"/>
            </w:tblGrid>
            <w:tr w14:paraId="79F1E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restart"/>
                  <w:vAlign w:val="center"/>
                </w:tcPr>
                <w:p w14:paraId="4670496A">
                  <w:pPr>
                    <w:jc w:val="center"/>
                    <w:rPr>
                      <w:kern w:val="0"/>
                      <w:sz w:val="21"/>
                      <w:szCs w:val="21"/>
                    </w:rPr>
                  </w:pPr>
                  <w:r>
                    <w:rPr>
                      <w:kern w:val="0"/>
                      <w:sz w:val="21"/>
                      <w:szCs w:val="21"/>
                    </w:rPr>
                    <w:t>序号</w:t>
                  </w:r>
                </w:p>
              </w:tc>
              <w:tc>
                <w:tcPr>
                  <w:tcW w:w="542" w:type="pct"/>
                  <w:vMerge w:val="restart"/>
                  <w:vAlign w:val="center"/>
                </w:tcPr>
                <w:p w14:paraId="6244FDAF">
                  <w:pPr>
                    <w:jc w:val="center"/>
                    <w:rPr>
                      <w:kern w:val="0"/>
                      <w:sz w:val="21"/>
                      <w:szCs w:val="21"/>
                      <w:lang w:eastAsia="en-US"/>
                    </w:rPr>
                  </w:pPr>
                  <w:r>
                    <w:rPr>
                      <w:kern w:val="0"/>
                      <w:sz w:val="21"/>
                      <w:szCs w:val="21"/>
                      <w:lang w:eastAsia="en-US"/>
                    </w:rPr>
                    <w:t>声源名称</w:t>
                  </w:r>
                </w:p>
              </w:tc>
              <w:tc>
                <w:tcPr>
                  <w:tcW w:w="359" w:type="pct"/>
                  <w:vMerge w:val="restart"/>
                  <w:vAlign w:val="center"/>
                </w:tcPr>
                <w:p w14:paraId="2532FB2E">
                  <w:pPr>
                    <w:jc w:val="center"/>
                    <w:rPr>
                      <w:kern w:val="0"/>
                      <w:sz w:val="21"/>
                      <w:szCs w:val="21"/>
                    </w:rPr>
                  </w:pPr>
                  <w:r>
                    <w:rPr>
                      <w:kern w:val="0"/>
                      <w:sz w:val="21"/>
                      <w:szCs w:val="21"/>
                    </w:rPr>
                    <w:t>型号</w:t>
                  </w:r>
                </w:p>
              </w:tc>
              <w:tc>
                <w:tcPr>
                  <w:tcW w:w="1471" w:type="pct"/>
                  <w:gridSpan w:val="3"/>
                  <w:vAlign w:val="center"/>
                </w:tcPr>
                <w:p w14:paraId="28D50075">
                  <w:pPr>
                    <w:jc w:val="center"/>
                    <w:rPr>
                      <w:kern w:val="0"/>
                      <w:sz w:val="21"/>
                      <w:szCs w:val="21"/>
                      <w:lang w:eastAsia="en-US"/>
                    </w:rPr>
                  </w:pPr>
                  <w:r>
                    <w:rPr>
                      <w:kern w:val="0"/>
                      <w:sz w:val="21"/>
                      <w:szCs w:val="21"/>
                      <w:lang w:eastAsia="en-US"/>
                    </w:rPr>
                    <w:t>空间相对位置（m）</w:t>
                  </w:r>
                </w:p>
              </w:tc>
              <w:tc>
                <w:tcPr>
                  <w:tcW w:w="780" w:type="pct"/>
                  <w:vAlign w:val="center"/>
                </w:tcPr>
                <w:p w14:paraId="726157B5">
                  <w:pPr>
                    <w:jc w:val="center"/>
                    <w:rPr>
                      <w:kern w:val="0"/>
                      <w:sz w:val="21"/>
                      <w:szCs w:val="21"/>
                    </w:rPr>
                  </w:pPr>
                  <w:r>
                    <w:rPr>
                      <w:kern w:val="0"/>
                      <w:sz w:val="21"/>
                      <w:szCs w:val="21"/>
                    </w:rPr>
                    <w:t>声源源强</w:t>
                  </w:r>
                </w:p>
              </w:tc>
              <w:tc>
                <w:tcPr>
                  <w:tcW w:w="965" w:type="pct"/>
                  <w:vMerge w:val="restart"/>
                  <w:vAlign w:val="center"/>
                </w:tcPr>
                <w:p w14:paraId="02E83011">
                  <w:pPr>
                    <w:jc w:val="center"/>
                    <w:rPr>
                      <w:kern w:val="0"/>
                      <w:sz w:val="21"/>
                      <w:szCs w:val="21"/>
                    </w:rPr>
                  </w:pPr>
                  <w:r>
                    <w:rPr>
                      <w:kern w:val="0"/>
                      <w:sz w:val="21"/>
                      <w:szCs w:val="21"/>
                    </w:rPr>
                    <w:t>声源控制措施</w:t>
                  </w:r>
                </w:p>
              </w:tc>
              <w:tc>
                <w:tcPr>
                  <w:tcW w:w="526" w:type="pct"/>
                  <w:vMerge w:val="restart"/>
                  <w:vAlign w:val="center"/>
                </w:tcPr>
                <w:p w14:paraId="1F4C5342">
                  <w:pPr>
                    <w:jc w:val="center"/>
                    <w:rPr>
                      <w:kern w:val="0"/>
                      <w:sz w:val="21"/>
                      <w:szCs w:val="21"/>
                    </w:rPr>
                  </w:pPr>
                  <w:r>
                    <w:rPr>
                      <w:kern w:val="0"/>
                      <w:sz w:val="21"/>
                      <w:szCs w:val="21"/>
                    </w:rPr>
                    <w:t>运行时段</w:t>
                  </w:r>
                </w:p>
              </w:tc>
            </w:tr>
            <w:tr w14:paraId="6FFAA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Merge w:val="continue"/>
                  <w:vAlign w:val="center"/>
                </w:tcPr>
                <w:p w14:paraId="41DB1FEB">
                  <w:pPr>
                    <w:jc w:val="center"/>
                    <w:rPr>
                      <w:kern w:val="0"/>
                      <w:sz w:val="21"/>
                      <w:szCs w:val="21"/>
                      <w:lang w:eastAsia="en-US"/>
                    </w:rPr>
                  </w:pPr>
                </w:p>
              </w:tc>
              <w:tc>
                <w:tcPr>
                  <w:tcW w:w="542" w:type="pct"/>
                  <w:vMerge w:val="continue"/>
                  <w:vAlign w:val="center"/>
                </w:tcPr>
                <w:p w14:paraId="66E3F304">
                  <w:pPr>
                    <w:jc w:val="center"/>
                    <w:rPr>
                      <w:kern w:val="0"/>
                      <w:sz w:val="21"/>
                      <w:szCs w:val="21"/>
                      <w:lang w:eastAsia="en-US"/>
                    </w:rPr>
                  </w:pPr>
                </w:p>
              </w:tc>
              <w:tc>
                <w:tcPr>
                  <w:tcW w:w="359" w:type="pct"/>
                  <w:vMerge w:val="continue"/>
                  <w:vAlign w:val="center"/>
                </w:tcPr>
                <w:p w14:paraId="584B9649">
                  <w:pPr>
                    <w:jc w:val="center"/>
                    <w:rPr>
                      <w:kern w:val="0"/>
                      <w:sz w:val="21"/>
                      <w:szCs w:val="21"/>
                      <w:lang w:eastAsia="en-US"/>
                    </w:rPr>
                  </w:pPr>
                </w:p>
              </w:tc>
              <w:tc>
                <w:tcPr>
                  <w:tcW w:w="490" w:type="pct"/>
                  <w:vAlign w:val="center"/>
                </w:tcPr>
                <w:p w14:paraId="36AA82AC">
                  <w:pPr>
                    <w:jc w:val="center"/>
                    <w:rPr>
                      <w:kern w:val="0"/>
                      <w:sz w:val="21"/>
                      <w:szCs w:val="21"/>
                      <w:lang w:eastAsia="en-US"/>
                    </w:rPr>
                  </w:pPr>
                  <w:r>
                    <w:rPr>
                      <w:kern w:val="0"/>
                      <w:sz w:val="21"/>
                      <w:szCs w:val="21"/>
                      <w:lang w:eastAsia="en-US"/>
                    </w:rPr>
                    <w:t>X</w:t>
                  </w:r>
                </w:p>
              </w:tc>
              <w:tc>
                <w:tcPr>
                  <w:tcW w:w="490" w:type="pct"/>
                  <w:vAlign w:val="center"/>
                </w:tcPr>
                <w:p w14:paraId="03174DE5">
                  <w:pPr>
                    <w:jc w:val="center"/>
                    <w:rPr>
                      <w:kern w:val="0"/>
                      <w:sz w:val="21"/>
                      <w:szCs w:val="21"/>
                      <w:lang w:eastAsia="en-US"/>
                    </w:rPr>
                  </w:pPr>
                  <w:r>
                    <w:rPr>
                      <w:kern w:val="0"/>
                      <w:sz w:val="21"/>
                      <w:szCs w:val="21"/>
                      <w:lang w:eastAsia="en-US"/>
                    </w:rPr>
                    <w:t>Y</w:t>
                  </w:r>
                </w:p>
              </w:tc>
              <w:tc>
                <w:tcPr>
                  <w:tcW w:w="490" w:type="pct"/>
                  <w:vAlign w:val="center"/>
                </w:tcPr>
                <w:p w14:paraId="00F6CDCC">
                  <w:pPr>
                    <w:jc w:val="center"/>
                    <w:rPr>
                      <w:kern w:val="0"/>
                      <w:sz w:val="21"/>
                      <w:szCs w:val="21"/>
                      <w:lang w:eastAsia="en-US"/>
                    </w:rPr>
                  </w:pPr>
                  <w:r>
                    <w:rPr>
                      <w:kern w:val="0"/>
                      <w:sz w:val="21"/>
                      <w:szCs w:val="21"/>
                      <w:lang w:eastAsia="en-US"/>
                    </w:rPr>
                    <w:t>Z</w:t>
                  </w:r>
                </w:p>
              </w:tc>
              <w:tc>
                <w:tcPr>
                  <w:tcW w:w="780" w:type="pct"/>
                  <w:vAlign w:val="center"/>
                </w:tcPr>
                <w:p w14:paraId="25088546">
                  <w:pPr>
                    <w:jc w:val="center"/>
                    <w:rPr>
                      <w:kern w:val="0"/>
                      <w:sz w:val="21"/>
                      <w:szCs w:val="21"/>
                      <w:lang w:eastAsia="en-US"/>
                    </w:rPr>
                  </w:pPr>
                  <w:r>
                    <w:rPr>
                      <w:kern w:val="0"/>
                      <w:sz w:val="21"/>
                      <w:szCs w:val="21"/>
                    </w:rPr>
                    <w:t>声功率级/dB（A）</w:t>
                  </w:r>
                </w:p>
              </w:tc>
              <w:tc>
                <w:tcPr>
                  <w:tcW w:w="965" w:type="pct"/>
                  <w:vMerge w:val="continue"/>
                  <w:vAlign w:val="center"/>
                </w:tcPr>
                <w:p w14:paraId="4A145A2B">
                  <w:pPr>
                    <w:jc w:val="center"/>
                    <w:rPr>
                      <w:kern w:val="0"/>
                      <w:sz w:val="21"/>
                      <w:szCs w:val="21"/>
                    </w:rPr>
                  </w:pPr>
                </w:p>
              </w:tc>
              <w:tc>
                <w:tcPr>
                  <w:tcW w:w="526" w:type="pct"/>
                  <w:vMerge w:val="continue"/>
                  <w:vAlign w:val="center"/>
                </w:tcPr>
                <w:p w14:paraId="6C517525">
                  <w:pPr>
                    <w:jc w:val="center"/>
                    <w:rPr>
                      <w:kern w:val="0"/>
                      <w:sz w:val="21"/>
                      <w:szCs w:val="21"/>
                    </w:rPr>
                  </w:pPr>
                </w:p>
              </w:tc>
            </w:tr>
            <w:tr w14:paraId="3ACE9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19B484FE">
                  <w:pPr>
                    <w:jc w:val="center"/>
                    <w:rPr>
                      <w:kern w:val="0"/>
                      <w:sz w:val="21"/>
                      <w:szCs w:val="21"/>
                    </w:rPr>
                  </w:pPr>
                  <w:r>
                    <w:rPr>
                      <w:kern w:val="0"/>
                      <w:sz w:val="21"/>
                      <w:szCs w:val="21"/>
                      <w:lang w:bidi="ar"/>
                    </w:rPr>
                    <w:t>1</w:t>
                  </w:r>
                </w:p>
              </w:tc>
              <w:tc>
                <w:tcPr>
                  <w:tcW w:w="542" w:type="pct"/>
                  <w:vAlign w:val="center"/>
                </w:tcPr>
                <w:p w14:paraId="6E7D8C9F">
                  <w:pPr>
                    <w:jc w:val="center"/>
                    <w:rPr>
                      <w:sz w:val="21"/>
                      <w:szCs w:val="21"/>
                    </w:rPr>
                  </w:pPr>
                  <w:r>
                    <w:rPr>
                      <w:sz w:val="21"/>
                      <w:szCs w:val="21"/>
                    </w:rPr>
                    <w:t>风机</w:t>
                  </w:r>
                  <w:r>
                    <w:rPr>
                      <w:rFonts w:hint="eastAsia"/>
                      <w:sz w:val="21"/>
                      <w:szCs w:val="21"/>
                    </w:rPr>
                    <w:t>-2</w:t>
                  </w:r>
                </w:p>
              </w:tc>
              <w:tc>
                <w:tcPr>
                  <w:tcW w:w="359" w:type="pct"/>
                  <w:vAlign w:val="center"/>
                </w:tcPr>
                <w:p w14:paraId="05FF355F">
                  <w:pPr>
                    <w:jc w:val="center"/>
                    <w:rPr>
                      <w:kern w:val="0"/>
                      <w:sz w:val="21"/>
                      <w:szCs w:val="21"/>
                    </w:rPr>
                  </w:pPr>
                  <w:r>
                    <w:rPr>
                      <w:rFonts w:hint="eastAsia"/>
                      <w:kern w:val="0"/>
                      <w:sz w:val="21"/>
                      <w:szCs w:val="21"/>
                    </w:rPr>
                    <w:t>/</w:t>
                  </w:r>
                </w:p>
              </w:tc>
              <w:tc>
                <w:tcPr>
                  <w:tcW w:w="490" w:type="pct"/>
                  <w:vAlign w:val="center"/>
                </w:tcPr>
                <w:p w14:paraId="2694A4A5">
                  <w:pPr>
                    <w:jc w:val="center"/>
                    <w:rPr>
                      <w:kern w:val="0"/>
                      <w:sz w:val="21"/>
                      <w:szCs w:val="21"/>
                    </w:rPr>
                  </w:pPr>
                  <w:r>
                    <w:rPr>
                      <w:rFonts w:hint="eastAsia"/>
                      <w:kern w:val="0"/>
                      <w:sz w:val="21"/>
                      <w:szCs w:val="21"/>
                    </w:rPr>
                    <w:t>43</w:t>
                  </w:r>
                </w:p>
              </w:tc>
              <w:tc>
                <w:tcPr>
                  <w:tcW w:w="490" w:type="pct"/>
                  <w:vAlign w:val="center"/>
                </w:tcPr>
                <w:p w14:paraId="2C5835B7">
                  <w:pPr>
                    <w:jc w:val="center"/>
                    <w:rPr>
                      <w:kern w:val="0"/>
                      <w:sz w:val="21"/>
                      <w:szCs w:val="21"/>
                    </w:rPr>
                  </w:pPr>
                  <w:r>
                    <w:rPr>
                      <w:rFonts w:hint="eastAsia"/>
                      <w:kern w:val="0"/>
                      <w:sz w:val="21"/>
                      <w:szCs w:val="21"/>
                    </w:rPr>
                    <w:t>10</w:t>
                  </w:r>
                </w:p>
              </w:tc>
              <w:tc>
                <w:tcPr>
                  <w:tcW w:w="490" w:type="pct"/>
                  <w:vAlign w:val="center"/>
                </w:tcPr>
                <w:p w14:paraId="4E70F3CB">
                  <w:pPr>
                    <w:jc w:val="center"/>
                    <w:rPr>
                      <w:kern w:val="0"/>
                      <w:sz w:val="21"/>
                      <w:szCs w:val="21"/>
                    </w:rPr>
                  </w:pPr>
                  <w:r>
                    <w:rPr>
                      <w:rFonts w:hint="eastAsia"/>
                      <w:kern w:val="0"/>
                      <w:sz w:val="21"/>
                      <w:szCs w:val="21"/>
                    </w:rPr>
                    <w:t>33</w:t>
                  </w:r>
                </w:p>
              </w:tc>
              <w:tc>
                <w:tcPr>
                  <w:tcW w:w="780" w:type="pct"/>
                  <w:vAlign w:val="center"/>
                </w:tcPr>
                <w:p w14:paraId="7013A68A">
                  <w:pPr>
                    <w:jc w:val="center"/>
                    <w:rPr>
                      <w:kern w:val="0"/>
                      <w:sz w:val="21"/>
                      <w:szCs w:val="21"/>
                    </w:rPr>
                  </w:pPr>
                  <w:r>
                    <w:rPr>
                      <w:kern w:val="0"/>
                      <w:sz w:val="21"/>
                      <w:szCs w:val="21"/>
                    </w:rPr>
                    <w:t>90</w:t>
                  </w:r>
                </w:p>
              </w:tc>
              <w:tc>
                <w:tcPr>
                  <w:tcW w:w="965" w:type="pct"/>
                  <w:vMerge w:val="restart"/>
                  <w:vAlign w:val="center"/>
                </w:tcPr>
                <w:p w14:paraId="4CA27189">
                  <w:pPr>
                    <w:jc w:val="center"/>
                    <w:rPr>
                      <w:kern w:val="0"/>
                      <w:sz w:val="21"/>
                      <w:szCs w:val="21"/>
                    </w:rPr>
                  </w:pPr>
                  <w:r>
                    <w:rPr>
                      <w:kern w:val="0"/>
                      <w:sz w:val="21"/>
                      <w:szCs w:val="21"/>
                      <w:lang w:bidi="ar"/>
                    </w:rPr>
                    <w:t>低噪声设备、基础减振</w:t>
                  </w:r>
                </w:p>
              </w:tc>
              <w:tc>
                <w:tcPr>
                  <w:tcW w:w="526" w:type="pct"/>
                  <w:vMerge w:val="restart"/>
                  <w:vAlign w:val="center"/>
                </w:tcPr>
                <w:p w14:paraId="61C8FE46">
                  <w:pPr>
                    <w:jc w:val="center"/>
                    <w:rPr>
                      <w:kern w:val="0"/>
                      <w:sz w:val="21"/>
                      <w:szCs w:val="21"/>
                    </w:rPr>
                  </w:pPr>
                  <w:r>
                    <w:rPr>
                      <w:rFonts w:hint="eastAsia"/>
                      <w:kern w:val="0"/>
                      <w:sz w:val="21"/>
                      <w:szCs w:val="21"/>
                    </w:rPr>
                    <w:t>2400</w:t>
                  </w:r>
                  <w:r>
                    <w:rPr>
                      <w:kern w:val="0"/>
                      <w:sz w:val="21"/>
                      <w:szCs w:val="21"/>
                    </w:rPr>
                    <w:t>h</w:t>
                  </w:r>
                </w:p>
              </w:tc>
            </w:tr>
            <w:tr w14:paraId="007AA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5" w:type="pct"/>
                  <w:vAlign w:val="center"/>
                </w:tcPr>
                <w:p w14:paraId="6E2E0B77">
                  <w:pPr>
                    <w:jc w:val="center"/>
                    <w:rPr>
                      <w:kern w:val="0"/>
                      <w:sz w:val="21"/>
                      <w:szCs w:val="21"/>
                      <w:lang w:bidi="ar"/>
                    </w:rPr>
                  </w:pPr>
                  <w:r>
                    <w:rPr>
                      <w:rFonts w:hint="eastAsia"/>
                      <w:kern w:val="0"/>
                      <w:sz w:val="21"/>
                      <w:szCs w:val="21"/>
                      <w:lang w:bidi="ar"/>
                    </w:rPr>
                    <w:t>2</w:t>
                  </w:r>
                </w:p>
              </w:tc>
              <w:tc>
                <w:tcPr>
                  <w:tcW w:w="542" w:type="pct"/>
                  <w:vAlign w:val="center"/>
                </w:tcPr>
                <w:p w14:paraId="6F9A4A3C">
                  <w:pPr>
                    <w:jc w:val="center"/>
                    <w:rPr>
                      <w:sz w:val="21"/>
                      <w:szCs w:val="21"/>
                    </w:rPr>
                  </w:pPr>
                  <w:r>
                    <w:rPr>
                      <w:rFonts w:hint="eastAsia"/>
                      <w:sz w:val="21"/>
                      <w:szCs w:val="21"/>
                    </w:rPr>
                    <w:t>风机-3</w:t>
                  </w:r>
                </w:p>
              </w:tc>
              <w:tc>
                <w:tcPr>
                  <w:tcW w:w="359" w:type="pct"/>
                  <w:vAlign w:val="center"/>
                </w:tcPr>
                <w:p w14:paraId="4138C581">
                  <w:pPr>
                    <w:jc w:val="center"/>
                    <w:rPr>
                      <w:kern w:val="0"/>
                      <w:sz w:val="21"/>
                      <w:szCs w:val="21"/>
                    </w:rPr>
                  </w:pPr>
                  <w:r>
                    <w:rPr>
                      <w:rFonts w:hint="eastAsia"/>
                      <w:kern w:val="0"/>
                      <w:sz w:val="21"/>
                      <w:szCs w:val="21"/>
                    </w:rPr>
                    <w:t>/</w:t>
                  </w:r>
                </w:p>
              </w:tc>
              <w:tc>
                <w:tcPr>
                  <w:tcW w:w="490" w:type="pct"/>
                  <w:vAlign w:val="center"/>
                </w:tcPr>
                <w:p w14:paraId="13E125D6">
                  <w:pPr>
                    <w:jc w:val="center"/>
                    <w:rPr>
                      <w:kern w:val="0"/>
                      <w:sz w:val="21"/>
                      <w:szCs w:val="21"/>
                    </w:rPr>
                  </w:pPr>
                  <w:r>
                    <w:rPr>
                      <w:rFonts w:hint="eastAsia"/>
                      <w:kern w:val="0"/>
                      <w:sz w:val="21"/>
                      <w:szCs w:val="21"/>
                    </w:rPr>
                    <w:t>47</w:t>
                  </w:r>
                </w:p>
              </w:tc>
              <w:tc>
                <w:tcPr>
                  <w:tcW w:w="490" w:type="pct"/>
                  <w:vAlign w:val="center"/>
                </w:tcPr>
                <w:p w14:paraId="7C2C5D12">
                  <w:pPr>
                    <w:jc w:val="center"/>
                    <w:rPr>
                      <w:kern w:val="0"/>
                      <w:sz w:val="21"/>
                      <w:szCs w:val="21"/>
                    </w:rPr>
                  </w:pPr>
                  <w:r>
                    <w:rPr>
                      <w:rFonts w:hint="eastAsia"/>
                      <w:kern w:val="0"/>
                      <w:sz w:val="21"/>
                      <w:szCs w:val="21"/>
                    </w:rPr>
                    <w:t>13</w:t>
                  </w:r>
                </w:p>
              </w:tc>
              <w:tc>
                <w:tcPr>
                  <w:tcW w:w="490" w:type="pct"/>
                  <w:vAlign w:val="center"/>
                </w:tcPr>
                <w:p w14:paraId="1F5B972D">
                  <w:pPr>
                    <w:jc w:val="center"/>
                    <w:rPr>
                      <w:kern w:val="0"/>
                      <w:sz w:val="21"/>
                      <w:szCs w:val="21"/>
                    </w:rPr>
                  </w:pPr>
                  <w:r>
                    <w:rPr>
                      <w:rFonts w:hint="eastAsia"/>
                      <w:kern w:val="0"/>
                      <w:sz w:val="21"/>
                      <w:szCs w:val="21"/>
                    </w:rPr>
                    <w:t>33</w:t>
                  </w:r>
                </w:p>
              </w:tc>
              <w:tc>
                <w:tcPr>
                  <w:tcW w:w="780" w:type="pct"/>
                  <w:vAlign w:val="center"/>
                </w:tcPr>
                <w:p w14:paraId="01EC589F">
                  <w:pPr>
                    <w:jc w:val="center"/>
                    <w:rPr>
                      <w:kern w:val="0"/>
                      <w:sz w:val="21"/>
                      <w:szCs w:val="21"/>
                    </w:rPr>
                  </w:pPr>
                  <w:r>
                    <w:rPr>
                      <w:rFonts w:hint="eastAsia"/>
                      <w:kern w:val="0"/>
                      <w:sz w:val="21"/>
                      <w:szCs w:val="21"/>
                    </w:rPr>
                    <w:t>90</w:t>
                  </w:r>
                </w:p>
              </w:tc>
              <w:tc>
                <w:tcPr>
                  <w:tcW w:w="965" w:type="pct"/>
                  <w:vMerge w:val="continue"/>
                  <w:vAlign w:val="center"/>
                </w:tcPr>
                <w:p w14:paraId="3B297E67">
                  <w:pPr>
                    <w:jc w:val="center"/>
                    <w:rPr>
                      <w:kern w:val="0"/>
                      <w:sz w:val="21"/>
                      <w:szCs w:val="21"/>
                      <w:lang w:bidi="ar"/>
                    </w:rPr>
                  </w:pPr>
                </w:p>
              </w:tc>
              <w:tc>
                <w:tcPr>
                  <w:tcW w:w="526" w:type="pct"/>
                  <w:vMerge w:val="continue"/>
                  <w:vAlign w:val="center"/>
                </w:tcPr>
                <w:p w14:paraId="487A1FEF">
                  <w:pPr>
                    <w:jc w:val="center"/>
                    <w:rPr>
                      <w:kern w:val="0"/>
                      <w:sz w:val="21"/>
                      <w:szCs w:val="21"/>
                    </w:rPr>
                  </w:pPr>
                </w:p>
              </w:tc>
            </w:tr>
            <w:tr w14:paraId="72AFC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000" w:type="pct"/>
                  <w:gridSpan w:val="9"/>
                  <w:vAlign w:val="center"/>
                </w:tcPr>
                <w:p w14:paraId="40E3B48B">
                  <w:pPr>
                    <w:rPr>
                      <w:kern w:val="0"/>
                      <w:sz w:val="21"/>
                      <w:szCs w:val="21"/>
                    </w:rPr>
                  </w:pPr>
                  <w:r>
                    <w:rPr>
                      <w:sz w:val="21"/>
                      <w:szCs w:val="21"/>
                    </w:rPr>
                    <w:t>注：表中坐标以</w:t>
                  </w:r>
                  <w:r>
                    <w:rPr>
                      <w:rFonts w:hint="eastAsia"/>
                      <w:sz w:val="21"/>
                      <w:szCs w:val="21"/>
                    </w:rPr>
                    <w:t>项目所在1#楼西南角</w:t>
                  </w:r>
                  <w:r>
                    <w:rPr>
                      <w:sz w:val="21"/>
                      <w:szCs w:val="21"/>
                    </w:rPr>
                    <w:t>为坐标原点，正东向为X轴正方向，正北向为Y轴正方向。</w:t>
                  </w:r>
                </w:p>
              </w:tc>
            </w:tr>
          </w:tbl>
          <w:p w14:paraId="6523EB52">
            <w:pPr>
              <w:spacing w:before="156" w:beforeLines="50" w:line="360" w:lineRule="auto"/>
              <w:ind w:firstLine="480" w:firstLineChars="200"/>
            </w:pPr>
            <w:r>
              <w:rPr>
                <w:szCs w:val="21"/>
              </w:rPr>
              <w:t>（2）</w:t>
            </w:r>
            <w:r>
              <w:rPr>
                <w:kern w:val="0"/>
              </w:rPr>
              <w:t>厂界和环境保护目标达标情况</w:t>
            </w:r>
          </w:p>
          <w:p w14:paraId="0AD3CB29">
            <w:pPr>
              <w:widowControl/>
              <w:spacing w:line="360" w:lineRule="auto"/>
              <w:ind w:firstLine="480" w:firstLineChars="200"/>
              <w:jc w:val="left"/>
            </w:pPr>
            <w:r>
              <w:rPr>
                <w:kern w:val="0"/>
                <w:lang w:bidi="ar"/>
              </w:rPr>
              <w:t>a</w:t>
            </w:r>
            <w:r>
              <w:rPr>
                <w:rFonts w:hint="eastAsia"/>
                <w:kern w:val="0"/>
                <w:lang w:bidi="ar"/>
              </w:rPr>
              <w:t>.</w:t>
            </w:r>
            <w:r>
              <w:rPr>
                <w:rFonts w:hint="eastAsia" w:ascii="宋体" w:hAnsi="宋体" w:cs="宋体"/>
                <w:kern w:val="0"/>
                <w:lang w:bidi="ar"/>
              </w:rPr>
              <w:t>预测模式</w:t>
            </w:r>
          </w:p>
          <w:p w14:paraId="17EE50D7">
            <w:pPr>
              <w:tabs>
                <w:tab w:val="left" w:pos="3836"/>
              </w:tabs>
              <w:spacing w:line="360" w:lineRule="auto"/>
              <w:ind w:firstLine="480" w:firstLineChars="200"/>
            </w:pPr>
            <w:r>
              <w:rPr>
                <w:rFonts w:hint="eastAsia"/>
              </w:rPr>
              <w:t>采用《环境影响评价技术导则  声环境》（</w:t>
            </w:r>
            <w:r>
              <w:t>HJ 2.4-2021</w:t>
            </w:r>
            <w:r>
              <w:rPr>
                <w:rFonts w:hint="eastAsia"/>
              </w:rPr>
              <w:t>）中对工业企业噪声预测模式进行预测，考虑几何发散、空气吸收衰减、地面附加衰减、障碍物屏蔽等引起的衰减，对某些难以定量的参数，查相关资料进行估算。</w:t>
            </w:r>
          </w:p>
          <w:p w14:paraId="2C9F0D9E">
            <w:pPr>
              <w:tabs>
                <w:tab w:val="left" w:pos="3836"/>
              </w:tabs>
              <w:spacing w:line="360" w:lineRule="auto"/>
              <w:ind w:firstLine="480" w:firstLineChars="200"/>
            </w:pPr>
            <w:r>
              <w:rPr>
                <w:rFonts w:hint="eastAsia"/>
              </w:rPr>
              <w:t>①室外声源</w:t>
            </w:r>
          </w:p>
          <w:p w14:paraId="53B3F94F">
            <w:pPr>
              <w:tabs>
                <w:tab w:val="left" w:pos="3836"/>
              </w:tabs>
              <w:spacing w:line="360" w:lineRule="auto"/>
              <w:ind w:firstLine="480" w:firstLineChars="200"/>
            </w:pPr>
            <w:r>
              <w:rPr>
                <w:rFonts w:hint="eastAsia"/>
              </w:rPr>
              <w:t>预测因子：选取等效连续</w:t>
            </w:r>
            <w:r>
              <w:t>A</w:t>
            </w:r>
            <w:r>
              <w:rPr>
                <w:rFonts w:hint="eastAsia"/>
              </w:rPr>
              <w:t>声级作为预测因子。</w:t>
            </w:r>
          </w:p>
          <w:p w14:paraId="7C8247B5">
            <w:pPr>
              <w:tabs>
                <w:tab w:val="left" w:pos="3836"/>
              </w:tabs>
              <w:spacing w:line="360" w:lineRule="auto"/>
              <w:ind w:firstLine="480" w:firstLineChars="200"/>
              <w:rPr>
                <w:rFonts w:hint="eastAsia" w:eastAsia="宋体"/>
                <w:lang w:eastAsia="zh-CN"/>
              </w:rPr>
            </w:pPr>
            <w:r>
              <w:rPr>
                <w:rFonts w:hint="eastAsia"/>
              </w:rPr>
              <w:t>预测点位：</w:t>
            </w:r>
            <w:r>
              <w:rPr>
                <w:rFonts w:hint="eastAsia"/>
                <w:color w:val="FF0000"/>
              </w:rPr>
              <w:t>本项目厂界为其所在的中国国检测试控股集团陕西有限公司1号楼东、南、西、北侧场界，预测点为东、南、西、北厂界外1m</w:t>
            </w:r>
            <w:r>
              <w:rPr>
                <w:rFonts w:hint="eastAsia"/>
                <w:color w:val="FF0000"/>
                <w:lang w:eastAsia="zh-CN"/>
              </w:rPr>
              <w:t>。</w:t>
            </w:r>
          </w:p>
          <w:p w14:paraId="46B1C81F">
            <w:pPr>
              <w:tabs>
                <w:tab w:val="left" w:pos="3836"/>
              </w:tabs>
              <w:spacing w:line="360" w:lineRule="auto"/>
              <w:ind w:firstLine="480" w:firstLineChars="200"/>
            </w:pPr>
            <w:r>
              <w:rPr>
                <w:rFonts w:hint="eastAsia"/>
              </w:rPr>
              <w:t>预测模式：根据声环境评价导则的要求，选用预测模式；考虑到噪声预测点位均在场界处，到噪声源有一定的距离，所以可以按点源衰减模式进行预测。此外声波在传播过程中受到厂内建筑物的屏障和遮挡，所以确定单个设备的噪声预测模式为：</w:t>
            </w:r>
          </w:p>
          <w:p w14:paraId="2668FAAE">
            <w:pPr>
              <w:tabs>
                <w:tab w:val="left" w:pos="3836"/>
              </w:tabs>
              <w:spacing w:line="360" w:lineRule="auto"/>
              <w:jc w:val="center"/>
            </w:pPr>
            <w:r>
              <w:rPr>
                <w:rFonts w:hint="eastAsia"/>
                <w:position w:val="-14"/>
              </w:rPr>
              <w:object>
                <v:shape id="_x0000_i1026" o:spt="75" type="#_x0000_t75" style="height:19pt;width:247.95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p>
          <w:p w14:paraId="1042C1DD">
            <w:pPr>
              <w:tabs>
                <w:tab w:val="left" w:pos="3836"/>
              </w:tabs>
              <w:spacing w:line="360" w:lineRule="auto"/>
              <w:ind w:firstLine="480" w:firstLineChars="200"/>
            </w:pPr>
            <w:r>
              <w:rPr>
                <w:rFonts w:hint="eastAsia"/>
              </w:rPr>
              <w:t>式中：</w:t>
            </w:r>
            <w:r>
              <w:t>L</w:t>
            </w:r>
            <w:r>
              <w:rPr>
                <w:vertAlign w:val="subscript"/>
              </w:rPr>
              <w:t>p</w:t>
            </w:r>
            <w:r>
              <w:rPr>
                <w:rFonts w:hint="eastAsia"/>
              </w:rPr>
              <w:t>（</w:t>
            </w:r>
            <w:r>
              <w:t>r</w:t>
            </w:r>
            <w:r>
              <w:rPr>
                <w:rFonts w:hint="eastAsia"/>
              </w:rPr>
              <w:t>）—预测点处声压级，</w:t>
            </w:r>
            <w:r>
              <w:t>dB</w:t>
            </w:r>
            <w:r>
              <w:rPr>
                <w:rFonts w:hint="eastAsia"/>
              </w:rPr>
              <w:t>；</w:t>
            </w:r>
          </w:p>
          <w:p w14:paraId="3B887570">
            <w:pPr>
              <w:tabs>
                <w:tab w:val="left" w:pos="3836"/>
              </w:tabs>
              <w:spacing w:line="360" w:lineRule="auto"/>
              <w:ind w:firstLine="1200" w:firstLineChars="500"/>
            </w:pPr>
            <w:r>
              <w:t>L</w:t>
            </w:r>
            <w:r>
              <w:rPr>
                <w:vertAlign w:val="subscript"/>
              </w:rPr>
              <w:t>p</w:t>
            </w:r>
            <w:r>
              <w:rPr>
                <w:rFonts w:hint="eastAsia"/>
              </w:rPr>
              <w:t>（</w:t>
            </w:r>
            <w:r>
              <w:t>r</w:t>
            </w:r>
            <w:r>
              <w:rPr>
                <w:vertAlign w:val="subscript"/>
              </w:rPr>
              <w:t>0</w:t>
            </w:r>
            <w:r>
              <w:rPr>
                <w:rFonts w:hint="eastAsia"/>
              </w:rPr>
              <w:t>）—参考位置</w:t>
            </w:r>
            <w:r>
              <w:t>r</w:t>
            </w:r>
            <w:r>
              <w:rPr>
                <w:vertAlign w:val="subscript"/>
              </w:rPr>
              <w:t>0</w:t>
            </w:r>
            <w:r>
              <w:rPr>
                <w:rFonts w:hint="eastAsia"/>
              </w:rPr>
              <w:t>处的声压级，</w:t>
            </w:r>
            <w:r>
              <w:t>dB</w:t>
            </w:r>
            <w:r>
              <w:rPr>
                <w:rFonts w:hint="eastAsia"/>
              </w:rPr>
              <w:t>；</w:t>
            </w:r>
          </w:p>
          <w:p w14:paraId="209E45E1">
            <w:pPr>
              <w:tabs>
                <w:tab w:val="left" w:pos="3836"/>
              </w:tabs>
              <w:spacing w:line="360" w:lineRule="auto"/>
              <w:ind w:firstLine="1200" w:firstLineChars="500"/>
            </w:pPr>
            <w:r>
              <w:t>D</w:t>
            </w:r>
            <w:r>
              <w:rPr>
                <w:rFonts w:hint="eastAsia"/>
                <w:vertAlign w:val="subscript"/>
              </w:rPr>
              <w:t>C</w:t>
            </w:r>
            <w:r>
              <w:rPr>
                <w:rFonts w:hint="eastAsia"/>
              </w:rPr>
              <w:t>－指向性校正，描述点声源的等效连续声压级与产生声功率级的全向点声源在规定方向的声级的偏差程度，</w:t>
            </w:r>
            <w:r>
              <w:t>dB</w:t>
            </w:r>
            <w:r>
              <w:rPr>
                <w:rFonts w:hint="eastAsia"/>
              </w:rPr>
              <w:t>；</w:t>
            </w:r>
          </w:p>
          <w:p w14:paraId="2FA163BC">
            <w:pPr>
              <w:tabs>
                <w:tab w:val="left" w:pos="3836"/>
              </w:tabs>
              <w:spacing w:line="360" w:lineRule="auto"/>
              <w:ind w:firstLine="1200" w:firstLineChars="500"/>
            </w:pPr>
            <w:r>
              <w:t>A</w:t>
            </w:r>
            <w:r>
              <w:rPr>
                <w:vertAlign w:val="subscript"/>
              </w:rPr>
              <w:t>div</w:t>
            </w:r>
            <w:r>
              <w:rPr>
                <w:rFonts w:hint="eastAsia"/>
              </w:rPr>
              <w:t>－几何发散引起的衰减，</w:t>
            </w:r>
            <w:r>
              <w:t>dB</w:t>
            </w:r>
            <w:r>
              <w:rPr>
                <w:rFonts w:hint="eastAsia"/>
              </w:rPr>
              <w:t>；</w:t>
            </w:r>
          </w:p>
          <w:p w14:paraId="0B8CFEA0">
            <w:pPr>
              <w:tabs>
                <w:tab w:val="left" w:pos="3836"/>
              </w:tabs>
              <w:spacing w:line="360" w:lineRule="auto"/>
              <w:ind w:firstLine="1200" w:firstLineChars="500"/>
            </w:pPr>
            <w:r>
              <w:t>A</w:t>
            </w:r>
            <w:r>
              <w:rPr>
                <w:vertAlign w:val="subscript"/>
              </w:rPr>
              <w:t>atm</w:t>
            </w:r>
            <w:r>
              <w:rPr>
                <w:rFonts w:hint="eastAsia"/>
              </w:rPr>
              <w:t>－大气吸收引起的衰减，</w:t>
            </w:r>
            <w:r>
              <w:t>dB</w:t>
            </w:r>
            <w:r>
              <w:rPr>
                <w:rFonts w:hint="eastAsia"/>
              </w:rPr>
              <w:t>；</w:t>
            </w:r>
          </w:p>
          <w:p w14:paraId="7AE4DE2D">
            <w:pPr>
              <w:tabs>
                <w:tab w:val="left" w:pos="3836"/>
              </w:tabs>
              <w:spacing w:line="360" w:lineRule="auto"/>
              <w:ind w:firstLine="1200" w:firstLineChars="500"/>
            </w:pPr>
            <w:r>
              <w:t>A</w:t>
            </w:r>
            <w:r>
              <w:rPr>
                <w:vertAlign w:val="subscript"/>
              </w:rPr>
              <w:t>gr</w:t>
            </w:r>
            <w:r>
              <w:rPr>
                <w:rFonts w:hint="eastAsia"/>
              </w:rPr>
              <w:t>－地面效应引起的衰减，</w:t>
            </w:r>
            <w:r>
              <w:t>dB</w:t>
            </w:r>
            <w:r>
              <w:rPr>
                <w:rFonts w:hint="eastAsia"/>
              </w:rPr>
              <w:t>；</w:t>
            </w:r>
          </w:p>
          <w:p w14:paraId="4C4D3731">
            <w:pPr>
              <w:tabs>
                <w:tab w:val="left" w:pos="3836"/>
              </w:tabs>
              <w:spacing w:line="360" w:lineRule="auto"/>
              <w:ind w:firstLine="1200" w:firstLineChars="500"/>
            </w:pPr>
            <w:r>
              <w:t>A</w:t>
            </w:r>
            <w:r>
              <w:rPr>
                <w:vertAlign w:val="subscript"/>
              </w:rPr>
              <w:t>bar</w:t>
            </w:r>
            <w:r>
              <w:rPr>
                <w:rFonts w:hint="eastAsia"/>
              </w:rPr>
              <w:t>－障碍物屏蔽引起的衰减，</w:t>
            </w:r>
            <w:r>
              <w:t>dB</w:t>
            </w:r>
            <w:r>
              <w:rPr>
                <w:rFonts w:hint="eastAsia"/>
              </w:rPr>
              <w:t>；</w:t>
            </w:r>
          </w:p>
          <w:p w14:paraId="35CF1B4E">
            <w:pPr>
              <w:tabs>
                <w:tab w:val="left" w:pos="3836"/>
              </w:tabs>
              <w:spacing w:line="360" w:lineRule="auto"/>
              <w:ind w:firstLine="1200" w:firstLineChars="500"/>
            </w:pPr>
            <w:r>
              <w:t>A</w:t>
            </w:r>
            <w:r>
              <w:rPr>
                <w:vertAlign w:val="subscript"/>
              </w:rPr>
              <w:t>misc</w:t>
            </w:r>
            <w:r>
              <w:rPr>
                <w:rFonts w:hint="eastAsia"/>
              </w:rPr>
              <w:t>－其他多方面效应引起的衰减，</w:t>
            </w:r>
            <w:r>
              <w:t>dB</w:t>
            </w:r>
            <w:r>
              <w:rPr>
                <w:rFonts w:hint="eastAsia"/>
              </w:rPr>
              <w:t>；</w:t>
            </w:r>
          </w:p>
          <w:p w14:paraId="5D756E2B">
            <w:pPr>
              <w:tabs>
                <w:tab w:val="left" w:pos="3836"/>
              </w:tabs>
              <w:spacing w:line="360" w:lineRule="auto"/>
              <w:ind w:firstLine="480" w:firstLineChars="200"/>
            </w:pPr>
            <w:r>
              <w:rPr>
                <w:rFonts w:hint="eastAsia"/>
              </w:rPr>
              <w:t>无指向性点声源几何发散衰减基本公式为：</w:t>
            </w:r>
          </w:p>
          <w:p w14:paraId="0E2EEEF7">
            <w:pPr>
              <w:tabs>
                <w:tab w:val="left" w:pos="3836"/>
              </w:tabs>
              <w:jc w:val="center"/>
            </w:pPr>
            <w:r>
              <w:rPr>
                <w:rFonts w:hint="eastAsia"/>
                <w:position w:val="-26"/>
              </w:rPr>
              <w:object>
                <v:shape id="_x0000_i1027" o:spt="75" type="#_x0000_t75" style="height:31.95pt;width:132.95pt;" o:ole="t" filled="f" o:preferrelative="t" stroked="f" coordsize="21600,21600">
                  <v:path/>
                  <v:fill on="f" focussize="0,0"/>
                  <v:stroke on="f" joinstyle="miter"/>
                  <v:imagedata r:id="rId19" o:title=""/>
                  <o:lock v:ext="edit" aspectratio="t"/>
                  <w10:wrap type="none"/>
                  <w10:anchorlock/>
                </v:shape>
                <o:OLEObject Type="Embed" ProgID="Equation.3" ShapeID="_x0000_i1027" DrawAspect="Content" ObjectID="_1468075727" r:id="rId18">
                  <o:LockedField>false</o:LockedField>
                </o:OLEObject>
              </w:object>
            </w:r>
          </w:p>
          <w:p w14:paraId="6B7CE1E0">
            <w:pPr>
              <w:tabs>
                <w:tab w:val="left" w:pos="3836"/>
              </w:tabs>
              <w:spacing w:line="360" w:lineRule="auto"/>
              <w:ind w:firstLine="480" w:firstLineChars="200"/>
            </w:pPr>
            <w:r>
              <w:rPr>
                <w:rFonts w:hint="eastAsia"/>
              </w:rPr>
              <w:t>式中：</w:t>
            </w:r>
            <w:r>
              <w:t>L</w:t>
            </w:r>
            <w:r>
              <w:rPr>
                <w:rFonts w:hint="eastAsia"/>
                <w:vertAlign w:val="subscript"/>
              </w:rPr>
              <w:t>p</w:t>
            </w:r>
            <w:r>
              <w:rPr>
                <w:rFonts w:hint="eastAsia"/>
              </w:rPr>
              <w:t>（</w:t>
            </w:r>
            <w:r>
              <w:t>r</w:t>
            </w:r>
            <w:r>
              <w:rPr>
                <w:rFonts w:hint="eastAsia"/>
              </w:rPr>
              <w:t>）—预测点处声压级，</w:t>
            </w:r>
            <w:r>
              <w:t>dB</w:t>
            </w:r>
            <w:r>
              <w:rPr>
                <w:rFonts w:hint="eastAsia"/>
              </w:rPr>
              <w:t>；</w:t>
            </w:r>
          </w:p>
          <w:p w14:paraId="69DAA7DC">
            <w:pPr>
              <w:tabs>
                <w:tab w:val="left" w:pos="3836"/>
              </w:tabs>
              <w:spacing w:line="360" w:lineRule="auto"/>
              <w:ind w:firstLine="1200" w:firstLineChars="500"/>
            </w:pPr>
            <w:r>
              <w:t>L</w:t>
            </w:r>
            <w:r>
              <w:rPr>
                <w:vertAlign w:val="subscript"/>
              </w:rPr>
              <w:t>p</w:t>
            </w:r>
            <w:r>
              <w:rPr>
                <w:rFonts w:hint="eastAsia"/>
              </w:rPr>
              <w:t>（</w:t>
            </w:r>
            <w:r>
              <w:t>r</w:t>
            </w:r>
            <w:r>
              <w:rPr>
                <w:vertAlign w:val="subscript"/>
              </w:rPr>
              <w:t>0</w:t>
            </w:r>
            <w:r>
              <w:rPr>
                <w:rFonts w:hint="eastAsia"/>
              </w:rPr>
              <w:t>）—参考位置</w:t>
            </w:r>
            <w:r>
              <w:t>r</w:t>
            </w:r>
            <w:r>
              <w:rPr>
                <w:vertAlign w:val="subscript"/>
              </w:rPr>
              <w:t>0</w:t>
            </w:r>
            <w:r>
              <w:rPr>
                <w:rFonts w:hint="eastAsia"/>
              </w:rPr>
              <w:t>处的声压级，</w:t>
            </w:r>
            <w:r>
              <w:t>dB</w:t>
            </w:r>
            <w:r>
              <w:rPr>
                <w:rFonts w:hint="eastAsia"/>
              </w:rPr>
              <w:t>；</w:t>
            </w:r>
          </w:p>
          <w:p w14:paraId="3DC47601">
            <w:pPr>
              <w:tabs>
                <w:tab w:val="left" w:pos="3836"/>
              </w:tabs>
              <w:spacing w:line="360" w:lineRule="auto"/>
              <w:ind w:firstLine="1200" w:firstLineChars="500"/>
            </w:pPr>
            <w:r>
              <w:t>r</w:t>
            </w:r>
            <w:r>
              <w:rPr>
                <w:rFonts w:hint="eastAsia"/>
              </w:rPr>
              <w:t>—预测点距声源的距离；</w:t>
            </w:r>
          </w:p>
          <w:p w14:paraId="3BCEBBB8">
            <w:pPr>
              <w:tabs>
                <w:tab w:val="left" w:pos="3836"/>
              </w:tabs>
              <w:spacing w:line="360" w:lineRule="auto"/>
              <w:ind w:firstLine="1200" w:firstLineChars="500"/>
            </w:pPr>
            <w:r>
              <w:t>r</w:t>
            </w:r>
            <w:r>
              <w:rPr>
                <w:vertAlign w:val="subscript"/>
              </w:rPr>
              <w:t>0</w:t>
            </w:r>
            <w:r>
              <w:rPr>
                <w:rFonts w:hint="eastAsia"/>
              </w:rPr>
              <w:t>—参考位置距声源的距离。</w:t>
            </w:r>
          </w:p>
          <w:p w14:paraId="0EB2EC69">
            <w:pPr>
              <w:tabs>
                <w:tab w:val="left" w:pos="3836"/>
              </w:tabs>
              <w:spacing w:line="360" w:lineRule="auto"/>
              <w:ind w:firstLine="480" w:firstLineChars="200"/>
            </w:pPr>
            <w:r>
              <w:rPr>
                <w:rFonts w:hint="eastAsia"/>
              </w:rPr>
              <w:t>②室内声源</w:t>
            </w:r>
          </w:p>
          <w:p w14:paraId="269D9EB7">
            <w:pPr>
              <w:tabs>
                <w:tab w:val="left" w:pos="3836"/>
              </w:tabs>
              <w:spacing w:line="360" w:lineRule="auto"/>
              <w:ind w:firstLine="480" w:firstLineChars="200"/>
            </w:pPr>
            <w:r>
              <w:rPr>
                <w:rFonts w:hint="eastAsia"/>
              </w:rPr>
              <w:t>首先计算某一室内声源靠近围护处产生的的倍频带声压级或</w:t>
            </w:r>
            <w:r>
              <w:t>A</w:t>
            </w:r>
            <w:r>
              <w:rPr>
                <w:rFonts w:hint="eastAsia"/>
              </w:rPr>
              <w:t>声级：</w:t>
            </w:r>
          </w:p>
          <w:p w14:paraId="3918FA3C">
            <w:pPr>
              <w:tabs>
                <w:tab w:val="left" w:pos="3836"/>
              </w:tabs>
              <w:spacing w:line="360" w:lineRule="auto"/>
              <w:jc w:val="center"/>
            </w:pPr>
            <w:r>
              <w:rPr>
                <w:rFonts w:hint="eastAsia"/>
              </w:rPr>
              <w:object>
                <v:shape id="_x0000_i1028" o:spt="75" type="#_x0000_t75" style="height:34pt;width:132.95pt;" o:ole="t" filled="f" o:preferrelative="t" stroked="f" coordsize="21600,21600">
                  <v:path/>
                  <v:fill on="f" focussize="0,0"/>
                  <v:stroke on="f" joinstyle="miter"/>
                  <v:imagedata r:id="rId21" o:title=""/>
                  <o:lock v:ext="edit" aspectratio="t"/>
                  <w10:wrap type="none"/>
                  <w10:anchorlock/>
                </v:shape>
                <o:OLEObject Type="Embed" ProgID="Equation.3" ShapeID="_x0000_i1028" DrawAspect="Content" ObjectID="_1468075728" r:id="rId20">
                  <o:LockedField>false</o:LockedField>
                </o:OLEObject>
              </w:object>
            </w:r>
          </w:p>
          <w:p w14:paraId="257CECD9">
            <w:pPr>
              <w:tabs>
                <w:tab w:val="left" w:pos="3836"/>
              </w:tabs>
              <w:spacing w:line="360" w:lineRule="auto"/>
              <w:ind w:firstLine="480" w:firstLineChars="200"/>
            </w:pPr>
            <w:r>
              <w:rPr>
                <w:rFonts w:hint="eastAsia"/>
              </w:rPr>
              <w:t>式中：</w:t>
            </w:r>
            <w:r>
              <w:t>L</w:t>
            </w:r>
            <w:r>
              <w:rPr>
                <w:vertAlign w:val="subscript"/>
              </w:rPr>
              <w:t>p1</w:t>
            </w:r>
            <w:r>
              <w:rPr>
                <w:rFonts w:hint="eastAsia"/>
              </w:rPr>
              <w:t>－靠近开口处（或窗户）室内某倍频带的声压级或</w:t>
            </w:r>
            <w:r>
              <w:t>A</w:t>
            </w:r>
            <w:r>
              <w:rPr>
                <w:rFonts w:hint="eastAsia"/>
              </w:rPr>
              <w:t>声级，</w:t>
            </w:r>
            <w:r>
              <w:t>dB</w:t>
            </w:r>
            <w:r>
              <w:rPr>
                <w:rFonts w:hint="eastAsia"/>
              </w:rPr>
              <w:t>；</w:t>
            </w:r>
          </w:p>
          <w:p w14:paraId="1573964B">
            <w:pPr>
              <w:tabs>
                <w:tab w:val="left" w:pos="3836"/>
              </w:tabs>
              <w:spacing w:line="360" w:lineRule="auto"/>
              <w:ind w:firstLine="1200" w:firstLineChars="500"/>
            </w:pPr>
            <w:r>
              <w:t>L</w:t>
            </w:r>
            <w:r>
              <w:rPr>
                <w:vertAlign w:val="subscript"/>
              </w:rPr>
              <w:t>w</w:t>
            </w:r>
            <w:r>
              <w:t>－点声源声功率级（A计权或倍频带），dB；</w:t>
            </w:r>
          </w:p>
          <w:p w14:paraId="1ADE5007">
            <w:pPr>
              <w:tabs>
                <w:tab w:val="left" w:pos="3836"/>
              </w:tabs>
              <w:spacing w:line="360" w:lineRule="auto"/>
              <w:ind w:firstLine="1200" w:firstLineChars="500"/>
            </w:pPr>
            <w:r>
              <w:t>Q</w:t>
            </w:r>
            <w:r>
              <w:rPr>
                <w:rFonts w:hint="eastAsia"/>
              </w:rPr>
              <w:t>－指向性因数；通常对无指向性声源，当声源放在房间中心时，</w:t>
            </w:r>
            <w:r>
              <w:t>Q=1</w:t>
            </w:r>
            <w:r>
              <w:rPr>
                <w:rFonts w:hint="eastAsia"/>
              </w:rPr>
              <w:t>；当放在一面墙的中心时，</w:t>
            </w:r>
            <w:r>
              <w:t>Q=2</w:t>
            </w:r>
            <w:r>
              <w:rPr>
                <w:rFonts w:hint="eastAsia"/>
              </w:rPr>
              <w:t>；当放在两面墙夹角处时，</w:t>
            </w:r>
            <w:r>
              <w:t>Q=4</w:t>
            </w:r>
            <w:r>
              <w:rPr>
                <w:rFonts w:hint="eastAsia"/>
              </w:rPr>
              <w:t>；当放在三面墙夹角处时，</w:t>
            </w:r>
            <w:r>
              <w:t>Q=8</w:t>
            </w:r>
            <w:r>
              <w:rPr>
                <w:rFonts w:hint="eastAsia"/>
              </w:rPr>
              <w:t>；</w:t>
            </w:r>
          </w:p>
          <w:p w14:paraId="4D7C35AF">
            <w:pPr>
              <w:tabs>
                <w:tab w:val="left" w:pos="3836"/>
              </w:tabs>
              <w:spacing w:line="360" w:lineRule="auto"/>
              <w:ind w:firstLine="1200" w:firstLineChars="500"/>
            </w:pPr>
            <w:r>
              <w:t>R</w:t>
            </w:r>
            <w:r>
              <w:rPr>
                <w:rFonts w:hint="eastAsia"/>
              </w:rPr>
              <w:t>－房间常数；</w:t>
            </w:r>
            <w:r>
              <w:t>R=S</w:t>
            </w:r>
            <w:r>
              <w:rPr>
                <w:rFonts w:hint="eastAsia"/>
              </w:rPr>
              <w:t>α</w:t>
            </w:r>
            <w:r>
              <w:t>/</w:t>
            </w:r>
            <w:r>
              <w:rPr>
                <w:rFonts w:hint="eastAsia"/>
              </w:rPr>
              <w:t>（</w:t>
            </w:r>
            <w:r>
              <w:t>1</w:t>
            </w:r>
            <w:r>
              <w:rPr>
                <w:rFonts w:hint="eastAsia"/>
              </w:rPr>
              <w:t>-α），</w:t>
            </w:r>
            <w:r>
              <w:t>S</w:t>
            </w:r>
            <w:r>
              <w:rPr>
                <w:rFonts w:hint="eastAsia"/>
              </w:rPr>
              <w:t>为房间内表面面积，</w:t>
            </w:r>
            <w:r>
              <w:t>m</w:t>
            </w:r>
            <w:r>
              <w:rPr>
                <w:vertAlign w:val="superscript"/>
              </w:rPr>
              <w:t>2</w:t>
            </w:r>
            <w:r>
              <w:rPr>
                <w:rFonts w:hint="eastAsia"/>
              </w:rPr>
              <w:t>；α为平均吸声系数；</w:t>
            </w:r>
          </w:p>
          <w:p w14:paraId="71A2AED6">
            <w:pPr>
              <w:tabs>
                <w:tab w:val="left" w:pos="3836"/>
              </w:tabs>
              <w:spacing w:line="360" w:lineRule="auto"/>
              <w:ind w:firstLine="1200" w:firstLineChars="500"/>
            </w:pPr>
            <w:r>
              <w:t>r</w:t>
            </w:r>
            <w:r>
              <w:rPr>
                <w:rFonts w:hint="eastAsia"/>
              </w:rPr>
              <w:t>－声源到靠近围护结构某点处的距离，</w:t>
            </w:r>
            <w:r>
              <w:t>m</w:t>
            </w:r>
            <w:r>
              <w:rPr>
                <w:rFonts w:hint="eastAsia"/>
              </w:rPr>
              <w:t>。</w:t>
            </w:r>
          </w:p>
          <w:p w14:paraId="7F19701C">
            <w:pPr>
              <w:tabs>
                <w:tab w:val="left" w:pos="3836"/>
              </w:tabs>
              <w:spacing w:line="360" w:lineRule="auto"/>
              <w:ind w:firstLine="480" w:firstLineChars="200"/>
            </w:pPr>
            <w:r>
              <w:t>③</w:t>
            </w:r>
            <w:r>
              <w:rPr>
                <w:rFonts w:hint="eastAsia"/>
              </w:rPr>
              <w:t>再计算出所有室内声源在围护结构处产生的</w:t>
            </w:r>
            <w:r>
              <w:t>i</w:t>
            </w:r>
            <w:r>
              <w:rPr>
                <w:rFonts w:hint="eastAsia"/>
              </w:rPr>
              <w:t>倍频带叠加声压级</w:t>
            </w:r>
            <w:r>
              <w:t>L</w:t>
            </w:r>
            <w:r>
              <w:rPr>
                <w:vertAlign w:val="subscript"/>
              </w:rPr>
              <w:t>p1i</w:t>
            </w:r>
            <w:r>
              <w:rPr>
                <w:rFonts w:hint="eastAsia"/>
              </w:rPr>
              <w:t>：</w:t>
            </w:r>
          </w:p>
          <w:p w14:paraId="71797D8F">
            <w:pPr>
              <w:tabs>
                <w:tab w:val="left" w:pos="3836"/>
              </w:tabs>
              <w:spacing w:line="360" w:lineRule="auto"/>
              <w:jc w:val="center"/>
            </w:pPr>
            <w:r>
              <w:rPr>
                <w:rFonts w:hint="eastAsia"/>
              </w:rPr>
              <w:object>
                <v:shape id="_x0000_i1029" o:spt="75" type="#_x0000_t75" style="height:38pt;width:127pt;" o:ole="t" filled="f" o:preferrelative="t" stroked="f" coordsize="21600,21600">
                  <v:path/>
                  <v:fill on="f" focussize="0,0"/>
                  <v:stroke on="f" joinstyle="miter"/>
                  <v:imagedata r:id="rId23" o:title=""/>
                  <o:lock v:ext="edit" aspectratio="t"/>
                  <w10:wrap type="none"/>
                  <w10:anchorlock/>
                </v:shape>
                <o:OLEObject Type="Embed" ProgID="Equation.3" ShapeID="_x0000_i1029" DrawAspect="Content" ObjectID="_1468075729" r:id="rId22">
                  <o:LockedField>false</o:LockedField>
                </o:OLEObject>
              </w:object>
            </w:r>
          </w:p>
          <w:p w14:paraId="1B50BF0F">
            <w:pPr>
              <w:tabs>
                <w:tab w:val="left" w:pos="3836"/>
              </w:tabs>
              <w:spacing w:line="360" w:lineRule="auto"/>
              <w:ind w:firstLine="480" w:firstLineChars="200"/>
            </w:pPr>
            <w:r>
              <w:rPr>
                <w:rFonts w:hint="eastAsia"/>
              </w:rPr>
              <w:t>式中：</w:t>
            </w:r>
            <w:r>
              <w:t>L</w:t>
            </w:r>
            <w:r>
              <w:rPr>
                <w:vertAlign w:val="subscript"/>
              </w:rPr>
              <w:t>p1</w:t>
            </w:r>
            <w:r>
              <w:rPr>
                <w:rFonts w:hint="eastAsia"/>
                <w:vertAlign w:val="subscript"/>
              </w:rPr>
              <w:t>i</w:t>
            </w:r>
            <w:r>
              <w:rPr>
                <w:rFonts w:hint="eastAsia"/>
              </w:rPr>
              <w:t>（</w:t>
            </w:r>
            <w:r>
              <w:t>T</w:t>
            </w:r>
            <w:r>
              <w:rPr>
                <w:rFonts w:hint="eastAsia"/>
              </w:rPr>
              <w:t>）－靠近围护结构处室内</w:t>
            </w:r>
            <w:r>
              <w:t>N</w:t>
            </w:r>
            <w:r>
              <w:rPr>
                <w:rFonts w:hint="eastAsia"/>
              </w:rPr>
              <w:t>个声源i倍频带的叠加声压级，</w:t>
            </w:r>
            <w:r>
              <w:t>dB</w:t>
            </w:r>
            <w:r>
              <w:rPr>
                <w:rFonts w:hint="eastAsia"/>
              </w:rPr>
              <w:t>；</w:t>
            </w:r>
          </w:p>
          <w:p w14:paraId="0E39B7D4">
            <w:pPr>
              <w:tabs>
                <w:tab w:val="left" w:pos="3836"/>
              </w:tabs>
              <w:spacing w:line="360" w:lineRule="auto"/>
              <w:ind w:firstLine="1200" w:firstLineChars="500"/>
            </w:pPr>
            <w:r>
              <w:t>L</w:t>
            </w:r>
            <w:r>
              <w:rPr>
                <w:vertAlign w:val="subscript"/>
              </w:rPr>
              <w:t>p1</w:t>
            </w:r>
            <w:r>
              <w:rPr>
                <w:rFonts w:hint="eastAsia"/>
                <w:vertAlign w:val="subscript"/>
              </w:rPr>
              <w:t>i</w:t>
            </w:r>
            <w:r>
              <w:rPr>
                <w:vertAlign w:val="subscript"/>
              </w:rPr>
              <w:t>j</w:t>
            </w:r>
            <w:r>
              <w:rPr>
                <w:rFonts w:hint="eastAsia"/>
              </w:rPr>
              <w:t>－室内</w:t>
            </w:r>
            <w:r>
              <w:t>j</w:t>
            </w:r>
            <w:r>
              <w:rPr>
                <w:rFonts w:hint="eastAsia"/>
              </w:rPr>
              <w:t>声源i倍频带的声压级，</w:t>
            </w:r>
            <w:r>
              <w:t>dB</w:t>
            </w:r>
            <w:r>
              <w:rPr>
                <w:rFonts w:hint="eastAsia"/>
              </w:rPr>
              <w:t>；</w:t>
            </w:r>
          </w:p>
          <w:p w14:paraId="3BB200CB">
            <w:pPr>
              <w:tabs>
                <w:tab w:val="left" w:pos="3836"/>
              </w:tabs>
              <w:spacing w:line="360" w:lineRule="auto"/>
              <w:ind w:firstLine="1200" w:firstLineChars="500"/>
            </w:pPr>
            <w:r>
              <w:t>N－室内声源总数</w:t>
            </w:r>
            <w:r>
              <w:rPr>
                <w:rFonts w:hint="eastAsia"/>
              </w:rPr>
              <w:t>。</w:t>
            </w:r>
          </w:p>
          <w:p w14:paraId="1BB6B46D">
            <w:pPr>
              <w:tabs>
                <w:tab w:val="left" w:pos="3836"/>
              </w:tabs>
              <w:spacing w:line="360" w:lineRule="auto"/>
              <w:ind w:firstLine="480" w:firstLineChars="200"/>
            </w:pPr>
            <w:r>
              <w:rPr>
                <w:rFonts w:hint="eastAsia"/>
              </w:rPr>
              <w:t>④</w:t>
            </w:r>
            <w:r>
              <w:t>计算靠近室外围护结构处的声压级L</w:t>
            </w:r>
            <w:r>
              <w:rPr>
                <w:vertAlign w:val="subscript"/>
              </w:rPr>
              <w:t>p2i</w:t>
            </w:r>
            <w:r>
              <w:t>（T），dB；</w:t>
            </w:r>
          </w:p>
          <w:p w14:paraId="07A24E3D">
            <w:pPr>
              <w:tabs>
                <w:tab w:val="left" w:pos="3836"/>
              </w:tabs>
              <w:spacing w:line="360" w:lineRule="auto"/>
              <w:jc w:val="center"/>
            </w:pPr>
            <w:r>
              <w:object>
                <v:shape id="_x0000_i1030" o:spt="75" type="#_x0000_t75" style="height:19pt;width:131pt;" o:ole="t" filled="f" o:preferrelative="t" stroked="f" coordsize="21600,21600">
                  <v:path/>
                  <v:fill on="f" focussize="0,0"/>
                  <v:stroke on="f" joinstyle="miter"/>
                  <v:imagedata r:id="rId25" o:title=""/>
                  <o:lock v:ext="edit" aspectratio="t"/>
                  <w10:wrap type="none"/>
                  <w10:anchorlock/>
                </v:shape>
                <o:OLEObject Type="Embed" ProgID="Equation.3" ShapeID="_x0000_i1030" DrawAspect="Content" ObjectID="_1468075730" r:id="rId24">
                  <o:LockedField>false</o:LockedField>
                </o:OLEObject>
              </w:object>
            </w:r>
          </w:p>
          <w:p w14:paraId="19F8C48B">
            <w:pPr>
              <w:tabs>
                <w:tab w:val="left" w:pos="3836"/>
              </w:tabs>
              <w:spacing w:line="360" w:lineRule="auto"/>
              <w:ind w:firstLine="480" w:firstLineChars="200"/>
            </w:pPr>
            <w:r>
              <w:t>式中：L</w:t>
            </w:r>
            <w:r>
              <w:rPr>
                <w:vertAlign w:val="subscript"/>
              </w:rPr>
              <w:t>p2i</w:t>
            </w:r>
            <w:r>
              <w:t>（T）－靠近围护结构处室外N个声源</w:t>
            </w:r>
            <w:r>
              <w:rPr>
                <w:rFonts w:hint="eastAsia"/>
              </w:rPr>
              <w:t>i倍频带的</w:t>
            </w:r>
            <w:r>
              <w:t>叠加声压级，dB；</w:t>
            </w:r>
          </w:p>
          <w:p w14:paraId="10621CE5">
            <w:pPr>
              <w:tabs>
                <w:tab w:val="left" w:pos="3836"/>
              </w:tabs>
              <w:spacing w:line="360" w:lineRule="auto"/>
              <w:ind w:firstLine="1200" w:firstLineChars="500"/>
            </w:pPr>
            <w:r>
              <w:t>L</w:t>
            </w:r>
            <w:r>
              <w:rPr>
                <w:vertAlign w:val="subscript"/>
              </w:rPr>
              <w:t>p1i</w:t>
            </w:r>
            <w:r>
              <w:t>（T）－靠近围护结构处室内N个声源i倍频带的叠加声压级，dB；</w:t>
            </w:r>
          </w:p>
          <w:p w14:paraId="4ECB6457">
            <w:pPr>
              <w:tabs>
                <w:tab w:val="left" w:pos="3836"/>
              </w:tabs>
              <w:spacing w:line="360" w:lineRule="auto"/>
              <w:ind w:firstLine="1200" w:firstLineChars="500"/>
            </w:pPr>
            <w:r>
              <w:t>TL</w:t>
            </w:r>
            <w:r>
              <w:rPr>
                <w:vertAlign w:val="subscript"/>
              </w:rPr>
              <w:t>i</w:t>
            </w:r>
            <w:r>
              <w:t>－围护结构</w:t>
            </w:r>
            <w:r>
              <w:rPr>
                <w:rFonts w:hint="eastAsia"/>
              </w:rPr>
              <w:t>i倍频带</w:t>
            </w:r>
            <w:r>
              <w:t>的隔声量，dB。</w:t>
            </w:r>
          </w:p>
          <w:p w14:paraId="53D2C4FB">
            <w:pPr>
              <w:tabs>
                <w:tab w:val="left" w:pos="3836"/>
              </w:tabs>
              <w:spacing w:line="360" w:lineRule="auto"/>
              <w:ind w:firstLine="480" w:firstLineChars="200"/>
            </w:pPr>
            <w:r>
              <w:t>⑤将室外声源的声压级和透过面积换算成等效的室外声源，计算出中心位置位于透声面积（S）处的等效声源的倍频带声功率级。</w:t>
            </w:r>
          </w:p>
          <w:p w14:paraId="45DA6384">
            <w:pPr>
              <w:tabs>
                <w:tab w:val="left" w:pos="3836"/>
              </w:tabs>
              <w:spacing w:line="360" w:lineRule="auto"/>
              <w:jc w:val="center"/>
            </w:pPr>
            <w:r>
              <w:object>
                <v:shape id="_x0000_i1031" o:spt="75" type="#_x0000_t75" style="height:19pt;width:98pt;" o:ole="t" filled="f" o:preferrelative="t" stroked="f" coordsize="21600,21600">
                  <v:path/>
                  <v:fill on="f" focussize="0,0"/>
                  <v:stroke on="f" joinstyle="miter"/>
                  <v:imagedata r:id="rId27" o:title=""/>
                  <o:lock v:ext="edit" aspectratio="t"/>
                  <w10:wrap type="none"/>
                  <w10:anchorlock/>
                </v:shape>
                <o:OLEObject Type="Embed" ProgID="Equation.3" ShapeID="_x0000_i1031" DrawAspect="Content" ObjectID="_1468075731" r:id="rId26">
                  <o:LockedField>false</o:LockedField>
                </o:OLEObject>
              </w:object>
            </w:r>
          </w:p>
          <w:p w14:paraId="49BDEEFE">
            <w:pPr>
              <w:tabs>
                <w:tab w:val="left" w:pos="3836"/>
              </w:tabs>
              <w:spacing w:line="360" w:lineRule="auto"/>
              <w:ind w:firstLine="480" w:firstLineChars="200"/>
            </w:pPr>
            <w:r>
              <w:t>式中：L</w:t>
            </w:r>
            <w:r>
              <w:rPr>
                <w:vertAlign w:val="subscript"/>
              </w:rPr>
              <w:t>w</w:t>
            </w:r>
            <w:r>
              <w:t>－</w:t>
            </w:r>
            <w:r>
              <w:rPr>
                <w:rFonts w:hint="eastAsia"/>
              </w:rPr>
              <w:t>中心位置</w:t>
            </w:r>
            <w:r>
              <w:t>位于透声面积（S）处的等效声源的倍频带声功率级，dB；</w:t>
            </w:r>
          </w:p>
          <w:p w14:paraId="48287C75">
            <w:pPr>
              <w:tabs>
                <w:tab w:val="left" w:pos="3836"/>
              </w:tabs>
              <w:spacing w:line="360" w:lineRule="auto"/>
              <w:ind w:firstLine="1200" w:firstLineChars="500"/>
            </w:pPr>
            <w:r>
              <w:t>L</w:t>
            </w:r>
            <w:r>
              <w:rPr>
                <w:vertAlign w:val="subscript"/>
              </w:rPr>
              <w:t>p2</w:t>
            </w:r>
            <w:r>
              <w:t>（T）－靠近围护结构处室外声源的声压级，dB；</w:t>
            </w:r>
          </w:p>
          <w:p w14:paraId="79772DCA">
            <w:pPr>
              <w:tabs>
                <w:tab w:val="left" w:pos="3836"/>
              </w:tabs>
              <w:spacing w:line="360" w:lineRule="auto"/>
              <w:ind w:firstLine="1200" w:firstLineChars="500"/>
            </w:pPr>
            <w:r>
              <w:t>S－透声面积，m</w:t>
            </w:r>
            <w:r>
              <w:rPr>
                <w:vertAlign w:val="superscript"/>
              </w:rPr>
              <w:t>2</w:t>
            </w:r>
            <w:r>
              <w:t>。</w:t>
            </w:r>
          </w:p>
          <w:p w14:paraId="083627B1">
            <w:pPr>
              <w:tabs>
                <w:tab w:val="left" w:pos="3836"/>
              </w:tabs>
              <w:spacing w:line="360" w:lineRule="auto"/>
              <w:ind w:firstLine="480" w:firstLineChars="200"/>
            </w:pPr>
            <w:r>
              <w:rPr>
                <w:rFonts w:hint="eastAsia"/>
              </w:rPr>
              <w:t>⑥</w:t>
            </w:r>
            <w:r>
              <w:t>计算预测点的总声压级贡献值：</w:t>
            </w:r>
          </w:p>
          <w:p w14:paraId="0DE8CC19">
            <w:pPr>
              <w:tabs>
                <w:tab w:val="left" w:pos="3836"/>
              </w:tabs>
              <w:spacing w:line="360" w:lineRule="auto"/>
              <w:ind w:firstLine="480" w:firstLineChars="200"/>
              <w:jc w:val="center"/>
            </w:pPr>
            <w:r>
              <w:object>
                <v:shape id="_x0000_i1032" o:spt="75" type="#_x0000_t75" style="height:40pt;width:204.95pt;" o:ole="t" filled="f" o:preferrelative="t" stroked="f" coordsize="21600,21600">
                  <v:path/>
                  <v:fill on="f" focussize="0,0"/>
                  <v:stroke on="f" joinstyle="miter"/>
                  <v:imagedata r:id="rId29" o:title=""/>
                  <o:lock v:ext="edit" aspectratio="t"/>
                  <w10:wrap type="none"/>
                  <w10:anchorlock/>
                </v:shape>
                <o:OLEObject Type="Embed" ProgID="Equation.3" ShapeID="_x0000_i1032" DrawAspect="Content" ObjectID="_1468075732" r:id="rId28">
                  <o:LockedField>false</o:LockedField>
                </o:OLEObject>
              </w:object>
            </w:r>
          </w:p>
          <w:p w14:paraId="20589ED9">
            <w:pPr>
              <w:tabs>
                <w:tab w:val="left" w:pos="3836"/>
              </w:tabs>
              <w:spacing w:line="360" w:lineRule="auto"/>
              <w:ind w:firstLine="480" w:firstLineChars="200"/>
            </w:pPr>
            <w:r>
              <w:t>式中：L</w:t>
            </w:r>
            <w:r>
              <w:rPr>
                <w:vertAlign w:val="subscript"/>
              </w:rPr>
              <w:t>eqg</w:t>
            </w:r>
            <w:r>
              <w:t>－建设项目声源在预测点产生的噪声贡献值，dB；</w:t>
            </w:r>
          </w:p>
          <w:p w14:paraId="4B3C663B">
            <w:pPr>
              <w:tabs>
                <w:tab w:val="left" w:pos="3836"/>
              </w:tabs>
              <w:spacing w:line="360" w:lineRule="auto"/>
              <w:ind w:firstLine="1200" w:firstLineChars="500"/>
            </w:pPr>
            <w:r>
              <w:t>T－用于计算等效声级的时间，s；</w:t>
            </w:r>
          </w:p>
          <w:p w14:paraId="73DD9010">
            <w:pPr>
              <w:tabs>
                <w:tab w:val="left" w:pos="3836"/>
              </w:tabs>
              <w:spacing w:line="360" w:lineRule="auto"/>
              <w:ind w:firstLine="1200" w:firstLineChars="500"/>
            </w:pPr>
            <w:r>
              <w:t>N－室外声源个数；</w:t>
            </w:r>
          </w:p>
          <w:p w14:paraId="46E59F39">
            <w:pPr>
              <w:tabs>
                <w:tab w:val="left" w:pos="3836"/>
              </w:tabs>
              <w:spacing w:line="360" w:lineRule="auto"/>
              <w:ind w:firstLine="1200" w:firstLineChars="500"/>
            </w:pPr>
            <w:r>
              <w:t>t</w:t>
            </w:r>
            <w:r>
              <w:rPr>
                <w:vertAlign w:val="subscript"/>
              </w:rPr>
              <w:t>i</w:t>
            </w:r>
            <w:r>
              <w:t>－在T时间内i声源工作时间，s；</w:t>
            </w:r>
          </w:p>
          <w:p w14:paraId="67526118">
            <w:pPr>
              <w:tabs>
                <w:tab w:val="left" w:pos="3836"/>
              </w:tabs>
              <w:spacing w:line="360" w:lineRule="auto"/>
              <w:ind w:firstLine="1200" w:firstLineChars="500"/>
            </w:pPr>
            <w:r>
              <w:t>M－等效室外声源个数；</w:t>
            </w:r>
          </w:p>
          <w:p w14:paraId="532B2ADD">
            <w:pPr>
              <w:tabs>
                <w:tab w:val="left" w:pos="3836"/>
              </w:tabs>
              <w:spacing w:line="360" w:lineRule="auto"/>
              <w:ind w:firstLine="1200" w:firstLineChars="500"/>
            </w:pPr>
            <w:r>
              <w:t>t</w:t>
            </w:r>
            <w:r>
              <w:rPr>
                <w:vertAlign w:val="subscript"/>
              </w:rPr>
              <w:t>j</w:t>
            </w:r>
            <w:r>
              <w:t>－在T时间内j声源工作时间，s。</w:t>
            </w:r>
          </w:p>
          <w:p w14:paraId="00C37A32">
            <w:pPr>
              <w:widowControl/>
              <w:spacing w:line="360" w:lineRule="auto"/>
              <w:ind w:firstLine="480" w:firstLineChars="200"/>
              <w:jc w:val="left"/>
            </w:pPr>
            <w:r>
              <w:rPr>
                <w:kern w:val="0"/>
                <w:lang w:bidi="ar"/>
              </w:rPr>
              <w:t>b</w:t>
            </w:r>
            <w:r>
              <w:rPr>
                <w:rFonts w:hint="eastAsia" w:ascii="宋体" w:hAnsi="宋体" w:cs="宋体"/>
                <w:kern w:val="0"/>
                <w:lang w:bidi="ar"/>
              </w:rPr>
              <w:t>.预测结果</w:t>
            </w:r>
          </w:p>
          <w:p w14:paraId="7BFD5887">
            <w:pPr>
              <w:tabs>
                <w:tab w:val="left" w:pos="3836"/>
              </w:tabs>
              <w:spacing w:line="360" w:lineRule="auto"/>
              <w:ind w:firstLine="480"/>
            </w:pPr>
            <w:r>
              <w:rPr>
                <w:rFonts w:hint="eastAsia"/>
              </w:rPr>
              <w:t>本项目夜间不检测，仅对昼间噪声贡献值进行预测，</w:t>
            </w:r>
            <w:r>
              <w:rPr>
                <w:rFonts w:hint="eastAsia"/>
                <w:szCs w:val="32"/>
              </w:rPr>
              <w:t>噪声</w:t>
            </w:r>
            <w:r>
              <w:rPr>
                <w:szCs w:val="32"/>
              </w:rPr>
              <w:t>预测结果</w:t>
            </w:r>
            <w:r>
              <w:t>见表4-1</w:t>
            </w:r>
            <w:r>
              <w:rPr>
                <w:rFonts w:hint="eastAsia"/>
              </w:rPr>
              <w:t>6</w:t>
            </w:r>
            <w:r>
              <w:t>。</w:t>
            </w:r>
          </w:p>
          <w:p w14:paraId="2B09B129">
            <w:pPr>
              <w:tabs>
                <w:tab w:val="left" w:pos="3836"/>
              </w:tabs>
              <w:jc w:val="center"/>
              <w:rPr>
                <w:b/>
                <w:bCs/>
                <w:sz w:val="21"/>
                <w:szCs w:val="18"/>
              </w:rPr>
            </w:pPr>
            <w:r>
              <w:rPr>
                <w:b/>
                <w:bCs/>
                <w:sz w:val="21"/>
                <w:szCs w:val="18"/>
              </w:rPr>
              <w:t>表4-</w:t>
            </w:r>
            <w:r>
              <w:rPr>
                <w:rFonts w:hint="eastAsia"/>
                <w:b/>
                <w:bCs/>
                <w:sz w:val="21"/>
                <w:szCs w:val="18"/>
              </w:rPr>
              <w:t>16</w:t>
            </w:r>
            <w:r>
              <w:rPr>
                <w:b/>
                <w:bCs/>
                <w:sz w:val="21"/>
                <w:szCs w:val="18"/>
              </w:rPr>
              <w:t xml:space="preserve">  项目厂界预测结果一览表 </w:t>
            </w:r>
            <w:r>
              <w:rPr>
                <w:rFonts w:hint="eastAsia"/>
                <w:b/>
                <w:bCs/>
                <w:sz w:val="21"/>
                <w:szCs w:val="18"/>
              </w:rPr>
              <w:t xml:space="preserve"> </w:t>
            </w:r>
            <w:r>
              <w:rPr>
                <w:b/>
                <w:bCs/>
                <w:sz w:val="21"/>
                <w:szCs w:val="18"/>
              </w:rPr>
              <w:t>单位：dB（A）</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2"/>
              <w:gridCol w:w="1707"/>
              <w:gridCol w:w="1708"/>
              <w:gridCol w:w="1405"/>
              <w:gridCol w:w="1249"/>
            </w:tblGrid>
            <w:tr w14:paraId="0A5FE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9" w:type="pct"/>
                  <w:shd w:val="clear" w:color="auto" w:fill="auto"/>
                  <w:vAlign w:val="center"/>
                </w:tcPr>
                <w:p w14:paraId="7E1522E2">
                  <w:pPr>
                    <w:widowControl/>
                    <w:jc w:val="center"/>
                    <w:rPr>
                      <w:b/>
                      <w:kern w:val="0"/>
                      <w:sz w:val="21"/>
                      <w:szCs w:val="21"/>
                    </w:rPr>
                  </w:pPr>
                  <w:r>
                    <w:rPr>
                      <w:b/>
                      <w:kern w:val="0"/>
                      <w:sz w:val="21"/>
                      <w:szCs w:val="21"/>
                    </w:rPr>
                    <w:t>预测点</w:t>
                  </w:r>
                </w:p>
              </w:tc>
              <w:tc>
                <w:tcPr>
                  <w:tcW w:w="2109" w:type="pct"/>
                  <w:gridSpan w:val="2"/>
                  <w:shd w:val="clear" w:color="auto" w:fill="auto"/>
                  <w:vAlign w:val="center"/>
                </w:tcPr>
                <w:p w14:paraId="22AA17EA">
                  <w:pPr>
                    <w:widowControl/>
                    <w:jc w:val="center"/>
                    <w:rPr>
                      <w:b/>
                      <w:kern w:val="0"/>
                      <w:sz w:val="21"/>
                      <w:szCs w:val="21"/>
                    </w:rPr>
                  </w:pPr>
                  <w:r>
                    <w:rPr>
                      <w:rFonts w:hint="eastAsia"/>
                      <w:b/>
                      <w:kern w:val="0"/>
                      <w:sz w:val="21"/>
                      <w:szCs w:val="21"/>
                    </w:rPr>
                    <w:t>贡献值</w:t>
                  </w:r>
                </w:p>
              </w:tc>
              <w:tc>
                <w:tcPr>
                  <w:tcW w:w="868" w:type="pct"/>
                  <w:shd w:val="clear" w:color="auto" w:fill="auto"/>
                  <w:vAlign w:val="center"/>
                </w:tcPr>
                <w:p w14:paraId="6304CC47">
                  <w:pPr>
                    <w:widowControl/>
                    <w:jc w:val="center"/>
                    <w:rPr>
                      <w:b/>
                      <w:kern w:val="0"/>
                      <w:sz w:val="21"/>
                      <w:szCs w:val="21"/>
                    </w:rPr>
                  </w:pPr>
                  <w:r>
                    <w:rPr>
                      <w:b/>
                      <w:kern w:val="0"/>
                      <w:sz w:val="21"/>
                      <w:szCs w:val="21"/>
                    </w:rPr>
                    <w:t>标准限值</w:t>
                  </w:r>
                </w:p>
              </w:tc>
              <w:tc>
                <w:tcPr>
                  <w:tcW w:w="772" w:type="pct"/>
                  <w:shd w:val="clear" w:color="auto" w:fill="auto"/>
                  <w:vAlign w:val="center"/>
                </w:tcPr>
                <w:p w14:paraId="1BEBA4E2">
                  <w:pPr>
                    <w:widowControl/>
                    <w:jc w:val="center"/>
                    <w:rPr>
                      <w:b/>
                      <w:kern w:val="0"/>
                      <w:sz w:val="21"/>
                      <w:szCs w:val="21"/>
                    </w:rPr>
                  </w:pPr>
                  <w:r>
                    <w:rPr>
                      <w:b/>
                      <w:kern w:val="0"/>
                      <w:sz w:val="21"/>
                      <w:szCs w:val="21"/>
                    </w:rPr>
                    <w:t>达标判定</w:t>
                  </w:r>
                </w:p>
              </w:tc>
            </w:tr>
            <w:tr w14:paraId="70F2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9" w:type="pct"/>
                  <w:shd w:val="clear" w:color="auto" w:fill="auto"/>
                  <w:vAlign w:val="center"/>
                </w:tcPr>
                <w:p w14:paraId="50E4BCE3">
                  <w:pPr>
                    <w:adjustRightInd w:val="0"/>
                    <w:snapToGrid w:val="0"/>
                    <w:jc w:val="center"/>
                    <w:rPr>
                      <w:snapToGrid w:val="0"/>
                      <w:spacing w:val="20"/>
                      <w:sz w:val="21"/>
                      <w:szCs w:val="21"/>
                    </w:rPr>
                  </w:pPr>
                  <w:r>
                    <w:rPr>
                      <w:snapToGrid w:val="0"/>
                      <w:spacing w:val="20"/>
                      <w:sz w:val="21"/>
                      <w:szCs w:val="21"/>
                    </w:rPr>
                    <w:t>1#东厂界</w:t>
                  </w:r>
                </w:p>
              </w:tc>
              <w:tc>
                <w:tcPr>
                  <w:tcW w:w="1054" w:type="pct"/>
                  <w:shd w:val="clear" w:color="auto" w:fill="auto"/>
                  <w:vAlign w:val="center"/>
                </w:tcPr>
                <w:p w14:paraId="5AE31A2E">
                  <w:pPr>
                    <w:jc w:val="center"/>
                    <w:rPr>
                      <w:bCs/>
                      <w:kern w:val="0"/>
                      <w:sz w:val="21"/>
                      <w:szCs w:val="21"/>
                    </w:rPr>
                  </w:pPr>
                  <w:r>
                    <w:rPr>
                      <w:rFonts w:hint="eastAsia"/>
                      <w:bCs/>
                      <w:kern w:val="0"/>
                      <w:sz w:val="21"/>
                      <w:szCs w:val="21"/>
                    </w:rPr>
                    <w:t>昼间</w:t>
                  </w:r>
                </w:p>
              </w:tc>
              <w:tc>
                <w:tcPr>
                  <w:tcW w:w="1054" w:type="pct"/>
                  <w:shd w:val="clear" w:color="auto" w:fill="auto"/>
                  <w:vAlign w:val="center"/>
                </w:tcPr>
                <w:p w14:paraId="0C0D4A6A">
                  <w:pPr>
                    <w:widowControl/>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56</w:t>
                  </w:r>
                </w:p>
              </w:tc>
              <w:tc>
                <w:tcPr>
                  <w:tcW w:w="868" w:type="pct"/>
                  <w:shd w:val="clear" w:color="auto" w:fill="auto"/>
                  <w:vAlign w:val="center"/>
                </w:tcPr>
                <w:p w14:paraId="1630E937">
                  <w:pPr>
                    <w:jc w:val="center"/>
                    <w:rPr>
                      <w:bCs/>
                      <w:kern w:val="0"/>
                      <w:sz w:val="21"/>
                      <w:szCs w:val="21"/>
                    </w:rPr>
                  </w:pPr>
                  <w:r>
                    <w:rPr>
                      <w:bCs/>
                      <w:kern w:val="0"/>
                      <w:sz w:val="21"/>
                      <w:szCs w:val="21"/>
                    </w:rPr>
                    <w:t>昼间≤6</w:t>
                  </w:r>
                  <w:r>
                    <w:rPr>
                      <w:rFonts w:hint="eastAsia"/>
                      <w:bCs/>
                      <w:kern w:val="0"/>
                      <w:sz w:val="21"/>
                      <w:szCs w:val="21"/>
                    </w:rPr>
                    <w:t>0</w:t>
                  </w:r>
                </w:p>
              </w:tc>
              <w:tc>
                <w:tcPr>
                  <w:tcW w:w="772" w:type="pct"/>
                  <w:shd w:val="clear" w:color="auto" w:fill="auto"/>
                  <w:vAlign w:val="center"/>
                </w:tcPr>
                <w:p w14:paraId="324EC0A1">
                  <w:pPr>
                    <w:jc w:val="center"/>
                    <w:rPr>
                      <w:bCs/>
                      <w:kern w:val="0"/>
                      <w:sz w:val="21"/>
                      <w:szCs w:val="21"/>
                    </w:rPr>
                  </w:pPr>
                  <w:r>
                    <w:rPr>
                      <w:bCs/>
                      <w:kern w:val="0"/>
                      <w:sz w:val="21"/>
                      <w:szCs w:val="21"/>
                    </w:rPr>
                    <w:t>达标</w:t>
                  </w:r>
                </w:p>
              </w:tc>
            </w:tr>
            <w:tr w14:paraId="0AA6C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9" w:type="pct"/>
                  <w:shd w:val="clear" w:color="auto" w:fill="auto"/>
                  <w:vAlign w:val="center"/>
                </w:tcPr>
                <w:p w14:paraId="6A74987C">
                  <w:pPr>
                    <w:adjustRightInd w:val="0"/>
                    <w:snapToGrid w:val="0"/>
                    <w:jc w:val="center"/>
                    <w:rPr>
                      <w:snapToGrid w:val="0"/>
                      <w:spacing w:val="20"/>
                      <w:sz w:val="21"/>
                      <w:szCs w:val="21"/>
                    </w:rPr>
                  </w:pPr>
                  <w:r>
                    <w:rPr>
                      <w:snapToGrid w:val="0"/>
                      <w:spacing w:val="20"/>
                      <w:sz w:val="21"/>
                      <w:szCs w:val="21"/>
                    </w:rPr>
                    <w:t>2#南厂界</w:t>
                  </w:r>
                </w:p>
              </w:tc>
              <w:tc>
                <w:tcPr>
                  <w:tcW w:w="1054" w:type="pct"/>
                  <w:shd w:val="clear" w:color="auto" w:fill="auto"/>
                  <w:vAlign w:val="center"/>
                </w:tcPr>
                <w:p w14:paraId="6757FE47">
                  <w:pPr>
                    <w:jc w:val="center"/>
                    <w:rPr>
                      <w:bCs/>
                      <w:kern w:val="0"/>
                      <w:sz w:val="21"/>
                      <w:szCs w:val="21"/>
                    </w:rPr>
                  </w:pPr>
                  <w:r>
                    <w:rPr>
                      <w:rFonts w:hint="eastAsia"/>
                      <w:bCs/>
                      <w:kern w:val="0"/>
                      <w:sz w:val="21"/>
                      <w:szCs w:val="21"/>
                    </w:rPr>
                    <w:t>昼间</w:t>
                  </w:r>
                </w:p>
              </w:tc>
              <w:tc>
                <w:tcPr>
                  <w:tcW w:w="1054" w:type="pct"/>
                  <w:shd w:val="clear" w:color="auto" w:fill="auto"/>
                  <w:vAlign w:val="center"/>
                </w:tcPr>
                <w:p w14:paraId="201E323D">
                  <w:pPr>
                    <w:widowControl/>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53</w:t>
                  </w:r>
                </w:p>
              </w:tc>
              <w:tc>
                <w:tcPr>
                  <w:tcW w:w="868" w:type="pct"/>
                  <w:shd w:val="clear" w:color="auto" w:fill="auto"/>
                  <w:vAlign w:val="center"/>
                </w:tcPr>
                <w:p w14:paraId="5AE87C6A">
                  <w:pPr>
                    <w:jc w:val="center"/>
                    <w:rPr>
                      <w:bCs/>
                      <w:kern w:val="0"/>
                      <w:sz w:val="21"/>
                      <w:szCs w:val="21"/>
                    </w:rPr>
                  </w:pPr>
                  <w:r>
                    <w:rPr>
                      <w:bCs/>
                      <w:kern w:val="0"/>
                      <w:sz w:val="21"/>
                      <w:szCs w:val="21"/>
                    </w:rPr>
                    <w:t>昼间≤</w:t>
                  </w:r>
                  <w:r>
                    <w:rPr>
                      <w:rFonts w:hint="eastAsia"/>
                      <w:bCs/>
                      <w:kern w:val="0"/>
                      <w:sz w:val="21"/>
                      <w:szCs w:val="21"/>
                    </w:rPr>
                    <w:t>70</w:t>
                  </w:r>
                </w:p>
              </w:tc>
              <w:tc>
                <w:tcPr>
                  <w:tcW w:w="772" w:type="pct"/>
                  <w:shd w:val="clear" w:color="auto" w:fill="auto"/>
                  <w:vAlign w:val="center"/>
                </w:tcPr>
                <w:p w14:paraId="1EB3C8E6">
                  <w:pPr>
                    <w:jc w:val="center"/>
                    <w:rPr>
                      <w:bCs/>
                      <w:kern w:val="0"/>
                      <w:sz w:val="21"/>
                      <w:szCs w:val="21"/>
                    </w:rPr>
                  </w:pPr>
                  <w:r>
                    <w:rPr>
                      <w:bCs/>
                      <w:kern w:val="0"/>
                      <w:sz w:val="21"/>
                      <w:szCs w:val="21"/>
                    </w:rPr>
                    <w:t>达标</w:t>
                  </w:r>
                </w:p>
              </w:tc>
            </w:tr>
            <w:tr w14:paraId="08229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9" w:type="pct"/>
                  <w:shd w:val="clear" w:color="auto" w:fill="auto"/>
                  <w:vAlign w:val="center"/>
                </w:tcPr>
                <w:p w14:paraId="679F5034">
                  <w:pPr>
                    <w:adjustRightInd w:val="0"/>
                    <w:snapToGrid w:val="0"/>
                    <w:jc w:val="center"/>
                    <w:rPr>
                      <w:snapToGrid w:val="0"/>
                      <w:spacing w:val="20"/>
                      <w:sz w:val="21"/>
                      <w:szCs w:val="21"/>
                    </w:rPr>
                  </w:pPr>
                  <w:r>
                    <w:rPr>
                      <w:snapToGrid w:val="0"/>
                      <w:spacing w:val="20"/>
                      <w:sz w:val="21"/>
                      <w:szCs w:val="21"/>
                    </w:rPr>
                    <w:t>3#西厂界</w:t>
                  </w:r>
                </w:p>
              </w:tc>
              <w:tc>
                <w:tcPr>
                  <w:tcW w:w="1054" w:type="pct"/>
                  <w:shd w:val="clear" w:color="auto" w:fill="auto"/>
                  <w:vAlign w:val="center"/>
                </w:tcPr>
                <w:p w14:paraId="438B281C">
                  <w:pPr>
                    <w:jc w:val="center"/>
                    <w:rPr>
                      <w:bCs/>
                      <w:kern w:val="0"/>
                      <w:sz w:val="21"/>
                      <w:szCs w:val="21"/>
                    </w:rPr>
                  </w:pPr>
                  <w:r>
                    <w:rPr>
                      <w:rFonts w:hint="eastAsia"/>
                      <w:bCs/>
                      <w:kern w:val="0"/>
                      <w:sz w:val="21"/>
                      <w:szCs w:val="21"/>
                    </w:rPr>
                    <w:t>昼间</w:t>
                  </w:r>
                </w:p>
              </w:tc>
              <w:tc>
                <w:tcPr>
                  <w:tcW w:w="1054" w:type="pct"/>
                  <w:shd w:val="clear" w:color="auto" w:fill="auto"/>
                  <w:vAlign w:val="center"/>
                </w:tcPr>
                <w:p w14:paraId="3FAC7877">
                  <w:pPr>
                    <w:widowControl/>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51</w:t>
                  </w:r>
                </w:p>
              </w:tc>
              <w:tc>
                <w:tcPr>
                  <w:tcW w:w="868" w:type="pct"/>
                  <w:shd w:val="clear" w:color="auto" w:fill="auto"/>
                  <w:vAlign w:val="center"/>
                </w:tcPr>
                <w:p w14:paraId="27BE327D">
                  <w:pPr>
                    <w:jc w:val="center"/>
                    <w:rPr>
                      <w:bCs/>
                      <w:kern w:val="0"/>
                      <w:sz w:val="21"/>
                      <w:szCs w:val="21"/>
                    </w:rPr>
                  </w:pPr>
                  <w:r>
                    <w:rPr>
                      <w:bCs/>
                      <w:kern w:val="0"/>
                      <w:sz w:val="21"/>
                      <w:szCs w:val="21"/>
                    </w:rPr>
                    <w:t>昼间≤6</w:t>
                  </w:r>
                  <w:r>
                    <w:rPr>
                      <w:rFonts w:hint="eastAsia"/>
                      <w:bCs/>
                      <w:kern w:val="0"/>
                      <w:sz w:val="21"/>
                      <w:szCs w:val="21"/>
                    </w:rPr>
                    <w:t>0</w:t>
                  </w:r>
                </w:p>
              </w:tc>
              <w:tc>
                <w:tcPr>
                  <w:tcW w:w="772" w:type="pct"/>
                  <w:shd w:val="clear" w:color="auto" w:fill="auto"/>
                  <w:vAlign w:val="center"/>
                </w:tcPr>
                <w:p w14:paraId="4A3FCBC3">
                  <w:pPr>
                    <w:jc w:val="center"/>
                    <w:rPr>
                      <w:bCs/>
                      <w:kern w:val="0"/>
                      <w:sz w:val="21"/>
                      <w:szCs w:val="21"/>
                    </w:rPr>
                  </w:pPr>
                  <w:r>
                    <w:rPr>
                      <w:bCs/>
                      <w:kern w:val="0"/>
                      <w:sz w:val="21"/>
                      <w:szCs w:val="21"/>
                    </w:rPr>
                    <w:t>达标</w:t>
                  </w:r>
                </w:p>
              </w:tc>
            </w:tr>
            <w:tr w14:paraId="2CCBD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9" w:type="pct"/>
                  <w:shd w:val="clear" w:color="auto" w:fill="auto"/>
                  <w:vAlign w:val="center"/>
                </w:tcPr>
                <w:p w14:paraId="131A6865">
                  <w:pPr>
                    <w:adjustRightInd w:val="0"/>
                    <w:snapToGrid w:val="0"/>
                    <w:jc w:val="center"/>
                    <w:rPr>
                      <w:snapToGrid w:val="0"/>
                      <w:spacing w:val="20"/>
                      <w:sz w:val="21"/>
                      <w:szCs w:val="21"/>
                    </w:rPr>
                  </w:pPr>
                  <w:r>
                    <w:rPr>
                      <w:snapToGrid w:val="0"/>
                      <w:spacing w:val="20"/>
                      <w:sz w:val="21"/>
                      <w:szCs w:val="21"/>
                    </w:rPr>
                    <w:t>4#北厂界</w:t>
                  </w:r>
                </w:p>
              </w:tc>
              <w:tc>
                <w:tcPr>
                  <w:tcW w:w="1054" w:type="pct"/>
                  <w:shd w:val="clear" w:color="auto" w:fill="auto"/>
                  <w:vAlign w:val="center"/>
                </w:tcPr>
                <w:p w14:paraId="547220BC">
                  <w:pPr>
                    <w:widowControl/>
                    <w:jc w:val="center"/>
                    <w:rPr>
                      <w:bCs/>
                      <w:kern w:val="0"/>
                      <w:sz w:val="21"/>
                      <w:szCs w:val="21"/>
                    </w:rPr>
                  </w:pPr>
                  <w:r>
                    <w:rPr>
                      <w:rFonts w:hint="eastAsia"/>
                      <w:bCs/>
                      <w:kern w:val="0"/>
                      <w:sz w:val="21"/>
                      <w:szCs w:val="21"/>
                    </w:rPr>
                    <w:t>昼间</w:t>
                  </w:r>
                </w:p>
              </w:tc>
              <w:tc>
                <w:tcPr>
                  <w:tcW w:w="1054" w:type="pct"/>
                  <w:shd w:val="clear" w:color="auto" w:fill="auto"/>
                  <w:vAlign w:val="center"/>
                </w:tcPr>
                <w:p w14:paraId="4E4D11FF">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54</w:t>
                  </w:r>
                </w:p>
              </w:tc>
              <w:tc>
                <w:tcPr>
                  <w:tcW w:w="868" w:type="pct"/>
                  <w:shd w:val="clear" w:color="auto" w:fill="auto"/>
                  <w:vAlign w:val="center"/>
                </w:tcPr>
                <w:p w14:paraId="3EE95488">
                  <w:pPr>
                    <w:widowControl/>
                    <w:jc w:val="center"/>
                    <w:rPr>
                      <w:bCs/>
                      <w:kern w:val="0"/>
                      <w:sz w:val="21"/>
                      <w:szCs w:val="21"/>
                    </w:rPr>
                  </w:pPr>
                  <w:r>
                    <w:rPr>
                      <w:bCs/>
                      <w:kern w:val="0"/>
                      <w:sz w:val="21"/>
                      <w:szCs w:val="21"/>
                    </w:rPr>
                    <w:t>昼间≤6</w:t>
                  </w:r>
                  <w:r>
                    <w:rPr>
                      <w:rFonts w:hint="eastAsia"/>
                      <w:bCs/>
                      <w:kern w:val="0"/>
                      <w:sz w:val="21"/>
                      <w:szCs w:val="21"/>
                    </w:rPr>
                    <w:t>0</w:t>
                  </w:r>
                </w:p>
              </w:tc>
              <w:tc>
                <w:tcPr>
                  <w:tcW w:w="772" w:type="pct"/>
                  <w:shd w:val="clear" w:color="auto" w:fill="auto"/>
                  <w:vAlign w:val="center"/>
                </w:tcPr>
                <w:p w14:paraId="288D42C5">
                  <w:pPr>
                    <w:widowControl/>
                    <w:jc w:val="center"/>
                    <w:rPr>
                      <w:bCs/>
                      <w:kern w:val="0"/>
                      <w:sz w:val="21"/>
                      <w:szCs w:val="21"/>
                    </w:rPr>
                  </w:pPr>
                  <w:r>
                    <w:rPr>
                      <w:bCs/>
                      <w:kern w:val="0"/>
                      <w:sz w:val="21"/>
                      <w:szCs w:val="21"/>
                    </w:rPr>
                    <w:t>达标</w:t>
                  </w:r>
                </w:p>
              </w:tc>
            </w:tr>
          </w:tbl>
          <w:p w14:paraId="45D00DCC">
            <w:pPr>
              <w:spacing w:line="360" w:lineRule="auto"/>
              <w:ind w:firstLine="480" w:firstLineChars="200"/>
            </w:pPr>
            <w:r>
              <w:rPr>
                <w:rFonts w:hint="eastAsia"/>
              </w:rPr>
              <w:t>从上表可以看出，经预测本项目建成后，项目所在1#楼东、西、北厂界噪声贡献值均能达到《工业企业厂界环境噪声排放标准》（GB12348-2008）中2类标准（昼间≤60dB（A））要求，南厂界噪声贡献值能达到《工业企业厂界环境噪声排放标准》（GB12348-2008）中4类标准（昼间≤70dB（A））要求，对周围声环境影响较小。</w:t>
            </w:r>
          </w:p>
          <w:p w14:paraId="5183B32C">
            <w:pPr>
              <w:tabs>
                <w:tab w:val="left" w:pos="3836"/>
              </w:tabs>
              <w:spacing w:line="360" w:lineRule="auto"/>
              <w:ind w:firstLine="480" w:firstLineChars="200"/>
            </w:pPr>
            <w:r>
              <w:t>（</w:t>
            </w:r>
            <w:r>
              <w:rPr>
                <w:rFonts w:hint="eastAsia"/>
              </w:rPr>
              <w:t>3</w:t>
            </w:r>
            <w:r>
              <w:t>）措施要求</w:t>
            </w:r>
          </w:p>
          <w:p w14:paraId="4DDE5248">
            <w:pPr>
              <w:tabs>
                <w:tab w:val="left" w:pos="3836"/>
              </w:tabs>
              <w:spacing w:line="360" w:lineRule="auto"/>
              <w:ind w:firstLine="480" w:firstLineChars="200"/>
            </w:pPr>
            <w:r>
              <w:t>为</w:t>
            </w:r>
            <w:r>
              <w:rPr>
                <w:rFonts w:hint="eastAsia"/>
              </w:rPr>
              <w:t>减少</w:t>
            </w:r>
            <w:r>
              <w:t>噪声污染物排放，保障工作人员健康，环评提出以下措施：</w:t>
            </w:r>
          </w:p>
          <w:p w14:paraId="31EFCAA0">
            <w:pPr>
              <w:tabs>
                <w:tab w:val="left" w:pos="3836"/>
              </w:tabs>
              <w:spacing w:line="360" w:lineRule="auto"/>
              <w:ind w:firstLine="480" w:firstLineChars="200"/>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①项目夜间不得进行实验检测；</w:t>
            </w:r>
          </w:p>
          <w:p w14:paraId="6498EC83">
            <w:pPr>
              <w:tabs>
                <w:tab w:val="left" w:pos="3836"/>
              </w:tabs>
              <w:spacing w:line="360" w:lineRule="auto"/>
              <w:ind w:firstLine="480" w:firstLineChars="200"/>
            </w:pPr>
            <w:r>
              <w:rPr>
                <w:rFonts w:hint="eastAsia" w:ascii="宋体" w:hAnsi="宋体" w:cs="宋体"/>
              </w:rPr>
              <w:t>②</w:t>
            </w:r>
            <w:r>
              <w:t>风机等设备首先考虑采用独立基座并安装高效减震橡胶垫片；管道连接处采用软性材料连接，减少共振；</w:t>
            </w:r>
          </w:p>
          <w:p w14:paraId="3EB1435D">
            <w:pPr>
              <w:tabs>
                <w:tab w:val="left" w:pos="3836"/>
              </w:tabs>
              <w:spacing w:line="360" w:lineRule="auto"/>
              <w:ind w:firstLine="480" w:firstLineChars="200"/>
            </w:pPr>
            <w:r>
              <w:rPr>
                <w:rFonts w:hint="eastAsia" w:ascii="宋体" w:hAnsi="宋体" w:cs="宋体"/>
              </w:rPr>
              <w:t>③</w:t>
            </w:r>
            <w:r>
              <w:t>在厂房总体布置上，考虑高噪声源的噪声排放，将高噪声设备集中布设在厂房内远离厂界的位置</w:t>
            </w:r>
            <w:r>
              <w:rPr>
                <w:rFonts w:hint="eastAsia"/>
              </w:rPr>
              <w:t>；</w:t>
            </w:r>
          </w:p>
          <w:p w14:paraId="6848591F">
            <w:pPr>
              <w:tabs>
                <w:tab w:val="left" w:pos="3836"/>
              </w:tabs>
              <w:spacing w:line="360" w:lineRule="auto"/>
              <w:ind w:firstLine="480" w:firstLineChars="200"/>
            </w:pPr>
            <w:r>
              <w:rPr>
                <w:rFonts w:hint="eastAsia"/>
              </w:rPr>
              <w:t>④</w:t>
            </w:r>
            <w:r>
              <w:t>露天放置的风机安装消</w:t>
            </w:r>
            <w:r>
              <w:rPr>
                <w:rFonts w:hint="eastAsia"/>
              </w:rPr>
              <w:t>声</w:t>
            </w:r>
            <w:r>
              <w:t>器，采取独立减振基座；</w:t>
            </w:r>
          </w:p>
          <w:p w14:paraId="5C09F2BA">
            <w:pPr>
              <w:tabs>
                <w:tab w:val="left" w:pos="3836"/>
              </w:tabs>
              <w:spacing w:line="360" w:lineRule="auto"/>
              <w:ind w:firstLine="480" w:firstLineChars="200"/>
            </w:pPr>
            <w:r>
              <w:rPr>
                <w:rFonts w:hint="eastAsia"/>
              </w:rPr>
              <w:t>⑤</w:t>
            </w:r>
            <w:r>
              <w:t>加强设备的维护保养，</w:t>
            </w:r>
            <w:r>
              <w:rPr>
                <w:rFonts w:hint="eastAsia"/>
              </w:rPr>
              <w:t>增强</w:t>
            </w:r>
            <w:r>
              <w:t>员工环保意识。</w:t>
            </w:r>
          </w:p>
          <w:p w14:paraId="03FA3DA2">
            <w:pPr>
              <w:spacing w:line="360" w:lineRule="auto"/>
              <w:ind w:firstLine="480" w:firstLineChars="200"/>
              <w:rPr>
                <w:kern w:val="0"/>
              </w:rPr>
            </w:pPr>
            <w:r>
              <w:rPr>
                <w:rFonts w:hint="eastAsia"/>
                <w:kern w:val="0"/>
              </w:rPr>
              <w:t>（4）</w:t>
            </w:r>
            <w:r>
              <w:rPr>
                <w:kern w:val="0"/>
              </w:rPr>
              <w:t>监测要求</w:t>
            </w:r>
          </w:p>
          <w:p w14:paraId="47E88D4B">
            <w:pPr>
              <w:tabs>
                <w:tab w:val="left" w:pos="3836"/>
              </w:tabs>
              <w:spacing w:line="360" w:lineRule="auto"/>
              <w:ind w:firstLine="480" w:firstLineChars="200"/>
              <w:rPr>
                <w:szCs w:val="21"/>
              </w:rPr>
            </w:pPr>
            <w:r>
              <w:rPr>
                <w:szCs w:val="21"/>
              </w:rPr>
              <w:t>参考《排污单位自行监测技术指南</w:t>
            </w:r>
            <w:r>
              <w:rPr>
                <w:rFonts w:hint="eastAsia"/>
                <w:szCs w:val="21"/>
              </w:rPr>
              <w:t xml:space="preserve">  </w:t>
            </w:r>
            <w:r>
              <w:rPr>
                <w:szCs w:val="21"/>
              </w:rPr>
              <w:t>总则》（HJ 819-2017）相关要求，提出企业噪声自行监测计划，详见表4-1</w:t>
            </w:r>
            <w:r>
              <w:rPr>
                <w:rFonts w:hint="eastAsia"/>
                <w:szCs w:val="21"/>
              </w:rPr>
              <w:t>7</w:t>
            </w:r>
            <w:r>
              <w:rPr>
                <w:szCs w:val="21"/>
              </w:rPr>
              <w:t>。</w:t>
            </w:r>
          </w:p>
          <w:p w14:paraId="158E8424">
            <w:pPr>
              <w:jc w:val="center"/>
              <w:rPr>
                <w:b/>
                <w:sz w:val="21"/>
                <w:szCs w:val="18"/>
              </w:rPr>
            </w:pPr>
            <w:r>
              <w:rPr>
                <w:b/>
                <w:sz w:val="21"/>
                <w:szCs w:val="18"/>
              </w:rPr>
              <w:t>表4-</w:t>
            </w:r>
            <w:r>
              <w:rPr>
                <w:rFonts w:hint="eastAsia"/>
                <w:b/>
                <w:sz w:val="21"/>
                <w:szCs w:val="18"/>
              </w:rPr>
              <w:t xml:space="preserve">17  </w:t>
            </w:r>
            <w:r>
              <w:rPr>
                <w:b/>
                <w:sz w:val="21"/>
                <w:szCs w:val="18"/>
              </w:rPr>
              <w:t>项目运营期噪声监测计划一览表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1172"/>
              <w:gridCol w:w="829"/>
              <w:gridCol w:w="1600"/>
              <w:gridCol w:w="1127"/>
              <w:gridCol w:w="2887"/>
            </w:tblGrid>
            <w:tr w14:paraId="7892A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16" w:type="pct"/>
                  <w:gridSpan w:val="2"/>
                  <w:vAlign w:val="center"/>
                </w:tcPr>
                <w:p w14:paraId="50E61AF1">
                  <w:pPr>
                    <w:jc w:val="center"/>
                    <w:rPr>
                      <w:b/>
                      <w:bCs/>
                      <w:sz w:val="21"/>
                      <w:szCs w:val="21"/>
                    </w:rPr>
                  </w:pPr>
                  <w:r>
                    <w:rPr>
                      <w:b/>
                      <w:bCs/>
                      <w:sz w:val="21"/>
                      <w:szCs w:val="21"/>
                    </w:rPr>
                    <w:t>类别</w:t>
                  </w:r>
                </w:p>
              </w:tc>
              <w:tc>
                <w:tcPr>
                  <w:tcW w:w="512" w:type="pct"/>
                  <w:vAlign w:val="center"/>
                </w:tcPr>
                <w:p w14:paraId="65294870">
                  <w:pPr>
                    <w:jc w:val="center"/>
                    <w:rPr>
                      <w:b/>
                      <w:bCs/>
                      <w:sz w:val="21"/>
                      <w:szCs w:val="21"/>
                    </w:rPr>
                  </w:pPr>
                  <w:r>
                    <w:rPr>
                      <w:b/>
                      <w:bCs/>
                      <w:sz w:val="21"/>
                      <w:szCs w:val="21"/>
                    </w:rPr>
                    <w:t>监测因子</w:t>
                  </w:r>
                </w:p>
              </w:tc>
              <w:tc>
                <w:tcPr>
                  <w:tcW w:w="988" w:type="pct"/>
                  <w:vAlign w:val="center"/>
                </w:tcPr>
                <w:p w14:paraId="3E4C283C">
                  <w:pPr>
                    <w:jc w:val="center"/>
                    <w:rPr>
                      <w:b/>
                      <w:bCs/>
                      <w:sz w:val="21"/>
                      <w:szCs w:val="21"/>
                    </w:rPr>
                  </w:pPr>
                  <w:r>
                    <w:rPr>
                      <w:b/>
                      <w:bCs/>
                      <w:sz w:val="21"/>
                      <w:szCs w:val="21"/>
                    </w:rPr>
                    <w:t>监测点位</w:t>
                  </w:r>
                </w:p>
              </w:tc>
              <w:tc>
                <w:tcPr>
                  <w:tcW w:w="697" w:type="pct"/>
                  <w:vAlign w:val="center"/>
                </w:tcPr>
                <w:p w14:paraId="48D5DE58">
                  <w:pPr>
                    <w:jc w:val="center"/>
                    <w:rPr>
                      <w:b/>
                      <w:bCs/>
                      <w:sz w:val="21"/>
                      <w:szCs w:val="21"/>
                    </w:rPr>
                  </w:pPr>
                  <w:r>
                    <w:rPr>
                      <w:b/>
                      <w:bCs/>
                      <w:sz w:val="21"/>
                      <w:szCs w:val="21"/>
                    </w:rPr>
                    <w:t>监测频次</w:t>
                  </w:r>
                </w:p>
              </w:tc>
              <w:tc>
                <w:tcPr>
                  <w:tcW w:w="1784" w:type="pct"/>
                  <w:vAlign w:val="center"/>
                </w:tcPr>
                <w:p w14:paraId="06495E46">
                  <w:pPr>
                    <w:jc w:val="center"/>
                    <w:rPr>
                      <w:b/>
                      <w:bCs/>
                      <w:sz w:val="21"/>
                      <w:szCs w:val="21"/>
                    </w:rPr>
                  </w:pPr>
                  <w:r>
                    <w:rPr>
                      <w:b/>
                      <w:bCs/>
                      <w:sz w:val="21"/>
                      <w:szCs w:val="21"/>
                    </w:rPr>
                    <w:t>控制标准</w:t>
                  </w:r>
                </w:p>
              </w:tc>
            </w:tr>
            <w:tr w14:paraId="224AA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restart"/>
                  <w:vAlign w:val="center"/>
                </w:tcPr>
                <w:p w14:paraId="493C3824">
                  <w:pPr>
                    <w:jc w:val="center"/>
                    <w:rPr>
                      <w:sz w:val="21"/>
                      <w:szCs w:val="21"/>
                    </w:rPr>
                  </w:pPr>
                  <w:r>
                    <w:rPr>
                      <w:sz w:val="21"/>
                      <w:szCs w:val="21"/>
                    </w:rPr>
                    <w:t>噪声</w:t>
                  </w:r>
                </w:p>
              </w:tc>
              <w:tc>
                <w:tcPr>
                  <w:tcW w:w="724" w:type="pct"/>
                  <w:vAlign w:val="center"/>
                </w:tcPr>
                <w:p w14:paraId="050387A7">
                  <w:pPr>
                    <w:jc w:val="center"/>
                    <w:rPr>
                      <w:bCs/>
                      <w:snapToGrid w:val="0"/>
                      <w:kern w:val="0"/>
                      <w:sz w:val="21"/>
                      <w:szCs w:val="21"/>
                    </w:rPr>
                  </w:pPr>
                  <w:r>
                    <w:rPr>
                      <w:bCs/>
                      <w:snapToGrid w:val="0"/>
                      <w:kern w:val="0"/>
                      <w:sz w:val="21"/>
                      <w:szCs w:val="21"/>
                      <w:lang w:val="en-GB"/>
                    </w:rPr>
                    <w:t>东、西、北厂界</w:t>
                  </w:r>
                </w:p>
              </w:tc>
              <w:tc>
                <w:tcPr>
                  <w:tcW w:w="512" w:type="pct"/>
                  <w:vMerge w:val="restart"/>
                  <w:vAlign w:val="center"/>
                </w:tcPr>
                <w:p w14:paraId="5CFDEB0A">
                  <w:pPr>
                    <w:jc w:val="center"/>
                    <w:rPr>
                      <w:bCs/>
                      <w:snapToGrid w:val="0"/>
                      <w:kern w:val="0"/>
                      <w:sz w:val="21"/>
                      <w:szCs w:val="21"/>
                      <w:lang w:val="en-GB"/>
                    </w:rPr>
                  </w:pPr>
                  <w:r>
                    <w:rPr>
                      <w:bCs/>
                      <w:snapToGrid w:val="0"/>
                      <w:kern w:val="0"/>
                      <w:sz w:val="21"/>
                      <w:szCs w:val="21"/>
                      <w:lang w:val="en-GB"/>
                    </w:rPr>
                    <w:t>Leq[dB(A)]</w:t>
                  </w:r>
                </w:p>
              </w:tc>
              <w:tc>
                <w:tcPr>
                  <w:tcW w:w="988" w:type="pct"/>
                  <w:vMerge w:val="restart"/>
                  <w:vAlign w:val="center"/>
                </w:tcPr>
                <w:p w14:paraId="5D9DC21E">
                  <w:pPr>
                    <w:jc w:val="center"/>
                    <w:rPr>
                      <w:bCs/>
                      <w:snapToGrid w:val="0"/>
                      <w:kern w:val="0"/>
                      <w:sz w:val="21"/>
                      <w:szCs w:val="21"/>
                    </w:rPr>
                  </w:pPr>
                  <w:r>
                    <w:rPr>
                      <w:bCs/>
                      <w:snapToGrid w:val="0"/>
                      <w:kern w:val="0"/>
                      <w:sz w:val="21"/>
                      <w:szCs w:val="21"/>
                      <w:lang w:val="en-GB"/>
                    </w:rPr>
                    <w:t>东、西、</w:t>
                  </w:r>
                  <w:r>
                    <w:rPr>
                      <w:bCs/>
                      <w:snapToGrid w:val="0"/>
                      <w:kern w:val="0"/>
                      <w:sz w:val="21"/>
                      <w:szCs w:val="21"/>
                    </w:rPr>
                    <w:t>南、</w:t>
                  </w:r>
                  <w:r>
                    <w:rPr>
                      <w:bCs/>
                      <w:snapToGrid w:val="0"/>
                      <w:kern w:val="0"/>
                      <w:sz w:val="21"/>
                      <w:szCs w:val="21"/>
                      <w:lang w:val="en-GB"/>
                    </w:rPr>
                    <w:t>北厂界各设置1个监测点位</w:t>
                  </w:r>
                </w:p>
              </w:tc>
              <w:tc>
                <w:tcPr>
                  <w:tcW w:w="697" w:type="pct"/>
                  <w:vMerge w:val="restart"/>
                  <w:vAlign w:val="center"/>
                </w:tcPr>
                <w:p w14:paraId="78DB92B3">
                  <w:pPr>
                    <w:jc w:val="center"/>
                    <w:rPr>
                      <w:bCs/>
                      <w:snapToGrid w:val="0"/>
                      <w:kern w:val="0"/>
                      <w:sz w:val="21"/>
                      <w:szCs w:val="21"/>
                      <w:lang w:val="en-GB"/>
                    </w:rPr>
                  </w:pPr>
                  <w:r>
                    <w:rPr>
                      <w:rFonts w:eastAsiaTheme="minorEastAsia"/>
                      <w:bCs/>
                      <w:sz w:val="21"/>
                      <w:szCs w:val="21"/>
                    </w:rPr>
                    <w:t>1次</w:t>
                  </w:r>
                  <w:r>
                    <w:rPr>
                      <w:rFonts w:hint="eastAsia" w:eastAsiaTheme="minorEastAsia"/>
                      <w:bCs/>
                      <w:sz w:val="21"/>
                      <w:szCs w:val="21"/>
                    </w:rPr>
                    <w:t>/</w:t>
                  </w:r>
                  <w:r>
                    <w:rPr>
                      <w:rFonts w:eastAsiaTheme="minorEastAsia"/>
                      <w:bCs/>
                      <w:sz w:val="21"/>
                      <w:szCs w:val="21"/>
                    </w:rPr>
                    <w:t>季度</w:t>
                  </w:r>
                </w:p>
              </w:tc>
              <w:tc>
                <w:tcPr>
                  <w:tcW w:w="1784" w:type="pct"/>
                  <w:vAlign w:val="center"/>
                </w:tcPr>
                <w:p w14:paraId="79C44B6D">
                  <w:pPr>
                    <w:jc w:val="center"/>
                    <w:rPr>
                      <w:bCs/>
                      <w:snapToGrid w:val="0"/>
                      <w:kern w:val="0"/>
                      <w:sz w:val="21"/>
                      <w:szCs w:val="21"/>
                      <w:lang w:val="en-GB"/>
                    </w:rPr>
                  </w:pPr>
                  <w:r>
                    <w:rPr>
                      <w:bCs/>
                      <w:snapToGrid w:val="0"/>
                      <w:kern w:val="0"/>
                      <w:sz w:val="21"/>
                      <w:szCs w:val="21"/>
                      <w:lang w:val="en-GB"/>
                    </w:rPr>
                    <w:t>《工业企业厂界环境噪声排放标准》（GB12348-2008）中</w:t>
                  </w:r>
                  <w:r>
                    <w:rPr>
                      <w:rFonts w:hint="eastAsia"/>
                      <w:bCs/>
                      <w:snapToGrid w:val="0"/>
                      <w:kern w:val="0"/>
                      <w:sz w:val="21"/>
                      <w:szCs w:val="21"/>
                    </w:rPr>
                    <w:t>的2</w:t>
                  </w:r>
                  <w:r>
                    <w:rPr>
                      <w:bCs/>
                      <w:snapToGrid w:val="0"/>
                      <w:kern w:val="0"/>
                      <w:sz w:val="21"/>
                      <w:szCs w:val="21"/>
                      <w:lang w:val="en-GB"/>
                    </w:rPr>
                    <w:t>类标准</w:t>
                  </w:r>
                </w:p>
              </w:tc>
            </w:tr>
            <w:tr w14:paraId="0C883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2" w:type="pct"/>
                  <w:vMerge w:val="continue"/>
                  <w:vAlign w:val="center"/>
                </w:tcPr>
                <w:p w14:paraId="6B8E5A0E">
                  <w:pPr>
                    <w:jc w:val="center"/>
                    <w:rPr>
                      <w:sz w:val="21"/>
                      <w:szCs w:val="21"/>
                    </w:rPr>
                  </w:pPr>
                </w:p>
              </w:tc>
              <w:tc>
                <w:tcPr>
                  <w:tcW w:w="724" w:type="pct"/>
                  <w:vAlign w:val="center"/>
                </w:tcPr>
                <w:p w14:paraId="5257918C">
                  <w:pPr>
                    <w:jc w:val="center"/>
                    <w:rPr>
                      <w:bCs/>
                      <w:snapToGrid w:val="0"/>
                      <w:kern w:val="0"/>
                      <w:sz w:val="21"/>
                      <w:szCs w:val="21"/>
                    </w:rPr>
                  </w:pPr>
                  <w:r>
                    <w:rPr>
                      <w:rFonts w:hint="eastAsia"/>
                      <w:bCs/>
                      <w:snapToGrid w:val="0"/>
                      <w:kern w:val="0"/>
                      <w:sz w:val="21"/>
                      <w:szCs w:val="21"/>
                    </w:rPr>
                    <w:t>南厂界</w:t>
                  </w:r>
                </w:p>
              </w:tc>
              <w:tc>
                <w:tcPr>
                  <w:tcW w:w="512" w:type="pct"/>
                  <w:vMerge w:val="continue"/>
                  <w:vAlign w:val="center"/>
                </w:tcPr>
                <w:p w14:paraId="4CDEDFFE">
                  <w:pPr>
                    <w:jc w:val="center"/>
                    <w:rPr>
                      <w:bCs/>
                      <w:snapToGrid w:val="0"/>
                      <w:kern w:val="0"/>
                      <w:sz w:val="21"/>
                      <w:szCs w:val="21"/>
                      <w:lang w:val="en-GB"/>
                    </w:rPr>
                  </w:pPr>
                </w:p>
              </w:tc>
              <w:tc>
                <w:tcPr>
                  <w:tcW w:w="988" w:type="pct"/>
                  <w:vMerge w:val="continue"/>
                  <w:vAlign w:val="center"/>
                </w:tcPr>
                <w:p w14:paraId="1D150927">
                  <w:pPr>
                    <w:jc w:val="center"/>
                    <w:rPr>
                      <w:bCs/>
                      <w:snapToGrid w:val="0"/>
                      <w:kern w:val="0"/>
                      <w:sz w:val="21"/>
                      <w:szCs w:val="21"/>
                      <w:lang w:val="en-GB"/>
                    </w:rPr>
                  </w:pPr>
                </w:p>
              </w:tc>
              <w:tc>
                <w:tcPr>
                  <w:tcW w:w="697" w:type="pct"/>
                  <w:vMerge w:val="continue"/>
                  <w:vAlign w:val="center"/>
                </w:tcPr>
                <w:p w14:paraId="4E038475">
                  <w:pPr>
                    <w:jc w:val="center"/>
                    <w:rPr>
                      <w:rFonts w:eastAsiaTheme="minorEastAsia"/>
                      <w:bCs/>
                      <w:sz w:val="21"/>
                      <w:szCs w:val="21"/>
                    </w:rPr>
                  </w:pPr>
                </w:p>
              </w:tc>
              <w:tc>
                <w:tcPr>
                  <w:tcW w:w="1784" w:type="pct"/>
                  <w:vAlign w:val="center"/>
                </w:tcPr>
                <w:p w14:paraId="5DA98531">
                  <w:pPr>
                    <w:jc w:val="center"/>
                    <w:rPr>
                      <w:bCs/>
                      <w:snapToGrid w:val="0"/>
                      <w:kern w:val="0"/>
                      <w:sz w:val="21"/>
                      <w:szCs w:val="21"/>
                      <w:lang w:val="en-GB"/>
                    </w:rPr>
                  </w:pPr>
                  <w:r>
                    <w:rPr>
                      <w:bCs/>
                      <w:snapToGrid w:val="0"/>
                      <w:kern w:val="0"/>
                      <w:sz w:val="21"/>
                      <w:szCs w:val="21"/>
                      <w:lang w:val="en-GB"/>
                    </w:rPr>
                    <w:t>《工业企业厂界环境噪声排放标准》（GB12348-2008）中</w:t>
                  </w:r>
                  <w:r>
                    <w:rPr>
                      <w:rFonts w:hint="eastAsia"/>
                      <w:bCs/>
                      <w:snapToGrid w:val="0"/>
                      <w:kern w:val="0"/>
                      <w:sz w:val="21"/>
                      <w:szCs w:val="21"/>
                    </w:rPr>
                    <w:t>的4</w:t>
                  </w:r>
                  <w:r>
                    <w:rPr>
                      <w:bCs/>
                      <w:snapToGrid w:val="0"/>
                      <w:kern w:val="0"/>
                      <w:sz w:val="21"/>
                      <w:szCs w:val="21"/>
                      <w:lang w:val="en-GB"/>
                    </w:rPr>
                    <w:t>类标准</w:t>
                  </w:r>
                </w:p>
              </w:tc>
            </w:tr>
          </w:tbl>
          <w:p w14:paraId="429C4EB0">
            <w:pPr>
              <w:tabs>
                <w:tab w:val="left" w:pos="3836"/>
              </w:tabs>
              <w:spacing w:line="360" w:lineRule="auto"/>
              <w:ind w:firstLine="482" w:firstLineChars="200"/>
              <w:rPr>
                <w:b/>
                <w:bCs/>
                <w:szCs w:val="21"/>
              </w:rPr>
            </w:pPr>
            <w:r>
              <w:rPr>
                <w:b/>
                <w:bCs/>
                <w:szCs w:val="21"/>
              </w:rPr>
              <w:t>4、固废</w:t>
            </w:r>
          </w:p>
          <w:p w14:paraId="416BA944">
            <w:pPr>
              <w:tabs>
                <w:tab w:val="left" w:pos="3836"/>
              </w:tabs>
              <w:spacing w:line="360" w:lineRule="auto"/>
              <w:ind w:firstLine="480"/>
              <w:rPr>
                <w:szCs w:val="21"/>
              </w:rPr>
            </w:pPr>
            <w:r>
              <w:rPr>
                <w:rFonts w:hint="eastAsia"/>
                <w:szCs w:val="21"/>
              </w:rPr>
              <w:t>（1）</w:t>
            </w:r>
            <w:r>
              <w:rPr>
                <w:szCs w:val="21"/>
              </w:rPr>
              <w:t>固体废物产生环节、名称、属性</w:t>
            </w:r>
          </w:p>
          <w:p w14:paraId="28EF3D5B">
            <w:pPr>
              <w:tabs>
                <w:tab w:val="left" w:pos="3836"/>
              </w:tabs>
              <w:spacing w:line="360" w:lineRule="auto"/>
              <w:ind w:firstLine="480"/>
              <w:rPr>
                <w:szCs w:val="21"/>
              </w:rPr>
            </w:pPr>
            <w:r>
              <w:rPr>
                <w:rFonts w:hint="eastAsia" w:ascii="宋体" w:hAnsi="宋体" w:cs="宋体"/>
                <w:szCs w:val="21"/>
              </w:rPr>
              <w:t>①</w:t>
            </w:r>
            <w:r>
              <w:rPr>
                <w:szCs w:val="21"/>
              </w:rPr>
              <w:t>生活垃圾</w:t>
            </w:r>
          </w:p>
          <w:p w14:paraId="0FAF5B42">
            <w:pPr>
              <w:tabs>
                <w:tab w:val="left" w:pos="3836"/>
              </w:tabs>
              <w:spacing w:line="360" w:lineRule="auto"/>
              <w:ind w:firstLine="480"/>
              <w:rPr>
                <w:szCs w:val="21"/>
              </w:rPr>
            </w:pPr>
            <w:r>
              <w:rPr>
                <w:rFonts w:hint="eastAsia"/>
                <w:szCs w:val="21"/>
              </w:rPr>
              <w:t>现有</w:t>
            </w:r>
            <w:r>
              <w:rPr>
                <w:szCs w:val="21"/>
              </w:rPr>
              <w:t>项目</w:t>
            </w:r>
            <w:r>
              <w:rPr>
                <w:rFonts w:hint="eastAsia"/>
                <w:szCs w:val="21"/>
              </w:rPr>
              <w:t>劳动</w:t>
            </w:r>
            <w:r>
              <w:rPr>
                <w:szCs w:val="21"/>
              </w:rPr>
              <w:t>定员</w:t>
            </w:r>
            <w:r>
              <w:rPr>
                <w:rFonts w:hint="eastAsia"/>
                <w:szCs w:val="21"/>
              </w:rPr>
              <w:t>为73</w:t>
            </w:r>
            <w:r>
              <w:rPr>
                <w:szCs w:val="21"/>
              </w:rPr>
              <w:t>人</w:t>
            </w:r>
            <w:r>
              <w:rPr>
                <w:rFonts w:hint="eastAsia"/>
                <w:szCs w:val="21"/>
              </w:rPr>
              <w:t>，搬迁后不新增劳动定员。根据建设单位现有项目生活垃圾产生量数据，</w:t>
            </w:r>
            <w:r>
              <w:rPr>
                <w:szCs w:val="21"/>
              </w:rPr>
              <w:t>则</w:t>
            </w:r>
            <w:r>
              <w:rPr>
                <w:rFonts w:hint="eastAsia"/>
                <w:szCs w:val="21"/>
              </w:rPr>
              <w:t>本项目</w:t>
            </w:r>
            <w:r>
              <w:rPr>
                <w:szCs w:val="21"/>
              </w:rPr>
              <w:t>生活垃圾产生</w:t>
            </w:r>
            <w:r>
              <w:rPr>
                <w:rFonts w:hint="eastAsia"/>
                <w:szCs w:val="21"/>
              </w:rPr>
              <w:t>量为10.95</w:t>
            </w:r>
            <w:r>
              <w:rPr>
                <w:szCs w:val="21"/>
              </w:rPr>
              <w:t>t/a，分类收集后由环卫</w:t>
            </w:r>
            <w:r>
              <w:rPr>
                <w:rFonts w:hint="eastAsia"/>
                <w:szCs w:val="21"/>
              </w:rPr>
              <w:t>部门</w:t>
            </w:r>
            <w:r>
              <w:rPr>
                <w:szCs w:val="21"/>
              </w:rPr>
              <w:t>统一清运</w:t>
            </w:r>
            <w:r>
              <w:rPr>
                <w:rFonts w:hint="eastAsia"/>
                <w:szCs w:val="21"/>
              </w:rPr>
              <w:t>。根据《固体废物分类与代码目录》，生活垃圾属于SW62可回收物900-001-S62废纸和SW64其他垃圾900-099-S64。</w:t>
            </w:r>
          </w:p>
          <w:p w14:paraId="0C9B42D6">
            <w:pPr>
              <w:tabs>
                <w:tab w:val="left" w:pos="3836"/>
              </w:tabs>
              <w:spacing w:line="360" w:lineRule="auto"/>
              <w:ind w:firstLine="480"/>
              <w:rPr>
                <w:szCs w:val="21"/>
              </w:rPr>
            </w:pPr>
            <w:r>
              <w:rPr>
                <w:rFonts w:hint="eastAsia" w:ascii="宋体" w:hAnsi="宋体" w:cs="宋体"/>
                <w:szCs w:val="21"/>
              </w:rPr>
              <w:t>②</w:t>
            </w:r>
            <w:r>
              <w:rPr>
                <w:szCs w:val="21"/>
              </w:rPr>
              <w:t>一般工业固体废物</w:t>
            </w:r>
          </w:p>
          <w:p w14:paraId="3EEA5084">
            <w:pPr>
              <w:tabs>
                <w:tab w:val="left" w:pos="3836"/>
              </w:tabs>
              <w:spacing w:line="360" w:lineRule="auto"/>
              <w:ind w:firstLine="480"/>
              <w:rPr>
                <w:szCs w:val="21"/>
              </w:rPr>
            </w:pPr>
            <w:r>
              <w:rPr>
                <w:rFonts w:hint="eastAsia"/>
                <w:szCs w:val="21"/>
              </w:rPr>
              <w:t>a.废滤芯</w:t>
            </w:r>
          </w:p>
          <w:p w14:paraId="784030A7">
            <w:pPr>
              <w:tabs>
                <w:tab w:val="left" w:pos="3836"/>
              </w:tabs>
              <w:spacing w:line="360" w:lineRule="auto"/>
              <w:ind w:firstLine="480"/>
              <w:rPr>
                <w:szCs w:val="21"/>
              </w:rPr>
            </w:pPr>
            <w:r>
              <w:rPr>
                <w:szCs w:val="21"/>
              </w:rPr>
              <w:t>项目</w:t>
            </w:r>
            <w:r>
              <w:rPr>
                <w:rFonts w:hint="eastAsia"/>
                <w:szCs w:val="21"/>
              </w:rPr>
              <w:t>超</w:t>
            </w:r>
            <w:r>
              <w:rPr>
                <w:szCs w:val="21"/>
              </w:rPr>
              <w:t>纯水机使用的滤芯约6个月更换一次，</w:t>
            </w:r>
            <w:r>
              <w:rPr>
                <w:rFonts w:hint="eastAsia"/>
                <w:szCs w:val="21"/>
              </w:rPr>
              <w:t>根据建设单位提供现有项目</w:t>
            </w:r>
            <w:r>
              <w:rPr>
                <w:szCs w:val="21"/>
              </w:rPr>
              <w:t>废滤芯产生量</w:t>
            </w:r>
            <w:r>
              <w:rPr>
                <w:rFonts w:hint="eastAsia"/>
                <w:szCs w:val="21"/>
              </w:rPr>
              <w:t>数据，则本项目废滤芯产生量</w:t>
            </w:r>
            <w:r>
              <w:rPr>
                <w:szCs w:val="21"/>
              </w:rPr>
              <w:t>为0.02t/a，由</w:t>
            </w:r>
            <w:r>
              <w:rPr>
                <w:rFonts w:hint="eastAsia"/>
                <w:szCs w:val="21"/>
              </w:rPr>
              <w:t>超</w:t>
            </w:r>
            <w:r>
              <w:rPr>
                <w:szCs w:val="21"/>
              </w:rPr>
              <w:t>纯水机厂家更换后带走处置。</w:t>
            </w:r>
            <w:r>
              <w:rPr>
                <w:rFonts w:hint="eastAsia"/>
                <w:szCs w:val="21"/>
              </w:rPr>
              <w:t>根据《固体废物分类与代码目录》，废滤芯属于SW59其他工业固体废物900-099-S59。</w:t>
            </w:r>
          </w:p>
          <w:p w14:paraId="6A5BC075">
            <w:pPr>
              <w:tabs>
                <w:tab w:val="left" w:pos="3836"/>
              </w:tabs>
              <w:spacing w:line="360" w:lineRule="auto"/>
              <w:ind w:firstLine="480" w:firstLineChars="200"/>
            </w:pPr>
            <w:r>
              <w:rPr>
                <w:rFonts w:hint="eastAsia"/>
                <w:szCs w:val="21"/>
              </w:rPr>
              <w:t>b.</w:t>
            </w:r>
            <w:r>
              <w:rPr>
                <w:szCs w:val="21"/>
              </w:rPr>
              <w:t>废包装</w:t>
            </w:r>
          </w:p>
          <w:p w14:paraId="3ED7B6C1">
            <w:pPr>
              <w:tabs>
                <w:tab w:val="left" w:pos="3836"/>
              </w:tabs>
              <w:spacing w:line="360" w:lineRule="auto"/>
              <w:ind w:firstLine="480"/>
              <w:rPr>
                <w:szCs w:val="21"/>
              </w:rPr>
            </w:pPr>
            <w:r>
              <w:rPr>
                <w:szCs w:val="21"/>
              </w:rPr>
              <w:t>项目</w:t>
            </w:r>
            <w:r>
              <w:rPr>
                <w:rFonts w:hint="eastAsia"/>
                <w:szCs w:val="21"/>
              </w:rPr>
              <w:t>办公</w:t>
            </w:r>
            <w:r>
              <w:rPr>
                <w:szCs w:val="21"/>
              </w:rPr>
              <w:t>过程</w:t>
            </w:r>
            <w:r>
              <w:rPr>
                <w:rFonts w:hint="eastAsia"/>
                <w:szCs w:val="21"/>
              </w:rPr>
              <w:t>中</w:t>
            </w:r>
            <w:r>
              <w:rPr>
                <w:szCs w:val="21"/>
              </w:rPr>
              <w:t>产生的废包装盒、包装袋</w:t>
            </w:r>
            <w:r>
              <w:rPr>
                <w:rFonts w:hint="eastAsia"/>
                <w:szCs w:val="21"/>
              </w:rPr>
              <w:t>，根据建设单位提供现有项目</w:t>
            </w:r>
            <w:r>
              <w:rPr>
                <w:szCs w:val="21"/>
              </w:rPr>
              <w:t>废</w:t>
            </w:r>
            <w:r>
              <w:rPr>
                <w:rFonts w:hint="eastAsia"/>
                <w:szCs w:val="21"/>
              </w:rPr>
              <w:t>包装</w:t>
            </w:r>
            <w:r>
              <w:rPr>
                <w:szCs w:val="21"/>
              </w:rPr>
              <w:t>产生量</w:t>
            </w:r>
            <w:r>
              <w:rPr>
                <w:rFonts w:hint="eastAsia"/>
                <w:szCs w:val="21"/>
              </w:rPr>
              <w:t>数据，则本项目废包装</w:t>
            </w:r>
            <w:r>
              <w:rPr>
                <w:szCs w:val="21"/>
              </w:rPr>
              <w:t>产生量为0.</w:t>
            </w:r>
            <w:r>
              <w:rPr>
                <w:rFonts w:hint="eastAsia"/>
                <w:szCs w:val="21"/>
              </w:rPr>
              <w:t>05</w:t>
            </w:r>
            <w:r>
              <w:rPr>
                <w:szCs w:val="21"/>
              </w:rPr>
              <w:t>t/a</w:t>
            </w:r>
            <w:r>
              <w:rPr>
                <w:rFonts w:hint="eastAsia"/>
                <w:szCs w:val="21"/>
              </w:rPr>
              <w:t>，</w:t>
            </w:r>
            <w:r>
              <w:rPr>
                <w:szCs w:val="21"/>
              </w:rPr>
              <w:t>收集后定期外售</w:t>
            </w:r>
            <w:r>
              <w:rPr>
                <w:rFonts w:hint="eastAsia"/>
                <w:szCs w:val="21"/>
              </w:rPr>
              <w:t>。根据《固体废物分类与代码目录》，废包装属于SW17可再生类废物900-005-S17。</w:t>
            </w:r>
          </w:p>
          <w:p w14:paraId="402EF873">
            <w:pPr>
              <w:tabs>
                <w:tab w:val="left" w:pos="3836"/>
              </w:tabs>
              <w:spacing w:line="360" w:lineRule="auto"/>
              <w:ind w:firstLine="480"/>
              <w:rPr>
                <w:szCs w:val="21"/>
              </w:rPr>
            </w:pPr>
            <w:r>
              <w:rPr>
                <w:rFonts w:hint="eastAsia"/>
                <w:szCs w:val="21"/>
              </w:rPr>
              <w:t>c.剩余样品</w:t>
            </w:r>
          </w:p>
          <w:p w14:paraId="2CF3C365">
            <w:pPr>
              <w:tabs>
                <w:tab w:val="left" w:pos="3836"/>
              </w:tabs>
              <w:spacing w:line="360" w:lineRule="auto"/>
              <w:ind w:firstLine="480"/>
              <w:rPr>
                <w:szCs w:val="21"/>
              </w:rPr>
            </w:pPr>
            <w:r>
              <w:rPr>
                <w:rFonts w:hint="eastAsia"/>
                <w:szCs w:val="21"/>
              </w:rPr>
              <w:t>项目采集的大多数样品均为一般样品，符合相应标准，不存在严重污染且产生量较小，一般水样随清洗废水一同处置；固废、土壤样品（含除尘设备收集的粉尘，不考虑极少数永久保留样品）作为一般固废处置；经检测超标的样品，待出具检测报告后退回送检单位（多为水样，暂存于样品室）。根据建设单位提供现有项目剩余样品</w:t>
            </w:r>
            <w:r>
              <w:rPr>
                <w:szCs w:val="21"/>
              </w:rPr>
              <w:t>产生量</w:t>
            </w:r>
            <w:r>
              <w:rPr>
                <w:rFonts w:hint="eastAsia"/>
                <w:szCs w:val="21"/>
              </w:rPr>
              <w:t>数据，则本项目剩余一般样品产生量为0.2t/a，剩余超标样品产生量为0.01t/a。根据《固体废物分类与代码目录》，剩余样品属于SW92实验室固体废物900-001-S92。</w:t>
            </w:r>
          </w:p>
          <w:p w14:paraId="6B906D3F">
            <w:pPr>
              <w:tabs>
                <w:tab w:val="left" w:pos="3836"/>
              </w:tabs>
              <w:spacing w:line="360" w:lineRule="auto"/>
              <w:ind w:firstLine="480"/>
            </w:pPr>
            <w:r>
              <w:rPr>
                <w:rFonts w:hint="eastAsia"/>
                <w:szCs w:val="21"/>
              </w:rPr>
              <w:t>d.</w:t>
            </w:r>
            <w:r>
              <w:rPr>
                <w:rFonts w:hint="eastAsia"/>
              </w:rPr>
              <w:t>废培养基</w:t>
            </w:r>
          </w:p>
          <w:p w14:paraId="1A891D08">
            <w:pPr>
              <w:tabs>
                <w:tab w:val="left" w:pos="3836"/>
              </w:tabs>
              <w:spacing w:line="360" w:lineRule="auto"/>
              <w:ind w:firstLine="480"/>
              <w:rPr>
                <w:szCs w:val="21"/>
              </w:rPr>
            </w:pPr>
            <w:r>
              <w:rPr>
                <w:rFonts w:hint="eastAsia"/>
              </w:rPr>
              <w:t>项目微生物实验过程产生的废培养基使用高压蒸汽灭菌锅灭菌后作为一般废物处置。</w:t>
            </w:r>
            <w:r>
              <w:rPr>
                <w:rFonts w:hint="eastAsia"/>
                <w:szCs w:val="21"/>
              </w:rPr>
              <w:t>根据建设单位提供现有项目</w:t>
            </w:r>
            <w:r>
              <w:rPr>
                <w:szCs w:val="21"/>
              </w:rPr>
              <w:t>废</w:t>
            </w:r>
            <w:r>
              <w:rPr>
                <w:rFonts w:hint="eastAsia"/>
                <w:szCs w:val="21"/>
              </w:rPr>
              <w:t>培养基</w:t>
            </w:r>
            <w:r>
              <w:rPr>
                <w:szCs w:val="21"/>
              </w:rPr>
              <w:t>产生量</w:t>
            </w:r>
            <w:r>
              <w:rPr>
                <w:rFonts w:hint="eastAsia"/>
                <w:szCs w:val="21"/>
              </w:rPr>
              <w:t>数据，则本项目</w:t>
            </w:r>
            <w:r>
              <w:rPr>
                <w:rFonts w:hint="eastAsia"/>
              </w:rPr>
              <w:t>废培养基</w:t>
            </w:r>
            <w:r>
              <w:t>产生量为0.</w:t>
            </w:r>
            <w:r>
              <w:rPr>
                <w:rFonts w:hint="eastAsia"/>
              </w:rPr>
              <w:t>05</w:t>
            </w:r>
            <w:r>
              <w:t>t/a</w:t>
            </w:r>
            <w:r>
              <w:rPr>
                <w:rFonts w:hint="eastAsia"/>
              </w:rPr>
              <w:t>。</w:t>
            </w:r>
            <w:r>
              <w:rPr>
                <w:rFonts w:hint="eastAsia"/>
                <w:szCs w:val="21"/>
              </w:rPr>
              <w:t>根据《固体废物分类与代码目录》，废培养基属于SW92实验室固体废物900-001-S92。</w:t>
            </w:r>
          </w:p>
          <w:p w14:paraId="390B8358">
            <w:pPr>
              <w:tabs>
                <w:tab w:val="left" w:pos="3836"/>
              </w:tabs>
              <w:spacing w:line="360" w:lineRule="auto"/>
              <w:ind w:firstLine="480"/>
              <w:rPr>
                <w:szCs w:val="21"/>
              </w:rPr>
            </w:pPr>
            <w:r>
              <w:rPr>
                <w:rFonts w:hint="eastAsia" w:ascii="宋体" w:hAnsi="宋体" w:cs="宋体"/>
                <w:szCs w:val="21"/>
              </w:rPr>
              <w:t>③</w:t>
            </w:r>
            <w:r>
              <w:rPr>
                <w:szCs w:val="21"/>
              </w:rPr>
              <w:t>危险废物</w:t>
            </w:r>
          </w:p>
          <w:p w14:paraId="2BF8394F">
            <w:pPr>
              <w:tabs>
                <w:tab w:val="left" w:pos="3836"/>
              </w:tabs>
              <w:spacing w:line="360" w:lineRule="auto"/>
              <w:ind w:firstLine="480"/>
              <w:rPr>
                <w:szCs w:val="21"/>
              </w:rPr>
            </w:pPr>
            <w:r>
              <w:rPr>
                <w:szCs w:val="21"/>
              </w:rPr>
              <w:t>a</w:t>
            </w:r>
            <w:r>
              <w:rPr>
                <w:rFonts w:hint="eastAsia"/>
                <w:szCs w:val="21"/>
              </w:rPr>
              <w:t>.实验废液</w:t>
            </w:r>
          </w:p>
          <w:p w14:paraId="3EF31E6C">
            <w:pPr>
              <w:tabs>
                <w:tab w:val="left" w:pos="3836"/>
              </w:tabs>
              <w:spacing w:line="360" w:lineRule="auto"/>
              <w:ind w:firstLine="480"/>
              <w:rPr>
                <w:color w:val="000000" w:themeColor="text1"/>
                <w:kern w:val="0"/>
                <w:lang w:bidi="ar"/>
                <w14:textFill>
                  <w14:solidFill>
                    <w14:schemeClr w14:val="tx1"/>
                  </w14:solidFill>
                </w14:textFill>
              </w:rPr>
            </w:pPr>
            <w:r>
              <w:rPr>
                <w:szCs w:val="21"/>
              </w:rPr>
              <w:t>项目实验</w:t>
            </w:r>
            <w:r>
              <w:rPr>
                <w:rFonts w:hint="eastAsia"/>
                <w:szCs w:val="21"/>
              </w:rPr>
              <w:t>过程产生的含废酸、废碱、重金属离子、有机溶剂及其他试剂的实验废液</w:t>
            </w:r>
            <w:r>
              <w:rPr>
                <w:rFonts w:hint="eastAsia"/>
                <w:kern w:val="0"/>
                <w:lang w:bidi="ar"/>
              </w:rPr>
              <w:t>采用</w:t>
            </w:r>
            <w:r>
              <w:rPr>
                <w:rFonts w:hint="eastAsia"/>
                <w:color w:val="000000" w:themeColor="text1"/>
                <w:kern w:val="0"/>
                <w:lang w:bidi="ar"/>
                <w14:textFill>
                  <w14:solidFill>
                    <w14:schemeClr w14:val="tx1"/>
                  </w14:solidFill>
                </w14:textFill>
              </w:rPr>
              <w:t>专用带盖密闭收集桶收集后贮存于危废贮存点</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定期交由有资质单位处置</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根据建设单位提供现有项目实验废液</w:t>
            </w:r>
            <w:r>
              <w:rPr>
                <w:color w:val="000000" w:themeColor="text1"/>
                <w:szCs w:val="21"/>
                <w14:textFill>
                  <w14:solidFill>
                    <w14:schemeClr w14:val="tx1"/>
                  </w14:solidFill>
                </w14:textFill>
              </w:rPr>
              <w:t>产生量</w:t>
            </w:r>
            <w:r>
              <w:rPr>
                <w:rFonts w:hint="eastAsia"/>
                <w:color w:val="000000" w:themeColor="text1"/>
                <w:szCs w:val="21"/>
                <w14:textFill>
                  <w14:solidFill>
                    <w14:schemeClr w14:val="tx1"/>
                  </w14:solidFill>
                </w14:textFill>
              </w:rPr>
              <w:t>数据，则本项目实验废液产生量为0.8</w:t>
            </w:r>
            <w:r>
              <w:rPr>
                <w:color w:val="000000" w:themeColor="text1"/>
                <w:szCs w:val="21"/>
                <w14:textFill>
                  <w14:solidFill>
                    <w14:schemeClr w14:val="tx1"/>
                  </w14:solidFill>
                </w14:textFill>
              </w:rPr>
              <w:t>t/a，</w:t>
            </w:r>
            <w:r>
              <w:rPr>
                <w:rFonts w:hint="eastAsia"/>
                <w:color w:val="000000" w:themeColor="text1"/>
                <w:kern w:val="0"/>
                <w:lang w:bidi="ar"/>
                <w14:textFill>
                  <w14:solidFill>
                    <w14:schemeClr w14:val="tx1"/>
                  </w14:solidFill>
                </w14:textFill>
              </w:rPr>
              <w:t>危废代码</w:t>
            </w:r>
            <w:r>
              <w:rPr>
                <w:color w:val="000000" w:themeColor="text1"/>
                <w:kern w:val="0"/>
                <w:lang w:bidi="ar"/>
                <w14:textFill>
                  <w14:solidFill>
                    <w14:schemeClr w14:val="tx1"/>
                  </w14:solidFill>
                </w14:textFill>
              </w:rPr>
              <w:t>为HW</w:t>
            </w:r>
            <w:r>
              <w:rPr>
                <w:rFonts w:hint="eastAsia"/>
                <w:color w:val="000000" w:themeColor="text1"/>
                <w:kern w:val="0"/>
                <w:lang w:bidi="ar"/>
                <w14:textFill>
                  <w14:solidFill>
                    <w14:schemeClr w14:val="tx1"/>
                  </w14:solidFill>
                </w14:textFill>
              </w:rPr>
              <w:t>49（</w:t>
            </w:r>
            <w:r>
              <w:rPr>
                <w:color w:val="000000" w:themeColor="text1"/>
                <w:kern w:val="0"/>
                <w:lang w:bidi="ar"/>
                <w14:textFill>
                  <w14:solidFill>
                    <w14:schemeClr w14:val="tx1"/>
                  </w14:solidFill>
                </w14:textFill>
              </w:rPr>
              <w:t>900-</w:t>
            </w:r>
            <w:r>
              <w:rPr>
                <w:rFonts w:hint="eastAsia"/>
                <w:color w:val="000000" w:themeColor="text1"/>
                <w:kern w:val="0"/>
                <w:lang w:bidi="ar"/>
                <w14:textFill>
                  <w14:solidFill>
                    <w14:schemeClr w14:val="tx1"/>
                  </w14:solidFill>
                </w14:textFill>
              </w:rPr>
              <w:t>047</w:t>
            </w: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49）。</w:t>
            </w:r>
          </w:p>
          <w:p w14:paraId="23C4C762">
            <w:pPr>
              <w:tabs>
                <w:tab w:val="left" w:pos="3836"/>
              </w:tabs>
              <w:spacing w:line="360" w:lineRule="auto"/>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b.一次清洗废水</w:t>
            </w:r>
          </w:p>
          <w:p w14:paraId="68C9675C">
            <w:pPr>
              <w:tabs>
                <w:tab w:val="left" w:pos="3836"/>
              </w:tabs>
              <w:spacing w:line="360" w:lineRule="auto"/>
              <w:ind w:firstLine="48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项目一次清洗废水产生量约为0.12</w:t>
            </w:r>
            <w:r>
              <w:rPr>
                <w:color w:val="000000" w:themeColor="text1"/>
                <w:szCs w:val="21"/>
                <w14:textFill>
                  <w14:solidFill>
                    <w14:schemeClr w14:val="tx1"/>
                  </w14:solidFill>
                </w14:textFill>
              </w:rPr>
              <w:t>t/a</w:t>
            </w:r>
            <w:r>
              <w:rPr>
                <w:rFonts w:hint="eastAsia"/>
                <w:color w:val="000000" w:themeColor="text1"/>
                <w:szCs w:val="21"/>
                <w14:textFill>
                  <w14:solidFill>
                    <w14:schemeClr w14:val="tx1"/>
                  </w14:solidFill>
                </w14:textFill>
              </w:rPr>
              <w:t>，作为危废处置，危废代码为</w:t>
            </w:r>
            <w:r>
              <w:rPr>
                <w:color w:val="000000" w:themeColor="text1"/>
                <w:kern w:val="0"/>
                <w:lang w:bidi="ar"/>
                <w14:textFill>
                  <w14:solidFill>
                    <w14:schemeClr w14:val="tx1"/>
                  </w14:solidFill>
                </w14:textFill>
              </w:rPr>
              <w:t>HW</w:t>
            </w:r>
            <w:r>
              <w:rPr>
                <w:rFonts w:hint="eastAsia"/>
                <w:color w:val="000000" w:themeColor="text1"/>
                <w:kern w:val="0"/>
                <w:lang w:bidi="ar"/>
                <w14:textFill>
                  <w14:solidFill>
                    <w14:schemeClr w14:val="tx1"/>
                  </w14:solidFill>
                </w14:textFill>
              </w:rPr>
              <w:t>49（</w:t>
            </w:r>
            <w:r>
              <w:rPr>
                <w:color w:val="000000" w:themeColor="text1"/>
                <w:kern w:val="0"/>
                <w:lang w:bidi="ar"/>
                <w14:textFill>
                  <w14:solidFill>
                    <w14:schemeClr w14:val="tx1"/>
                  </w14:solidFill>
                </w14:textFill>
              </w:rPr>
              <w:t>900-</w:t>
            </w:r>
            <w:r>
              <w:rPr>
                <w:rFonts w:hint="eastAsia"/>
                <w:color w:val="000000" w:themeColor="text1"/>
                <w:kern w:val="0"/>
                <w:lang w:bidi="ar"/>
                <w14:textFill>
                  <w14:solidFill>
                    <w14:schemeClr w14:val="tx1"/>
                  </w14:solidFill>
                </w14:textFill>
              </w:rPr>
              <w:t>047</w:t>
            </w: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49），采用专用带盖密闭收集桶</w:t>
            </w:r>
            <w:r>
              <w:rPr>
                <w:rFonts w:hint="eastAsia"/>
                <w:color w:val="000000" w:themeColor="text1"/>
                <w:szCs w:val="21"/>
                <w14:textFill>
                  <w14:solidFill>
                    <w14:schemeClr w14:val="tx1"/>
                  </w14:solidFill>
                </w14:textFill>
              </w:rPr>
              <w:t>收集后贮存于</w:t>
            </w:r>
            <w:r>
              <w:rPr>
                <w:rFonts w:hint="eastAsia"/>
                <w:color w:val="000000" w:themeColor="text1"/>
                <w:kern w:val="0"/>
                <w:lang w:bidi="ar"/>
                <w14:textFill>
                  <w14:solidFill>
                    <w14:schemeClr w14:val="tx1"/>
                  </w14:solidFill>
                </w14:textFill>
              </w:rPr>
              <w:t>危废贮存点</w:t>
            </w:r>
            <w:r>
              <w:rPr>
                <w:rFonts w:hint="eastAsia"/>
                <w:color w:val="000000" w:themeColor="text1"/>
                <w:szCs w:val="21"/>
                <w14:textFill>
                  <w14:solidFill>
                    <w14:schemeClr w14:val="tx1"/>
                  </w14:solidFill>
                </w14:textFill>
              </w:rPr>
              <w:t>，定期交由有资质单位处置。</w:t>
            </w:r>
          </w:p>
          <w:p w14:paraId="246E5D14">
            <w:pPr>
              <w:tabs>
                <w:tab w:val="left" w:pos="3836"/>
              </w:tabs>
              <w:spacing w:line="360" w:lineRule="auto"/>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废试剂</w:t>
            </w:r>
            <w:r>
              <w:rPr>
                <w:rFonts w:hint="eastAsia"/>
                <w:color w:val="000000" w:themeColor="text1"/>
                <w:szCs w:val="21"/>
                <w14:textFill>
                  <w14:solidFill>
                    <w14:schemeClr w14:val="tx1"/>
                  </w14:solidFill>
                </w14:textFill>
              </w:rPr>
              <w:t>瓶</w:t>
            </w:r>
          </w:p>
          <w:p w14:paraId="3CF6FB9C">
            <w:pPr>
              <w:tabs>
                <w:tab w:val="left" w:pos="3836"/>
              </w:tabs>
              <w:spacing w:line="360" w:lineRule="auto"/>
              <w:ind w:firstLine="480"/>
              <w:rPr>
                <w:szCs w:val="21"/>
              </w:rPr>
            </w:pPr>
            <w:r>
              <w:rPr>
                <w:rFonts w:hint="eastAsia"/>
                <w:color w:val="000000" w:themeColor="text1"/>
                <w:szCs w:val="21"/>
                <w14:textFill>
                  <w14:solidFill>
                    <w14:schemeClr w14:val="tx1"/>
                  </w14:solidFill>
                </w14:textFill>
              </w:rPr>
              <w:t>根据建设单位提供现有项目废试剂瓶</w:t>
            </w:r>
            <w:r>
              <w:rPr>
                <w:color w:val="000000" w:themeColor="text1"/>
                <w:szCs w:val="21"/>
                <w14:textFill>
                  <w14:solidFill>
                    <w14:schemeClr w14:val="tx1"/>
                  </w14:solidFill>
                </w14:textFill>
              </w:rPr>
              <w:t>产生量</w:t>
            </w:r>
            <w:r>
              <w:rPr>
                <w:rFonts w:hint="eastAsia"/>
                <w:color w:val="000000" w:themeColor="text1"/>
                <w:szCs w:val="21"/>
                <w14:textFill>
                  <w14:solidFill>
                    <w14:schemeClr w14:val="tx1"/>
                  </w14:solidFill>
                </w14:textFill>
              </w:rPr>
              <w:t>数据，则本项目废试剂瓶产生量为0.03</w:t>
            </w:r>
            <w:r>
              <w:rPr>
                <w:color w:val="000000" w:themeColor="text1"/>
                <w:szCs w:val="21"/>
                <w14:textFill>
                  <w14:solidFill>
                    <w14:schemeClr w14:val="tx1"/>
                  </w14:solidFill>
                </w14:textFill>
              </w:rPr>
              <w:t>t/a</w:t>
            </w:r>
            <w:r>
              <w:rPr>
                <w:rFonts w:hint="eastAsia"/>
                <w:color w:val="000000" w:themeColor="text1"/>
                <w:szCs w:val="21"/>
                <w14:textFill>
                  <w14:solidFill>
                    <w14:schemeClr w14:val="tx1"/>
                  </w14:solidFill>
                </w14:textFill>
              </w:rPr>
              <w:t>，危废代码为</w:t>
            </w:r>
            <w:r>
              <w:rPr>
                <w:color w:val="000000" w:themeColor="text1"/>
                <w:kern w:val="0"/>
                <w:lang w:bidi="ar"/>
                <w14:textFill>
                  <w14:solidFill>
                    <w14:schemeClr w14:val="tx1"/>
                  </w14:solidFill>
                </w14:textFill>
              </w:rPr>
              <w:t>HW</w:t>
            </w:r>
            <w:r>
              <w:rPr>
                <w:rFonts w:hint="eastAsia"/>
                <w:color w:val="000000" w:themeColor="text1"/>
                <w:kern w:val="0"/>
                <w:lang w:bidi="ar"/>
                <w14:textFill>
                  <w14:solidFill>
                    <w14:schemeClr w14:val="tx1"/>
                  </w14:solidFill>
                </w14:textFill>
              </w:rPr>
              <w:t>49（</w:t>
            </w:r>
            <w:r>
              <w:rPr>
                <w:color w:val="000000" w:themeColor="text1"/>
                <w:kern w:val="0"/>
                <w:lang w:bidi="ar"/>
                <w14:textFill>
                  <w14:solidFill>
                    <w14:schemeClr w14:val="tx1"/>
                  </w14:solidFill>
                </w14:textFill>
              </w:rPr>
              <w:t>900-</w:t>
            </w:r>
            <w:r>
              <w:rPr>
                <w:rFonts w:hint="eastAsia"/>
                <w:color w:val="000000" w:themeColor="text1"/>
                <w:kern w:val="0"/>
                <w:lang w:bidi="ar"/>
                <w14:textFill>
                  <w14:solidFill>
                    <w14:schemeClr w14:val="tx1"/>
                  </w14:solidFill>
                </w14:textFill>
              </w:rPr>
              <w:t>041</w:t>
            </w: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49），采用专用带盖收集桶</w:t>
            </w:r>
            <w:r>
              <w:rPr>
                <w:rFonts w:hint="eastAsia"/>
                <w:color w:val="000000" w:themeColor="text1"/>
                <w:szCs w:val="21"/>
                <w14:textFill>
                  <w14:solidFill>
                    <w14:schemeClr w14:val="tx1"/>
                  </w14:solidFill>
                </w14:textFill>
              </w:rPr>
              <w:t>收</w:t>
            </w:r>
            <w:r>
              <w:rPr>
                <w:rFonts w:hint="eastAsia"/>
                <w:szCs w:val="21"/>
              </w:rPr>
              <w:t>集后贮存于</w:t>
            </w:r>
            <w:r>
              <w:rPr>
                <w:rFonts w:hint="eastAsia"/>
                <w:kern w:val="0"/>
                <w:lang w:bidi="ar"/>
              </w:rPr>
              <w:t>危废贮存点</w:t>
            </w:r>
            <w:r>
              <w:rPr>
                <w:rFonts w:hint="eastAsia"/>
                <w:szCs w:val="21"/>
              </w:rPr>
              <w:t>，定期交由有资质单位处置。</w:t>
            </w:r>
          </w:p>
          <w:p w14:paraId="7D0CCD31">
            <w:pPr>
              <w:tabs>
                <w:tab w:val="left" w:pos="3836"/>
              </w:tabs>
              <w:spacing w:line="360" w:lineRule="auto"/>
              <w:ind w:firstLine="480"/>
              <w:rPr>
                <w:szCs w:val="21"/>
              </w:rPr>
            </w:pPr>
            <w:r>
              <w:rPr>
                <w:rFonts w:hint="eastAsia"/>
                <w:szCs w:val="21"/>
              </w:rPr>
              <w:t>d.过期试剂</w:t>
            </w:r>
          </w:p>
          <w:p w14:paraId="72C19FF1">
            <w:pPr>
              <w:tabs>
                <w:tab w:val="left" w:pos="3836"/>
              </w:tabs>
              <w:spacing w:line="360" w:lineRule="auto"/>
              <w:ind w:firstLine="480"/>
              <w:rPr>
                <w:color w:val="000000" w:themeColor="text1"/>
                <w:szCs w:val="21"/>
                <w14:textFill>
                  <w14:solidFill>
                    <w14:schemeClr w14:val="tx1"/>
                  </w14:solidFill>
                </w14:textFill>
              </w:rPr>
            </w:pPr>
            <w:r>
              <w:rPr>
                <w:rFonts w:hint="eastAsia"/>
                <w:szCs w:val="21"/>
              </w:rPr>
              <w:t>项目运行过程中产生过期试剂，</w:t>
            </w:r>
            <w:r>
              <w:rPr>
                <w:rFonts w:hint="eastAsia"/>
                <w:color w:val="000000" w:themeColor="text1"/>
                <w:szCs w:val="21"/>
                <w14:textFill>
                  <w14:solidFill>
                    <w14:schemeClr w14:val="tx1"/>
                  </w14:solidFill>
                </w14:textFill>
              </w:rPr>
              <w:t>采用</w:t>
            </w:r>
            <w:r>
              <w:rPr>
                <w:rFonts w:hint="eastAsia"/>
                <w:color w:val="000000" w:themeColor="text1"/>
                <w:kern w:val="0"/>
                <w:lang w:bidi="ar"/>
                <w14:textFill>
                  <w14:solidFill>
                    <w14:schemeClr w14:val="tx1"/>
                  </w14:solidFill>
                </w14:textFill>
              </w:rPr>
              <w:t>专用带盖密闭收集桶</w:t>
            </w:r>
            <w:r>
              <w:rPr>
                <w:rFonts w:hint="eastAsia"/>
                <w:color w:val="000000" w:themeColor="text1"/>
                <w:szCs w:val="21"/>
                <w14:textFill>
                  <w14:solidFill>
                    <w14:schemeClr w14:val="tx1"/>
                  </w14:solidFill>
                </w14:textFill>
              </w:rPr>
              <w:t>收集后贮存于</w:t>
            </w:r>
            <w:r>
              <w:rPr>
                <w:rFonts w:hint="eastAsia"/>
                <w:color w:val="000000" w:themeColor="text1"/>
                <w:kern w:val="0"/>
                <w:lang w:bidi="ar"/>
                <w14:textFill>
                  <w14:solidFill>
                    <w14:schemeClr w14:val="tx1"/>
                  </w14:solidFill>
                </w14:textFill>
              </w:rPr>
              <w:t>危废贮存点</w:t>
            </w:r>
            <w:r>
              <w:rPr>
                <w:rFonts w:hint="eastAsia"/>
                <w:color w:val="000000" w:themeColor="text1"/>
                <w:szCs w:val="21"/>
                <w14:textFill>
                  <w14:solidFill>
                    <w14:schemeClr w14:val="tx1"/>
                  </w14:solidFill>
                </w14:textFill>
              </w:rPr>
              <w:t>，定期交由有资质单位处置。根据建设单位提供现有项目过期试剂</w:t>
            </w:r>
            <w:r>
              <w:rPr>
                <w:color w:val="000000" w:themeColor="text1"/>
                <w:szCs w:val="21"/>
                <w14:textFill>
                  <w14:solidFill>
                    <w14:schemeClr w14:val="tx1"/>
                  </w14:solidFill>
                </w14:textFill>
              </w:rPr>
              <w:t>产生量</w:t>
            </w:r>
            <w:r>
              <w:rPr>
                <w:rFonts w:hint="eastAsia"/>
                <w:color w:val="000000" w:themeColor="text1"/>
                <w:szCs w:val="21"/>
                <w14:textFill>
                  <w14:solidFill>
                    <w14:schemeClr w14:val="tx1"/>
                  </w14:solidFill>
                </w14:textFill>
              </w:rPr>
              <w:t>数据，则本项目过期试剂产生量为</w:t>
            </w:r>
            <w:r>
              <w:rPr>
                <w:color w:val="000000" w:themeColor="text1"/>
                <w:szCs w:val="21"/>
                <w14:textFill>
                  <w14:solidFill>
                    <w14:schemeClr w14:val="tx1"/>
                  </w14:solidFill>
                </w14:textFill>
              </w:rPr>
              <w:t>0.01t/a</w:t>
            </w:r>
            <w:r>
              <w:rPr>
                <w:rFonts w:hint="eastAsia"/>
                <w:color w:val="000000" w:themeColor="text1"/>
                <w:szCs w:val="21"/>
                <w14:textFill>
                  <w14:solidFill>
                    <w14:schemeClr w14:val="tx1"/>
                  </w14:solidFill>
                </w14:textFill>
              </w:rPr>
              <w:t>，危废代码为HW03（900-002-03）。</w:t>
            </w:r>
          </w:p>
          <w:p w14:paraId="09879CD8">
            <w:pPr>
              <w:tabs>
                <w:tab w:val="left" w:pos="3836"/>
              </w:tabs>
              <w:spacing w:line="360" w:lineRule="auto"/>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e.废紫外灯管</w:t>
            </w:r>
          </w:p>
          <w:p w14:paraId="0740EC0E">
            <w:pPr>
              <w:tabs>
                <w:tab w:val="left" w:pos="3836"/>
              </w:tabs>
              <w:spacing w:line="360" w:lineRule="auto"/>
              <w:ind w:firstLine="480"/>
              <w:rPr>
                <w:szCs w:val="21"/>
              </w:rPr>
            </w:pPr>
            <w:r>
              <w:rPr>
                <w:rFonts w:hint="eastAsia"/>
                <w:color w:val="000000" w:themeColor="text1"/>
                <w:szCs w:val="21"/>
                <w14:textFill>
                  <w14:solidFill>
                    <w14:schemeClr w14:val="tx1"/>
                  </w14:solidFill>
                </w14:textFill>
              </w:rPr>
              <w:t>项目微生物实验室设置紫外线灯管每天定时进行杀菌消毒，紫外线强度≥60μw/cm²，消毒效率可达到99%～99.9%。根据建设单位提供资料，紫外灯管按照使用寿命1000h进行更换，则本项目废紫外灯管</w:t>
            </w:r>
            <w:r>
              <w:rPr>
                <w:color w:val="000000" w:themeColor="text1"/>
                <w:szCs w:val="21"/>
                <w14:textFill>
                  <w14:solidFill>
                    <w14:schemeClr w14:val="tx1"/>
                  </w14:solidFill>
                </w14:textFill>
              </w:rPr>
              <w:t>产生量为0.0</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t/a，</w:t>
            </w:r>
            <w:r>
              <w:rPr>
                <w:rFonts w:hint="eastAsia"/>
                <w:color w:val="000000" w:themeColor="text1"/>
                <w:kern w:val="0"/>
                <w:lang w:bidi="ar"/>
                <w14:textFill>
                  <w14:solidFill>
                    <w14:schemeClr w14:val="tx1"/>
                  </w14:solidFill>
                </w14:textFill>
              </w:rPr>
              <w:t>危废代码为</w:t>
            </w:r>
            <w:r>
              <w:rPr>
                <w:color w:val="000000" w:themeColor="text1"/>
                <w:kern w:val="0"/>
                <w:lang w:bidi="ar"/>
                <w14:textFill>
                  <w14:solidFill>
                    <w14:schemeClr w14:val="tx1"/>
                  </w14:solidFill>
                </w14:textFill>
              </w:rPr>
              <w:t>HW</w:t>
            </w:r>
            <w:r>
              <w:rPr>
                <w:rFonts w:hint="eastAsia"/>
                <w:color w:val="000000" w:themeColor="text1"/>
                <w:kern w:val="0"/>
                <w:lang w:bidi="ar"/>
                <w14:textFill>
                  <w14:solidFill>
                    <w14:schemeClr w14:val="tx1"/>
                  </w14:solidFill>
                </w14:textFill>
              </w:rPr>
              <w:t>29（</w:t>
            </w:r>
            <w:r>
              <w:rPr>
                <w:color w:val="000000" w:themeColor="text1"/>
                <w:kern w:val="0"/>
                <w:lang w:bidi="ar"/>
                <w14:textFill>
                  <w14:solidFill>
                    <w14:schemeClr w14:val="tx1"/>
                  </w14:solidFill>
                </w14:textFill>
              </w:rPr>
              <w:t>900-</w:t>
            </w:r>
            <w:r>
              <w:rPr>
                <w:rFonts w:hint="eastAsia"/>
                <w:color w:val="000000" w:themeColor="text1"/>
                <w:kern w:val="0"/>
                <w:lang w:bidi="ar"/>
                <w14:textFill>
                  <w14:solidFill>
                    <w14:schemeClr w14:val="tx1"/>
                  </w14:solidFill>
                </w14:textFill>
              </w:rPr>
              <w:t>023</w:t>
            </w: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29）</w:t>
            </w: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采用专用收集桶</w:t>
            </w:r>
            <w:r>
              <w:rPr>
                <w:rFonts w:hint="eastAsia"/>
                <w:color w:val="000000" w:themeColor="text1"/>
                <w:szCs w:val="21"/>
                <w14:textFill>
                  <w14:solidFill>
                    <w14:schemeClr w14:val="tx1"/>
                  </w14:solidFill>
                </w14:textFill>
              </w:rPr>
              <w:t>收集后贮存</w:t>
            </w:r>
            <w:r>
              <w:rPr>
                <w:rFonts w:hint="eastAsia"/>
                <w:szCs w:val="21"/>
              </w:rPr>
              <w:t>于</w:t>
            </w:r>
            <w:r>
              <w:rPr>
                <w:rFonts w:hint="eastAsia"/>
                <w:kern w:val="0"/>
                <w:lang w:bidi="ar"/>
              </w:rPr>
              <w:t>危废贮存点</w:t>
            </w:r>
            <w:r>
              <w:rPr>
                <w:szCs w:val="21"/>
              </w:rPr>
              <w:t>，</w:t>
            </w:r>
            <w:r>
              <w:rPr>
                <w:rFonts w:hint="eastAsia"/>
                <w:szCs w:val="21"/>
              </w:rPr>
              <w:t>定期交由有资质单位处置</w:t>
            </w:r>
            <w:r>
              <w:rPr>
                <w:szCs w:val="21"/>
              </w:rPr>
              <w:t>。</w:t>
            </w:r>
          </w:p>
          <w:p w14:paraId="39191121">
            <w:pPr>
              <w:tabs>
                <w:tab w:val="left" w:pos="3836"/>
              </w:tabs>
              <w:spacing w:line="360" w:lineRule="auto"/>
              <w:ind w:firstLine="480"/>
            </w:pPr>
            <w:r>
              <w:rPr>
                <w:rFonts w:hint="eastAsia"/>
                <w:szCs w:val="21"/>
              </w:rPr>
              <w:t>f.废活性炭</w:t>
            </w:r>
          </w:p>
          <w:p w14:paraId="2106DEE5">
            <w:pPr>
              <w:tabs>
                <w:tab w:val="left" w:pos="3836"/>
              </w:tabs>
              <w:spacing w:line="360" w:lineRule="auto"/>
              <w:ind w:firstLine="480"/>
            </w:pPr>
            <w:r>
              <w:rPr>
                <w:rFonts w:hint="eastAsia"/>
              </w:rPr>
              <w:t>项目活性炭吸附装置定期更换活性炭产生废活性炭，活性炭吸附箱填充量为0.5t，预计废</w:t>
            </w:r>
            <w:r>
              <w:t>活性炭</w:t>
            </w:r>
            <w:r>
              <w:rPr>
                <w:rFonts w:hint="eastAsia"/>
              </w:rPr>
              <w:t>产生量为2t</w:t>
            </w:r>
            <w:r>
              <w:t>/a</w:t>
            </w:r>
            <w:r>
              <w:rPr>
                <w:rFonts w:hint="eastAsia"/>
              </w:rPr>
              <w:t>，</w:t>
            </w:r>
            <w:r>
              <w:t>危废代码为</w:t>
            </w:r>
            <w:r>
              <w:rPr>
                <w:rFonts w:hint="eastAsia"/>
              </w:rPr>
              <w:t>HW49（900-039-49）</w:t>
            </w:r>
            <w:r>
              <w:t>，</w:t>
            </w:r>
            <w:r>
              <w:rPr>
                <w:rFonts w:hint="eastAsia"/>
                <w:szCs w:val="21"/>
              </w:rPr>
              <w:t>采用</w:t>
            </w:r>
            <w:r>
              <w:rPr>
                <w:rFonts w:hint="eastAsia"/>
                <w:color w:val="000000" w:themeColor="text1"/>
                <w:kern w:val="0"/>
                <w:lang w:bidi="ar"/>
                <w14:textFill>
                  <w14:solidFill>
                    <w14:schemeClr w14:val="tx1"/>
                  </w14:solidFill>
                </w14:textFill>
              </w:rPr>
              <w:t>专用带盖密闭收集桶</w:t>
            </w:r>
            <w:r>
              <w:rPr>
                <w:rFonts w:hint="eastAsia"/>
                <w:color w:val="000000" w:themeColor="text1"/>
                <w14:textFill>
                  <w14:solidFill>
                    <w14:schemeClr w14:val="tx1"/>
                  </w14:solidFill>
                </w14:textFill>
              </w:rPr>
              <w:t>收</w:t>
            </w:r>
            <w:r>
              <w:rPr>
                <w:rFonts w:hint="eastAsia"/>
              </w:rPr>
              <w:t>集后</w:t>
            </w:r>
            <w:r>
              <w:rPr>
                <w:rFonts w:hint="eastAsia"/>
                <w:szCs w:val="21"/>
              </w:rPr>
              <w:t>贮存</w:t>
            </w:r>
            <w:r>
              <w:rPr>
                <w:rFonts w:hint="eastAsia"/>
              </w:rPr>
              <w:t>于危废贮存点，定期交由有资质单位处置。</w:t>
            </w:r>
          </w:p>
          <w:p w14:paraId="659B8F8D">
            <w:pPr>
              <w:tabs>
                <w:tab w:val="left" w:pos="3836"/>
              </w:tabs>
              <w:spacing w:line="360" w:lineRule="auto"/>
              <w:ind w:firstLine="480"/>
            </w:pPr>
            <w:r>
              <w:rPr>
                <w:rFonts w:hint="eastAsia"/>
              </w:rPr>
              <w:t>本项目固体废物产生环节、名称、属性详见表4-18。</w:t>
            </w:r>
          </w:p>
          <w:p w14:paraId="6057DC8C">
            <w:pPr>
              <w:tabs>
                <w:tab w:val="left" w:pos="3836"/>
              </w:tabs>
              <w:jc w:val="center"/>
              <w:rPr>
                <w:b/>
                <w:bCs/>
                <w:sz w:val="21"/>
                <w:szCs w:val="18"/>
              </w:rPr>
            </w:pPr>
            <w:r>
              <w:rPr>
                <w:b/>
                <w:bCs/>
                <w:sz w:val="21"/>
                <w:szCs w:val="18"/>
              </w:rPr>
              <w:t>表4-1</w:t>
            </w:r>
            <w:r>
              <w:rPr>
                <w:rFonts w:hint="eastAsia"/>
                <w:b/>
                <w:bCs/>
                <w:sz w:val="21"/>
                <w:szCs w:val="18"/>
              </w:rPr>
              <w:t>8</w:t>
            </w:r>
            <w:r>
              <w:rPr>
                <w:b/>
                <w:bCs/>
                <w:sz w:val="21"/>
                <w:szCs w:val="18"/>
              </w:rPr>
              <w:t xml:space="preserve">  项目固体废物</w:t>
            </w:r>
            <w:r>
              <w:rPr>
                <w:rFonts w:hint="eastAsia"/>
                <w:b/>
                <w:bCs/>
                <w:sz w:val="21"/>
                <w:szCs w:val="18"/>
              </w:rPr>
              <w:t>性质判断及</w:t>
            </w:r>
            <w:r>
              <w:rPr>
                <w:b/>
                <w:bCs/>
                <w:sz w:val="21"/>
                <w:szCs w:val="18"/>
              </w:rPr>
              <w:t>处置</w:t>
            </w:r>
            <w:r>
              <w:rPr>
                <w:rFonts w:hint="eastAsia"/>
                <w:b/>
                <w:bCs/>
                <w:sz w:val="21"/>
                <w:szCs w:val="18"/>
              </w:rPr>
              <w:t>措施</w:t>
            </w:r>
            <w:r>
              <w:rPr>
                <w:b/>
                <w:bCs/>
                <w:sz w:val="21"/>
                <w:szCs w:val="18"/>
              </w:rPr>
              <w:t>一览表</w:t>
            </w:r>
          </w:p>
          <w:tbl>
            <w:tblPr>
              <w:tblStyle w:val="22"/>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528"/>
              <w:gridCol w:w="1109"/>
              <w:gridCol w:w="724"/>
              <w:gridCol w:w="1317"/>
              <w:gridCol w:w="1000"/>
              <w:gridCol w:w="587"/>
              <w:gridCol w:w="889"/>
              <w:gridCol w:w="1927"/>
            </w:tblGrid>
            <w:tr w14:paraId="571D3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1E056757">
                  <w:pPr>
                    <w:pStyle w:val="61"/>
                    <w:snapToGrid/>
                    <w:rPr>
                      <w:b/>
                      <w:bCs/>
                      <w:sz w:val="21"/>
                      <w:szCs w:val="21"/>
                    </w:rPr>
                  </w:pPr>
                  <w:r>
                    <w:rPr>
                      <w:b/>
                      <w:bCs/>
                      <w:sz w:val="21"/>
                      <w:szCs w:val="21"/>
                    </w:rPr>
                    <w:t>序号</w:t>
                  </w:r>
                </w:p>
              </w:tc>
              <w:tc>
                <w:tcPr>
                  <w:tcW w:w="685" w:type="pct"/>
                  <w:vAlign w:val="center"/>
                </w:tcPr>
                <w:p w14:paraId="08C6B495">
                  <w:pPr>
                    <w:pStyle w:val="61"/>
                    <w:snapToGrid/>
                    <w:rPr>
                      <w:b/>
                      <w:bCs/>
                      <w:sz w:val="21"/>
                      <w:szCs w:val="21"/>
                    </w:rPr>
                  </w:pPr>
                  <w:r>
                    <w:rPr>
                      <w:b/>
                      <w:bCs/>
                      <w:sz w:val="21"/>
                      <w:szCs w:val="21"/>
                    </w:rPr>
                    <w:t>名称</w:t>
                  </w:r>
                </w:p>
              </w:tc>
              <w:tc>
                <w:tcPr>
                  <w:tcW w:w="448" w:type="pct"/>
                  <w:vAlign w:val="center"/>
                </w:tcPr>
                <w:p w14:paraId="0FCA64E1">
                  <w:pPr>
                    <w:pStyle w:val="40"/>
                    <w:jc w:val="center"/>
                    <w:rPr>
                      <w:rFonts w:cs="Times New Roman"/>
                      <w:b/>
                      <w:bCs/>
                      <w:color w:val="auto"/>
                      <w:sz w:val="21"/>
                      <w:szCs w:val="21"/>
                    </w:rPr>
                  </w:pPr>
                  <w:r>
                    <w:rPr>
                      <w:rFonts w:cs="Times New Roman"/>
                      <w:b/>
                      <w:bCs/>
                      <w:color w:val="auto"/>
                      <w:sz w:val="21"/>
                      <w:szCs w:val="21"/>
                    </w:rPr>
                    <w:t>产生</w:t>
                  </w:r>
                </w:p>
                <w:p w14:paraId="1FB5C79F">
                  <w:pPr>
                    <w:pStyle w:val="40"/>
                    <w:jc w:val="center"/>
                    <w:rPr>
                      <w:rFonts w:cs="Times New Roman"/>
                      <w:b/>
                      <w:bCs/>
                      <w:color w:val="auto"/>
                      <w:sz w:val="21"/>
                      <w:szCs w:val="21"/>
                    </w:rPr>
                  </w:pPr>
                  <w:r>
                    <w:rPr>
                      <w:rFonts w:cs="Times New Roman"/>
                      <w:b/>
                      <w:bCs/>
                      <w:color w:val="auto"/>
                      <w:sz w:val="21"/>
                      <w:szCs w:val="21"/>
                    </w:rPr>
                    <w:t>环节</w:t>
                  </w:r>
                </w:p>
              </w:tc>
              <w:tc>
                <w:tcPr>
                  <w:tcW w:w="814" w:type="pct"/>
                  <w:vAlign w:val="center"/>
                </w:tcPr>
                <w:p w14:paraId="486F9B65">
                  <w:pPr>
                    <w:pStyle w:val="61"/>
                    <w:snapToGrid/>
                    <w:rPr>
                      <w:b/>
                      <w:bCs/>
                      <w:kern w:val="0"/>
                      <w:sz w:val="21"/>
                      <w:szCs w:val="21"/>
                    </w:rPr>
                  </w:pPr>
                  <w:r>
                    <w:rPr>
                      <w:b/>
                      <w:bCs/>
                      <w:sz w:val="21"/>
                      <w:szCs w:val="21"/>
                    </w:rPr>
                    <w:t>废物代码</w:t>
                  </w:r>
                </w:p>
              </w:tc>
              <w:tc>
                <w:tcPr>
                  <w:tcW w:w="619" w:type="pct"/>
                  <w:vAlign w:val="center"/>
                </w:tcPr>
                <w:p w14:paraId="57EC40CB">
                  <w:pPr>
                    <w:pStyle w:val="61"/>
                    <w:snapToGrid/>
                    <w:rPr>
                      <w:b/>
                      <w:bCs/>
                      <w:kern w:val="0"/>
                      <w:sz w:val="21"/>
                      <w:szCs w:val="21"/>
                    </w:rPr>
                  </w:pPr>
                  <w:r>
                    <w:rPr>
                      <w:b/>
                      <w:bCs/>
                      <w:kern w:val="0"/>
                      <w:sz w:val="21"/>
                      <w:szCs w:val="21"/>
                    </w:rPr>
                    <w:t>固体废物性质</w:t>
                  </w:r>
                </w:p>
              </w:tc>
              <w:tc>
                <w:tcPr>
                  <w:tcW w:w="363" w:type="pct"/>
                  <w:vAlign w:val="center"/>
                </w:tcPr>
                <w:p w14:paraId="1ABF3D91">
                  <w:pPr>
                    <w:pStyle w:val="61"/>
                    <w:snapToGrid/>
                    <w:rPr>
                      <w:b/>
                      <w:bCs/>
                      <w:sz w:val="21"/>
                      <w:szCs w:val="21"/>
                    </w:rPr>
                  </w:pPr>
                  <w:r>
                    <w:rPr>
                      <w:b/>
                      <w:bCs/>
                      <w:kern w:val="0"/>
                      <w:sz w:val="21"/>
                      <w:szCs w:val="21"/>
                    </w:rPr>
                    <w:t>物理性状</w:t>
                  </w:r>
                </w:p>
              </w:tc>
              <w:tc>
                <w:tcPr>
                  <w:tcW w:w="550" w:type="pct"/>
                  <w:vAlign w:val="center"/>
                </w:tcPr>
                <w:p w14:paraId="6E9B9721">
                  <w:pPr>
                    <w:pStyle w:val="61"/>
                    <w:snapToGrid/>
                    <w:rPr>
                      <w:b/>
                      <w:bCs/>
                      <w:sz w:val="21"/>
                      <w:szCs w:val="21"/>
                    </w:rPr>
                  </w:pPr>
                  <w:r>
                    <w:rPr>
                      <w:b/>
                      <w:bCs/>
                      <w:sz w:val="21"/>
                      <w:szCs w:val="21"/>
                    </w:rPr>
                    <w:t>产生量（t/a）</w:t>
                  </w:r>
                </w:p>
              </w:tc>
              <w:tc>
                <w:tcPr>
                  <w:tcW w:w="1191" w:type="pct"/>
                  <w:vAlign w:val="center"/>
                </w:tcPr>
                <w:p w14:paraId="26488C27">
                  <w:pPr>
                    <w:pStyle w:val="61"/>
                    <w:snapToGrid/>
                    <w:rPr>
                      <w:b/>
                      <w:bCs/>
                      <w:sz w:val="21"/>
                      <w:szCs w:val="21"/>
                    </w:rPr>
                  </w:pPr>
                  <w:r>
                    <w:rPr>
                      <w:b/>
                      <w:bCs/>
                      <w:sz w:val="21"/>
                      <w:szCs w:val="21"/>
                    </w:rPr>
                    <w:t>处置措施</w:t>
                  </w:r>
                </w:p>
              </w:tc>
            </w:tr>
            <w:tr w14:paraId="58642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1C696745">
                  <w:pPr>
                    <w:pStyle w:val="61"/>
                    <w:snapToGrid/>
                    <w:rPr>
                      <w:sz w:val="21"/>
                      <w:szCs w:val="21"/>
                    </w:rPr>
                  </w:pPr>
                  <w:r>
                    <w:rPr>
                      <w:rFonts w:hint="eastAsia"/>
                      <w:sz w:val="21"/>
                      <w:szCs w:val="21"/>
                    </w:rPr>
                    <w:t>1</w:t>
                  </w:r>
                </w:p>
              </w:tc>
              <w:tc>
                <w:tcPr>
                  <w:tcW w:w="685" w:type="pct"/>
                  <w:vAlign w:val="center"/>
                </w:tcPr>
                <w:p w14:paraId="02986C14">
                  <w:pPr>
                    <w:pStyle w:val="61"/>
                    <w:snapToGrid/>
                    <w:rPr>
                      <w:sz w:val="21"/>
                      <w:szCs w:val="21"/>
                    </w:rPr>
                  </w:pPr>
                  <w:r>
                    <w:rPr>
                      <w:rFonts w:hint="eastAsia"/>
                      <w:sz w:val="21"/>
                      <w:szCs w:val="21"/>
                    </w:rPr>
                    <w:t>生活垃圾</w:t>
                  </w:r>
                </w:p>
              </w:tc>
              <w:tc>
                <w:tcPr>
                  <w:tcW w:w="448" w:type="pct"/>
                  <w:vAlign w:val="center"/>
                </w:tcPr>
                <w:p w14:paraId="22A079E7">
                  <w:pPr>
                    <w:pStyle w:val="40"/>
                    <w:jc w:val="center"/>
                    <w:rPr>
                      <w:rFonts w:cs="Times New Roman"/>
                      <w:color w:val="auto"/>
                      <w:sz w:val="21"/>
                      <w:szCs w:val="21"/>
                    </w:rPr>
                  </w:pPr>
                  <w:r>
                    <w:rPr>
                      <w:rFonts w:hint="eastAsia" w:cs="Times New Roman"/>
                      <w:color w:val="auto"/>
                      <w:sz w:val="21"/>
                      <w:szCs w:val="21"/>
                    </w:rPr>
                    <w:t>办公</w:t>
                  </w:r>
                </w:p>
                <w:p w14:paraId="1D329091">
                  <w:pPr>
                    <w:pStyle w:val="40"/>
                    <w:jc w:val="center"/>
                    <w:rPr>
                      <w:rFonts w:cs="Times New Roman"/>
                      <w:color w:val="auto"/>
                      <w:sz w:val="21"/>
                      <w:szCs w:val="21"/>
                    </w:rPr>
                  </w:pPr>
                  <w:r>
                    <w:rPr>
                      <w:rFonts w:hint="eastAsia" w:cs="Times New Roman"/>
                      <w:color w:val="auto"/>
                      <w:sz w:val="21"/>
                      <w:szCs w:val="21"/>
                    </w:rPr>
                    <w:t>生活</w:t>
                  </w:r>
                </w:p>
              </w:tc>
              <w:tc>
                <w:tcPr>
                  <w:tcW w:w="814" w:type="pct"/>
                  <w:vAlign w:val="center"/>
                </w:tcPr>
                <w:p w14:paraId="15B8A3BB">
                  <w:pPr>
                    <w:pStyle w:val="61"/>
                    <w:snapToGrid/>
                    <w:rPr>
                      <w:sz w:val="21"/>
                      <w:szCs w:val="21"/>
                    </w:rPr>
                  </w:pPr>
                  <w:r>
                    <w:rPr>
                      <w:rFonts w:hint="eastAsia"/>
                      <w:sz w:val="21"/>
                      <w:szCs w:val="21"/>
                    </w:rPr>
                    <w:t>900-001-S62900-099-S64</w:t>
                  </w:r>
                </w:p>
              </w:tc>
              <w:tc>
                <w:tcPr>
                  <w:tcW w:w="619" w:type="pct"/>
                  <w:vAlign w:val="center"/>
                </w:tcPr>
                <w:p w14:paraId="48626852">
                  <w:pPr>
                    <w:pStyle w:val="61"/>
                    <w:snapToGrid/>
                    <w:rPr>
                      <w:kern w:val="0"/>
                      <w:sz w:val="21"/>
                      <w:szCs w:val="21"/>
                    </w:rPr>
                  </w:pPr>
                  <w:r>
                    <w:rPr>
                      <w:rFonts w:hint="eastAsia"/>
                      <w:kern w:val="0"/>
                      <w:sz w:val="21"/>
                      <w:szCs w:val="21"/>
                    </w:rPr>
                    <w:t>/</w:t>
                  </w:r>
                </w:p>
              </w:tc>
              <w:tc>
                <w:tcPr>
                  <w:tcW w:w="363" w:type="pct"/>
                  <w:vAlign w:val="center"/>
                </w:tcPr>
                <w:p w14:paraId="6DE4B9DC">
                  <w:pPr>
                    <w:pStyle w:val="61"/>
                    <w:snapToGrid/>
                    <w:jc w:val="both"/>
                    <w:rPr>
                      <w:kern w:val="0"/>
                      <w:sz w:val="21"/>
                      <w:szCs w:val="21"/>
                    </w:rPr>
                  </w:pPr>
                  <w:r>
                    <w:rPr>
                      <w:rFonts w:hint="eastAsia"/>
                      <w:kern w:val="0"/>
                      <w:sz w:val="21"/>
                      <w:szCs w:val="21"/>
                    </w:rPr>
                    <w:t>固态</w:t>
                  </w:r>
                </w:p>
              </w:tc>
              <w:tc>
                <w:tcPr>
                  <w:tcW w:w="550" w:type="pct"/>
                  <w:vAlign w:val="center"/>
                </w:tcPr>
                <w:p w14:paraId="72310490">
                  <w:pPr>
                    <w:pStyle w:val="61"/>
                    <w:snapToGrid/>
                    <w:rPr>
                      <w:sz w:val="21"/>
                      <w:szCs w:val="21"/>
                    </w:rPr>
                  </w:pPr>
                  <w:r>
                    <w:rPr>
                      <w:rFonts w:hint="eastAsia"/>
                      <w:sz w:val="21"/>
                      <w:szCs w:val="21"/>
                    </w:rPr>
                    <w:t>10.95</w:t>
                  </w:r>
                </w:p>
              </w:tc>
              <w:tc>
                <w:tcPr>
                  <w:tcW w:w="1191" w:type="pct"/>
                  <w:vAlign w:val="center"/>
                </w:tcPr>
                <w:p w14:paraId="36101A50">
                  <w:pPr>
                    <w:pStyle w:val="61"/>
                    <w:snapToGrid/>
                    <w:rPr>
                      <w:sz w:val="21"/>
                      <w:szCs w:val="21"/>
                    </w:rPr>
                  </w:pPr>
                  <w:r>
                    <w:rPr>
                      <w:rFonts w:hint="eastAsia" w:eastAsiaTheme="minorEastAsia"/>
                      <w:sz w:val="21"/>
                      <w:szCs w:val="21"/>
                    </w:rPr>
                    <w:t>分类收集，交由</w:t>
                  </w:r>
                  <w:r>
                    <w:rPr>
                      <w:rFonts w:eastAsiaTheme="minorEastAsia"/>
                      <w:sz w:val="21"/>
                      <w:szCs w:val="21"/>
                    </w:rPr>
                    <w:t>环卫部门</w:t>
                  </w:r>
                  <w:r>
                    <w:rPr>
                      <w:rFonts w:hint="eastAsia" w:eastAsiaTheme="minorEastAsia"/>
                      <w:sz w:val="21"/>
                      <w:szCs w:val="21"/>
                    </w:rPr>
                    <w:t>统一</w:t>
                  </w:r>
                  <w:r>
                    <w:rPr>
                      <w:rFonts w:eastAsiaTheme="minorEastAsia"/>
                      <w:sz w:val="21"/>
                      <w:szCs w:val="21"/>
                    </w:rPr>
                    <w:t>清运</w:t>
                  </w:r>
                </w:p>
              </w:tc>
            </w:tr>
            <w:tr w14:paraId="21592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2F43B1DA">
                  <w:pPr>
                    <w:pStyle w:val="61"/>
                    <w:snapToGrid/>
                    <w:rPr>
                      <w:sz w:val="21"/>
                      <w:szCs w:val="21"/>
                    </w:rPr>
                  </w:pPr>
                  <w:r>
                    <w:rPr>
                      <w:rFonts w:hint="eastAsia"/>
                      <w:sz w:val="21"/>
                      <w:szCs w:val="21"/>
                    </w:rPr>
                    <w:t>2</w:t>
                  </w:r>
                </w:p>
              </w:tc>
              <w:tc>
                <w:tcPr>
                  <w:tcW w:w="685" w:type="pct"/>
                  <w:vAlign w:val="center"/>
                </w:tcPr>
                <w:p w14:paraId="6F7762FB">
                  <w:pPr>
                    <w:pStyle w:val="52"/>
                    <w:autoSpaceDE w:val="0"/>
                    <w:autoSpaceDN w:val="0"/>
                    <w:rPr>
                      <w:b w:val="0"/>
                      <w:color w:val="auto"/>
                      <w:sz w:val="21"/>
                      <w:szCs w:val="21"/>
                    </w:rPr>
                  </w:pPr>
                  <w:r>
                    <w:rPr>
                      <w:rFonts w:hint="eastAsia"/>
                      <w:b w:val="0"/>
                      <w:color w:val="auto"/>
                      <w:sz w:val="21"/>
                      <w:szCs w:val="21"/>
                    </w:rPr>
                    <w:t>废滤芯</w:t>
                  </w:r>
                </w:p>
              </w:tc>
              <w:tc>
                <w:tcPr>
                  <w:tcW w:w="448" w:type="pct"/>
                  <w:vAlign w:val="center"/>
                </w:tcPr>
                <w:p w14:paraId="6CDA5E5F">
                  <w:pPr>
                    <w:pStyle w:val="60"/>
                    <w:jc w:val="center"/>
                    <w:rPr>
                      <w:rFonts w:ascii="Times New Roman" w:hAnsi="Times New Roman" w:cs="Times New Roman"/>
                      <w:sz w:val="21"/>
                      <w:szCs w:val="21"/>
                      <w:lang w:val="en-US"/>
                    </w:rPr>
                  </w:pPr>
                  <w:r>
                    <w:rPr>
                      <w:rFonts w:hint="eastAsia" w:ascii="Times New Roman" w:hAnsi="Times New Roman" w:cs="Times New Roman"/>
                      <w:sz w:val="21"/>
                      <w:szCs w:val="21"/>
                      <w:lang w:val="en-US"/>
                    </w:rPr>
                    <w:t>超纯水制备</w:t>
                  </w:r>
                </w:p>
              </w:tc>
              <w:tc>
                <w:tcPr>
                  <w:tcW w:w="814" w:type="pct"/>
                  <w:vAlign w:val="center"/>
                </w:tcPr>
                <w:p w14:paraId="54BB02EA">
                  <w:pPr>
                    <w:jc w:val="center"/>
                    <w:rPr>
                      <w:kern w:val="0"/>
                      <w:lang w:bidi="ar"/>
                    </w:rPr>
                  </w:pPr>
                  <w:r>
                    <w:rPr>
                      <w:rFonts w:hint="eastAsia"/>
                      <w:sz w:val="21"/>
                      <w:szCs w:val="21"/>
                    </w:rPr>
                    <w:t>900-099-S59</w:t>
                  </w:r>
                </w:p>
              </w:tc>
              <w:tc>
                <w:tcPr>
                  <w:tcW w:w="619" w:type="pct"/>
                  <w:vAlign w:val="center"/>
                </w:tcPr>
                <w:p w14:paraId="784E0A37">
                  <w:pPr>
                    <w:jc w:val="center"/>
                    <w:rPr>
                      <w:sz w:val="21"/>
                      <w:szCs w:val="21"/>
                    </w:rPr>
                  </w:pPr>
                  <w:r>
                    <w:rPr>
                      <w:sz w:val="21"/>
                      <w:szCs w:val="21"/>
                    </w:rPr>
                    <w:t>一般</w:t>
                  </w:r>
                </w:p>
                <w:p w14:paraId="6EE505C5">
                  <w:pPr>
                    <w:jc w:val="center"/>
                    <w:rPr>
                      <w:sz w:val="21"/>
                      <w:szCs w:val="21"/>
                    </w:rPr>
                  </w:pPr>
                  <w:r>
                    <w:rPr>
                      <w:sz w:val="21"/>
                      <w:szCs w:val="21"/>
                    </w:rPr>
                    <w:t>固废</w:t>
                  </w:r>
                </w:p>
              </w:tc>
              <w:tc>
                <w:tcPr>
                  <w:tcW w:w="363" w:type="pct"/>
                  <w:vAlign w:val="center"/>
                </w:tcPr>
                <w:p w14:paraId="1FE04135">
                  <w:pPr>
                    <w:jc w:val="center"/>
                    <w:rPr>
                      <w:sz w:val="21"/>
                      <w:szCs w:val="21"/>
                    </w:rPr>
                  </w:pPr>
                  <w:r>
                    <w:rPr>
                      <w:sz w:val="21"/>
                      <w:szCs w:val="21"/>
                    </w:rPr>
                    <w:t>固态</w:t>
                  </w:r>
                </w:p>
              </w:tc>
              <w:tc>
                <w:tcPr>
                  <w:tcW w:w="550" w:type="pct"/>
                  <w:vAlign w:val="center"/>
                </w:tcPr>
                <w:p w14:paraId="5C1849A9">
                  <w:pPr>
                    <w:pStyle w:val="52"/>
                    <w:rPr>
                      <w:b w:val="0"/>
                      <w:color w:val="auto"/>
                      <w:sz w:val="21"/>
                      <w:szCs w:val="21"/>
                    </w:rPr>
                  </w:pPr>
                  <w:r>
                    <w:rPr>
                      <w:rFonts w:hint="eastAsia"/>
                      <w:b w:val="0"/>
                      <w:color w:val="auto"/>
                      <w:sz w:val="21"/>
                      <w:szCs w:val="21"/>
                    </w:rPr>
                    <w:t>0.02</w:t>
                  </w:r>
                </w:p>
              </w:tc>
              <w:tc>
                <w:tcPr>
                  <w:tcW w:w="1191" w:type="pct"/>
                  <w:vAlign w:val="center"/>
                </w:tcPr>
                <w:p w14:paraId="4536D898">
                  <w:pPr>
                    <w:pStyle w:val="40"/>
                    <w:jc w:val="center"/>
                    <w:rPr>
                      <w:rFonts w:cs="Times New Roman"/>
                      <w:color w:val="auto"/>
                      <w:sz w:val="21"/>
                      <w:szCs w:val="21"/>
                    </w:rPr>
                  </w:pPr>
                  <w:r>
                    <w:rPr>
                      <w:rFonts w:hint="eastAsia" w:cs="Times New Roman"/>
                      <w:color w:val="auto"/>
                      <w:sz w:val="21"/>
                      <w:szCs w:val="21"/>
                    </w:rPr>
                    <w:t>厂家回收</w:t>
                  </w:r>
                </w:p>
              </w:tc>
            </w:tr>
            <w:tr w14:paraId="076A8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50DD8203">
                  <w:pPr>
                    <w:pStyle w:val="61"/>
                    <w:snapToGrid/>
                    <w:rPr>
                      <w:sz w:val="21"/>
                      <w:szCs w:val="21"/>
                    </w:rPr>
                  </w:pPr>
                  <w:r>
                    <w:rPr>
                      <w:rFonts w:hint="eastAsia"/>
                      <w:sz w:val="21"/>
                      <w:szCs w:val="21"/>
                    </w:rPr>
                    <w:t>3</w:t>
                  </w:r>
                </w:p>
              </w:tc>
              <w:tc>
                <w:tcPr>
                  <w:tcW w:w="685" w:type="pct"/>
                  <w:vAlign w:val="center"/>
                </w:tcPr>
                <w:p w14:paraId="486E6A8E">
                  <w:pPr>
                    <w:pStyle w:val="52"/>
                    <w:autoSpaceDE w:val="0"/>
                    <w:autoSpaceDN w:val="0"/>
                    <w:rPr>
                      <w:b w:val="0"/>
                      <w:color w:val="auto"/>
                      <w:sz w:val="21"/>
                      <w:szCs w:val="21"/>
                    </w:rPr>
                  </w:pPr>
                  <w:r>
                    <w:rPr>
                      <w:b w:val="0"/>
                      <w:color w:val="auto"/>
                      <w:sz w:val="21"/>
                      <w:szCs w:val="21"/>
                    </w:rPr>
                    <w:t>废包装</w:t>
                  </w:r>
                </w:p>
              </w:tc>
              <w:tc>
                <w:tcPr>
                  <w:tcW w:w="448" w:type="pct"/>
                  <w:vMerge w:val="restart"/>
                  <w:vAlign w:val="center"/>
                </w:tcPr>
                <w:p w14:paraId="050477A4">
                  <w:pPr>
                    <w:pStyle w:val="60"/>
                    <w:jc w:val="center"/>
                    <w:rPr>
                      <w:rFonts w:ascii="Times New Roman" w:hAnsi="Times New Roman" w:cs="Times New Roman"/>
                      <w:sz w:val="21"/>
                      <w:szCs w:val="21"/>
                      <w:lang w:val="en-US"/>
                    </w:rPr>
                  </w:pPr>
                  <w:r>
                    <w:rPr>
                      <w:rFonts w:hint="eastAsia" w:ascii="Times New Roman" w:hAnsi="Times New Roman" w:cs="Times New Roman"/>
                      <w:sz w:val="21"/>
                      <w:szCs w:val="21"/>
                      <w:lang w:val="en-US"/>
                    </w:rPr>
                    <w:t>实验</w:t>
                  </w:r>
                </w:p>
                <w:p w14:paraId="55E9C0CD">
                  <w:pPr>
                    <w:pStyle w:val="60"/>
                    <w:jc w:val="center"/>
                    <w:rPr>
                      <w:rFonts w:ascii="Times New Roman" w:hAnsi="Times New Roman" w:cs="Times New Roman"/>
                      <w:sz w:val="21"/>
                      <w:szCs w:val="21"/>
                      <w:lang w:val="en-US"/>
                    </w:rPr>
                  </w:pPr>
                  <w:r>
                    <w:rPr>
                      <w:rFonts w:hint="eastAsia" w:ascii="Times New Roman" w:hAnsi="Times New Roman" w:cs="Times New Roman"/>
                      <w:sz w:val="21"/>
                      <w:szCs w:val="21"/>
                      <w:lang w:val="en-US"/>
                    </w:rPr>
                    <w:t>检验</w:t>
                  </w:r>
                </w:p>
              </w:tc>
              <w:tc>
                <w:tcPr>
                  <w:tcW w:w="814" w:type="pct"/>
                  <w:vAlign w:val="center"/>
                </w:tcPr>
                <w:p w14:paraId="6CC8C2A2">
                  <w:pPr>
                    <w:jc w:val="center"/>
                    <w:rPr>
                      <w:sz w:val="21"/>
                      <w:szCs w:val="21"/>
                    </w:rPr>
                  </w:pPr>
                  <w:r>
                    <w:rPr>
                      <w:rFonts w:hint="eastAsia"/>
                      <w:sz w:val="21"/>
                      <w:szCs w:val="21"/>
                    </w:rPr>
                    <w:t>900-005-S17</w:t>
                  </w:r>
                </w:p>
              </w:tc>
              <w:tc>
                <w:tcPr>
                  <w:tcW w:w="619" w:type="pct"/>
                  <w:vAlign w:val="center"/>
                </w:tcPr>
                <w:p w14:paraId="2A135C4D">
                  <w:pPr>
                    <w:jc w:val="center"/>
                    <w:rPr>
                      <w:sz w:val="21"/>
                      <w:szCs w:val="21"/>
                    </w:rPr>
                  </w:pPr>
                  <w:r>
                    <w:rPr>
                      <w:sz w:val="21"/>
                      <w:szCs w:val="21"/>
                    </w:rPr>
                    <w:t>一般</w:t>
                  </w:r>
                </w:p>
                <w:p w14:paraId="5A59B6B6">
                  <w:pPr>
                    <w:jc w:val="center"/>
                    <w:rPr>
                      <w:sz w:val="21"/>
                      <w:szCs w:val="21"/>
                    </w:rPr>
                  </w:pPr>
                  <w:r>
                    <w:rPr>
                      <w:sz w:val="21"/>
                      <w:szCs w:val="21"/>
                    </w:rPr>
                    <w:t>固废</w:t>
                  </w:r>
                </w:p>
              </w:tc>
              <w:tc>
                <w:tcPr>
                  <w:tcW w:w="363" w:type="pct"/>
                  <w:vAlign w:val="center"/>
                </w:tcPr>
                <w:p w14:paraId="37DEE5B8">
                  <w:pPr>
                    <w:jc w:val="center"/>
                    <w:rPr>
                      <w:sz w:val="21"/>
                      <w:szCs w:val="21"/>
                    </w:rPr>
                  </w:pPr>
                  <w:r>
                    <w:rPr>
                      <w:sz w:val="21"/>
                      <w:szCs w:val="21"/>
                    </w:rPr>
                    <w:t>固态</w:t>
                  </w:r>
                </w:p>
              </w:tc>
              <w:tc>
                <w:tcPr>
                  <w:tcW w:w="550" w:type="pct"/>
                  <w:vAlign w:val="center"/>
                </w:tcPr>
                <w:p w14:paraId="27271B75">
                  <w:pPr>
                    <w:pStyle w:val="52"/>
                    <w:rPr>
                      <w:b w:val="0"/>
                      <w:color w:val="auto"/>
                      <w:sz w:val="21"/>
                      <w:szCs w:val="21"/>
                    </w:rPr>
                  </w:pPr>
                  <w:r>
                    <w:rPr>
                      <w:rFonts w:hint="eastAsia"/>
                      <w:b w:val="0"/>
                      <w:color w:val="auto"/>
                      <w:sz w:val="21"/>
                      <w:szCs w:val="21"/>
                    </w:rPr>
                    <w:t>0.05</w:t>
                  </w:r>
                </w:p>
              </w:tc>
              <w:tc>
                <w:tcPr>
                  <w:tcW w:w="1191" w:type="pct"/>
                  <w:vAlign w:val="center"/>
                </w:tcPr>
                <w:p w14:paraId="2AF91DA4">
                  <w:pPr>
                    <w:pStyle w:val="40"/>
                    <w:jc w:val="center"/>
                    <w:rPr>
                      <w:rFonts w:cs="Times New Roman"/>
                      <w:color w:val="auto"/>
                      <w:sz w:val="21"/>
                      <w:szCs w:val="21"/>
                    </w:rPr>
                  </w:pPr>
                  <w:r>
                    <w:rPr>
                      <w:rFonts w:cs="Times New Roman"/>
                      <w:color w:val="auto"/>
                      <w:sz w:val="21"/>
                      <w:szCs w:val="21"/>
                    </w:rPr>
                    <w:t>收集后外售相关单位回收利用</w:t>
                  </w:r>
                </w:p>
              </w:tc>
            </w:tr>
            <w:tr w14:paraId="2FEF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486E1E81">
                  <w:pPr>
                    <w:pStyle w:val="61"/>
                    <w:snapToGrid/>
                    <w:rPr>
                      <w:sz w:val="21"/>
                      <w:szCs w:val="21"/>
                    </w:rPr>
                  </w:pPr>
                  <w:r>
                    <w:rPr>
                      <w:rFonts w:hint="eastAsia"/>
                      <w:sz w:val="21"/>
                      <w:szCs w:val="21"/>
                    </w:rPr>
                    <w:t>4</w:t>
                  </w:r>
                </w:p>
              </w:tc>
              <w:tc>
                <w:tcPr>
                  <w:tcW w:w="685" w:type="pct"/>
                  <w:vAlign w:val="center"/>
                </w:tcPr>
                <w:p w14:paraId="40BC9D81">
                  <w:pPr>
                    <w:pStyle w:val="52"/>
                    <w:autoSpaceDE w:val="0"/>
                    <w:autoSpaceDN w:val="0"/>
                    <w:rPr>
                      <w:b w:val="0"/>
                      <w:color w:val="auto"/>
                      <w:sz w:val="21"/>
                      <w:szCs w:val="21"/>
                    </w:rPr>
                  </w:pPr>
                  <w:r>
                    <w:rPr>
                      <w:rFonts w:hint="eastAsia"/>
                      <w:b w:val="0"/>
                      <w:color w:val="auto"/>
                      <w:sz w:val="21"/>
                      <w:szCs w:val="21"/>
                    </w:rPr>
                    <w:t>剩余一般样品</w:t>
                  </w:r>
                </w:p>
              </w:tc>
              <w:tc>
                <w:tcPr>
                  <w:tcW w:w="448" w:type="pct"/>
                  <w:vMerge w:val="continue"/>
                  <w:vAlign w:val="center"/>
                </w:tcPr>
                <w:p w14:paraId="0DF7C3E3">
                  <w:pPr>
                    <w:pStyle w:val="60"/>
                    <w:jc w:val="center"/>
                    <w:rPr>
                      <w:rFonts w:ascii="Times New Roman" w:hAnsi="Times New Roman" w:cs="Times New Roman"/>
                      <w:sz w:val="21"/>
                      <w:szCs w:val="21"/>
                      <w:lang w:val="en-US"/>
                    </w:rPr>
                  </w:pPr>
                </w:p>
              </w:tc>
              <w:tc>
                <w:tcPr>
                  <w:tcW w:w="814" w:type="pct"/>
                  <w:vAlign w:val="center"/>
                </w:tcPr>
                <w:p w14:paraId="0B0817A1">
                  <w:pPr>
                    <w:jc w:val="center"/>
                    <w:rPr>
                      <w:rFonts w:eastAsiaTheme="minorEastAsia"/>
                      <w:sz w:val="21"/>
                      <w:szCs w:val="21"/>
                    </w:rPr>
                  </w:pPr>
                  <w:r>
                    <w:rPr>
                      <w:rFonts w:hint="eastAsia" w:eastAsiaTheme="minorEastAsia"/>
                      <w:sz w:val="21"/>
                      <w:szCs w:val="21"/>
                    </w:rPr>
                    <w:t>900-001-S92</w:t>
                  </w:r>
                </w:p>
              </w:tc>
              <w:tc>
                <w:tcPr>
                  <w:tcW w:w="619" w:type="pct"/>
                  <w:vAlign w:val="center"/>
                </w:tcPr>
                <w:p w14:paraId="30432737">
                  <w:pPr>
                    <w:jc w:val="center"/>
                    <w:rPr>
                      <w:sz w:val="21"/>
                      <w:szCs w:val="21"/>
                    </w:rPr>
                  </w:pPr>
                  <w:r>
                    <w:rPr>
                      <w:sz w:val="21"/>
                      <w:szCs w:val="21"/>
                    </w:rPr>
                    <w:t>一般</w:t>
                  </w:r>
                </w:p>
                <w:p w14:paraId="32DFB7CE">
                  <w:pPr>
                    <w:jc w:val="center"/>
                    <w:rPr>
                      <w:sz w:val="21"/>
                      <w:szCs w:val="21"/>
                    </w:rPr>
                  </w:pPr>
                  <w:r>
                    <w:rPr>
                      <w:sz w:val="21"/>
                      <w:szCs w:val="21"/>
                    </w:rPr>
                    <w:t>固废</w:t>
                  </w:r>
                </w:p>
              </w:tc>
              <w:tc>
                <w:tcPr>
                  <w:tcW w:w="363" w:type="pct"/>
                  <w:vAlign w:val="center"/>
                </w:tcPr>
                <w:p w14:paraId="352FFABF">
                  <w:pPr>
                    <w:jc w:val="center"/>
                    <w:rPr>
                      <w:sz w:val="21"/>
                      <w:szCs w:val="21"/>
                    </w:rPr>
                  </w:pPr>
                  <w:r>
                    <w:rPr>
                      <w:sz w:val="21"/>
                      <w:szCs w:val="21"/>
                    </w:rPr>
                    <w:t>固态</w:t>
                  </w:r>
                </w:p>
              </w:tc>
              <w:tc>
                <w:tcPr>
                  <w:tcW w:w="550" w:type="pct"/>
                  <w:vAlign w:val="center"/>
                </w:tcPr>
                <w:p w14:paraId="21F7E850">
                  <w:pPr>
                    <w:pStyle w:val="52"/>
                    <w:rPr>
                      <w:b w:val="0"/>
                      <w:color w:val="auto"/>
                      <w:sz w:val="21"/>
                      <w:szCs w:val="21"/>
                    </w:rPr>
                  </w:pPr>
                  <w:r>
                    <w:rPr>
                      <w:rFonts w:hint="eastAsia"/>
                      <w:b w:val="0"/>
                      <w:color w:val="auto"/>
                      <w:sz w:val="21"/>
                      <w:szCs w:val="21"/>
                    </w:rPr>
                    <w:t>0.2</w:t>
                  </w:r>
                </w:p>
              </w:tc>
              <w:tc>
                <w:tcPr>
                  <w:tcW w:w="1191" w:type="pct"/>
                  <w:vAlign w:val="center"/>
                </w:tcPr>
                <w:p w14:paraId="18D8CFF0">
                  <w:pPr>
                    <w:pStyle w:val="40"/>
                    <w:jc w:val="center"/>
                    <w:rPr>
                      <w:rFonts w:eastAsiaTheme="minorEastAsia"/>
                      <w:color w:val="auto"/>
                      <w:sz w:val="21"/>
                      <w:szCs w:val="21"/>
                    </w:rPr>
                  </w:pPr>
                  <w:r>
                    <w:rPr>
                      <w:rFonts w:hint="eastAsia" w:eastAsiaTheme="minorEastAsia"/>
                      <w:color w:val="auto"/>
                      <w:sz w:val="21"/>
                      <w:szCs w:val="21"/>
                    </w:rPr>
                    <w:t>作为一般固废处置</w:t>
                  </w:r>
                </w:p>
              </w:tc>
            </w:tr>
            <w:tr w14:paraId="2C64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4D133DD0">
                  <w:pPr>
                    <w:pStyle w:val="61"/>
                    <w:snapToGrid/>
                    <w:rPr>
                      <w:sz w:val="21"/>
                      <w:szCs w:val="21"/>
                    </w:rPr>
                  </w:pPr>
                  <w:r>
                    <w:rPr>
                      <w:rFonts w:hint="eastAsia"/>
                      <w:sz w:val="21"/>
                      <w:szCs w:val="21"/>
                    </w:rPr>
                    <w:t>5</w:t>
                  </w:r>
                </w:p>
              </w:tc>
              <w:tc>
                <w:tcPr>
                  <w:tcW w:w="685" w:type="pct"/>
                  <w:vAlign w:val="center"/>
                </w:tcPr>
                <w:p w14:paraId="73A42587">
                  <w:pPr>
                    <w:pStyle w:val="52"/>
                    <w:autoSpaceDE w:val="0"/>
                    <w:autoSpaceDN w:val="0"/>
                    <w:rPr>
                      <w:b w:val="0"/>
                      <w:color w:val="auto"/>
                      <w:sz w:val="21"/>
                      <w:szCs w:val="21"/>
                    </w:rPr>
                  </w:pPr>
                  <w:r>
                    <w:rPr>
                      <w:rFonts w:hint="eastAsia"/>
                      <w:b w:val="0"/>
                      <w:color w:val="auto"/>
                      <w:sz w:val="21"/>
                      <w:szCs w:val="21"/>
                    </w:rPr>
                    <w:t>剩余超标样品</w:t>
                  </w:r>
                </w:p>
              </w:tc>
              <w:tc>
                <w:tcPr>
                  <w:tcW w:w="448" w:type="pct"/>
                  <w:vMerge w:val="continue"/>
                  <w:vAlign w:val="center"/>
                </w:tcPr>
                <w:p w14:paraId="630ADBEF">
                  <w:pPr>
                    <w:pStyle w:val="60"/>
                    <w:jc w:val="center"/>
                    <w:rPr>
                      <w:rFonts w:ascii="Times New Roman" w:hAnsi="Times New Roman" w:cs="Times New Roman"/>
                      <w:sz w:val="21"/>
                      <w:szCs w:val="21"/>
                      <w:lang w:val="en-US"/>
                    </w:rPr>
                  </w:pPr>
                </w:p>
              </w:tc>
              <w:tc>
                <w:tcPr>
                  <w:tcW w:w="814" w:type="pct"/>
                  <w:vAlign w:val="center"/>
                </w:tcPr>
                <w:p w14:paraId="75FEF8EB">
                  <w:pPr>
                    <w:jc w:val="center"/>
                    <w:rPr>
                      <w:rFonts w:eastAsiaTheme="minorEastAsia"/>
                      <w:sz w:val="21"/>
                      <w:szCs w:val="21"/>
                    </w:rPr>
                  </w:pPr>
                  <w:r>
                    <w:rPr>
                      <w:rFonts w:hint="eastAsia" w:eastAsiaTheme="minorEastAsia"/>
                      <w:sz w:val="21"/>
                      <w:szCs w:val="21"/>
                    </w:rPr>
                    <w:t>900-001-S92</w:t>
                  </w:r>
                </w:p>
              </w:tc>
              <w:tc>
                <w:tcPr>
                  <w:tcW w:w="619" w:type="pct"/>
                  <w:vAlign w:val="center"/>
                </w:tcPr>
                <w:p w14:paraId="6423FF7B">
                  <w:pPr>
                    <w:jc w:val="center"/>
                    <w:rPr>
                      <w:sz w:val="21"/>
                      <w:szCs w:val="21"/>
                    </w:rPr>
                  </w:pPr>
                  <w:r>
                    <w:rPr>
                      <w:sz w:val="21"/>
                      <w:szCs w:val="21"/>
                    </w:rPr>
                    <w:t>一般</w:t>
                  </w:r>
                </w:p>
                <w:p w14:paraId="692307C0">
                  <w:pPr>
                    <w:jc w:val="center"/>
                    <w:rPr>
                      <w:sz w:val="21"/>
                      <w:szCs w:val="21"/>
                    </w:rPr>
                  </w:pPr>
                  <w:r>
                    <w:rPr>
                      <w:sz w:val="21"/>
                      <w:szCs w:val="21"/>
                    </w:rPr>
                    <w:t>固废</w:t>
                  </w:r>
                </w:p>
              </w:tc>
              <w:tc>
                <w:tcPr>
                  <w:tcW w:w="363" w:type="pct"/>
                  <w:vAlign w:val="center"/>
                </w:tcPr>
                <w:p w14:paraId="400DDDE1">
                  <w:pPr>
                    <w:jc w:val="center"/>
                    <w:rPr>
                      <w:sz w:val="21"/>
                      <w:szCs w:val="21"/>
                    </w:rPr>
                  </w:pPr>
                  <w:r>
                    <w:rPr>
                      <w:rFonts w:hint="eastAsia"/>
                      <w:sz w:val="21"/>
                      <w:szCs w:val="21"/>
                    </w:rPr>
                    <w:t>固态</w:t>
                  </w:r>
                </w:p>
              </w:tc>
              <w:tc>
                <w:tcPr>
                  <w:tcW w:w="550" w:type="pct"/>
                  <w:vAlign w:val="center"/>
                </w:tcPr>
                <w:p w14:paraId="24B9A7C2">
                  <w:pPr>
                    <w:pStyle w:val="52"/>
                    <w:rPr>
                      <w:b w:val="0"/>
                      <w:color w:val="auto"/>
                      <w:sz w:val="21"/>
                      <w:szCs w:val="21"/>
                    </w:rPr>
                  </w:pPr>
                  <w:r>
                    <w:rPr>
                      <w:rFonts w:hint="eastAsia"/>
                      <w:b w:val="0"/>
                      <w:color w:val="auto"/>
                      <w:sz w:val="21"/>
                      <w:szCs w:val="21"/>
                    </w:rPr>
                    <w:t>0.01</w:t>
                  </w:r>
                </w:p>
              </w:tc>
              <w:tc>
                <w:tcPr>
                  <w:tcW w:w="1191" w:type="pct"/>
                  <w:vAlign w:val="center"/>
                </w:tcPr>
                <w:p w14:paraId="6258D63D">
                  <w:pPr>
                    <w:pStyle w:val="40"/>
                    <w:jc w:val="center"/>
                    <w:rPr>
                      <w:rFonts w:eastAsiaTheme="minorEastAsia"/>
                      <w:color w:val="auto"/>
                      <w:sz w:val="21"/>
                      <w:szCs w:val="21"/>
                    </w:rPr>
                  </w:pPr>
                  <w:r>
                    <w:rPr>
                      <w:rFonts w:hint="eastAsia" w:eastAsiaTheme="minorEastAsia"/>
                      <w:color w:val="auto"/>
                      <w:sz w:val="21"/>
                      <w:szCs w:val="21"/>
                    </w:rPr>
                    <w:t>待出具检测报告后退回送检单位</w:t>
                  </w:r>
                </w:p>
              </w:tc>
            </w:tr>
            <w:tr w14:paraId="3661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590D900F">
                  <w:pPr>
                    <w:pStyle w:val="61"/>
                    <w:snapToGrid/>
                    <w:rPr>
                      <w:sz w:val="21"/>
                      <w:szCs w:val="21"/>
                    </w:rPr>
                  </w:pPr>
                  <w:r>
                    <w:rPr>
                      <w:rFonts w:hint="eastAsia"/>
                      <w:sz w:val="21"/>
                      <w:szCs w:val="21"/>
                    </w:rPr>
                    <w:t>6</w:t>
                  </w:r>
                </w:p>
              </w:tc>
              <w:tc>
                <w:tcPr>
                  <w:tcW w:w="685" w:type="pct"/>
                  <w:vAlign w:val="center"/>
                </w:tcPr>
                <w:p w14:paraId="03E139E6">
                  <w:pPr>
                    <w:pStyle w:val="52"/>
                    <w:autoSpaceDE w:val="0"/>
                    <w:autoSpaceDN w:val="0"/>
                    <w:rPr>
                      <w:b w:val="0"/>
                      <w:color w:val="auto"/>
                      <w:sz w:val="21"/>
                      <w:szCs w:val="21"/>
                    </w:rPr>
                  </w:pPr>
                  <w:r>
                    <w:rPr>
                      <w:rFonts w:hint="eastAsia"/>
                      <w:b w:val="0"/>
                      <w:color w:val="auto"/>
                      <w:sz w:val="21"/>
                      <w:szCs w:val="21"/>
                    </w:rPr>
                    <w:t>废培养基</w:t>
                  </w:r>
                </w:p>
              </w:tc>
              <w:tc>
                <w:tcPr>
                  <w:tcW w:w="448" w:type="pct"/>
                  <w:vMerge w:val="continue"/>
                  <w:vAlign w:val="center"/>
                </w:tcPr>
                <w:p w14:paraId="2BB7BEB5">
                  <w:pPr>
                    <w:pStyle w:val="60"/>
                    <w:jc w:val="center"/>
                    <w:rPr>
                      <w:rFonts w:ascii="Times New Roman" w:hAnsi="Times New Roman" w:cs="Times New Roman"/>
                      <w:sz w:val="21"/>
                      <w:szCs w:val="21"/>
                      <w:lang w:val="en-US"/>
                    </w:rPr>
                  </w:pPr>
                </w:p>
              </w:tc>
              <w:tc>
                <w:tcPr>
                  <w:tcW w:w="814" w:type="pct"/>
                  <w:vAlign w:val="center"/>
                </w:tcPr>
                <w:p w14:paraId="79FFC411">
                  <w:pPr>
                    <w:jc w:val="center"/>
                    <w:rPr>
                      <w:rFonts w:eastAsiaTheme="minorEastAsia"/>
                      <w:sz w:val="21"/>
                      <w:szCs w:val="21"/>
                    </w:rPr>
                  </w:pPr>
                  <w:r>
                    <w:rPr>
                      <w:rFonts w:hint="eastAsia" w:eastAsiaTheme="minorEastAsia"/>
                      <w:sz w:val="21"/>
                      <w:szCs w:val="21"/>
                    </w:rPr>
                    <w:t>900-001-S92</w:t>
                  </w:r>
                </w:p>
              </w:tc>
              <w:tc>
                <w:tcPr>
                  <w:tcW w:w="619" w:type="pct"/>
                  <w:vAlign w:val="center"/>
                </w:tcPr>
                <w:p w14:paraId="661106CB">
                  <w:pPr>
                    <w:jc w:val="center"/>
                    <w:rPr>
                      <w:sz w:val="21"/>
                      <w:szCs w:val="21"/>
                    </w:rPr>
                  </w:pPr>
                  <w:r>
                    <w:rPr>
                      <w:sz w:val="21"/>
                      <w:szCs w:val="21"/>
                    </w:rPr>
                    <w:t>一般</w:t>
                  </w:r>
                </w:p>
                <w:p w14:paraId="04A8F925">
                  <w:pPr>
                    <w:jc w:val="center"/>
                    <w:rPr>
                      <w:sz w:val="21"/>
                      <w:szCs w:val="21"/>
                    </w:rPr>
                  </w:pPr>
                  <w:r>
                    <w:rPr>
                      <w:sz w:val="21"/>
                      <w:szCs w:val="21"/>
                    </w:rPr>
                    <w:t>固废</w:t>
                  </w:r>
                </w:p>
              </w:tc>
              <w:tc>
                <w:tcPr>
                  <w:tcW w:w="363" w:type="pct"/>
                  <w:vAlign w:val="center"/>
                </w:tcPr>
                <w:p w14:paraId="5D0F2DBC">
                  <w:pPr>
                    <w:jc w:val="center"/>
                    <w:rPr>
                      <w:sz w:val="21"/>
                      <w:szCs w:val="21"/>
                    </w:rPr>
                  </w:pPr>
                  <w:r>
                    <w:rPr>
                      <w:rFonts w:hint="eastAsia"/>
                      <w:sz w:val="21"/>
                      <w:szCs w:val="21"/>
                    </w:rPr>
                    <w:t>固态</w:t>
                  </w:r>
                </w:p>
              </w:tc>
              <w:tc>
                <w:tcPr>
                  <w:tcW w:w="550" w:type="pct"/>
                  <w:vAlign w:val="center"/>
                </w:tcPr>
                <w:p w14:paraId="6DE71BC3">
                  <w:pPr>
                    <w:pStyle w:val="52"/>
                    <w:rPr>
                      <w:b w:val="0"/>
                      <w:color w:val="auto"/>
                      <w:sz w:val="21"/>
                      <w:szCs w:val="21"/>
                    </w:rPr>
                  </w:pPr>
                  <w:r>
                    <w:rPr>
                      <w:rFonts w:hint="eastAsia"/>
                      <w:b w:val="0"/>
                      <w:color w:val="auto"/>
                      <w:sz w:val="21"/>
                      <w:szCs w:val="21"/>
                    </w:rPr>
                    <w:t>0.05</w:t>
                  </w:r>
                </w:p>
              </w:tc>
              <w:tc>
                <w:tcPr>
                  <w:tcW w:w="1191" w:type="pct"/>
                  <w:vAlign w:val="center"/>
                </w:tcPr>
                <w:p w14:paraId="294245CB">
                  <w:pPr>
                    <w:pStyle w:val="40"/>
                    <w:jc w:val="center"/>
                    <w:rPr>
                      <w:rFonts w:eastAsiaTheme="minorEastAsia"/>
                      <w:color w:val="auto"/>
                      <w:sz w:val="21"/>
                      <w:szCs w:val="21"/>
                    </w:rPr>
                  </w:pPr>
                  <w:r>
                    <w:rPr>
                      <w:rFonts w:hint="eastAsia" w:eastAsiaTheme="minorEastAsia"/>
                      <w:color w:val="auto"/>
                      <w:sz w:val="21"/>
                      <w:szCs w:val="21"/>
                    </w:rPr>
                    <w:t>作为一般固废处置</w:t>
                  </w:r>
                </w:p>
              </w:tc>
            </w:tr>
            <w:tr w14:paraId="6DE6C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32E22F49">
                  <w:pPr>
                    <w:pStyle w:val="61"/>
                    <w:snapToGrid/>
                    <w:rPr>
                      <w:sz w:val="21"/>
                      <w:szCs w:val="21"/>
                    </w:rPr>
                  </w:pPr>
                  <w:r>
                    <w:rPr>
                      <w:rFonts w:hint="eastAsia"/>
                      <w:sz w:val="21"/>
                      <w:szCs w:val="21"/>
                    </w:rPr>
                    <w:t>7</w:t>
                  </w:r>
                </w:p>
              </w:tc>
              <w:tc>
                <w:tcPr>
                  <w:tcW w:w="685" w:type="pct"/>
                  <w:vAlign w:val="center"/>
                </w:tcPr>
                <w:p w14:paraId="49EF715A">
                  <w:pPr>
                    <w:pStyle w:val="52"/>
                    <w:autoSpaceDE w:val="0"/>
                    <w:autoSpaceDN w:val="0"/>
                    <w:rPr>
                      <w:b w:val="0"/>
                      <w:color w:val="auto"/>
                      <w:sz w:val="21"/>
                      <w:szCs w:val="21"/>
                    </w:rPr>
                  </w:pPr>
                  <w:r>
                    <w:rPr>
                      <w:rFonts w:hint="eastAsia"/>
                      <w:b w:val="0"/>
                      <w:color w:val="auto"/>
                      <w:sz w:val="21"/>
                      <w:szCs w:val="21"/>
                    </w:rPr>
                    <w:t>实验废液</w:t>
                  </w:r>
                </w:p>
              </w:tc>
              <w:tc>
                <w:tcPr>
                  <w:tcW w:w="448" w:type="pct"/>
                  <w:vMerge w:val="continue"/>
                  <w:vAlign w:val="center"/>
                </w:tcPr>
                <w:p w14:paraId="3C31180D">
                  <w:pPr>
                    <w:pStyle w:val="60"/>
                    <w:jc w:val="center"/>
                    <w:rPr>
                      <w:rFonts w:ascii="Times New Roman" w:hAnsi="Times New Roman" w:cs="Times New Roman"/>
                      <w:sz w:val="21"/>
                      <w:szCs w:val="21"/>
                      <w:lang w:val="en-US"/>
                    </w:rPr>
                  </w:pPr>
                </w:p>
              </w:tc>
              <w:tc>
                <w:tcPr>
                  <w:tcW w:w="814" w:type="pct"/>
                  <w:vAlign w:val="center"/>
                </w:tcPr>
                <w:p w14:paraId="14964834">
                  <w:pPr>
                    <w:jc w:val="center"/>
                    <w:rPr>
                      <w:sz w:val="21"/>
                      <w:szCs w:val="21"/>
                    </w:rPr>
                  </w:pPr>
                  <w:r>
                    <w:rPr>
                      <w:sz w:val="21"/>
                      <w:szCs w:val="21"/>
                    </w:rPr>
                    <w:t>HW</w:t>
                  </w:r>
                  <w:r>
                    <w:rPr>
                      <w:rFonts w:hint="eastAsia"/>
                      <w:sz w:val="21"/>
                      <w:szCs w:val="21"/>
                    </w:rPr>
                    <w:t>49</w:t>
                  </w:r>
                </w:p>
                <w:p w14:paraId="074ECB12">
                  <w:pPr>
                    <w:jc w:val="center"/>
                    <w:rPr>
                      <w:sz w:val="21"/>
                      <w:szCs w:val="21"/>
                    </w:rPr>
                  </w:pPr>
                  <w:r>
                    <w:rPr>
                      <w:sz w:val="21"/>
                      <w:szCs w:val="21"/>
                    </w:rPr>
                    <w:t>900-</w:t>
                  </w:r>
                  <w:r>
                    <w:rPr>
                      <w:rFonts w:hint="eastAsia"/>
                      <w:sz w:val="21"/>
                      <w:szCs w:val="21"/>
                    </w:rPr>
                    <w:t>047</w:t>
                  </w:r>
                  <w:r>
                    <w:rPr>
                      <w:sz w:val="21"/>
                      <w:szCs w:val="21"/>
                    </w:rPr>
                    <w:t>-</w:t>
                  </w:r>
                  <w:r>
                    <w:rPr>
                      <w:rFonts w:hint="eastAsia"/>
                      <w:sz w:val="21"/>
                      <w:szCs w:val="21"/>
                    </w:rPr>
                    <w:t>49</w:t>
                  </w:r>
                </w:p>
              </w:tc>
              <w:tc>
                <w:tcPr>
                  <w:tcW w:w="619" w:type="pct"/>
                  <w:vAlign w:val="center"/>
                </w:tcPr>
                <w:p w14:paraId="4FA12733">
                  <w:pPr>
                    <w:jc w:val="center"/>
                    <w:rPr>
                      <w:sz w:val="21"/>
                      <w:szCs w:val="21"/>
                    </w:rPr>
                  </w:pPr>
                  <w:r>
                    <w:rPr>
                      <w:sz w:val="21"/>
                      <w:szCs w:val="21"/>
                    </w:rPr>
                    <w:t>危险</w:t>
                  </w:r>
                </w:p>
                <w:p w14:paraId="56383A16">
                  <w:pPr>
                    <w:jc w:val="center"/>
                    <w:rPr>
                      <w:sz w:val="21"/>
                      <w:szCs w:val="21"/>
                    </w:rPr>
                  </w:pPr>
                  <w:r>
                    <w:rPr>
                      <w:sz w:val="21"/>
                      <w:szCs w:val="21"/>
                    </w:rPr>
                    <w:t>废物</w:t>
                  </w:r>
                </w:p>
              </w:tc>
              <w:tc>
                <w:tcPr>
                  <w:tcW w:w="363" w:type="pct"/>
                  <w:vAlign w:val="center"/>
                </w:tcPr>
                <w:p w14:paraId="4583C57B">
                  <w:pPr>
                    <w:jc w:val="center"/>
                    <w:rPr>
                      <w:sz w:val="21"/>
                      <w:szCs w:val="21"/>
                    </w:rPr>
                  </w:pPr>
                  <w:r>
                    <w:rPr>
                      <w:sz w:val="21"/>
                      <w:szCs w:val="21"/>
                    </w:rPr>
                    <w:t>液态</w:t>
                  </w:r>
                </w:p>
              </w:tc>
              <w:tc>
                <w:tcPr>
                  <w:tcW w:w="550" w:type="pct"/>
                  <w:vAlign w:val="center"/>
                </w:tcPr>
                <w:p w14:paraId="36D3E227">
                  <w:pPr>
                    <w:pStyle w:val="52"/>
                    <w:rPr>
                      <w:b w:val="0"/>
                      <w:color w:val="auto"/>
                      <w:sz w:val="21"/>
                      <w:szCs w:val="21"/>
                    </w:rPr>
                  </w:pPr>
                  <w:r>
                    <w:rPr>
                      <w:rFonts w:hint="eastAsia"/>
                      <w:b w:val="0"/>
                      <w:color w:val="auto"/>
                      <w:sz w:val="21"/>
                      <w:szCs w:val="21"/>
                    </w:rPr>
                    <w:t>0.8</w:t>
                  </w:r>
                </w:p>
              </w:tc>
              <w:tc>
                <w:tcPr>
                  <w:tcW w:w="1191" w:type="pct"/>
                  <w:vMerge w:val="restart"/>
                  <w:vAlign w:val="center"/>
                </w:tcPr>
                <w:p w14:paraId="71A5FFD8">
                  <w:pPr>
                    <w:pStyle w:val="40"/>
                    <w:jc w:val="center"/>
                    <w:rPr>
                      <w:rFonts w:cs="Times New Roman"/>
                      <w:color w:val="auto"/>
                      <w:spacing w:val="-2"/>
                      <w:sz w:val="21"/>
                      <w:szCs w:val="21"/>
                    </w:rPr>
                  </w:pPr>
                  <w:r>
                    <w:rPr>
                      <w:rFonts w:hint="eastAsia" w:eastAsiaTheme="minorEastAsia"/>
                      <w:color w:val="auto"/>
                      <w:sz w:val="21"/>
                      <w:szCs w:val="21"/>
                    </w:rPr>
                    <w:t>定期交由有资质单位处置</w:t>
                  </w:r>
                </w:p>
              </w:tc>
            </w:tr>
            <w:tr w14:paraId="2697E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637B671D">
                  <w:pPr>
                    <w:pStyle w:val="61"/>
                    <w:snapToGrid/>
                    <w:rPr>
                      <w:sz w:val="21"/>
                      <w:szCs w:val="21"/>
                    </w:rPr>
                  </w:pPr>
                  <w:r>
                    <w:rPr>
                      <w:rFonts w:hint="eastAsia"/>
                      <w:sz w:val="21"/>
                      <w:szCs w:val="21"/>
                    </w:rPr>
                    <w:t>8</w:t>
                  </w:r>
                </w:p>
              </w:tc>
              <w:tc>
                <w:tcPr>
                  <w:tcW w:w="685" w:type="pct"/>
                  <w:vAlign w:val="center"/>
                </w:tcPr>
                <w:p w14:paraId="4AEBDAA1">
                  <w:pPr>
                    <w:pStyle w:val="52"/>
                    <w:autoSpaceDE w:val="0"/>
                    <w:autoSpaceDN w:val="0"/>
                    <w:rPr>
                      <w:b w:val="0"/>
                      <w:color w:val="auto"/>
                      <w:sz w:val="21"/>
                      <w:szCs w:val="21"/>
                    </w:rPr>
                  </w:pPr>
                  <w:r>
                    <w:rPr>
                      <w:rFonts w:hint="eastAsia"/>
                      <w:b w:val="0"/>
                      <w:color w:val="auto"/>
                      <w:sz w:val="21"/>
                      <w:szCs w:val="21"/>
                    </w:rPr>
                    <w:t>一次清洗废水</w:t>
                  </w:r>
                </w:p>
              </w:tc>
              <w:tc>
                <w:tcPr>
                  <w:tcW w:w="448" w:type="pct"/>
                  <w:vMerge w:val="continue"/>
                  <w:vAlign w:val="center"/>
                </w:tcPr>
                <w:p w14:paraId="3F8613E8">
                  <w:pPr>
                    <w:pStyle w:val="60"/>
                    <w:jc w:val="center"/>
                    <w:rPr>
                      <w:rFonts w:ascii="Times New Roman" w:hAnsi="Times New Roman" w:cs="Times New Roman"/>
                      <w:sz w:val="21"/>
                      <w:szCs w:val="21"/>
                      <w:lang w:val="en-US"/>
                    </w:rPr>
                  </w:pPr>
                </w:p>
              </w:tc>
              <w:tc>
                <w:tcPr>
                  <w:tcW w:w="814" w:type="pct"/>
                  <w:vAlign w:val="center"/>
                </w:tcPr>
                <w:p w14:paraId="26F4FEC4">
                  <w:pPr>
                    <w:jc w:val="center"/>
                    <w:rPr>
                      <w:sz w:val="21"/>
                      <w:szCs w:val="21"/>
                    </w:rPr>
                  </w:pPr>
                  <w:r>
                    <w:rPr>
                      <w:sz w:val="21"/>
                      <w:szCs w:val="21"/>
                    </w:rPr>
                    <w:t>HW</w:t>
                  </w:r>
                  <w:r>
                    <w:rPr>
                      <w:rFonts w:hint="eastAsia"/>
                      <w:sz w:val="21"/>
                      <w:szCs w:val="21"/>
                    </w:rPr>
                    <w:t>49</w:t>
                  </w:r>
                </w:p>
                <w:p w14:paraId="7E952876">
                  <w:pPr>
                    <w:jc w:val="center"/>
                    <w:rPr>
                      <w:sz w:val="21"/>
                      <w:szCs w:val="21"/>
                    </w:rPr>
                  </w:pPr>
                  <w:r>
                    <w:rPr>
                      <w:sz w:val="21"/>
                      <w:szCs w:val="21"/>
                    </w:rPr>
                    <w:t>900-</w:t>
                  </w:r>
                  <w:r>
                    <w:rPr>
                      <w:rFonts w:hint="eastAsia"/>
                      <w:sz w:val="21"/>
                      <w:szCs w:val="21"/>
                    </w:rPr>
                    <w:t>047</w:t>
                  </w:r>
                  <w:r>
                    <w:rPr>
                      <w:sz w:val="21"/>
                      <w:szCs w:val="21"/>
                    </w:rPr>
                    <w:t>-</w:t>
                  </w:r>
                  <w:r>
                    <w:rPr>
                      <w:rFonts w:hint="eastAsia"/>
                      <w:sz w:val="21"/>
                      <w:szCs w:val="21"/>
                    </w:rPr>
                    <w:t>49</w:t>
                  </w:r>
                </w:p>
              </w:tc>
              <w:tc>
                <w:tcPr>
                  <w:tcW w:w="619" w:type="pct"/>
                  <w:vAlign w:val="center"/>
                </w:tcPr>
                <w:p w14:paraId="3EAE0BA8">
                  <w:pPr>
                    <w:jc w:val="center"/>
                    <w:rPr>
                      <w:sz w:val="21"/>
                      <w:szCs w:val="21"/>
                    </w:rPr>
                  </w:pPr>
                  <w:r>
                    <w:rPr>
                      <w:sz w:val="21"/>
                      <w:szCs w:val="21"/>
                    </w:rPr>
                    <w:t>危险</w:t>
                  </w:r>
                </w:p>
                <w:p w14:paraId="24FDC79D">
                  <w:pPr>
                    <w:jc w:val="center"/>
                    <w:rPr>
                      <w:sz w:val="21"/>
                      <w:szCs w:val="21"/>
                    </w:rPr>
                  </w:pPr>
                  <w:r>
                    <w:rPr>
                      <w:sz w:val="21"/>
                      <w:szCs w:val="21"/>
                    </w:rPr>
                    <w:t>废物</w:t>
                  </w:r>
                </w:p>
              </w:tc>
              <w:tc>
                <w:tcPr>
                  <w:tcW w:w="363" w:type="pct"/>
                  <w:vAlign w:val="center"/>
                </w:tcPr>
                <w:p w14:paraId="0D0A6C22">
                  <w:pPr>
                    <w:jc w:val="center"/>
                    <w:rPr>
                      <w:sz w:val="21"/>
                      <w:szCs w:val="21"/>
                    </w:rPr>
                  </w:pPr>
                  <w:r>
                    <w:rPr>
                      <w:sz w:val="21"/>
                      <w:szCs w:val="21"/>
                    </w:rPr>
                    <w:t>液态</w:t>
                  </w:r>
                </w:p>
              </w:tc>
              <w:tc>
                <w:tcPr>
                  <w:tcW w:w="550" w:type="pct"/>
                  <w:vAlign w:val="center"/>
                </w:tcPr>
                <w:p w14:paraId="39C9F568">
                  <w:pPr>
                    <w:pStyle w:val="52"/>
                    <w:rPr>
                      <w:b w:val="0"/>
                      <w:color w:val="auto"/>
                      <w:sz w:val="21"/>
                      <w:szCs w:val="21"/>
                    </w:rPr>
                  </w:pPr>
                  <w:r>
                    <w:rPr>
                      <w:rFonts w:hint="eastAsia"/>
                      <w:b w:val="0"/>
                      <w:color w:val="auto"/>
                      <w:sz w:val="21"/>
                      <w:szCs w:val="21"/>
                    </w:rPr>
                    <w:t>0.12</w:t>
                  </w:r>
                </w:p>
              </w:tc>
              <w:tc>
                <w:tcPr>
                  <w:tcW w:w="1191" w:type="pct"/>
                  <w:vMerge w:val="continue"/>
                  <w:vAlign w:val="center"/>
                </w:tcPr>
                <w:p w14:paraId="1973C2C2">
                  <w:pPr>
                    <w:pStyle w:val="40"/>
                    <w:jc w:val="center"/>
                    <w:rPr>
                      <w:rFonts w:eastAsiaTheme="minorEastAsia"/>
                      <w:color w:val="auto"/>
                      <w:sz w:val="21"/>
                      <w:szCs w:val="21"/>
                    </w:rPr>
                  </w:pPr>
                </w:p>
              </w:tc>
            </w:tr>
            <w:tr w14:paraId="5843B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4722FE9D">
                  <w:pPr>
                    <w:pStyle w:val="61"/>
                    <w:snapToGrid/>
                    <w:rPr>
                      <w:sz w:val="21"/>
                      <w:szCs w:val="21"/>
                    </w:rPr>
                  </w:pPr>
                  <w:r>
                    <w:rPr>
                      <w:rFonts w:hint="eastAsia"/>
                      <w:sz w:val="21"/>
                      <w:szCs w:val="21"/>
                    </w:rPr>
                    <w:t>9</w:t>
                  </w:r>
                </w:p>
              </w:tc>
              <w:tc>
                <w:tcPr>
                  <w:tcW w:w="685" w:type="pct"/>
                  <w:vAlign w:val="center"/>
                </w:tcPr>
                <w:p w14:paraId="5A5AFB3F">
                  <w:pPr>
                    <w:pStyle w:val="52"/>
                    <w:autoSpaceDE w:val="0"/>
                    <w:autoSpaceDN w:val="0"/>
                    <w:rPr>
                      <w:b w:val="0"/>
                      <w:color w:val="auto"/>
                      <w:sz w:val="21"/>
                      <w:szCs w:val="21"/>
                    </w:rPr>
                  </w:pPr>
                  <w:r>
                    <w:rPr>
                      <w:b w:val="0"/>
                      <w:color w:val="auto"/>
                      <w:sz w:val="21"/>
                      <w:szCs w:val="21"/>
                    </w:rPr>
                    <w:t>废试剂</w:t>
                  </w:r>
                  <w:r>
                    <w:rPr>
                      <w:rFonts w:hint="eastAsia"/>
                      <w:b w:val="0"/>
                      <w:color w:val="auto"/>
                      <w:sz w:val="21"/>
                      <w:szCs w:val="21"/>
                    </w:rPr>
                    <w:t>瓶</w:t>
                  </w:r>
                </w:p>
              </w:tc>
              <w:tc>
                <w:tcPr>
                  <w:tcW w:w="448" w:type="pct"/>
                  <w:vMerge w:val="continue"/>
                  <w:vAlign w:val="center"/>
                </w:tcPr>
                <w:p w14:paraId="257DCD35">
                  <w:pPr>
                    <w:pStyle w:val="60"/>
                    <w:jc w:val="center"/>
                    <w:rPr>
                      <w:rFonts w:ascii="Times New Roman" w:hAnsi="Times New Roman" w:cs="Times New Roman"/>
                      <w:sz w:val="21"/>
                      <w:szCs w:val="21"/>
                      <w:lang w:val="en-US"/>
                    </w:rPr>
                  </w:pPr>
                </w:p>
              </w:tc>
              <w:tc>
                <w:tcPr>
                  <w:tcW w:w="814" w:type="pct"/>
                  <w:vAlign w:val="center"/>
                </w:tcPr>
                <w:p w14:paraId="7D775D54">
                  <w:pPr>
                    <w:jc w:val="center"/>
                    <w:rPr>
                      <w:sz w:val="21"/>
                      <w:szCs w:val="21"/>
                    </w:rPr>
                  </w:pPr>
                  <w:r>
                    <w:rPr>
                      <w:sz w:val="21"/>
                      <w:szCs w:val="21"/>
                    </w:rPr>
                    <w:t>HW</w:t>
                  </w:r>
                  <w:r>
                    <w:rPr>
                      <w:rFonts w:hint="eastAsia"/>
                      <w:sz w:val="21"/>
                      <w:szCs w:val="21"/>
                    </w:rPr>
                    <w:t>49</w:t>
                  </w:r>
                </w:p>
                <w:p w14:paraId="536B5EDC">
                  <w:pPr>
                    <w:jc w:val="center"/>
                    <w:rPr>
                      <w:kern w:val="0"/>
                      <w:sz w:val="21"/>
                      <w:szCs w:val="21"/>
                      <w:lang w:bidi="ar"/>
                    </w:rPr>
                  </w:pPr>
                  <w:r>
                    <w:rPr>
                      <w:kern w:val="0"/>
                      <w:sz w:val="21"/>
                      <w:szCs w:val="21"/>
                      <w:lang w:bidi="ar"/>
                    </w:rPr>
                    <w:t>900-</w:t>
                  </w:r>
                  <w:r>
                    <w:rPr>
                      <w:rFonts w:hint="eastAsia"/>
                      <w:kern w:val="0"/>
                      <w:sz w:val="21"/>
                      <w:szCs w:val="21"/>
                      <w:lang w:bidi="ar"/>
                    </w:rPr>
                    <w:t>041</w:t>
                  </w:r>
                  <w:r>
                    <w:rPr>
                      <w:kern w:val="0"/>
                      <w:sz w:val="21"/>
                      <w:szCs w:val="21"/>
                      <w:lang w:bidi="ar"/>
                    </w:rPr>
                    <w:t>-</w:t>
                  </w:r>
                  <w:r>
                    <w:rPr>
                      <w:rFonts w:hint="eastAsia"/>
                      <w:kern w:val="0"/>
                      <w:sz w:val="21"/>
                      <w:szCs w:val="21"/>
                      <w:lang w:bidi="ar"/>
                    </w:rPr>
                    <w:t>49</w:t>
                  </w:r>
                </w:p>
              </w:tc>
              <w:tc>
                <w:tcPr>
                  <w:tcW w:w="619" w:type="pct"/>
                  <w:vAlign w:val="center"/>
                </w:tcPr>
                <w:p w14:paraId="4326EFD1">
                  <w:pPr>
                    <w:jc w:val="center"/>
                    <w:rPr>
                      <w:sz w:val="21"/>
                      <w:szCs w:val="21"/>
                    </w:rPr>
                  </w:pPr>
                  <w:r>
                    <w:rPr>
                      <w:sz w:val="21"/>
                      <w:szCs w:val="21"/>
                    </w:rPr>
                    <w:t>危险</w:t>
                  </w:r>
                </w:p>
                <w:p w14:paraId="69E50FE0">
                  <w:pPr>
                    <w:jc w:val="center"/>
                    <w:rPr>
                      <w:sz w:val="21"/>
                      <w:szCs w:val="21"/>
                    </w:rPr>
                  </w:pPr>
                  <w:r>
                    <w:rPr>
                      <w:sz w:val="21"/>
                      <w:szCs w:val="21"/>
                    </w:rPr>
                    <w:t>废物</w:t>
                  </w:r>
                </w:p>
              </w:tc>
              <w:tc>
                <w:tcPr>
                  <w:tcW w:w="363" w:type="pct"/>
                  <w:vAlign w:val="center"/>
                </w:tcPr>
                <w:p w14:paraId="6755EBAC">
                  <w:pPr>
                    <w:jc w:val="center"/>
                    <w:rPr>
                      <w:sz w:val="21"/>
                      <w:szCs w:val="21"/>
                    </w:rPr>
                  </w:pPr>
                  <w:r>
                    <w:rPr>
                      <w:sz w:val="21"/>
                      <w:szCs w:val="21"/>
                    </w:rPr>
                    <w:t>固态</w:t>
                  </w:r>
                </w:p>
              </w:tc>
              <w:tc>
                <w:tcPr>
                  <w:tcW w:w="550" w:type="pct"/>
                  <w:vAlign w:val="center"/>
                </w:tcPr>
                <w:p w14:paraId="1517F368">
                  <w:pPr>
                    <w:pStyle w:val="52"/>
                    <w:rPr>
                      <w:b w:val="0"/>
                      <w:color w:val="auto"/>
                      <w:sz w:val="21"/>
                      <w:szCs w:val="21"/>
                    </w:rPr>
                  </w:pPr>
                  <w:r>
                    <w:rPr>
                      <w:rFonts w:hint="eastAsia"/>
                      <w:b w:val="0"/>
                      <w:color w:val="auto"/>
                      <w:sz w:val="21"/>
                      <w:szCs w:val="21"/>
                    </w:rPr>
                    <w:t>0.03</w:t>
                  </w:r>
                </w:p>
              </w:tc>
              <w:tc>
                <w:tcPr>
                  <w:tcW w:w="1191" w:type="pct"/>
                  <w:vMerge w:val="continue"/>
                  <w:vAlign w:val="center"/>
                </w:tcPr>
                <w:p w14:paraId="1E583ED5">
                  <w:pPr>
                    <w:pStyle w:val="40"/>
                    <w:jc w:val="center"/>
                    <w:rPr>
                      <w:rFonts w:eastAsiaTheme="minorEastAsia"/>
                      <w:color w:val="auto"/>
                      <w:sz w:val="21"/>
                      <w:szCs w:val="21"/>
                    </w:rPr>
                  </w:pPr>
                </w:p>
              </w:tc>
            </w:tr>
            <w:tr w14:paraId="3EE32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7169C66B">
                  <w:pPr>
                    <w:pStyle w:val="61"/>
                    <w:snapToGrid/>
                    <w:rPr>
                      <w:sz w:val="21"/>
                      <w:szCs w:val="21"/>
                    </w:rPr>
                  </w:pPr>
                  <w:r>
                    <w:rPr>
                      <w:rFonts w:hint="eastAsia"/>
                      <w:sz w:val="21"/>
                      <w:szCs w:val="21"/>
                    </w:rPr>
                    <w:t>10</w:t>
                  </w:r>
                </w:p>
              </w:tc>
              <w:tc>
                <w:tcPr>
                  <w:tcW w:w="685" w:type="pct"/>
                  <w:vAlign w:val="center"/>
                </w:tcPr>
                <w:p w14:paraId="19195410">
                  <w:pPr>
                    <w:pStyle w:val="52"/>
                    <w:autoSpaceDE w:val="0"/>
                    <w:autoSpaceDN w:val="0"/>
                    <w:rPr>
                      <w:b w:val="0"/>
                      <w:color w:val="auto"/>
                      <w:sz w:val="21"/>
                      <w:szCs w:val="21"/>
                    </w:rPr>
                  </w:pPr>
                  <w:r>
                    <w:rPr>
                      <w:rFonts w:hint="eastAsia"/>
                      <w:b w:val="0"/>
                      <w:color w:val="auto"/>
                      <w:sz w:val="21"/>
                      <w:szCs w:val="21"/>
                    </w:rPr>
                    <w:t>过期试剂</w:t>
                  </w:r>
                </w:p>
              </w:tc>
              <w:tc>
                <w:tcPr>
                  <w:tcW w:w="448" w:type="pct"/>
                  <w:vMerge w:val="continue"/>
                  <w:vAlign w:val="center"/>
                </w:tcPr>
                <w:p w14:paraId="24E311F8">
                  <w:pPr>
                    <w:pStyle w:val="60"/>
                    <w:jc w:val="center"/>
                    <w:rPr>
                      <w:rFonts w:ascii="Times New Roman" w:hAnsi="Times New Roman" w:cs="Times New Roman"/>
                      <w:sz w:val="21"/>
                      <w:szCs w:val="21"/>
                      <w:lang w:val="en-US"/>
                    </w:rPr>
                  </w:pPr>
                </w:p>
              </w:tc>
              <w:tc>
                <w:tcPr>
                  <w:tcW w:w="814" w:type="pct"/>
                  <w:vAlign w:val="center"/>
                </w:tcPr>
                <w:p w14:paraId="5CF02B08">
                  <w:pPr>
                    <w:jc w:val="center"/>
                    <w:rPr>
                      <w:sz w:val="21"/>
                      <w:szCs w:val="21"/>
                    </w:rPr>
                  </w:pPr>
                  <w:r>
                    <w:rPr>
                      <w:sz w:val="21"/>
                      <w:szCs w:val="21"/>
                    </w:rPr>
                    <w:t>HW</w:t>
                  </w:r>
                  <w:r>
                    <w:rPr>
                      <w:rFonts w:hint="eastAsia"/>
                      <w:sz w:val="21"/>
                      <w:szCs w:val="21"/>
                    </w:rPr>
                    <w:t>03</w:t>
                  </w:r>
                </w:p>
                <w:p w14:paraId="13787491">
                  <w:pPr>
                    <w:jc w:val="center"/>
                    <w:rPr>
                      <w:sz w:val="21"/>
                      <w:szCs w:val="21"/>
                    </w:rPr>
                  </w:pPr>
                  <w:r>
                    <w:rPr>
                      <w:sz w:val="21"/>
                      <w:szCs w:val="21"/>
                    </w:rPr>
                    <w:t>900-002-03</w:t>
                  </w:r>
                </w:p>
              </w:tc>
              <w:tc>
                <w:tcPr>
                  <w:tcW w:w="619" w:type="pct"/>
                  <w:vAlign w:val="center"/>
                </w:tcPr>
                <w:p w14:paraId="157760F3">
                  <w:pPr>
                    <w:jc w:val="center"/>
                    <w:rPr>
                      <w:sz w:val="21"/>
                      <w:szCs w:val="21"/>
                    </w:rPr>
                  </w:pPr>
                  <w:r>
                    <w:rPr>
                      <w:sz w:val="21"/>
                      <w:szCs w:val="21"/>
                    </w:rPr>
                    <w:t>危险</w:t>
                  </w:r>
                </w:p>
                <w:p w14:paraId="5EE0DF02">
                  <w:pPr>
                    <w:jc w:val="center"/>
                    <w:rPr>
                      <w:sz w:val="21"/>
                      <w:szCs w:val="21"/>
                    </w:rPr>
                  </w:pPr>
                  <w:r>
                    <w:rPr>
                      <w:sz w:val="21"/>
                      <w:szCs w:val="21"/>
                    </w:rPr>
                    <w:t>废物</w:t>
                  </w:r>
                </w:p>
              </w:tc>
              <w:tc>
                <w:tcPr>
                  <w:tcW w:w="363" w:type="pct"/>
                  <w:vAlign w:val="center"/>
                </w:tcPr>
                <w:p w14:paraId="34CDEBCD">
                  <w:pPr>
                    <w:jc w:val="center"/>
                    <w:rPr>
                      <w:sz w:val="21"/>
                      <w:szCs w:val="21"/>
                    </w:rPr>
                  </w:pPr>
                  <w:r>
                    <w:rPr>
                      <w:sz w:val="21"/>
                      <w:szCs w:val="21"/>
                    </w:rPr>
                    <w:t>液态</w:t>
                  </w:r>
                </w:p>
              </w:tc>
              <w:tc>
                <w:tcPr>
                  <w:tcW w:w="550" w:type="pct"/>
                  <w:vAlign w:val="center"/>
                </w:tcPr>
                <w:p w14:paraId="56B56E43">
                  <w:pPr>
                    <w:pStyle w:val="52"/>
                    <w:rPr>
                      <w:b w:val="0"/>
                      <w:color w:val="auto"/>
                      <w:sz w:val="21"/>
                      <w:szCs w:val="21"/>
                    </w:rPr>
                  </w:pPr>
                  <w:r>
                    <w:rPr>
                      <w:rFonts w:hint="eastAsia"/>
                      <w:b w:val="0"/>
                      <w:color w:val="auto"/>
                      <w:sz w:val="21"/>
                      <w:szCs w:val="21"/>
                    </w:rPr>
                    <w:t>0.01</w:t>
                  </w:r>
                </w:p>
              </w:tc>
              <w:tc>
                <w:tcPr>
                  <w:tcW w:w="1191" w:type="pct"/>
                  <w:vMerge w:val="continue"/>
                  <w:vAlign w:val="center"/>
                </w:tcPr>
                <w:p w14:paraId="10A1E0D7">
                  <w:pPr>
                    <w:pStyle w:val="40"/>
                    <w:jc w:val="center"/>
                    <w:rPr>
                      <w:rFonts w:eastAsiaTheme="minorEastAsia"/>
                      <w:color w:val="auto"/>
                      <w:sz w:val="21"/>
                      <w:szCs w:val="21"/>
                    </w:rPr>
                  </w:pPr>
                </w:p>
              </w:tc>
            </w:tr>
            <w:tr w14:paraId="56E88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58388226">
                  <w:pPr>
                    <w:pStyle w:val="61"/>
                    <w:snapToGrid/>
                    <w:rPr>
                      <w:sz w:val="21"/>
                      <w:szCs w:val="21"/>
                    </w:rPr>
                  </w:pPr>
                  <w:r>
                    <w:rPr>
                      <w:rFonts w:hint="eastAsia"/>
                      <w:sz w:val="21"/>
                      <w:szCs w:val="21"/>
                    </w:rPr>
                    <w:t>11</w:t>
                  </w:r>
                </w:p>
              </w:tc>
              <w:tc>
                <w:tcPr>
                  <w:tcW w:w="685" w:type="pct"/>
                  <w:vAlign w:val="center"/>
                </w:tcPr>
                <w:p w14:paraId="269844FC">
                  <w:pPr>
                    <w:pStyle w:val="52"/>
                    <w:autoSpaceDE w:val="0"/>
                    <w:autoSpaceDN w:val="0"/>
                    <w:rPr>
                      <w:b w:val="0"/>
                      <w:color w:val="auto"/>
                      <w:sz w:val="21"/>
                      <w:szCs w:val="21"/>
                    </w:rPr>
                  </w:pPr>
                  <w:r>
                    <w:rPr>
                      <w:rFonts w:hint="eastAsia"/>
                      <w:b w:val="0"/>
                      <w:color w:val="auto"/>
                      <w:sz w:val="21"/>
                      <w:szCs w:val="21"/>
                    </w:rPr>
                    <w:t>废紫外灯管</w:t>
                  </w:r>
                </w:p>
              </w:tc>
              <w:tc>
                <w:tcPr>
                  <w:tcW w:w="448" w:type="pct"/>
                  <w:vMerge w:val="continue"/>
                  <w:vAlign w:val="center"/>
                </w:tcPr>
                <w:p w14:paraId="372DFC03">
                  <w:pPr>
                    <w:pStyle w:val="60"/>
                    <w:jc w:val="center"/>
                    <w:rPr>
                      <w:rFonts w:ascii="Times New Roman" w:hAnsi="Times New Roman" w:cs="Times New Roman"/>
                      <w:sz w:val="21"/>
                      <w:szCs w:val="21"/>
                      <w:lang w:val="en-US"/>
                    </w:rPr>
                  </w:pPr>
                </w:p>
              </w:tc>
              <w:tc>
                <w:tcPr>
                  <w:tcW w:w="814" w:type="pct"/>
                  <w:vAlign w:val="center"/>
                </w:tcPr>
                <w:p w14:paraId="58CF7550">
                  <w:pPr>
                    <w:jc w:val="center"/>
                    <w:rPr>
                      <w:sz w:val="21"/>
                      <w:szCs w:val="21"/>
                    </w:rPr>
                  </w:pPr>
                  <w:r>
                    <w:rPr>
                      <w:sz w:val="21"/>
                      <w:szCs w:val="21"/>
                    </w:rPr>
                    <w:t>HW</w:t>
                  </w:r>
                  <w:r>
                    <w:rPr>
                      <w:rFonts w:hint="eastAsia"/>
                      <w:sz w:val="21"/>
                      <w:szCs w:val="21"/>
                    </w:rPr>
                    <w:t>29</w:t>
                  </w:r>
                </w:p>
                <w:p w14:paraId="2F694EB7">
                  <w:pPr>
                    <w:jc w:val="center"/>
                    <w:rPr>
                      <w:sz w:val="21"/>
                      <w:szCs w:val="21"/>
                    </w:rPr>
                  </w:pPr>
                  <w:r>
                    <w:rPr>
                      <w:sz w:val="21"/>
                      <w:szCs w:val="21"/>
                    </w:rPr>
                    <w:t>900-</w:t>
                  </w:r>
                  <w:r>
                    <w:rPr>
                      <w:rFonts w:hint="eastAsia"/>
                      <w:sz w:val="21"/>
                      <w:szCs w:val="21"/>
                    </w:rPr>
                    <w:t>023</w:t>
                  </w:r>
                  <w:r>
                    <w:rPr>
                      <w:sz w:val="21"/>
                      <w:szCs w:val="21"/>
                    </w:rPr>
                    <w:t>-</w:t>
                  </w:r>
                  <w:r>
                    <w:rPr>
                      <w:rFonts w:hint="eastAsia"/>
                      <w:sz w:val="21"/>
                      <w:szCs w:val="21"/>
                    </w:rPr>
                    <w:t>29</w:t>
                  </w:r>
                </w:p>
              </w:tc>
              <w:tc>
                <w:tcPr>
                  <w:tcW w:w="619" w:type="pct"/>
                  <w:vAlign w:val="center"/>
                </w:tcPr>
                <w:p w14:paraId="45A7A588">
                  <w:pPr>
                    <w:jc w:val="center"/>
                    <w:rPr>
                      <w:sz w:val="21"/>
                      <w:szCs w:val="21"/>
                    </w:rPr>
                  </w:pPr>
                  <w:r>
                    <w:rPr>
                      <w:sz w:val="21"/>
                      <w:szCs w:val="21"/>
                    </w:rPr>
                    <w:t>危险</w:t>
                  </w:r>
                </w:p>
                <w:p w14:paraId="49C03935">
                  <w:pPr>
                    <w:jc w:val="center"/>
                    <w:rPr>
                      <w:sz w:val="21"/>
                      <w:szCs w:val="21"/>
                    </w:rPr>
                  </w:pPr>
                  <w:r>
                    <w:rPr>
                      <w:sz w:val="21"/>
                      <w:szCs w:val="21"/>
                    </w:rPr>
                    <w:t>废物</w:t>
                  </w:r>
                </w:p>
              </w:tc>
              <w:tc>
                <w:tcPr>
                  <w:tcW w:w="363" w:type="pct"/>
                  <w:vAlign w:val="center"/>
                </w:tcPr>
                <w:p w14:paraId="17F54950">
                  <w:pPr>
                    <w:jc w:val="center"/>
                    <w:rPr>
                      <w:sz w:val="21"/>
                      <w:szCs w:val="21"/>
                    </w:rPr>
                  </w:pPr>
                  <w:r>
                    <w:rPr>
                      <w:sz w:val="21"/>
                      <w:szCs w:val="21"/>
                    </w:rPr>
                    <w:t>固态</w:t>
                  </w:r>
                </w:p>
              </w:tc>
              <w:tc>
                <w:tcPr>
                  <w:tcW w:w="550" w:type="pct"/>
                  <w:vAlign w:val="center"/>
                </w:tcPr>
                <w:p w14:paraId="661F40F0">
                  <w:pPr>
                    <w:pStyle w:val="52"/>
                    <w:rPr>
                      <w:b w:val="0"/>
                      <w:color w:val="auto"/>
                      <w:sz w:val="21"/>
                      <w:szCs w:val="21"/>
                    </w:rPr>
                  </w:pPr>
                  <w:r>
                    <w:rPr>
                      <w:rFonts w:hint="eastAsia"/>
                      <w:b w:val="0"/>
                      <w:color w:val="auto"/>
                      <w:sz w:val="21"/>
                      <w:szCs w:val="21"/>
                    </w:rPr>
                    <w:t>0.01</w:t>
                  </w:r>
                </w:p>
              </w:tc>
              <w:tc>
                <w:tcPr>
                  <w:tcW w:w="1191" w:type="pct"/>
                  <w:vMerge w:val="continue"/>
                  <w:vAlign w:val="center"/>
                </w:tcPr>
                <w:p w14:paraId="37BE4AB6">
                  <w:pPr>
                    <w:pStyle w:val="40"/>
                    <w:jc w:val="center"/>
                    <w:rPr>
                      <w:rFonts w:cs="Times New Roman"/>
                      <w:color w:val="auto"/>
                      <w:spacing w:val="-2"/>
                      <w:sz w:val="21"/>
                      <w:szCs w:val="21"/>
                    </w:rPr>
                  </w:pPr>
                </w:p>
              </w:tc>
            </w:tr>
            <w:tr w14:paraId="7433A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69" w:hRule="atLeast"/>
                <w:jc w:val="center"/>
              </w:trPr>
              <w:tc>
                <w:tcPr>
                  <w:tcW w:w="326" w:type="pct"/>
                  <w:vAlign w:val="center"/>
                </w:tcPr>
                <w:p w14:paraId="68743E88">
                  <w:pPr>
                    <w:pStyle w:val="61"/>
                    <w:snapToGrid/>
                    <w:rPr>
                      <w:sz w:val="21"/>
                      <w:szCs w:val="21"/>
                    </w:rPr>
                  </w:pPr>
                  <w:r>
                    <w:rPr>
                      <w:rFonts w:hint="eastAsia"/>
                      <w:sz w:val="21"/>
                      <w:szCs w:val="21"/>
                    </w:rPr>
                    <w:t>12</w:t>
                  </w:r>
                </w:p>
              </w:tc>
              <w:tc>
                <w:tcPr>
                  <w:tcW w:w="685" w:type="pct"/>
                  <w:vAlign w:val="center"/>
                </w:tcPr>
                <w:p w14:paraId="64ED07D3">
                  <w:pPr>
                    <w:pStyle w:val="52"/>
                    <w:autoSpaceDE w:val="0"/>
                    <w:autoSpaceDN w:val="0"/>
                    <w:rPr>
                      <w:b w:val="0"/>
                      <w:color w:val="auto"/>
                      <w:sz w:val="21"/>
                      <w:szCs w:val="21"/>
                    </w:rPr>
                  </w:pPr>
                  <w:r>
                    <w:rPr>
                      <w:b w:val="0"/>
                      <w:color w:val="auto"/>
                      <w:sz w:val="21"/>
                      <w:szCs w:val="21"/>
                    </w:rPr>
                    <w:t>废活性炭</w:t>
                  </w:r>
                </w:p>
              </w:tc>
              <w:tc>
                <w:tcPr>
                  <w:tcW w:w="448" w:type="pct"/>
                  <w:vAlign w:val="center"/>
                </w:tcPr>
                <w:p w14:paraId="1D848787">
                  <w:pPr>
                    <w:pStyle w:val="60"/>
                    <w:jc w:val="center"/>
                    <w:rPr>
                      <w:rFonts w:ascii="Times New Roman" w:hAnsi="Times New Roman" w:cs="Times New Roman"/>
                      <w:sz w:val="21"/>
                      <w:szCs w:val="21"/>
                      <w:lang w:val="en-US"/>
                    </w:rPr>
                  </w:pPr>
                  <w:r>
                    <w:rPr>
                      <w:rFonts w:ascii="Times New Roman" w:hAnsi="Times New Roman" w:cs="Times New Roman"/>
                      <w:sz w:val="21"/>
                      <w:szCs w:val="21"/>
                      <w:lang w:val="en-US"/>
                    </w:rPr>
                    <w:t>废气</w:t>
                  </w:r>
                </w:p>
                <w:p w14:paraId="18511725">
                  <w:pPr>
                    <w:pStyle w:val="60"/>
                    <w:jc w:val="center"/>
                    <w:rPr>
                      <w:rFonts w:ascii="Times New Roman" w:hAnsi="Times New Roman" w:cs="Times New Roman"/>
                      <w:sz w:val="21"/>
                      <w:szCs w:val="21"/>
                      <w:lang w:val="en-US"/>
                    </w:rPr>
                  </w:pPr>
                  <w:r>
                    <w:rPr>
                      <w:rFonts w:ascii="Times New Roman" w:hAnsi="Times New Roman" w:cs="Times New Roman"/>
                      <w:sz w:val="21"/>
                      <w:szCs w:val="21"/>
                      <w:lang w:val="en-US"/>
                    </w:rPr>
                    <w:t>处理</w:t>
                  </w:r>
                </w:p>
              </w:tc>
              <w:tc>
                <w:tcPr>
                  <w:tcW w:w="814" w:type="pct"/>
                  <w:vAlign w:val="center"/>
                </w:tcPr>
                <w:p w14:paraId="097F457F">
                  <w:pPr>
                    <w:jc w:val="center"/>
                    <w:rPr>
                      <w:sz w:val="21"/>
                      <w:szCs w:val="21"/>
                    </w:rPr>
                  </w:pPr>
                  <w:r>
                    <w:rPr>
                      <w:sz w:val="21"/>
                      <w:szCs w:val="21"/>
                    </w:rPr>
                    <w:t>HW49</w:t>
                  </w:r>
                </w:p>
                <w:p w14:paraId="12B16A63">
                  <w:pPr>
                    <w:jc w:val="center"/>
                    <w:rPr>
                      <w:sz w:val="21"/>
                      <w:szCs w:val="21"/>
                    </w:rPr>
                  </w:pPr>
                  <w:r>
                    <w:rPr>
                      <w:sz w:val="21"/>
                      <w:szCs w:val="21"/>
                    </w:rPr>
                    <w:t>900-0</w:t>
                  </w:r>
                  <w:r>
                    <w:rPr>
                      <w:rFonts w:hint="eastAsia"/>
                      <w:sz w:val="21"/>
                      <w:szCs w:val="21"/>
                    </w:rPr>
                    <w:t>39</w:t>
                  </w:r>
                  <w:r>
                    <w:rPr>
                      <w:sz w:val="21"/>
                      <w:szCs w:val="21"/>
                    </w:rPr>
                    <w:t>-49</w:t>
                  </w:r>
                </w:p>
              </w:tc>
              <w:tc>
                <w:tcPr>
                  <w:tcW w:w="619" w:type="pct"/>
                  <w:vAlign w:val="center"/>
                </w:tcPr>
                <w:p w14:paraId="36550059">
                  <w:pPr>
                    <w:jc w:val="center"/>
                    <w:rPr>
                      <w:sz w:val="21"/>
                      <w:szCs w:val="21"/>
                    </w:rPr>
                  </w:pPr>
                  <w:r>
                    <w:rPr>
                      <w:sz w:val="21"/>
                      <w:szCs w:val="21"/>
                    </w:rPr>
                    <w:t>危险</w:t>
                  </w:r>
                </w:p>
                <w:p w14:paraId="2C5784CB">
                  <w:pPr>
                    <w:jc w:val="center"/>
                    <w:rPr>
                      <w:sz w:val="21"/>
                      <w:szCs w:val="21"/>
                    </w:rPr>
                  </w:pPr>
                  <w:r>
                    <w:rPr>
                      <w:sz w:val="21"/>
                      <w:szCs w:val="21"/>
                    </w:rPr>
                    <w:t>废物</w:t>
                  </w:r>
                </w:p>
              </w:tc>
              <w:tc>
                <w:tcPr>
                  <w:tcW w:w="363" w:type="pct"/>
                  <w:vAlign w:val="center"/>
                </w:tcPr>
                <w:p w14:paraId="48A57695">
                  <w:pPr>
                    <w:jc w:val="center"/>
                    <w:rPr>
                      <w:sz w:val="21"/>
                      <w:szCs w:val="21"/>
                    </w:rPr>
                  </w:pPr>
                  <w:r>
                    <w:rPr>
                      <w:sz w:val="21"/>
                      <w:szCs w:val="21"/>
                    </w:rPr>
                    <w:t>固态</w:t>
                  </w:r>
                </w:p>
              </w:tc>
              <w:tc>
                <w:tcPr>
                  <w:tcW w:w="550" w:type="pct"/>
                  <w:vAlign w:val="center"/>
                </w:tcPr>
                <w:p w14:paraId="49A442B6">
                  <w:pPr>
                    <w:pStyle w:val="52"/>
                    <w:rPr>
                      <w:b w:val="0"/>
                      <w:color w:val="auto"/>
                      <w:sz w:val="21"/>
                      <w:szCs w:val="21"/>
                    </w:rPr>
                  </w:pPr>
                  <w:r>
                    <w:rPr>
                      <w:rFonts w:hint="eastAsia"/>
                      <w:b w:val="0"/>
                      <w:color w:val="auto"/>
                      <w:sz w:val="21"/>
                      <w:szCs w:val="21"/>
                    </w:rPr>
                    <w:t>2</w:t>
                  </w:r>
                </w:p>
              </w:tc>
              <w:tc>
                <w:tcPr>
                  <w:tcW w:w="1191" w:type="pct"/>
                  <w:vMerge w:val="continue"/>
                  <w:vAlign w:val="center"/>
                </w:tcPr>
                <w:p w14:paraId="61C6C7EA">
                  <w:pPr>
                    <w:pStyle w:val="40"/>
                    <w:rPr>
                      <w:rFonts w:cs="Times New Roman"/>
                      <w:color w:val="auto"/>
                      <w:spacing w:val="-2"/>
                      <w:sz w:val="21"/>
                      <w:szCs w:val="21"/>
                    </w:rPr>
                  </w:pPr>
                </w:p>
              </w:tc>
            </w:tr>
          </w:tbl>
          <w:p w14:paraId="6D0F22D9">
            <w:pPr>
              <w:tabs>
                <w:tab w:val="left" w:pos="3836"/>
              </w:tabs>
              <w:spacing w:before="156" w:beforeLines="50"/>
              <w:jc w:val="center"/>
              <w:rPr>
                <w:b/>
                <w:bCs/>
                <w:sz w:val="21"/>
                <w:szCs w:val="18"/>
              </w:rPr>
            </w:pPr>
            <w:r>
              <w:rPr>
                <w:b/>
                <w:bCs/>
                <w:sz w:val="21"/>
                <w:szCs w:val="18"/>
              </w:rPr>
              <w:t>表4-1</w:t>
            </w:r>
            <w:r>
              <w:rPr>
                <w:rFonts w:hint="eastAsia"/>
                <w:b/>
                <w:bCs/>
                <w:sz w:val="21"/>
                <w:szCs w:val="18"/>
              </w:rPr>
              <w:t>9</w:t>
            </w:r>
            <w:r>
              <w:rPr>
                <w:b/>
                <w:bCs/>
                <w:sz w:val="21"/>
                <w:szCs w:val="18"/>
              </w:rPr>
              <w:t xml:space="preserve">  </w:t>
            </w:r>
            <w:r>
              <w:rPr>
                <w:rFonts w:hint="eastAsia"/>
                <w:b/>
                <w:bCs/>
                <w:sz w:val="21"/>
                <w:szCs w:val="18"/>
              </w:rPr>
              <w:t>危险废物汇总表</w:t>
            </w:r>
          </w:p>
          <w:tbl>
            <w:tblPr>
              <w:tblStyle w:val="2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1194"/>
              <w:gridCol w:w="908"/>
              <w:gridCol w:w="1351"/>
              <w:gridCol w:w="808"/>
              <w:gridCol w:w="766"/>
              <w:gridCol w:w="823"/>
              <w:gridCol w:w="739"/>
              <w:gridCol w:w="963"/>
            </w:tblGrid>
            <w:tr w14:paraId="5276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8" w:type="pct"/>
                  <w:shd w:val="clear" w:color="auto" w:fill="auto"/>
                  <w:vAlign w:val="center"/>
                </w:tcPr>
                <w:p w14:paraId="09BF474D">
                  <w:pPr>
                    <w:jc w:val="center"/>
                    <w:rPr>
                      <w:b/>
                      <w:bCs/>
                      <w:sz w:val="21"/>
                      <w:szCs w:val="21"/>
                    </w:rPr>
                  </w:pPr>
                  <w:r>
                    <w:rPr>
                      <w:b/>
                      <w:bCs/>
                      <w:sz w:val="21"/>
                      <w:szCs w:val="21"/>
                    </w:rPr>
                    <w:t>序号</w:t>
                  </w:r>
                </w:p>
              </w:tc>
              <w:tc>
                <w:tcPr>
                  <w:tcW w:w="738" w:type="pct"/>
                  <w:shd w:val="clear" w:color="auto" w:fill="auto"/>
                  <w:vAlign w:val="center"/>
                </w:tcPr>
                <w:p w14:paraId="30C42DB8">
                  <w:pPr>
                    <w:jc w:val="center"/>
                    <w:rPr>
                      <w:b/>
                      <w:bCs/>
                      <w:sz w:val="21"/>
                      <w:szCs w:val="21"/>
                    </w:rPr>
                  </w:pPr>
                  <w:r>
                    <w:rPr>
                      <w:b/>
                      <w:bCs/>
                      <w:sz w:val="21"/>
                      <w:szCs w:val="21"/>
                    </w:rPr>
                    <w:t>危险废物名称</w:t>
                  </w:r>
                </w:p>
              </w:tc>
              <w:tc>
                <w:tcPr>
                  <w:tcW w:w="561" w:type="pct"/>
                  <w:shd w:val="clear" w:color="auto" w:fill="auto"/>
                  <w:vAlign w:val="center"/>
                </w:tcPr>
                <w:p w14:paraId="273F9832">
                  <w:pPr>
                    <w:jc w:val="center"/>
                    <w:rPr>
                      <w:b/>
                      <w:bCs/>
                      <w:sz w:val="21"/>
                      <w:szCs w:val="21"/>
                    </w:rPr>
                  </w:pPr>
                  <w:r>
                    <w:rPr>
                      <w:b/>
                      <w:bCs/>
                      <w:sz w:val="21"/>
                      <w:szCs w:val="21"/>
                    </w:rPr>
                    <w:t>危险废物类别</w:t>
                  </w:r>
                </w:p>
              </w:tc>
              <w:tc>
                <w:tcPr>
                  <w:tcW w:w="834" w:type="pct"/>
                  <w:shd w:val="clear" w:color="auto" w:fill="auto"/>
                  <w:vAlign w:val="center"/>
                </w:tcPr>
                <w:p w14:paraId="6477ACBC">
                  <w:pPr>
                    <w:jc w:val="center"/>
                    <w:rPr>
                      <w:b/>
                      <w:bCs/>
                      <w:sz w:val="21"/>
                      <w:szCs w:val="21"/>
                    </w:rPr>
                  </w:pPr>
                  <w:r>
                    <w:rPr>
                      <w:b/>
                      <w:bCs/>
                      <w:sz w:val="21"/>
                      <w:szCs w:val="21"/>
                    </w:rPr>
                    <w:t>危险废物代码</w:t>
                  </w:r>
                </w:p>
              </w:tc>
              <w:tc>
                <w:tcPr>
                  <w:tcW w:w="500" w:type="pct"/>
                  <w:shd w:val="clear" w:color="auto" w:fill="auto"/>
                  <w:vAlign w:val="center"/>
                </w:tcPr>
                <w:p w14:paraId="6C5D7A5D">
                  <w:pPr>
                    <w:jc w:val="center"/>
                    <w:rPr>
                      <w:b/>
                      <w:bCs/>
                      <w:sz w:val="21"/>
                      <w:szCs w:val="21"/>
                    </w:rPr>
                  </w:pPr>
                  <w:r>
                    <w:rPr>
                      <w:b/>
                      <w:bCs/>
                      <w:sz w:val="21"/>
                      <w:szCs w:val="21"/>
                    </w:rPr>
                    <w:t>产生量（t）</w:t>
                  </w:r>
                </w:p>
              </w:tc>
              <w:tc>
                <w:tcPr>
                  <w:tcW w:w="474" w:type="pct"/>
                  <w:shd w:val="clear" w:color="auto" w:fill="auto"/>
                  <w:vAlign w:val="center"/>
                </w:tcPr>
                <w:p w14:paraId="61F57C50">
                  <w:pPr>
                    <w:jc w:val="center"/>
                    <w:rPr>
                      <w:b/>
                      <w:bCs/>
                      <w:sz w:val="21"/>
                      <w:szCs w:val="21"/>
                    </w:rPr>
                  </w:pPr>
                  <w:r>
                    <w:rPr>
                      <w:b/>
                      <w:bCs/>
                      <w:sz w:val="21"/>
                      <w:szCs w:val="21"/>
                    </w:rPr>
                    <w:t>形态</w:t>
                  </w:r>
                </w:p>
              </w:tc>
              <w:tc>
                <w:tcPr>
                  <w:tcW w:w="509" w:type="pct"/>
                  <w:shd w:val="clear" w:color="auto" w:fill="auto"/>
                  <w:vAlign w:val="center"/>
                </w:tcPr>
                <w:p w14:paraId="37E95FA7">
                  <w:pPr>
                    <w:jc w:val="center"/>
                    <w:rPr>
                      <w:b/>
                      <w:bCs/>
                      <w:sz w:val="21"/>
                      <w:szCs w:val="21"/>
                    </w:rPr>
                  </w:pPr>
                  <w:r>
                    <w:rPr>
                      <w:b/>
                      <w:bCs/>
                      <w:sz w:val="21"/>
                      <w:szCs w:val="21"/>
                    </w:rPr>
                    <w:t>有害成分</w:t>
                  </w:r>
                </w:p>
              </w:tc>
              <w:tc>
                <w:tcPr>
                  <w:tcW w:w="457" w:type="pct"/>
                  <w:shd w:val="clear" w:color="auto" w:fill="auto"/>
                  <w:vAlign w:val="center"/>
                </w:tcPr>
                <w:p w14:paraId="7ADE8A65">
                  <w:pPr>
                    <w:jc w:val="center"/>
                    <w:rPr>
                      <w:b/>
                      <w:bCs/>
                      <w:sz w:val="21"/>
                      <w:szCs w:val="21"/>
                    </w:rPr>
                  </w:pPr>
                  <w:r>
                    <w:rPr>
                      <w:b/>
                      <w:bCs/>
                      <w:sz w:val="21"/>
                      <w:szCs w:val="21"/>
                    </w:rPr>
                    <w:t>危险特性</w:t>
                  </w:r>
                </w:p>
              </w:tc>
              <w:tc>
                <w:tcPr>
                  <w:tcW w:w="596" w:type="pct"/>
                  <w:shd w:val="clear" w:color="auto" w:fill="auto"/>
                  <w:vAlign w:val="center"/>
                </w:tcPr>
                <w:p w14:paraId="5FA909E3">
                  <w:pPr>
                    <w:jc w:val="center"/>
                    <w:rPr>
                      <w:b/>
                      <w:bCs/>
                      <w:sz w:val="21"/>
                      <w:szCs w:val="21"/>
                    </w:rPr>
                  </w:pPr>
                  <w:r>
                    <w:rPr>
                      <w:b/>
                      <w:bCs/>
                      <w:sz w:val="21"/>
                      <w:szCs w:val="21"/>
                    </w:rPr>
                    <w:t>污染防治措施</w:t>
                  </w:r>
                </w:p>
              </w:tc>
            </w:tr>
            <w:tr w14:paraId="249BA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8" w:type="pct"/>
                  <w:shd w:val="clear" w:color="auto" w:fill="auto"/>
                  <w:vAlign w:val="center"/>
                </w:tcPr>
                <w:p w14:paraId="4B6C75D3">
                  <w:pPr>
                    <w:jc w:val="center"/>
                    <w:rPr>
                      <w:sz w:val="21"/>
                      <w:szCs w:val="21"/>
                    </w:rPr>
                  </w:pPr>
                  <w:r>
                    <w:rPr>
                      <w:sz w:val="21"/>
                      <w:szCs w:val="21"/>
                    </w:rPr>
                    <w:t>1</w:t>
                  </w:r>
                </w:p>
              </w:tc>
              <w:tc>
                <w:tcPr>
                  <w:tcW w:w="738" w:type="pct"/>
                  <w:shd w:val="clear" w:color="auto" w:fill="auto"/>
                  <w:vAlign w:val="center"/>
                </w:tcPr>
                <w:p w14:paraId="6DAC74DD">
                  <w:pPr>
                    <w:jc w:val="center"/>
                    <w:rPr>
                      <w:sz w:val="21"/>
                      <w:szCs w:val="21"/>
                    </w:rPr>
                  </w:pPr>
                  <w:r>
                    <w:rPr>
                      <w:rFonts w:hint="eastAsia"/>
                      <w:sz w:val="21"/>
                      <w:szCs w:val="21"/>
                    </w:rPr>
                    <w:t>实验废液</w:t>
                  </w:r>
                </w:p>
              </w:tc>
              <w:tc>
                <w:tcPr>
                  <w:tcW w:w="561" w:type="pct"/>
                  <w:shd w:val="clear" w:color="auto" w:fill="auto"/>
                  <w:vAlign w:val="center"/>
                </w:tcPr>
                <w:p w14:paraId="051626B5">
                  <w:pPr>
                    <w:jc w:val="center"/>
                    <w:rPr>
                      <w:sz w:val="21"/>
                      <w:szCs w:val="21"/>
                    </w:rPr>
                  </w:pPr>
                  <w:r>
                    <w:rPr>
                      <w:sz w:val="21"/>
                      <w:szCs w:val="21"/>
                    </w:rPr>
                    <w:t>HW49</w:t>
                  </w:r>
                </w:p>
              </w:tc>
              <w:tc>
                <w:tcPr>
                  <w:tcW w:w="834" w:type="pct"/>
                  <w:shd w:val="clear" w:color="auto" w:fill="auto"/>
                  <w:vAlign w:val="center"/>
                </w:tcPr>
                <w:p w14:paraId="10DA8196">
                  <w:pPr>
                    <w:jc w:val="center"/>
                    <w:rPr>
                      <w:sz w:val="21"/>
                      <w:szCs w:val="21"/>
                    </w:rPr>
                  </w:pPr>
                  <w:r>
                    <w:rPr>
                      <w:sz w:val="21"/>
                      <w:szCs w:val="21"/>
                    </w:rPr>
                    <w:t>900-047-49</w:t>
                  </w:r>
                </w:p>
              </w:tc>
              <w:tc>
                <w:tcPr>
                  <w:tcW w:w="500" w:type="pct"/>
                  <w:shd w:val="clear" w:color="auto" w:fill="auto"/>
                  <w:vAlign w:val="center"/>
                </w:tcPr>
                <w:p w14:paraId="3E4C74E4">
                  <w:pPr>
                    <w:jc w:val="center"/>
                    <w:rPr>
                      <w:sz w:val="21"/>
                      <w:szCs w:val="21"/>
                    </w:rPr>
                  </w:pPr>
                  <w:r>
                    <w:rPr>
                      <w:rFonts w:hint="eastAsia"/>
                      <w:sz w:val="21"/>
                      <w:szCs w:val="21"/>
                    </w:rPr>
                    <w:t>0.8</w:t>
                  </w:r>
                </w:p>
              </w:tc>
              <w:tc>
                <w:tcPr>
                  <w:tcW w:w="474" w:type="pct"/>
                  <w:shd w:val="clear" w:color="auto" w:fill="auto"/>
                  <w:vAlign w:val="center"/>
                </w:tcPr>
                <w:p w14:paraId="419A01DD">
                  <w:pPr>
                    <w:jc w:val="center"/>
                    <w:rPr>
                      <w:sz w:val="21"/>
                      <w:szCs w:val="21"/>
                    </w:rPr>
                  </w:pPr>
                  <w:r>
                    <w:rPr>
                      <w:sz w:val="21"/>
                      <w:szCs w:val="21"/>
                    </w:rPr>
                    <w:t>液态</w:t>
                  </w:r>
                </w:p>
              </w:tc>
              <w:tc>
                <w:tcPr>
                  <w:tcW w:w="509" w:type="pct"/>
                  <w:shd w:val="clear" w:color="auto" w:fill="auto"/>
                  <w:vAlign w:val="center"/>
                </w:tcPr>
                <w:p w14:paraId="6908152F">
                  <w:pPr>
                    <w:jc w:val="center"/>
                    <w:rPr>
                      <w:sz w:val="21"/>
                      <w:szCs w:val="21"/>
                    </w:rPr>
                  </w:pPr>
                  <w:r>
                    <w:rPr>
                      <w:sz w:val="21"/>
                      <w:szCs w:val="21"/>
                    </w:rPr>
                    <w:t>毒性物质</w:t>
                  </w:r>
                </w:p>
              </w:tc>
              <w:tc>
                <w:tcPr>
                  <w:tcW w:w="457" w:type="pct"/>
                  <w:shd w:val="clear" w:color="auto" w:fill="auto"/>
                  <w:vAlign w:val="center"/>
                </w:tcPr>
                <w:p w14:paraId="3C0A3322">
                  <w:pPr>
                    <w:jc w:val="center"/>
                    <w:rPr>
                      <w:sz w:val="21"/>
                      <w:szCs w:val="21"/>
                    </w:rPr>
                  </w:pPr>
                  <w:r>
                    <w:rPr>
                      <w:sz w:val="21"/>
                      <w:szCs w:val="21"/>
                    </w:rPr>
                    <w:t>T</w:t>
                  </w:r>
                </w:p>
              </w:tc>
              <w:tc>
                <w:tcPr>
                  <w:tcW w:w="596" w:type="pct"/>
                  <w:vMerge w:val="restart"/>
                  <w:shd w:val="clear" w:color="auto" w:fill="auto"/>
                  <w:vAlign w:val="center"/>
                </w:tcPr>
                <w:p w14:paraId="24756F72">
                  <w:pPr>
                    <w:jc w:val="center"/>
                    <w:rPr>
                      <w:sz w:val="21"/>
                      <w:szCs w:val="21"/>
                    </w:rPr>
                  </w:pPr>
                  <w:r>
                    <w:rPr>
                      <w:rFonts w:hint="eastAsia" w:eastAsiaTheme="minorEastAsia"/>
                      <w:sz w:val="21"/>
                      <w:szCs w:val="21"/>
                    </w:rPr>
                    <w:t>定期交由有资质单位处置</w:t>
                  </w:r>
                </w:p>
              </w:tc>
            </w:tr>
            <w:tr w14:paraId="540DE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8" w:type="pct"/>
                  <w:shd w:val="clear" w:color="auto" w:fill="auto"/>
                  <w:vAlign w:val="center"/>
                </w:tcPr>
                <w:p w14:paraId="56635065">
                  <w:pPr>
                    <w:jc w:val="center"/>
                    <w:rPr>
                      <w:sz w:val="21"/>
                      <w:szCs w:val="21"/>
                    </w:rPr>
                  </w:pPr>
                  <w:r>
                    <w:rPr>
                      <w:rFonts w:hint="eastAsia"/>
                      <w:sz w:val="21"/>
                      <w:szCs w:val="21"/>
                    </w:rPr>
                    <w:t>2</w:t>
                  </w:r>
                </w:p>
              </w:tc>
              <w:tc>
                <w:tcPr>
                  <w:tcW w:w="738" w:type="pct"/>
                  <w:shd w:val="clear" w:color="auto" w:fill="auto"/>
                  <w:vAlign w:val="center"/>
                </w:tcPr>
                <w:p w14:paraId="2962D4D8">
                  <w:pPr>
                    <w:jc w:val="center"/>
                    <w:rPr>
                      <w:sz w:val="21"/>
                      <w:szCs w:val="21"/>
                    </w:rPr>
                  </w:pPr>
                  <w:r>
                    <w:rPr>
                      <w:rFonts w:hint="eastAsia"/>
                      <w:sz w:val="21"/>
                      <w:szCs w:val="21"/>
                    </w:rPr>
                    <w:t>一次清洗废水</w:t>
                  </w:r>
                </w:p>
              </w:tc>
              <w:tc>
                <w:tcPr>
                  <w:tcW w:w="561" w:type="pct"/>
                  <w:shd w:val="clear" w:color="auto" w:fill="auto"/>
                  <w:vAlign w:val="center"/>
                </w:tcPr>
                <w:p w14:paraId="6AB75407">
                  <w:pPr>
                    <w:jc w:val="center"/>
                    <w:rPr>
                      <w:sz w:val="21"/>
                      <w:szCs w:val="21"/>
                    </w:rPr>
                  </w:pPr>
                  <w:r>
                    <w:rPr>
                      <w:sz w:val="21"/>
                      <w:szCs w:val="21"/>
                    </w:rPr>
                    <w:t>HW49</w:t>
                  </w:r>
                </w:p>
              </w:tc>
              <w:tc>
                <w:tcPr>
                  <w:tcW w:w="834" w:type="pct"/>
                  <w:shd w:val="clear" w:color="auto" w:fill="auto"/>
                  <w:vAlign w:val="center"/>
                </w:tcPr>
                <w:p w14:paraId="1C90506E">
                  <w:pPr>
                    <w:jc w:val="center"/>
                    <w:rPr>
                      <w:sz w:val="21"/>
                      <w:szCs w:val="21"/>
                    </w:rPr>
                  </w:pPr>
                  <w:r>
                    <w:rPr>
                      <w:sz w:val="21"/>
                      <w:szCs w:val="21"/>
                    </w:rPr>
                    <w:t>900-047-49</w:t>
                  </w:r>
                </w:p>
              </w:tc>
              <w:tc>
                <w:tcPr>
                  <w:tcW w:w="500" w:type="pct"/>
                  <w:shd w:val="clear" w:color="auto" w:fill="auto"/>
                  <w:vAlign w:val="center"/>
                </w:tcPr>
                <w:p w14:paraId="13B89512">
                  <w:pPr>
                    <w:jc w:val="center"/>
                    <w:rPr>
                      <w:sz w:val="21"/>
                      <w:szCs w:val="21"/>
                    </w:rPr>
                  </w:pPr>
                  <w:r>
                    <w:rPr>
                      <w:rFonts w:hint="eastAsia"/>
                      <w:sz w:val="21"/>
                      <w:szCs w:val="21"/>
                    </w:rPr>
                    <w:t>0.12</w:t>
                  </w:r>
                </w:p>
              </w:tc>
              <w:tc>
                <w:tcPr>
                  <w:tcW w:w="474" w:type="pct"/>
                  <w:shd w:val="clear" w:color="auto" w:fill="auto"/>
                  <w:vAlign w:val="center"/>
                </w:tcPr>
                <w:p w14:paraId="1DCFAC7D">
                  <w:pPr>
                    <w:jc w:val="center"/>
                    <w:rPr>
                      <w:sz w:val="21"/>
                      <w:szCs w:val="21"/>
                    </w:rPr>
                  </w:pPr>
                  <w:r>
                    <w:rPr>
                      <w:sz w:val="21"/>
                      <w:szCs w:val="21"/>
                    </w:rPr>
                    <w:t>液态</w:t>
                  </w:r>
                </w:p>
              </w:tc>
              <w:tc>
                <w:tcPr>
                  <w:tcW w:w="509" w:type="pct"/>
                  <w:shd w:val="clear" w:color="auto" w:fill="auto"/>
                  <w:vAlign w:val="center"/>
                </w:tcPr>
                <w:p w14:paraId="7B60A001">
                  <w:pPr>
                    <w:jc w:val="center"/>
                    <w:rPr>
                      <w:sz w:val="21"/>
                      <w:szCs w:val="21"/>
                    </w:rPr>
                  </w:pPr>
                  <w:r>
                    <w:rPr>
                      <w:sz w:val="21"/>
                      <w:szCs w:val="21"/>
                    </w:rPr>
                    <w:t>毒性物质</w:t>
                  </w:r>
                </w:p>
              </w:tc>
              <w:tc>
                <w:tcPr>
                  <w:tcW w:w="457" w:type="pct"/>
                  <w:shd w:val="clear" w:color="auto" w:fill="auto"/>
                  <w:vAlign w:val="center"/>
                </w:tcPr>
                <w:p w14:paraId="1B363689">
                  <w:pPr>
                    <w:jc w:val="center"/>
                    <w:rPr>
                      <w:sz w:val="21"/>
                      <w:szCs w:val="21"/>
                    </w:rPr>
                  </w:pPr>
                  <w:r>
                    <w:rPr>
                      <w:sz w:val="21"/>
                      <w:szCs w:val="21"/>
                    </w:rPr>
                    <w:t>T</w:t>
                  </w:r>
                </w:p>
              </w:tc>
              <w:tc>
                <w:tcPr>
                  <w:tcW w:w="596" w:type="pct"/>
                  <w:vMerge w:val="continue"/>
                  <w:shd w:val="clear" w:color="auto" w:fill="auto"/>
                  <w:vAlign w:val="center"/>
                </w:tcPr>
                <w:p w14:paraId="46B83F4B">
                  <w:pPr>
                    <w:jc w:val="center"/>
                    <w:rPr>
                      <w:rFonts w:eastAsiaTheme="minorEastAsia"/>
                      <w:sz w:val="21"/>
                      <w:szCs w:val="21"/>
                    </w:rPr>
                  </w:pPr>
                </w:p>
              </w:tc>
            </w:tr>
            <w:tr w14:paraId="1F44C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8" w:type="pct"/>
                  <w:shd w:val="clear" w:color="auto" w:fill="auto"/>
                  <w:vAlign w:val="center"/>
                </w:tcPr>
                <w:p w14:paraId="56DE6043">
                  <w:pPr>
                    <w:jc w:val="center"/>
                    <w:rPr>
                      <w:sz w:val="21"/>
                      <w:szCs w:val="21"/>
                    </w:rPr>
                  </w:pPr>
                  <w:r>
                    <w:rPr>
                      <w:rFonts w:hint="eastAsia"/>
                      <w:sz w:val="21"/>
                      <w:szCs w:val="21"/>
                    </w:rPr>
                    <w:t>3</w:t>
                  </w:r>
                </w:p>
              </w:tc>
              <w:tc>
                <w:tcPr>
                  <w:tcW w:w="738" w:type="pct"/>
                  <w:shd w:val="clear" w:color="auto" w:fill="auto"/>
                  <w:vAlign w:val="center"/>
                </w:tcPr>
                <w:p w14:paraId="056F4C6A">
                  <w:pPr>
                    <w:pStyle w:val="52"/>
                    <w:autoSpaceDE w:val="0"/>
                    <w:autoSpaceDN w:val="0"/>
                    <w:rPr>
                      <w:b w:val="0"/>
                      <w:color w:val="auto"/>
                      <w:sz w:val="21"/>
                      <w:szCs w:val="21"/>
                    </w:rPr>
                  </w:pPr>
                  <w:r>
                    <w:rPr>
                      <w:b w:val="0"/>
                      <w:color w:val="auto"/>
                      <w:sz w:val="21"/>
                      <w:szCs w:val="21"/>
                    </w:rPr>
                    <w:t>废试剂</w:t>
                  </w:r>
                  <w:r>
                    <w:rPr>
                      <w:rFonts w:hint="eastAsia"/>
                      <w:b w:val="0"/>
                      <w:color w:val="auto"/>
                      <w:sz w:val="21"/>
                      <w:szCs w:val="21"/>
                    </w:rPr>
                    <w:t>瓶</w:t>
                  </w:r>
                </w:p>
              </w:tc>
              <w:tc>
                <w:tcPr>
                  <w:tcW w:w="561" w:type="pct"/>
                  <w:shd w:val="clear" w:color="auto" w:fill="auto"/>
                  <w:vAlign w:val="center"/>
                </w:tcPr>
                <w:p w14:paraId="79310CAB">
                  <w:pPr>
                    <w:jc w:val="center"/>
                    <w:rPr>
                      <w:sz w:val="21"/>
                      <w:szCs w:val="21"/>
                    </w:rPr>
                  </w:pPr>
                  <w:r>
                    <w:rPr>
                      <w:sz w:val="21"/>
                      <w:szCs w:val="21"/>
                    </w:rPr>
                    <w:t>HW</w:t>
                  </w:r>
                  <w:r>
                    <w:rPr>
                      <w:rFonts w:hint="eastAsia"/>
                      <w:sz w:val="21"/>
                      <w:szCs w:val="21"/>
                    </w:rPr>
                    <w:t>49</w:t>
                  </w:r>
                </w:p>
              </w:tc>
              <w:tc>
                <w:tcPr>
                  <w:tcW w:w="834" w:type="pct"/>
                  <w:shd w:val="clear" w:color="auto" w:fill="auto"/>
                  <w:vAlign w:val="center"/>
                </w:tcPr>
                <w:p w14:paraId="731BEE5E">
                  <w:pPr>
                    <w:jc w:val="center"/>
                    <w:rPr>
                      <w:sz w:val="21"/>
                      <w:szCs w:val="21"/>
                    </w:rPr>
                  </w:pPr>
                  <w:r>
                    <w:rPr>
                      <w:rFonts w:hint="eastAsia" w:eastAsiaTheme="minorEastAsia"/>
                      <w:sz w:val="21"/>
                      <w:szCs w:val="21"/>
                    </w:rPr>
                    <w:t>900-041-49</w:t>
                  </w:r>
                </w:p>
              </w:tc>
              <w:tc>
                <w:tcPr>
                  <w:tcW w:w="500" w:type="pct"/>
                  <w:shd w:val="clear" w:color="auto" w:fill="auto"/>
                  <w:vAlign w:val="center"/>
                </w:tcPr>
                <w:p w14:paraId="6060E9B7">
                  <w:pPr>
                    <w:jc w:val="center"/>
                    <w:rPr>
                      <w:sz w:val="21"/>
                      <w:szCs w:val="21"/>
                    </w:rPr>
                  </w:pPr>
                  <w:r>
                    <w:rPr>
                      <w:rFonts w:hint="eastAsia"/>
                      <w:sz w:val="21"/>
                      <w:szCs w:val="21"/>
                    </w:rPr>
                    <w:t>0.03</w:t>
                  </w:r>
                </w:p>
              </w:tc>
              <w:tc>
                <w:tcPr>
                  <w:tcW w:w="474" w:type="pct"/>
                  <w:shd w:val="clear" w:color="auto" w:fill="auto"/>
                  <w:vAlign w:val="center"/>
                </w:tcPr>
                <w:p w14:paraId="140FE952">
                  <w:pPr>
                    <w:jc w:val="center"/>
                    <w:rPr>
                      <w:sz w:val="21"/>
                      <w:szCs w:val="21"/>
                    </w:rPr>
                  </w:pPr>
                  <w:r>
                    <w:rPr>
                      <w:sz w:val="21"/>
                      <w:szCs w:val="21"/>
                    </w:rPr>
                    <w:t>固态</w:t>
                  </w:r>
                </w:p>
              </w:tc>
              <w:tc>
                <w:tcPr>
                  <w:tcW w:w="509" w:type="pct"/>
                  <w:shd w:val="clear" w:color="auto" w:fill="auto"/>
                  <w:vAlign w:val="center"/>
                </w:tcPr>
                <w:p w14:paraId="49D745B8">
                  <w:pPr>
                    <w:jc w:val="center"/>
                    <w:rPr>
                      <w:sz w:val="21"/>
                      <w:szCs w:val="21"/>
                    </w:rPr>
                  </w:pPr>
                  <w:r>
                    <w:rPr>
                      <w:sz w:val="21"/>
                      <w:szCs w:val="21"/>
                    </w:rPr>
                    <w:t>毒性物质</w:t>
                  </w:r>
                </w:p>
              </w:tc>
              <w:tc>
                <w:tcPr>
                  <w:tcW w:w="457" w:type="pct"/>
                  <w:shd w:val="clear" w:color="auto" w:fill="auto"/>
                  <w:vAlign w:val="center"/>
                </w:tcPr>
                <w:p w14:paraId="5AF27905">
                  <w:pPr>
                    <w:jc w:val="center"/>
                    <w:rPr>
                      <w:sz w:val="21"/>
                      <w:szCs w:val="21"/>
                    </w:rPr>
                  </w:pPr>
                  <w:r>
                    <w:rPr>
                      <w:sz w:val="21"/>
                      <w:szCs w:val="21"/>
                    </w:rPr>
                    <w:t>T</w:t>
                  </w:r>
                </w:p>
              </w:tc>
              <w:tc>
                <w:tcPr>
                  <w:tcW w:w="596" w:type="pct"/>
                  <w:vMerge w:val="continue"/>
                  <w:shd w:val="clear" w:color="auto" w:fill="auto"/>
                  <w:vAlign w:val="center"/>
                </w:tcPr>
                <w:p w14:paraId="09E2E288">
                  <w:pPr>
                    <w:jc w:val="center"/>
                    <w:rPr>
                      <w:rFonts w:eastAsiaTheme="minorEastAsia"/>
                      <w:sz w:val="21"/>
                      <w:szCs w:val="21"/>
                    </w:rPr>
                  </w:pPr>
                </w:p>
              </w:tc>
            </w:tr>
            <w:tr w14:paraId="54DD5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8" w:type="pct"/>
                  <w:shd w:val="clear" w:color="auto" w:fill="auto"/>
                  <w:vAlign w:val="center"/>
                </w:tcPr>
                <w:p w14:paraId="0EFC8FD5">
                  <w:pPr>
                    <w:jc w:val="center"/>
                    <w:rPr>
                      <w:sz w:val="21"/>
                      <w:szCs w:val="21"/>
                    </w:rPr>
                  </w:pPr>
                  <w:r>
                    <w:rPr>
                      <w:rFonts w:hint="eastAsia"/>
                      <w:sz w:val="21"/>
                      <w:szCs w:val="21"/>
                    </w:rPr>
                    <w:t>4</w:t>
                  </w:r>
                </w:p>
              </w:tc>
              <w:tc>
                <w:tcPr>
                  <w:tcW w:w="738" w:type="pct"/>
                  <w:shd w:val="clear" w:color="auto" w:fill="auto"/>
                  <w:vAlign w:val="center"/>
                </w:tcPr>
                <w:p w14:paraId="51E946A6">
                  <w:pPr>
                    <w:pStyle w:val="52"/>
                    <w:autoSpaceDE w:val="0"/>
                    <w:autoSpaceDN w:val="0"/>
                    <w:rPr>
                      <w:b w:val="0"/>
                      <w:color w:val="auto"/>
                      <w:sz w:val="21"/>
                      <w:szCs w:val="21"/>
                    </w:rPr>
                  </w:pPr>
                  <w:r>
                    <w:rPr>
                      <w:rFonts w:hint="eastAsia"/>
                      <w:b w:val="0"/>
                      <w:color w:val="auto"/>
                      <w:sz w:val="21"/>
                      <w:szCs w:val="21"/>
                    </w:rPr>
                    <w:t>过期试剂</w:t>
                  </w:r>
                </w:p>
              </w:tc>
              <w:tc>
                <w:tcPr>
                  <w:tcW w:w="561" w:type="pct"/>
                  <w:shd w:val="clear" w:color="auto" w:fill="auto"/>
                  <w:vAlign w:val="center"/>
                </w:tcPr>
                <w:p w14:paraId="2002938F">
                  <w:pPr>
                    <w:jc w:val="center"/>
                    <w:rPr>
                      <w:rFonts w:eastAsiaTheme="minorEastAsia"/>
                      <w:sz w:val="21"/>
                      <w:szCs w:val="21"/>
                    </w:rPr>
                  </w:pPr>
                  <w:r>
                    <w:rPr>
                      <w:sz w:val="21"/>
                      <w:szCs w:val="21"/>
                    </w:rPr>
                    <w:t>HW</w:t>
                  </w:r>
                  <w:r>
                    <w:rPr>
                      <w:rFonts w:hint="eastAsia"/>
                      <w:sz w:val="21"/>
                      <w:szCs w:val="21"/>
                    </w:rPr>
                    <w:t>03</w:t>
                  </w:r>
                </w:p>
              </w:tc>
              <w:tc>
                <w:tcPr>
                  <w:tcW w:w="834" w:type="pct"/>
                  <w:shd w:val="clear" w:color="auto" w:fill="auto"/>
                  <w:vAlign w:val="center"/>
                </w:tcPr>
                <w:p w14:paraId="7C2D7CC1">
                  <w:pPr>
                    <w:jc w:val="center"/>
                    <w:rPr>
                      <w:rFonts w:eastAsiaTheme="minorEastAsia"/>
                      <w:sz w:val="21"/>
                      <w:szCs w:val="21"/>
                    </w:rPr>
                  </w:pPr>
                  <w:r>
                    <w:rPr>
                      <w:sz w:val="21"/>
                      <w:szCs w:val="21"/>
                    </w:rPr>
                    <w:t>900-002-03</w:t>
                  </w:r>
                </w:p>
              </w:tc>
              <w:tc>
                <w:tcPr>
                  <w:tcW w:w="500" w:type="pct"/>
                  <w:shd w:val="clear" w:color="auto" w:fill="auto"/>
                  <w:vAlign w:val="center"/>
                </w:tcPr>
                <w:p w14:paraId="7F70272C">
                  <w:pPr>
                    <w:jc w:val="center"/>
                    <w:rPr>
                      <w:sz w:val="21"/>
                      <w:szCs w:val="21"/>
                    </w:rPr>
                  </w:pPr>
                  <w:r>
                    <w:rPr>
                      <w:rFonts w:hint="eastAsia"/>
                      <w:sz w:val="21"/>
                      <w:szCs w:val="21"/>
                    </w:rPr>
                    <w:t>0.01</w:t>
                  </w:r>
                </w:p>
              </w:tc>
              <w:tc>
                <w:tcPr>
                  <w:tcW w:w="474" w:type="pct"/>
                  <w:shd w:val="clear" w:color="auto" w:fill="auto"/>
                  <w:vAlign w:val="center"/>
                </w:tcPr>
                <w:p w14:paraId="613EFDDD">
                  <w:pPr>
                    <w:jc w:val="center"/>
                    <w:rPr>
                      <w:sz w:val="21"/>
                      <w:szCs w:val="21"/>
                    </w:rPr>
                  </w:pPr>
                  <w:r>
                    <w:rPr>
                      <w:rFonts w:hint="eastAsia"/>
                      <w:sz w:val="21"/>
                      <w:szCs w:val="21"/>
                    </w:rPr>
                    <w:t>液态</w:t>
                  </w:r>
                </w:p>
              </w:tc>
              <w:tc>
                <w:tcPr>
                  <w:tcW w:w="509" w:type="pct"/>
                  <w:shd w:val="clear" w:color="auto" w:fill="auto"/>
                  <w:vAlign w:val="center"/>
                </w:tcPr>
                <w:p w14:paraId="5E3BF3AE">
                  <w:pPr>
                    <w:jc w:val="center"/>
                    <w:rPr>
                      <w:sz w:val="21"/>
                      <w:szCs w:val="21"/>
                    </w:rPr>
                  </w:pPr>
                  <w:r>
                    <w:rPr>
                      <w:sz w:val="21"/>
                      <w:szCs w:val="21"/>
                    </w:rPr>
                    <w:t>毒性物质</w:t>
                  </w:r>
                </w:p>
              </w:tc>
              <w:tc>
                <w:tcPr>
                  <w:tcW w:w="457" w:type="pct"/>
                  <w:shd w:val="clear" w:color="auto" w:fill="auto"/>
                  <w:vAlign w:val="center"/>
                </w:tcPr>
                <w:p w14:paraId="002D5871">
                  <w:pPr>
                    <w:jc w:val="center"/>
                    <w:rPr>
                      <w:sz w:val="21"/>
                      <w:szCs w:val="21"/>
                    </w:rPr>
                  </w:pPr>
                  <w:r>
                    <w:rPr>
                      <w:sz w:val="21"/>
                      <w:szCs w:val="21"/>
                    </w:rPr>
                    <w:t>T</w:t>
                  </w:r>
                </w:p>
              </w:tc>
              <w:tc>
                <w:tcPr>
                  <w:tcW w:w="596" w:type="pct"/>
                  <w:vMerge w:val="continue"/>
                  <w:shd w:val="clear" w:color="auto" w:fill="auto"/>
                  <w:vAlign w:val="center"/>
                </w:tcPr>
                <w:p w14:paraId="48FC6FD2">
                  <w:pPr>
                    <w:jc w:val="center"/>
                    <w:rPr>
                      <w:rFonts w:eastAsiaTheme="minorEastAsia"/>
                      <w:sz w:val="21"/>
                      <w:szCs w:val="21"/>
                    </w:rPr>
                  </w:pPr>
                </w:p>
              </w:tc>
            </w:tr>
            <w:tr w14:paraId="30B83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8" w:type="pct"/>
                  <w:shd w:val="clear" w:color="auto" w:fill="auto"/>
                  <w:vAlign w:val="center"/>
                </w:tcPr>
                <w:p w14:paraId="0AE98F8A">
                  <w:pPr>
                    <w:jc w:val="center"/>
                    <w:rPr>
                      <w:sz w:val="21"/>
                      <w:szCs w:val="21"/>
                    </w:rPr>
                  </w:pPr>
                  <w:r>
                    <w:rPr>
                      <w:rFonts w:hint="eastAsia"/>
                      <w:sz w:val="21"/>
                      <w:szCs w:val="21"/>
                    </w:rPr>
                    <w:t>5</w:t>
                  </w:r>
                </w:p>
              </w:tc>
              <w:tc>
                <w:tcPr>
                  <w:tcW w:w="738" w:type="pct"/>
                  <w:shd w:val="clear" w:color="auto" w:fill="auto"/>
                  <w:vAlign w:val="center"/>
                </w:tcPr>
                <w:p w14:paraId="37503412">
                  <w:pPr>
                    <w:pStyle w:val="52"/>
                    <w:autoSpaceDE w:val="0"/>
                    <w:autoSpaceDN w:val="0"/>
                    <w:rPr>
                      <w:b w:val="0"/>
                      <w:color w:val="auto"/>
                      <w:sz w:val="21"/>
                      <w:szCs w:val="21"/>
                    </w:rPr>
                  </w:pPr>
                  <w:r>
                    <w:rPr>
                      <w:rFonts w:hint="eastAsia"/>
                      <w:b w:val="0"/>
                      <w:color w:val="auto"/>
                      <w:sz w:val="21"/>
                      <w:szCs w:val="21"/>
                    </w:rPr>
                    <w:t>废紫外灯管</w:t>
                  </w:r>
                </w:p>
              </w:tc>
              <w:tc>
                <w:tcPr>
                  <w:tcW w:w="561" w:type="pct"/>
                  <w:shd w:val="clear" w:color="auto" w:fill="auto"/>
                  <w:vAlign w:val="center"/>
                </w:tcPr>
                <w:p w14:paraId="78B0EF1B">
                  <w:pPr>
                    <w:jc w:val="center"/>
                    <w:rPr>
                      <w:rFonts w:eastAsiaTheme="minorEastAsia"/>
                      <w:sz w:val="21"/>
                      <w:szCs w:val="21"/>
                    </w:rPr>
                  </w:pPr>
                  <w:r>
                    <w:rPr>
                      <w:rFonts w:eastAsiaTheme="minorEastAsia"/>
                      <w:sz w:val="21"/>
                      <w:szCs w:val="21"/>
                    </w:rPr>
                    <w:t>HW</w:t>
                  </w:r>
                  <w:r>
                    <w:rPr>
                      <w:rFonts w:hint="eastAsia" w:eastAsiaTheme="minorEastAsia"/>
                      <w:sz w:val="21"/>
                      <w:szCs w:val="21"/>
                    </w:rPr>
                    <w:t>2</w:t>
                  </w:r>
                  <w:r>
                    <w:rPr>
                      <w:rFonts w:eastAsiaTheme="minorEastAsia"/>
                      <w:sz w:val="21"/>
                      <w:szCs w:val="21"/>
                    </w:rPr>
                    <w:t>9</w:t>
                  </w:r>
                </w:p>
              </w:tc>
              <w:tc>
                <w:tcPr>
                  <w:tcW w:w="834" w:type="pct"/>
                  <w:shd w:val="clear" w:color="auto" w:fill="auto"/>
                  <w:vAlign w:val="center"/>
                </w:tcPr>
                <w:p w14:paraId="074ED6D6">
                  <w:pPr>
                    <w:jc w:val="center"/>
                    <w:rPr>
                      <w:rFonts w:eastAsiaTheme="minorEastAsia"/>
                      <w:sz w:val="21"/>
                      <w:szCs w:val="21"/>
                    </w:rPr>
                  </w:pPr>
                  <w:r>
                    <w:rPr>
                      <w:rFonts w:eastAsiaTheme="minorEastAsia"/>
                      <w:sz w:val="21"/>
                      <w:szCs w:val="21"/>
                    </w:rPr>
                    <w:t>900-0</w:t>
                  </w:r>
                  <w:r>
                    <w:rPr>
                      <w:rFonts w:hint="eastAsia" w:eastAsiaTheme="minorEastAsia"/>
                      <w:sz w:val="21"/>
                      <w:szCs w:val="21"/>
                    </w:rPr>
                    <w:t>23</w:t>
                  </w:r>
                  <w:r>
                    <w:rPr>
                      <w:rFonts w:eastAsiaTheme="minorEastAsia"/>
                      <w:sz w:val="21"/>
                      <w:szCs w:val="21"/>
                    </w:rPr>
                    <w:t>-</w:t>
                  </w:r>
                  <w:r>
                    <w:rPr>
                      <w:rFonts w:hint="eastAsia" w:eastAsiaTheme="minorEastAsia"/>
                      <w:sz w:val="21"/>
                      <w:szCs w:val="21"/>
                    </w:rPr>
                    <w:t>2</w:t>
                  </w:r>
                  <w:r>
                    <w:rPr>
                      <w:rFonts w:eastAsiaTheme="minorEastAsia"/>
                      <w:sz w:val="21"/>
                      <w:szCs w:val="21"/>
                    </w:rPr>
                    <w:t>9</w:t>
                  </w:r>
                </w:p>
              </w:tc>
              <w:tc>
                <w:tcPr>
                  <w:tcW w:w="500" w:type="pct"/>
                  <w:shd w:val="clear" w:color="auto" w:fill="auto"/>
                  <w:vAlign w:val="center"/>
                </w:tcPr>
                <w:p w14:paraId="24BD64BC">
                  <w:pPr>
                    <w:jc w:val="center"/>
                    <w:rPr>
                      <w:sz w:val="21"/>
                      <w:szCs w:val="21"/>
                    </w:rPr>
                  </w:pPr>
                  <w:r>
                    <w:rPr>
                      <w:rFonts w:hint="eastAsia"/>
                      <w:sz w:val="21"/>
                      <w:szCs w:val="21"/>
                    </w:rPr>
                    <w:t>0.01</w:t>
                  </w:r>
                </w:p>
              </w:tc>
              <w:tc>
                <w:tcPr>
                  <w:tcW w:w="474" w:type="pct"/>
                  <w:shd w:val="clear" w:color="auto" w:fill="auto"/>
                  <w:vAlign w:val="center"/>
                </w:tcPr>
                <w:p w14:paraId="1DE1045B">
                  <w:pPr>
                    <w:jc w:val="center"/>
                    <w:rPr>
                      <w:sz w:val="21"/>
                      <w:szCs w:val="21"/>
                    </w:rPr>
                  </w:pPr>
                  <w:r>
                    <w:rPr>
                      <w:rFonts w:hint="eastAsia"/>
                      <w:sz w:val="21"/>
                      <w:szCs w:val="21"/>
                    </w:rPr>
                    <w:t>固态</w:t>
                  </w:r>
                </w:p>
              </w:tc>
              <w:tc>
                <w:tcPr>
                  <w:tcW w:w="509" w:type="pct"/>
                  <w:shd w:val="clear" w:color="auto" w:fill="auto"/>
                  <w:vAlign w:val="center"/>
                </w:tcPr>
                <w:p w14:paraId="628ED9D4">
                  <w:pPr>
                    <w:jc w:val="center"/>
                    <w:rPr>
                      <w:sz w:val="21"/>
                      <w:szCs w:val="21"/>
                    </w:rPr>
                  </w:pPr>
                  <w:r>
                    <w:rPr>
                      <w:sz w:val="21"/>
                      <w:szCs w:val="21"/>
                    </w:rPr>
                    <w:t>毒性物质</w:t>
                  </w:r>
                </w:p>
              </w:tc>
              <w:tc>
                <w:tcPr>
                  <w:tcW w:w="457" w:type="pct"/>
                  <w:shd w:val="clear" w:color="auto" w:fill="auto"/>
                  <w:vAlign w:val="center"/>
                </w:tcPr>
                <w:p w14:paraId="3C1AC436">
                  <w:pPr>
                    <w:jc w:val="center"/>
                    <w:rPr>
                      <w:sz w:val="21"/>
                      <w:szCs w:val="21"/>
                    </w:rPr>
                  </w:pPr>
                  <w:r>
                    <w:rPr>
                      <w:sz w:val="21"/>
                      <w:szCs w:val="21"/>
                    </w:rPr>
                    <w:t>T</w:t>
                  </w:r>
                </w:p>
              </w:tc>
              <w:tc>
                <w:tcPr>
                  <w:tcW w:w="596" w:type="pct"/>
                  <w:vMerge w:val="continue"/>
                  <w:shd w:val="clear" w:color="auto" w:fill="auto"/>
                  <w:vAlign w:val="center"/>
                </w:tcPr>
                <w:p w14:paraId="6510F654">
                  <w:pPr>
                    <w:rPr>
                      <w:sz w:val="21"/>
                      <w:szCs w:val="21"/>
                    </w:rPr>
                  </w:pPr>
                </w:p>
              </w:tc>
            </w:tr>
            <w:tr w14:paraId="4CACC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8" w:type="pct"/>
                  <w:shd w:val="clear" w:color="auto" w:fill="auto"/>
                  <w:vAlign w:val="center"/>
                </w:tcPr>
                <w:p w14:paraId="4F27FC7F">
                  <w:pPr>
                    <w:jc w:val="center"/>
                    <w:rPr>
                      <w:sz w:val="21"/>
                      <w:szCs w:val="21"/>
                    </w:rPr>
                  </w:pPr>
                  <w:r>
                    <w:rPr>
                      <w:rFonts w:hint="eastAsia"/>
                      <w:sz w:val="21"/>
                      <w:szCs w:val="21"/>
                    </w:rPr>
                    <w:t>6</w:t>
                  </w:r>
                </w:p>
              </w:tc>
              <w:tc>
                <w:tcPr>
                  <w:tcW w:w="738" w:type="pct"/>
                  <w:shd w:val="clear" w:color="auto" w:fill="auto"/>
                  <w:vAlign w:val="center"/>
                </w:tcPr>
                <w:p w14:paraId="16432C2F">
                  <w:pPr>
                    <w:pStyle w:val="52"/>
                    <w:autoSpaceDE w:val="0"/>
                    <w:autoSpaceDN w:val="0"/>
                    <w:rPr>
                      <w:b w:val="0"/>
                      <w:color w:val="auto"/>
                      <w:sz w:val="21"/>
                      <w:szCs w:val="21"/>
                    </w:rPr>
                  </w:pPr>
                  <w:r>
                    <w:rPr>
                      <w:b w:val="0"/>
                      <w:color w:val="auto"/>
                      <w:sz w:val="21"/>
                      <w:szCs w:val="21"/>
                    </w:rPr>
                    <w:t>废活性炭</w:t>
                  </w:r>
                </w:p>
              </w:tc>
              <w:tc>
                <w:tcPr>
                  <w:tcW w:w="561" w:type="pct"/>
                  <w:shd w:val="clear" w:color="auto" w:fill="auto"/>
                  <w:vAlign w:val="center"/>
                </w:tcPr>
                <w:p w14:paraId="05D1443A">
                  <w:pPr>
                    <w:jc w:val="center"/>
                    <w:rPr>
                      <w:sz w:val="21"/>
                      <w:szCs w:val="21"/>
                    </w:rPr>
                  </w:pPr>
                  <w:r>
                    <w:rPr>
                      <w:sz w:val="21"/>
                      <w:szCs w:val="21"/>
                    </w:rPr>
                    <w:t>HW49</w:t>
                  </w:r>
                </w:p>
              </w:tc>
              <w:tc>
                <w:tcPr>
                  <w:tcW w:w="834" w:type="pct"/>
                  <w:shd w:val="clear" w:color="auto" w:fill="auto"/>
                  <w:vAlign w:val="center"/>
                </w:tcPr>
                <w:p w14:paraId="2E632237">
                  <w:pPr>
                    <w:jc w:val="center"/>
                    <w:rPr>
                      <w:sz w:val="21"/>
                      <w:szCs w:val="21"/>
                    </w:rPr>
                  </w:pPr>
                  <w:r>
                    <w:rPr>
                      <w:rFonts w:eastAsiaTheme="minorEastAsia"/>
                      <w:sz w:val="21"/>
                      <w:szCs w:val="21"/>
                    </w:rPr>
                    <w:t>900-039-49</w:t>
                  </w:r>
                </w:p>
              </w:tc>
              <w:tc>
                <w:tcPr>
                  <w:tcW w:w="500" w:type="pct"/>
                  <w:shd w:val="clear" w:color="auto" w:fill="auto"/>
                  <w:vAlign w:val="center"/>
                </w:tcPr>
                <w:p w14:paraId="16C7DC3E">
                  <w:pPr>
                    <w:pStyle w:val="52"/>
                    <w:rPr>
                      <w:color w:val="auto"/>
                      <w:sz w:val="21"/>
                      <w:szCs w:val="21"/>
                    </w:rPr>
                  </w:pPr>
                  <w:r>
                    <w:rPr>
                      <w:rFonts w:hint="eastAsia"/>
                      <w:b w:val="0"/>
                      <w:color w:val="auto"/>
                      <w:sz w:val="21"/>
                      <w:szCs w:val="21"/>
                    </w:rPr>
                    <w:t>2</w:t>
                  </w:r>
                </w:p>
              </w:tc>
              <w:tc>
                <w:tcPr>
                  <w:tcW w:w="474" w:type="pct"/>
                  <w:shd w:val="clear" w:color="auto" w:fill="auto"/>
                  <w:vAlign w:val="center"/>
                </w:tcPr>
                <w:p w14:paraId="6C5F45DE">
                  <w:pPr>
                    <w:jc w:val="center"/>
                    <w:rPr>
                      <w:sz w:val="21"/>
                      <w:szCs w:val="21"/>
                    </w:rPr>
                  </w:pPr>
                  <w:r>
                    <w:rPr>
                      <w:rFonts w:hint="eastAsia"/>
                      <w:sz w:val="21"/>
                      <w:szCs w:val="21"/>
                    </w:rPr>
                    <w:t>固态</w:t>
                  </w:r>
                </w:p>
              </w:tc>
              <w:tc>
                <w:tcPr>
                  <w:tcW w:w="509" w:type="pct"/>
                  <w:shd w:val="clear" w:color="auto" w:fill="auto"/>
                  <w:vAlign w:val="center"/>
                </w:tcPr>
                <w:p w14:paraId="483E5724">
                  <w:pPr>
                    <w:jc w:val="center"/>
                    <w:rPr>
                      <w:sz w:val="21"/>
                      <w:szCs w:val="21"/>
                    </w:rPr>
                  </w:pPr>
                  <w:r>
                    <w:rPr>
                      <w:sz w:val="21"/>
                      <w:szCs w:val="21"/>
                    </w:rPr>
                    <w:t>毒性物质</w:t>
                  </w:r>
                </w:p>
              </w:tc>
              <w:tc>
                <w:tcPr>
                  <w:tcW w:w="457" w:type="pct"/>
                  <w:shd w:val="clear" w:color="auto" w:fill="auto"/>
                  <w:vAlign w:val="center"/>
                </w:tcPr>
                <w:p w14:paraId="1810B7DA">
                  <w:pPr>
                    <w:jc w:val="center"/>
                    <w:rPr>
                      <w:sz w:val="21"/>
                      <w:szCs w:val="21"/>
                    </w:rPr>
                  </w:pPr>
                  <w:r>
                    <w:rPr>
                      <w:sz w:val="21"/>
                      <w:szCs w:val="21"/>
                    </w:rPr>
                    <w:t>T</w:t>
                  </w:r>
                </w:p>
              </w:tc>
              <w:tc>
                <w:tcPr>
                  <w:tcW w:w="596" w:type="pct"/>
                  <w:vMerge w:val="continue"/>
                  <w:shd w:val="clear" w:color="auto" w:fill="auto"/>
                  <w:vAlign w:val="center"/>
                </w:tcPr>
                <w:p w14:paraId="693F98AA">
                  <w:pPr>
                    <w:jc w:val="center"/>
                    <w:rPr>
                      <w:rFonts w:eastAsiaTheme="minorEastAsia"/>
                      <w:sz w:val="21"/>
                      <w:szCs w:val="21"/>
                    </w:rPr>
                  </w:pPr>
                </w:p>
              </w:tc>
            </w:tr>
          </w:tbl>
          <w:p w14:paraId="045CE0A1">
            <w:pPr>
              <w:pStyle w:val="21"/>
              <w:adjustRightInd/>
              <w:snapToGrid/>
              <w:spacing w:line="360" w:lineRule="auto"/>
              <w:ind w:firstLine="452"/>
              <w:rPr>
                <w:rFonts w:ascii="Times New Roman" w:hAnsi="Times New Roman"/>
                <w:b w:val="0"/>
              </w:rPr>
            </w:pPr>
            <w:r>
              <w:rPr>
                <w:rFonts w:ascii="Times New Roman" w:hAnsi="Times New Roman"/>
                <w:b w:val="0"/>
              </w:rPr>
              <w:t>（2）环境管理要求</w:t>
            </w:r>
          </w:p>
          <w:p w14:paraId="0386F33C">
            <w:pPr>
              <w:spacing w:line="360" w:lineRule="auto"/>
              <w:ind w:firstLine="480" w:firstLineChars="200"/>
            </w:pPr>
            <w:r>
              <w:t>严格按照《一般工业固体废物贮存和填埋污染控制标准》（GB</w:t>
            </w:r>
            <w:r>
              <w:rPr>
                <w:rFonts w:hint="eastAsia"/>
              </w:rPr>
              <w:t xml:space="preserve"> </w:t>
            </w:r>
            <w:r>
              <w:t>18599-2020）标准</w:t>
            </w:r>
            <w:r>
              <w:rPr>
                <w:rFonts w:hint="eastAsia"/>
              </w:rPr>
              <w:t>、</w:t>
            </w:r>
            <w:r>
              <w:t>《危险废物贮存污染控制标准》（</w:t>
            </w:r>
            <w:r>
              <w:rPr>
                <w:rFonts w:hint="eastAsia"/>
              </w:rPr>
              <w:t>GB 18597-2023</w:t>
            </w:r>
            <w:r>
              <w:t>）中有关要求进行环境管理。</w:t>
            </w:r>
          </w:p>
          <w:p w14:paraId="36DB03DA">
            <w:pPr>
              <w:widowControl/>
              <w:spacing w:line="360" w:lineRule="auto"/>
              <w:ind w:firstLine="482" w:firstLineChars="200"/>
              <w:rPr>
                <w:b/>
                <w:bCs/>
              </w:rPr>
            </w:pPr>
            <w:r>
              <w:rPr>
                <w:rFonts w:hint="eastAsia" w:ascii="宋体" w:hAnsi="宋体" w:cs="宋体"/>
                <w:b/>
                <w:bCs/>
                <w:kern w:val="0"/>
                <w:lang w:bidi="ar"/>
              </w:rPr>
              <w:t>一般固废管理要求：</w:t>
            </w:r>
          </w:p>
          <w:p w14:paraId="35B1B1D9">
            <w:pPr>
              <w:widowControl/>
              <w:spacing w:line="360" w:lineRule="auto"/>
              <w:ind w:firstLine="480" w:firstLineChars="200"/>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①加强剩余一般样品的管理，禁止</w:t>
            </w:r>
            <w:r>
              <w:rPr>
                <w:rFonts w:hint="eastAsia"/>
                <w:color w:val="000000" w:themeColor="text1"/>
                <w:kern w:val="0"/>
                <w:lang w:bidi="ar"/>
                <w14:textFill>
                  <w14:solidFill>
                    <w14:schemeClr w14:val="tx1"/>
                  </w14:solidFill>
                </w14:textFill>
              </w:rPr>
              <w:t>与</w:t>
            </w:r>
            <w:r>
              <w:rPr>
                <w:color w:val="000000" w:themeColor="text1"/>
                <w:kern w:val="0"/>
                <w:lang w:bidi="ar"/>
                <w14:textFill>
                  <w14:solidFill>
                    <w14:schemeClr w14:val="tx1"/>
                  </w14:solidFill>
                </w14:textFill>
              </w:rPr>
              <w:t>超标样品混合存放，混合处置。</w:t>
            </w:r>
          </w:p>
          <w:p w14:paraId="262A2B4D">
            <w:pPr>
              <w:widowControl/>
              <w:spacing w:line="360" w:lineRule="auto"/>
              <w:ind w:firstLine="480" w:firstLineChars="200"/>
              <w:rPr>
                <w:color w:val="FF0000"/>
              </w:rPr>
            </w:pPr>
            <w:r>
              <w:rPr>
                <w:color w:val="000000" w:themeColor="text1"/>
                <w:kern w:val="0"/>
                <w:lang w:bidi="ar"/>
                <w14:textFill>
                  <w14:solidFill>
                    <w14:schemeClr w14:val="tx1"/>
                  </w14:solidFill>
                </w14:textFill>
              </w:rPr>
              <w:t>②一般固废</w:t>
            </w:r>
            <w:r>
              <w:rPr>
                <w:rFonts w:hint="eastAsia"/>
                <w:color w:val="000000" w:themeColor="text1"/>
                <w14:textFill>
                  <w14:solidFill>
                    <w14:schemeClr w14:val="tx1"/>
                  </w14:solidFill>
                </w14:textFill>
              </w:rPr>
              <w:t>分类收集</w:t>
            </w:r>
            <w:r>
              <w:rPr>
                <w:rFonts w:hint="eastAsia"/>
                <w:color w:val="000000" w:themeColor="text1"/>
                <w:lang w:eastAsia="zh-CN"/>
                <w14:textFill>
                  <w14:solidFill>
                    <w14:schemeClr w14:val="tx1"/>
                  </w14:solidFill>
                </w14:textFill>
              </w:rPr>
              <w:t>，</w:t>
            </w:r>
            <w:r>
              <w:rPr>
                <w:color w:val="000000" w:themeColor="text1"/>
                <w:kern w:val="0"/>
                <w:lang w:bidi="ar"/>
                <w14:textFill>
                  <w14:solidFill>
                    <w14:schemeClr w14:val="tx1"/>
                  </w14:solidFill>
                </w14:textFill>
              </w:rPr>
              <w:t>及时清运，避免对环境造成二次污染。</w:t>
            </w:r>
          </w:p>
          <w:p w14:paraId="6EB2FA1F">
            <w:pPr>
              <w:widowControl/>
              <w:spacing w:line="360" w:lineRule="auto"/>
              <w:ind w:firstLine="482" w:firstLineChars="200"/>
              <w:rPr>
                <w:b/>
                <w:bCs/>
              </w:rPr>
            </w:pPr>
            <w:r>
              <w:rPr>
                <w:rFonts w:hint="eastAsia" w:ascii="宋体" w:hAnsi="宋体" w:cs="宋体"/>
                <w:b/>
                <w:bCs/>
                <w:kern w:val="0"/>
                <w:lang w:bidi="ar"/>
              </w:rPr>
              <w:t>危险废物管理要求：</w:t>
            </w:r>
          </w:p>
          <w:p w14:paraId="6A0B2161">
            <w:pPr>
              <w:widowControl/>
              <w:spacing w:line="360" w:lineRule="auto"/>
              <w:ind w:firstLine="480" w:firstLineChars="200"/>
              <w:rPr>
                <w:kern w:val="0"/>
                <w:lang w:bidi="ar"/>
              </w:rPr>
            </w:pPr>
            <w:r>
              <w:rPr>
                <w:kern w:val="0"/>
                <w:lang w:bidi="ar"/>
              </w:rPr>
              <w:t>本项目</w:t>
            </w:r>
            <w:r>
              <w:rPr>
                <w:rFonts w:hint="eastAsia"/>
                <w:kern w:val="0"/>
                <w:lang w:bidi="ar"/>
              </w:rPr>
              <w:t>危废贮存点</w:t>
            </w:r>
            <w:r>
              <w:rPr>
                <w:kern w:val="0"/>
                <w:lang w:bidi="ar"/>
              </w:rPr>
              <w:t>严格按照《危险废物贮存污染控制标准》（GB</w:t>
            </w:r>
            <w:r>
              <w:rPr>
                <w:rFonts w:hint="eastAsia"/>
                <w:kern w:val="0"/>
                <w:lang w:bidi="ar"/>
              </w:rPr>
              <w:t xml:space="preserve"> </w:t>
            </w:r>
            <w:r>
              <w:rPr>
                <w:kern w:val="0"/>
                <w:lang w:bidi="ar"/>
              </w:rPr>
              <w:t>18597-2023）及《危险废物识别标志设置技术规范》（HJ</w:t>
            </w:r>
            <w:r>
              <w:rPr>
                <w:rFonts w:hint="eastAsia"/>
                <w:kern w:val="0"/>
                <w:lang w:bidi="ar"/>
              </w:rPr>
              <w:t xml:space="preserve"> </w:t>
            </w:r>
            <w:r>
              <w:rPr>
                <w:kern w:val="0"/>
                <w:lang w:bidi="ar"/>
              </w:rPr>
              <w:t>1276-2022）的要求设置，</w:t>
            </w:r>
            <w:r>
              <w:rPr>
                <w:rFonts w:hint="eastAsia"/>
                <w:color w:val="auto"/>
                <w:kern w:val="0"/>
                <w:lang w:bidi="ar"/>
              </w:rPr>
              <w:t>危废贮存点进行防渗处理，防渗层为至少1m厚黏土层，渗透系数不大于10</w:t>
            </w:r>
            <w:r>
              <w:rPr>
                <w:rFonts w:hint="eastAsia"/>
                <w:color w:val="auto"/>
                <w:kern w:val="0"/>
                <w:vertAlign w:val="superscript"/>
                <w:lang w:bidi="ar"/>
              </w:rPr>
              <w:t>-7</w:t>
            </w:r>
            <w:r>
              <w:rPr>
                <w:rFonts w:hint="eastAsia"/>
                <w:color w:val="auto"/>
                <w:kern w:val="0"/>
                <w:lang w:bidi="ar"/>
              </w:rPr>
              <w:t>cm/s。在</w:t>
            </w:r>
            <w:r>
              <w:rPr>
                <w:rFonts w:hint="eastAsia"/>
                <w:kern w:val="0"/>
                <w:lang w:bidi="ar"/>
              </w:rPr>
              <w:t>危废</w:t>
            </w:r>
            <w:r>
              <w:rPr>
                <w:rFonts w:hint="eastAsia"/>
                <w:color w:val="000000" w:themeColor="text1"/>
                <w:kern w:val="0"/>
                <w:lang w:bidi="ar"/>
                <w14:textFill>
                  <w14:solidFill>
                    <w14:schemeClr w14:val="tx1"/>
                  </w14:solidFill>
                </w14:textFill>
              </w:rPr>
              <w:t>贮存点</w:t>
            </w:r>
            <w:r>
              <w:rPr>
                <w:rFonts w:hint="eastAsia"/>
                <w:color w:val="000000" w:themeColor="text1"/>
                <w:kern w:val="0"/>
                <w:lang w:eastAsia="zh-CN" w:bidi="ar"/>
                <w14:textFill>
                  <w14:solidFill>
                    <w14:schemeClr w14:val="tx1"/>
                  </w14:solidFill>
                </w14:textFill>
              </w:rPr>
              <w:t>（</w:t>
            </w:r>
            <w:r>
              <w:rPr>
                <w:rFonts w:hint="eastAsia"/>
                <w:color w:val="000000" w:themeColor="text1"/>
                <w14:textFill>
                  <w14:solidFill>
                    <w14:schemeClr w14:val="tx1"/>
                  </w14:solidFill>
                </w14:textFill>
              </w:rPr>
              <w:t>建筑面积约15.61</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kern w:val="0"/>
                <w:lang w:eastAsia="zh-CN" w:bidi="ar"/>
                <w14:textFill>
                  <w14:solidFill>
                    <w14:schemeClr w14:val="tx1"/>
                  </w14:solidFill>
                </w14:textFill>
              </w:rPr>
              <w:t>）</w:t>
            </w:r>
            <w:r>
              <w:rPr>
                <w:rFonts w:hint="eastAsia"/>
                <w:kern w:val="0"/>
                <w:lang w:bidi="ar"/>
              </w:rPr>
              <w:t>门口张贴标识，信息公开，内部分区存放，设防渗托盘、消防设施，张贴分类标识，有危废台账和转移联单，制度上墙，设专人管理，定期交由有资质单位处置。</w:t>
            </w:r>
          </w:p>
          <w:p w14:paraId="4061A721">
            <w:pPr>
              <w:widowControl/>
              <w:spacing w:line="360" w:lineRule="auto"/>
              <w:ind w:firstLine="480" w:firstLineChars="200"/>
              <w:rPr>
                <w:kern w:val="0"/>
                <w:lang w:bidi="ar"/>
              </w:rPr>
            </w:pPr>
            <w:r>
              <w:rPr>
                <w:kern w:val="0"/>
                <w:lang w:bidi="ar"/>
              </w:rPr>
              <w:t>根据《危险废物收集贮存运输技术规范》（HJ2025-2012）及《危险废物贮存污染控制标准》</w:t>
            </w:r>
            <w:r>
              <w:rPr>
                <w:rFonts w:hint="eastAsia"/>
                <w:kern w:val="0"/>
                <w:lang w:bidi="ar"/>
              </w:rPr>
              <w:t>（</w:t>
            </w:r>
            <w:r>
              <w:rPr>
                <w:kern w:val="0"/>
                <w:lang w:bidi="ar"/>
              </w:rPr>
              <w:t>GB18597-2023）</w:t>
            </w:r>
            <w:r>
              <w:rPr>
                <w:rFonts w:hint="eastAsia"/>
                <w:kern w:val="0"/>
                <w:lang w:bidi="ar"/>
              </w:rPr>
              <w:t>中</w:t>
            </w:r>
            <w:r>
              <w:rPr>
                <w:kern w:val="0"/>
                <w:lang w:bidi="ar"/>
              </w:rPr>
              <w:t>有关要求，针对本项目危险废物收集、转运等，环评提出以下污染防治措施：</w:t>
            </w:r>
          </w:p>
          <w:p w14:paraId="1A49FE48">
            <w:pPr>
              <w:widowControl/>
              <w:spacing w:line="360" w:lineRule="auto"/>
              <w:ind w:firstLine="480" w:firstLineChars="200"/>
              <w:rPr>
                <w:kern w:val="0"/>
                <w:lang w:bidi="ar"/>
              </w:rPr>
            </w:pPr>
            <w:r>
              <w:rPr>
                <w:rFonts w:hint="eastAsia"/>
                <w:kern w:val="0"/>
                <w:lang w:bidi="ar"/>
              </w:rPr>
              <w:t xml:space="preserve">A. </w:t>
            </w:r>
            <w:r>
              <w:rPr>
                <w:kern w:val="0"/>
                <w:lang w:bidi="ar"/>
              </w:rPr>
              <w:t>按照《国家危险废物名录》（2021年版）进行</w:t>
            </w:r>
            <w:r>
              <w:rPr>
                <w:rFonts w:hint="eastAsia"/>
              </w:rPr>
              <w:t>分类</w:t>
            </w:r>
            <w:r>
              <w:rPr>
                <w:kern w:val="0"/>
                <w:lang w:bidi="ar"/>
              </w:rPr>
              <w:t>收集，专用容器包装。</w:t>
            </w:r>
            <w:r>
              <w:rPr>
                <w:rFonts w:hint="eastAsia"/>
                <w:kern w:val="0"/>
                <w:lang w:bidi="ar"/>
              </w:rPr>
              <w:t>危废贮存点</w:t>
            </w:r>
            <w:r>
              <w:rPr>
                <w:kern w:val="0"/>
                <w:lang w:bidi="ar"/>
              </w:rPr>
              <w:t>进行固液态分区，针对</w:t>
            </w:r>
            <w:r>
              <w:rPr>
                <w:rFonts w:hint="eastAsia"/>
                <w:kern w:val="0"/>
                <w:lang w:bidi="ar"/>
              </w:rPr>
              <w:t>实验废液</w:t>
            </w:r>
            <w:r>
              <w:rPr>
                <w:kern w:val="0"/>
                <w:lang w:bidi="ar"/>
              </w:rPr>
              <w:t>采用专用</w:t>
            </w:r>
            <w:r>
              <w:rPr>
                <w:rFonts w:hint="eastAsia"/>
                <w:kern w:val="0"/>
                <w:lang w:bidi="ar"/>
              </w:rPr>
              <w:t>带盖密闭</w:t>
            </w:r>
            <w:r>
              <w:rPr>
                <w:kern w:val="0"/>
                <w:lang w:bidi="ar"/>
              </w:rPr>
              <w:t>收集桶收集并在收集桶下方设置防渗托盘，废液收集桶上贴上标签，注明危险废物种类及危害性。</w:t>
            </w:r>
          </w:p>
          <w:p w14:paraId="3DE6295E">
            <w:pPr>
              <w:widowControl/>
              <w:spacing w:line="360" w:lineRule="auto"/>
              <w:ind w:firstLine="480" w:firstLineChars="200"/>
              <w:rPr>
                <w:kern w:val="0"/>
                <w:lang w:bidi="ar"/>
              </w:rPr>
            </w:pPr>
            <w:r>
              <w:rPr>
                <w:rFonts w:hint="eastAsia"/>
                <w:kern w:val="0"/>
                <w:lang w:bidi="ar"/>
              </w:rPr>
              <w:t xml:space="preserve">B. </w:t>
            </w:r>
            <w:r>
              <w:rPr>
                <w:kern w:val="0"/>
                <w:lang w:bidi="ar"/>
              </w:rPr>
              <w:t>危险废物的收集和转运过程中，应采取防泄漏、防飞扬、防雨等防止污染环境的措施；危险废物内部转运应采用专用工具</w:t>
            </w:r>
            <w:r>
              <w:rPr>
                <w:rFonts w:hint="eastAsia"/>
                <w:kern w:val="0"/>
                <w:lang w:bidi="ar"/>
              </w:rPr>
              <w:t>。</w:t>
            </w:r>
          </w:p>
          <w:p w14:paraId="64C06368">
            <w:pPr>
              <w:widowControl/>
              <w:spacing w:line="360" w:lineRule="auto"/>
              <w:ind w:firstLine="480" w:firstLineChars="200"/>
              <w:rPr>
                <w:kern w:val="0"/>
                <w:lang w:bidi="ar"/>
              </w:rPr>
            </w:pPr>
            <w:r>
              <w:rPr>
                <w:rFonts w:hint="eastAsia"/>
                <w:kern w:val="0"/>
                <w:lang w:bidi="ar"/>
              </w:rPr>
              <w:t xml:space="preserve">C. </w:t>
            </w:r>
            <w:r>
              <w:rPr>
                <w:kern w:val="0"/>
                <w:lang w:bidi="ar"/>
              </w:rPr>
              <w:t>危险废物内部转运结束后，应对转运路线进行检查和清理，确保无危险废物遗失在转运路线上。</w:t>
            </w:r>
          </w:p>
          <w:p w14:paraId="051F4328">
            <w:pPr>
              <w:widowControl/>
              <w:spacing w:line="360" w:lineRule="auto"/>
              <w:ind w:firstLine="480" w:firstLineChars="200"/>
              <w:rPr>
                <w:kern w:val="0"/>
                <w:lang w:bidi="ar"/>
              </w:rPr>
            </w:pPr>
            <w:r>
              <w:rPr>
                <w:rFonts w:hint="eastAsia"/>
                <w:kern w:val="0"/>
                <w:lang w:bidi="ar"/>
              </w:rPr>
              <w:t xml:space="preserve">D. </w:t>
            </w:r>
            <w:r>
              <w:rPr>
                <w:kern w:val="0"/>
                <w:lang w:bidi="ar"/>
              </w:rPr>
              <w:t>对危险废物的转移应按</w:t>
            </w:r>
            <w:r>
              <w:t>《危险废物转移管理办法》</w:t>
            </w:r>
            <w:r>
              <w:rPr>
                <w:rFonts w:hint="eastAsia"/>
              </w:rPr>
              <w:t>（部令 第23号）</w:t>
            </w:r>
            <w:r>
              <w:rPr>
                <w:kern w:val="0"/>
                <w:lang w:bidi="ar"/>
              </w:rPr>
              <w:t>的规定</w:t>
            </w:r>
            <w:r>
              <w:rPr>
                <w:rFonts w:hint="eastAsia"/>
                <w:kern w:val="0"/>
                <w:lang w:bidi="ar"/>
              </w:rPr>
              <w:t>执行危险废物转移联单制度，法律法规另有规定的除外；应当通过国家危险废物信息管理系统填写、运行危险废物电子转移联单，并依照国家有关规定公开危险废物转移相关污染环境防治信息等</w:t>
            </w:r>
            <w:r>
              <w:rPr>
                <w:kern w:val="0"/>
                <w:lang w:bidi="ar"/>
              </w:rPr>
              <w:t>。</w:t>
            </w:r>
          </w:p>
          <w:p w14:paraId="5FD7D173">
            <w:pPr>
              <w:widowControl/>
              <w:spacing w:line="360" w:lineRule="auto"/>
              <w:ind w:firstLine="480" w:firstLineChars="200"/>
            </w:pPr>
            <w:r>
              <w:rPr>
                <w:kern w:val="0"/>
                <w:lang w:bidi="ar"/>
              </w:rPr>
              <w:t>综上，该项目产生的固体废物在严格按照相关要求处置，在加强管理的情况下，固废对环境的影响较小，在环境可接受范围内。</w:t>
            </w:r>
          </w:p>
          <w:p w14:paraId="5BC88080">
            <w:pPr>
              <w:tabs>
                <w:tab w:val="left" w:pos="3836"/>
              </w:tabs>
              <w:spacing w:line="360" w:lineRule="auto"/>
              <w:ind w:firstLine="482" w:firstLineChars="200"/>
              <w:rPr>
                <w:b/>
                <w:bCs/>
                <w:szCs w:val="21"/>
              </w:rPr>
            </w:pPr>
            <w:r>
              <w:rPr>
                <w:b/>
                <w:bCs/>
                <w:szCs w:val="21"/>
              </w:rPr>
              <w:t>5、地下水</w:t>
            </w:r>
            <w:r>
              <w:rPr>
                <w:rFonts w:hint="eastAsia"/>
                <w:b/>
                <w:bCs/>
                <w:szCs w:val="21"/>
              </w:rPr>
              <w:t>、</w:t>
            </w:r>
            <w:r>
              <w:rPr>
                <w:b/>
                <w:bCs/>
                <w:szCs w:val="21"/>
              </w:rPr>
              <w:t>土壤</w:t>
            </w:r>
          </w:p>
          <w:p w14:paraId="45C77B99">
            <w:pPr>
              <w:tabs>
                <w:tab w:val="left" w:pos="3836"/>
              </w:tabs>
              <w:spacing w:line="360" w:lineRule="auto"/>
              <w:ind w:firstLine="480"/>
            </w:pPr>
            <w:r>
              <w:t>本项目可能造成土壤、地下水污染的物质主要为实验室各类有毒有害试剂及各种危险废物。</w:t>
            </w:r>
            <w:r>
              <w:rPr>
                <w:rFonts w:hint="eastAsia"/>
              </w:rPr>
              <w:t>本项目实验室主要位于4楼且</w:t>
            </w:r>
            <w:r>
              <w:t>项目上述污染源均贮存于容器中，</w:t>
            </w:r>
            <w:r>
              <w:rPr>
                <w:rFonts w:hint="eastAsia"/>
                <w:color w:val="auto"/>
              </w:rPr>
              <w:t>实验室、试剂库地面均硬化处理，危废贮存点进行防渗处理（</w:t>
            </w:r>
            <w:r>
              <w:rPr>
                <w:rFonts w:hint="eastAsia"/>
                <w:color w:val="auto"/>
                <w:kern w:val="0"/>
                <w:lang w:bidi="ar"/>
              </w:rPr>
              <w:t>防渗层为至少1m厚黏土层，渗透系数不大于10</w:t>
            </w:r>
            <w:r>
              <w:rPr>
                <w:rFonts w:hint="eastAsia"/>
                <w:color w:val="auto"/>
                <w:kern w:val="0"/>
                <w:vertAlign w:val="superscript"/>
                <w:lang w:bidi="ar"/>
              </w:rPr>
              <w:t>-7</w:t>
            </w:r>
            <w:r>
              <w:rPr>
                <w:rFonts w:hint="eastAsia"/>
                <w:color w:val="auto"/>
                <w:kern w:val="0"/>
                <w:lang w:bidi="ar"/>
              </w:rPr>
              <w:t>cm/s</w:t>
            </w:r>
            <w:r>
              <w:rPr>
                <w:rFonts w:hint="eastAsia"/>
                <w:color w:val="auto"/>
              </w:rPr>
              <w:t>），且试剂库和危废贮存点</w:t>
            </w:r>
            <w:r>
              <w:rPr>
                <w:color w:val="auto"/>
              </w:rPr>
              <w:t>不直接接触地表，在严格按照规章制度落实安全贮存、禁烟禁火等措施后，项目土壤及地下水污染防控措施到位</w:t>
            </w:r>
            <w:r>
              <w:rPr>
                <w:rFonts w:hint="eastAsia"/>
                <w:color w:val="auto"/>
              </w:rPr>
              <w:t>，不</w:t>
            </w:r>
            <w:r>
              <w:rPr>
                <w:rFonts w:hint="eastAsia"/>
              </w:rPr>
              <w:t>会对土壤和地下水造成影响</w:t>
            </w:r>
            <w:r>
              <w:t>。</w:t>
            </w:r>
          </w:p>
          <w:p w14:paraId="76B42254">
            <w:pPr>
              <w:spacing w:line="360" w:lineRule="auto"/>
              <w:ind w:firstLine="480" w:firstLineChars="200"/>
            </w:pPr>
            <w:r>
              <w:rPr>
                <w:rFonts w:hint="eastAsia"/>
              </w:rPr>
              <w:t>（1）</w:t>
            </w:r>
            <w:r>
              <w:t>污染源、污染物类型和污染途径</w:t>
            </w:r>
          </w:p>
          <w:p w14:paraId="7EF8F4A0">
            <w:pPr>
              <w:spacing w:line="360" w:lineRule="auto"/>
              <w:ind w:firstLine="480" w:firstLineChars="200"/>
            </w:pPr>
            <w:r>
              <w:t>本项目可能造成土壤、地下水污染的物质主要为实验室各类有毒有害试剂及各种危险废物。以上污染因素如不加以管理，</w:t>
            </w:r>
            <w:r>
              <w:rPr>
                <w:rFonts w:hint="eastAsia"/>
              </w:rPr>
              <w:t>有毒有害试剂及危险</w:t>
            </w:r>
            <w:r>
              <w:t>废物乱堆乱放，可能转入环境空气。</w:t>
            </w:r>
          </w:p>
          <w:p w14:paraId="692F8DA2">
            <w:pPr>
              <w:spacing w:line="360" w:lineRule="auto"/>
              <w:ind w:firstLine="480" w:firstLineChars="200"/>
            </w:pPr>
            <w:r>
              <w:t>（2）防控措施</w:t>
            </w:r>
          </w:p>
          <w:p w14:paraId="66119ABA">
            <w:pPr>
              <w:tabs>
                <w:tab w:val="left" w:pos="3836"/>
              </w:tabs>
              <w:spacing w:line="360" w:lineRule="auto"/>
              <w:ind w:firstLine="480"/>
              <w:rPr>
                <w:color w:val="auto"/>
              </w:rPr>
            </w:pPr>
            <w:r>
              <w:rPr>
                <w:rFonts w:hint="eastAsia"/>
              </w:rPr>
              <w:t>项目实验室主要位于4楼且</w:t>
            </w:r>
            <w:r>
              <w:t>项目上述污染源均贮存于容器中，不直接接触地</w:t>
            </w:r>
            <w:r>
              <w:rPr>
                <w:color w:val="auto"/>
              </w:rPr>
              <w:t>表，</w:t>
            </w:r>
            <w:r>
              <w:rPr>
                <w:rFonts w:hint="eastAsia"/>
                <w:color w:val="auto"/>
              </w:rPr>
              <w:t>实验室、试剂库地面均硬化处理，危废贮存点进行防渗处理（防渗层为至少1m厚黏土层，渗透系数不大于10</w:t>
            </w:r>
            <w:r>
              <w:rPr>
                <w:rFonts w:hint="eastAsia"/>
                <w:color w:val="auto"/>
                <w:vertAlign w:val="superscript"/>
              </w:rPr>
              <w:t>-7</w:t>
            </w:r>
            <w:r>
              <w:rPr>
                <w:rFonts w:hint="eastAsia"/>
                <w:color w:val="auto"/>
              </w:rPr>
              <w:t>cm/s），</w:t>
            </w:r>
            <w:r>
              <w:rPr>
                <w:color w:val="auto"/>
              </w:rPr>
              <w:t>在严格按照规章制度落实安全贮存、禁烟禁火等措施后，项目土壤及地下水污染防控措施到位</w:t>
            </w:r>
            <w:r>
              <w:rPr>
                <w:rFonts w:hint="eastAsia"/>
                <w:color w:val="auto"/>
              </w:rPr>
              <w:t>，不会对土壤和地下水造成影响</w:t>
            </w:r>
            <w:r>
              <w:rPr>
                <w:color w:val="auto"/>
              </w:rPr>
              <w:t>。</w:t>
            </w:r>
          </w:p>
          <w:p w14:paraId="12A58864">
            <w:pPr>
              <w:spacing w:line="360" w:lineRule="auto"/>
              <w:ind w:firstLine="480" w:firstLineChars="200"/>
              <w:rPr>
                <w:color w:val="auto"/>
              </w:rPr>
            </w:pPr>
            <w:r>
              <w:rPr>
                <w:color w:val="auto"/>
              </w:rPr>
              <w:t>（3）监测要求</w:t>
            </w:r>
          </w:p>
          <w:p w14:paraId="4976D79E">
            <w:pPr>
              <w:pStyle w:val="21"/>
              <w:adjustRightInd/>
              <w:snapToGrid/>
              <w:spacing w:line="360" w:lineRule="auto"/>
              <w:ind w:firstLine="452"/>
            </w:pPr>
            <w:r>
              <w:rPr>
                <w:rFonts w:hint="eastAsia"/>
                <w:b w:val="0"/>
                <w:color w:val="auto"/>
              </w:rPr>
              <w:t>实验室</w:t>
            </w:r>
            <w:r>
              <w:rPr>
                <w:b w:val="0"/>
                <w:color w:val="auto"/>
              </w:rPr>
              <w:t>采取合理防渗措施后，</w:t>
            </w:r>
            <w:r>
              <w:rPr>
                <w:rFonts w:hint="eastAsia"/>
                <w:b w:val="0"/>
                <w:color w:val="auto"/>
              </w:rPr>
              <w:t>不存在土壤、地下水环境污染途径，</w:t>
            </w:r>
            <w:r>
              <w:rPr>
                <w:b w:val="0"/>
              </w:rPr>
              <w:t>项目无需开展跟踪监测工作。</w:t>
            </w:r>
          </w:p>
          <w:p w14:paraId="026B2F3C">
            <w:pPr>
              <w:spacing w:line="360" w:lineRule="auto"/>
              <w:ind w:firstLine="482" w:firstLineChars="200"/>
              <w:rPr>
                <w:b/>
                <w:bCs/>
              </w:rPr>
            </w:pPr>
            <w:r>
              <w:rPr>
                <w:rFonts w:hint="eastAsia"/>
                <w:b/>
                <w:bCs/>
              </w:rPr>
              <w:t>6、生态</w:t>
            </w:r>
          </w:p>
          <w:p w14:paraId="77C6F664">
            <w:pPr>
              <w:spacing w:line="360" w:lineRule="auto"/>
              <w:ind w:firstLine="480" w:firstLineChars="200"/>
            </w:pPr>
            <w:r>
              <w:t>本项目用地范围内不含有生态环境保护目标的，故不对生态影响进行评价</w:t>
            </w:r>
            <w:r>
              <w:rPr>
                <w:bCs/>
              </w:rPr>
              <w:t>。</w:t>
            </w:r>
          </w:p>
          <w:p w14:paraId="3DEA3799">
            <w:pPr>
              <w:tabs>
                <w:tab w:val="left" w:pos="3836"/>
              </w:tabs>
              <w:spacing w:line="360" w:lineRule="auto"/>
              <w:ind w:firstLine="482" w:firstLineChars="200"/>
              <w:rPr>
                <w:b/>
                <w:bCs/>
                <w:szCs w:val="21"/>
              </w:rPr>
            </w:pPr>
            <w:r>
              <w:rPr>
                <w:rFonts w:hint="eastAsia"/>
                <w:b/>
                <w:bCs/>
                <w:szCs w:val="21"/>
              </w:rPr>
              <w:t>7</w:t>
            </w:r>
            <w:r>
              <w:rPr>
                <w:b/>
                <w:bCs/>
                <w:szCs w:val="21"/>
              </w:rPr>
              <w:t>、环境风险</w:t>
            </w:r>
          </w:p>
          <w:p w14:paraId="4E3D3BF3">
            <w:pPr>
              <w:tabs>
                <w:tab w:val="left" w:pos="3135"/>
              </w:tabs>
              <w:spacing w:line="360" w:lineRule="auto"/>
              <w:ind w:firstLine="480" w:firstLineChars="200"/>
              <w:rPr>
                <w:szCs w:val="21"/>
              </w:rPr>
            </w:pPr>
            <w:r>
              <w:t>环境风险评价的目的是分析和预测建设项目存在的潜在危险、有害因素及可能发生的突发性事件或事故所造成的人身安全与环境影响和损害程度，提出合理可行的防范、应急和减缓措施，以使建设项目事故率、损失和环境影响达到可接受水平。</w:t>
            </w:r>
          </w:p>
          <w:p w14:paraId="7EEFC928">
            <w:pPr>
              <w:tabs>
                <w:tab w:val="left" w:pos="3836"/>
              </w:tabs>
              <w:spacing w:line="360" w:lineRule="auto"/>
              <w:ind w:firstLine="480"/>
              <w:rPr>
                <w:szCs w:val="21"/>
              </w:rPr>
            </w:pPr>
            <w:r>
              <w:rPr>
                <w:szCs w:val="21"/>
              </w:rPr>
              <w:t>（1）环境风险物质</w:t>
            </w:r>
          </w:p>
          <w:p w14:paraId="07142976">
            <w:pPr>
              <w:tabs>
                <w:tab w:val="left" w:pos="3836"/>
              </w:tabs>
              <w:spacing w:line="360" w:lineRule="auto"/>
              <w:ind w:firstLine="480"/>
              <w:rPr>
                <w:b/>
                <w:bCs/>
                <w:sz w:val="21"/>
                <w:szCs w:val="18"/>
              </w:rPr>
            </w:pPr>
            <w:r>
              <w:rPr>
                <w:rFonts w:hint="eastAsia"/>
                <w:szCs w:val="21"/>
              </w:rPr>
              <w:t>本项目</w:t>
            </w:r>
            <w:r>
              <w:rPr>
                <w:szCs w:val="21"/>
              </w:rPr>
              <w:t>环境风险</w:t>
            </w:r>
            <w:r>
              <w:rPr>
                <w:rFonts w:hint="eastAsia"/>
                <w:szCs w:val="21"/>
              </w:rPr>
              <w:t>物质</w:t>
            </w:r>
            <w:r>
              <w:rPr>
                <w:szCs w:val="21"/>
              </w:rPr>
              <w:t>主要为各类实验试剂</w:t>
            </w:r>
            <w:r>
              <w:rPr>
                <w:rFonts w:hint="eastAsia"/>
                <w:szCs w:val="21"/>
              </w:rPr>
              <w:t>、实验用气和危废贮存点的实验废液</w:t>
            </w:r>
            <w:r>
              <w:rPr>
                <w:szCs w:val="21"/>
              </w:rPr>
              <w:t>，详见表4-</w:t>
            </w:r>
            <w:r>
              <w:rPr>
                <w:rFonts w:hint="eastAsia"/>
                <w:szCs w:val="21"/>
              </w:rPr>
              <w:t>20</w:t>
            </w:r>
            <w:r>
              <w:rPr>
                <w:szCs w:val="21"/>
              </w:rPr>
              <w:t>。</w:t>
            </w:r>
          </w:p>
          <w:p w14:paraId="4117583C">
            <w:pPr>
              <w:tabs>
                <w:tab w:val="left" w:pos="3836"/>
              </w:tabs>
              <w:jc w:val="center"/>
              <w:rPr>
                <w:b/>
                <w:bCs/>
                <w:sz w:val="21"/>
                <w:szCs w:val="18"/>
              </w:rPr>
            </w:pPr>
            <w:r>
              <w:rPr>
                <w:b/>
                <w:bCs/>
                <w:sz w:val="21"/>
                <w:szCs w:val="18"/>
              </w:rPr>
              <w:t>表4-</w:t>
            </w:r>
            <w:r>
              <w:rPr>
                <w:rFonts w:hint="eastAsia"/>
                <w:b/>
                <w:bCs/>
                <w:sz w:val="21"/>
                <w:szCs w:val="18"/>
              </w:rPr>
              <w:t>20</w:t>
            </w:r>
            <w:r>
              <w:rPr>
                <w:b/>
                <w:bCs/>
                <w:sz w:val="21"/>
                <w:szCs w:val="18"/>
              </w:rPr>
              <w:t xml:space="preserve">  项目主要环境风险物质一览表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087"/>
              <w:gridCol w:w="1646"/>
              <w:gridCol w:w="1291"/>
              <w:gridCol w:w="1181"/>
              <w:gridCol w:w="1194"/>
            </w:tblGrid>
            <w:tr w14:paraId="28F11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4CC11B54">
                  <w:pPr>
                    <w:widowControl/>
                    <w:contextualSpacing/>
                    <w:jc w:val="center"/>
                    <w:rPr>
                      <w:b/>
                      <w:bCs/>
                      <w:kern w:val="0"/>
                      <w:sz w:val="21"/>
                      <w:szCs w:val="21"/>
                    </w:rPr>
                  </w:pPr>
                  <w:r>
                    <w:rPr>
                      <w:b/>
                      <w:bCs/>
                      <w:kern w:val="0"/>
                      <w:sz w:val="21"/>
                      <w:szCs w:val="21"/>
                    </w:rPr>
                    <w:t>序号</w:t>
                  </w:r>
                </w:p>
              </w:tc>
              <w:tc>
                <w:tcPr>
                  <w:tcW w:w="1289" w:type="pct"/>
                  <w:shd w:val="clear" w:color="auto" w:fill="auto"/>
                  <w:vAlign w:val="center"/>
                </w:tcPr>
                <w:p w14:paraId="15B4FC70">
                  <w:pPr>
                    <w:widowControl/>
                    <w:contextualSpacing/>
                    <w:jc w:val="center"/>
                    <w:rPr>
                      <w:b/>
                      <w:bCs/>
                      <w:kern w:val="0"/>
                      <w:sz w:val="21"/>
                      <w:szCs w:val="21"/>
                    </w:rPr>
                  </w:pPr>
                  <w:r>
                    <w:rPr>
                      <w:b/>
                      <w:bCs/>
                      <w:kern w:val="0"/>
                      <w:sz w:val="21"/>
                      <w:szCs w:val="21"/>
                    </w:rPr>
                    <w:t>试剂名称</w:t>
                  </w:r>
                </w:p>
              </w:tc>
              <w:tc>
                <w:tcPr>
                  <w:tcW w:w="1017" w:type="pct"/>
                  <w:shd w:val="clear" w:color="auto" w:fill="auto"/>
                  <w:vAlign w:val="center"/>
                </w:tcPr>
                <w:p w14:paraId="33F6C096">
                  <w:pPr>
                    <w:widowControl/>
                    <w:contextualSpacing/>
                    <w:jc w:val="center"/>
                    <w:rPr>
                      <w:b/>
                      <w:bCs/>
                      <w:kern w:val="0"/>
                      <w:sz w:val="21"/>
                      <w:szCs w:val="21"/>
                    </w:rPr>
                  </w:pPr>
                  <w:r>
                    <w:rPr>
                      <w:b/>
                      <w:bCs/>
                      <w:kern w:val="0"/>
                      <w:sz w:val="21"/>
                      <w:szCs w:val="21"/>
                    </w:rPr>
                    <w:t>最大存储量</w:t>
                  </w:r>
                </w:p>
              </w:tc>
              <w:tc>
                <w:tcPr>
                  <w:tcW w:w="798" w:type="pct"/>
                  <w:shd w:val="clear" w:color="auto" w:fill="auto"/>
                  <w:vAlign w:val="center"/>
                </w:tcPr>
                <w:p w14:paraId="04711DDA">
                  <w:pPr>
                    <w:widowControl/>
                    <w:contextualSpacing/>
                    <w:jc w:val="center"/>
                    <w:rPr>
                      <w:b/>
                      <w:bCs/>
                      <w:kern w:val="0"/>
                      <w:sz w:val="21"/>
                      <w:szCs w:val="21"/>
                    </w:rPr>
                  </w:pPr>
                  <w:r>
                    <w:rPr>
                      <w:rFonts w:hint="eastAsia"/>
                      <w:b/>
                      <w:bCs/>
                      <w:kern w:val="0"/>
                      <w:sz w:val="21"/>
                      <w:szCs w:val="21"/>
                    </w:rPr>
                    <w:t>折纯量</w:t>
                  </w:r>
                </w:p>
              </w:tc>
              <w:tc>
                <w:tcPr>
                  <w:tcW w:w="727" w:type="pct"/>
                  <w:shd w:val="clear" w:color="auto" w:fill="auto"/>
                  <w:vAlign w:val="center"/>
                </w:tcPr>
                <w:p w14:paraId="42FE60B6">
                  <w:pPr>
                    <w:widowControl/>
                    <w:contextualSpacing/>
                    <w:jc w:val="center"/>
                    <w:rPr>
                      <w:b/>
                      <w:bCs/>
                      <w:kern w:val="0"/>
                      <w:sz w:val="21"/>
                      <w:szCs w:val="21"/>
                    </w:rPr>
                  </w:pPr>
                  <w:r>
                    <w:rPr>
                      <w:b/>
                      <w:bCs/>
                      <w:kern w:val="0"/>
                      <w:sz w:val="21"/>
                      <w:szCs w:val="21"/>
                    </w:rPr>
                    <w:t>临界量</w:t>
                  </w:r>
                </w:p>
              </w:tc>
              <w:tc>
                <w:tcPr>
                  <w:tcW w:w="738" w:type="pct"/>
                  <w:shd w:val="clear" w:color="auto" w:fill="auto"/>
                  <w:vAlign w:val="center"/>
                </w:tcPr>
                <w:p w14:paraId="76DD2D31">
                  <w:pPr>
                    <w:widowControl/>
                    <w:jc w:val="center"/>
                    <w:rPr>
                      <w:b/>
                      <w:bCs/>
                      <w:kern w:val="0"/>
                      <w:sz w:val="21"/>
                      <w:szCs w:val="21"/>
                    </w:rPr>
                  </w:pPr>
                  <w:r>
                    <w:rPr>
                      <w:b/>
                      <w:bCs/>
                      <w:kern w:val="0"/>
                      <w:sz w:val="21"/>
                      <w:szCs w:val="21"/>
                      <w:lang w:bidi="ar"/>
                    </w:rPr>
                    <w:t>qi/Qi</w:t>
                  </w:r>
                </w:p>
              </w:tc>
            </w:tr>
            <w:tr w14:paraId="06203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094704B6">
                  <w:pPr>
                    <w:widowControl/>
                    <w:contextualSpacing/>
                    <w:jc w:val="center"/>
                    <w:rPr>
                      <w:kern w:val="0"/>
                      <w:sz w:val="21"/>
                      <w:szCs w:val="21"/>
                    </w:rPr>
                  </w:pPr>
                  <w:r>
                    <w:rPr>
                      <w:kern w:val="0"/>
                      <w:sz w:val="21"/>
                      <w:szCs w:val="21"/>
                    </w:rPr>
                    <w:t>1</w:t>
                  </w:r>
                </w:p>
              </w:tc>
              <w:tc>
                <w:tcPr>
                  <w:tcW w:w="1289" w:type="pct"/>
                  <w:shd w:val="clear" w:color="auto" w:fill="auto"/>
                  <w:vAlign w:val="center"/>
                </w:tcPr>
                <w:p w14:paraId="6F7F5F28">
                  <w:pPr>
                    <w:widowControl/>
                    <w:jc w:val="center"/>
                    <w:textAlignment w:val="center"/>
                    <w:rPr>
                      <w:kern w:val="0"/>
                      <w:sz w:val="21"/>
                      <w:szCs w:val="21"/>
                      <w:lang w:bidi="ar"/>
                    </w:rPr>
                  </w:pPr>
                  <w:r>
                    <w:rPr>
                      <w:kern w:val="0"/>
                      <w:sz w:val="21"/>
                      <w:szCs w:val="21"/>
                      <w:lang w:bidi="ar"/>
                    </w:rPr>
                    <w:t>正己烷</w:t>
                  </w:r>
                </w:p>
              </w:tc>
              <w:tc>
                <w:tcPr>
                  <w:tcW w:w="1017" w:type="pct"/>
                  <w:shd w:val="clear" w:color="auto" w:fill="auto"/>
                  <w:vAlign w:val="center"/>
                </w:tcPr>
                <w:p w14:paraId="04AE818F">
                  <w:pPr>
                    <w:widowControl/>
                    <w:contextualSpacing/>
                    <w:jc w:val="center"/>
                    <w:rPr>
                      <w:kern w:val="0"/>
                      <w:sz w:val="21"/>
                      <w:szCs w:val="21"/>
                    </w:rPr>
                  </w:pPr>
                  <w:r>
                    <w:rPr>
                      <w:rFonts w:hint="eastAsia"/>
                      <w:kern w:val="0"/>
                      <w:sz w:val="21"/>
                      <w:szCs w:val="21"/>
                    </w:rPr>
                    <w:t>10000mL</w:t>
                  </w:r>
                </w:p>
              </w:tc>
              <w:tc>
                <w:tcPr>
                  <w:tcW w:w="798" w:type="pct"/>
                  <w:shd w:val="clear" w:color="auto" w:fill="auto"/>
                  <w:vAlign w:val="center"/>
                </w:tcPr>
                <w:p w14:paraId="219D1EAE">
                  <w:pPr>
                    <w:widowControl/>
                    <w:jc w:val="center"/>
                    <w:textAlignment w:val="center"/>
                    <w:rPr>
                      <w:sz w:val="21"/>
                      <w:szCs w:val="21"/>
                    </w:rPr>
                  </w:pPr>
                  <w:r>
                    <w:rPr>
                      <w:kern w:val="0"/>
                      <w:sz w:val="21"/>
                      <w:szCs w:val="21"/>
                      <w:lang w:bidi="ar"/>
                    </w:rPr>
                    <w:t>6.59</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749FC313">
                  <w:pPr>
                    <w:widowControl/>
                    <w:contextualSpacing/>
                    <w:jc w:val="center"/>
                    <w:rPr>
                      <w:b/>
                      <w:bCs/>
                      <w:kern w:val="0"/>
                      <w:sz w:val="21"/>
                      <w:szCs w:val="21"/>
                    </w:rPr>
                  </w:pPr>
                  <w:r>
                    <w:rPr>
                      <w:kern w:val="0"/>
                      <w:sz w:val="21"/>
                      <w:szCs w:val="21"/>
                    </w:rPr>
                    <w:t>10t</w:t>
                  </w:r>
                </w:p>
              </w:tc>
              <w:tc>
                <w:tcPr>
                  <w:tcW w:w="738" w:type="pct"/>
                  <w:shd w:val="clear" w:color="auto" w:fill="auto"/>
                  <w:vAlign w:val="center"/>
                </w:tcPr>
                <w:p w14:paraId="35D56E6B">
                  <w:pPr>
                    <w:widowControl/>
                    <w:jc w:val="center"/>
                    <w:textAlignment w:val="center"/>
                    <w:rPr>
                      <w:sz w:val="21"/>
                      <w:szCs w:val="21"/>
                    </w:rPr>
                  </w:pPr>
                  <w:r>
                    <w:rPr>
                      <w:kern w:val="0"/>
                      <w:sz w:val="21"/>
                      <w:szCs w:val="21"/>
                      <w:lang w:bidi="ar"/>
                    </w:rPr>
                    <w:t>6.59</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19305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45ABB48D">
                  <w:pPr>
                    <w:widowControl/>
                    <w:contextualSpacing/>
                    <w:jc w:val="center"/>
                    <w:rPr>
                      <w:kern w:val="0"/>
                      <w:sz w:val="21"/>
                      <w:szCs w:val="21"/>
                    </w:rPr>
                  </w:pPr>
                  <w:r>
                    <w:rPr>
                      <w:rFonts w:hint="eastAsia"/>
                      <w:kern w:val="0"/>
                      <w:sz w:val="21"/>
                      <w:szCs w:val="21"/>
                    </w:rPr>
                    <w:t>2</w:t>
                  </w:r>
                </w:p>
              </w:tc>
              <w:tc>
                <w:tcPr>
                  <w:tcW w:w="1289" w:type="pct"/>
                  <w:shd w:val="clear" w:color="auto" w:fill="auto"/>
                  <w:vAlign w:val="center"/>
                </w:tcPr>
                <w:p w14:paraId="74481780">
                  <w:pPr>
                    <w:widowControl/>
                    <w:jc w:val="center"/>
                    <w:textAlignment w:val="center"/>
                    <w:rPr>
                      <w:kern w:val="0"/>
                      <w:sz w:val="21"/>
                      <w:szCs w:val="21"/>
                      <w:lang w:bidi="ar"/>
                    </w:rPr>
                  </w:pPr>
                  <w:r>
                    <w:rPr>
                      <w:kern w:val="0"/>
                      <w:sz w:val="21"/>
                      <w:szCs w:val="21"/>
                      <w:lang w:bidi="ar"/>
                    </w:rPr>
                    <w:t>环己烷</w:t>
                  </w:r>
                </w:p>
              </w:tc>
              <w:tc>
                <w:tcPr>
                  <w:tcW w:w="1017" w:type="pct"/>
                  <w:shd w:val="clear" w:color="auto" w:fill="auto"/>
                  <w:vAlign w:val="center"/>
                </w:tcPr>
                <w:p w14:paraId="41CEEB55">
                  <w:pPr>
                    <w:widowControl/>
                    <w:contextualSpacing/>
                    <w:jc w:val="center"/>
                    <w:rPr>
                      <w:kern w:val="0"/>
                      <w:sz w:val="21"/>
                      <w:szCs w:val="21"/>
                    </w:rPr>
                  </w:pPr>
                  <w:r>
                    <w:rPr>
                      <w:rFonts w:hint="eastAsia"/>
                      <w:kern w:val="0"/>
                      <w:sz w:val="21"/>
                      <w:szCs w:val="21"/>
                    </w:rPr>
                    <w:t>15</w:t>
                  </w:r>
                  <w:r>
                    <w:rPr>
                      <w:kern w:val="0"/>
                      <w:sz w:val="21"/>
                      <w:szCs w:val="21"/>
                    </w:rPr>
                    <w:t>00mL</w:t>
                  </w:r>
                </w:p>
              </w:tc>
              <w:tc>
                <w:tcPr>
                  <w:tcW w:w="798" w:type="pct"/>
                  <w:shd w:val="clear" w:color="auto" w:fill="auto"/>
                  <w:vAlign w:val="center"/>
                </w:tcPr>
                <w:p w14:paraId="10F3E48D">
                  <w:pPr>
                    <w:widowControl/>
                    <w:jc w:val="center"/>
                    <w:textAlignment w:val="center"/>
                    <w:rPr>
                      <w:sz w:val="21"/>
                      <w:szCs w:val="21"/>
                    </w:rPr>
                  </w:pPr>
                  <w:r>
                    <w:rPr>
                      <w:kern w:val="0"/>
                      <w:sz w:val="21"/>
                      <w:szCs w:val="21"/>
                      <w:lang w:bidi="ar"/>
                    </w:rPr>
                    <w:t>1.17</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169948F9">
                  <w:pPr>
                    <w:widowControl/>
                    <w:contextualSpacing/>
                    <w:jc w:val="center"/>
                    <w:rPr>
                      <w:kern w:val="0"/>
                      <w:sz w:val="21"/>
                      <w:szCs w:val="21"/>
                    </w:rPr>
                  </w:pPr>
                  <w:r>
                    <w:rPr>
                      <w:kern w:val="0"/>
                      <w:sz w:val="21"/>
                      <w:szCs w:val="21"/>
                    </w:rPr>
                    <w:t>10t</w:t>
                  </w:r>
                </w:p>
              </w:tc>
              <w:tc>
                <w:tcPr>
                  <w:tcW w:w="738" w:type="pct"/>
                  <w:shd w:val="clear" w:color="auto" w:fill="auto"/>
                  <w:vAlign w:val="center"/>
                </w:tcPr>
                <w:p w14:paraId="1E35A449">
                  <w:pPr>
                    <w:widowControl/>
                    <w:jc w:val="center"/>
                    <w:textAlignment w:val="center"/>
                    <w:rPr>
                      <w:sz w:val="21"/>
                      <w:szCs w:val="21"/>
                    </w:rPr>
                  </w:pPr>
                  <w:r>
                    <w:rPr>
                      <w:kern w:val="0"/>
                      <w:sz w:val="21"/>
                      <w:szCs w:val="21"/>
                      <w:lang w:bidi="ar"/>
                    </w:rPr>
                    <w:t>1.17</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54305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572213F1">
                  <w:pPr>
                    <w:widowControl/>
                    <w:contextualSpacing/>
                    <w:jc w:val="center"/>
                    <w:rPr>
                      <w:kern w:val="0"/>
                      <w:sz w:val="21"/>
                      <w:szCs w:val="21"/>
                    </w:rPr>
                  </w:pPr>
                  <w:r>
                    <w:rPr>
                      <w:rFonts w:hint="eastAsia"/>
                      <w:kern w:val="0"/>
                      <w:sz w:val="21"/>
                      <w:szCs w:val="21"/>
                    </w:rPr>
                    <w:t>3</w:t>
                  </w:r>
                </w:p>
              </w:tc>
              <w:tc>
                <w:tcPr>
                  <w:tcW w:w="1289" w:type="pct"/>
                  <w:shd w:val="clear" w:color="auto" w:fill="auto"/>
                  <w:vAlign w:val="center"/>
                </w:tcPr>
                <w:p w14:paraId="46628BFA">
                  <w:pPr>
                    <w:widowControl/>
                    <w:jc w:val="center"/>
                    <w:textAlignment w:val="center"/>
                    <w:rPr>
                      <w:kern w:val="0"/>
                      <w:sz w:val="21"/>
                      <w:szCs w:val="21"/>
                      <w:lang w:bidi="ar"/>
                    </w:rPr>
                  </w:pPr>
                  <w:r>
                    <w:rPr>
                      <w:kern w:val="0"/>
                      <w:sz w:val="21"/>
                      <w:szCs w:val="21"/>
                      <w:lang w:bidi="ar"/>
                    </w:rPr>
                    <w:t>乙酸乙酯</w:t>
                  </w:r>
                </w:p>
              </w:tc>
              <w:tc>
                <w:tcPr>
                  <w:tcW w:w="1017" w:type="pct"/>
                  <w:shd w:val="clear" w:color="auto" w:fill="auto"/>
                  <w:vAlign w:val="center"/>
                </w:tcPr>
                <w:p w14:paraId="78619A20">
                  <w:pPr>
                    <w:widowControl/>
                    <w:contextualSpacing/>
                    <w:jc w:val="center"/>
                    <w:rPr>
                      <w:kern w:val="0"/>
                      <w:sz w:val="21"/>
                      <w:szCs w:val="21"/>
                    </w:rPr>
                  </w:pPr>
                  <w:r>
                    <w:rPr>
                      <w:rFonts w:hint="eastAsia"/>
                      <w:kern w:val="0"/>
                      <w:sz w:val="21"/>
                      <w:szCs w:val="21"/>
                    </w:rPr>
                    <w:t>2000mL</w:t>
                  </w:r>
                </w:p>
              </w:tc>
              <w:tc>
                <w:tcPr>
                  <w:tcW w:w="798" w:type="pct"/>
                  <w:shd w:val="clear" w:color="auto" w:fill="auto"/>
                  <w:vAlign w:val="center"/>
                </w:tcPr>
                <w:p w14:paraId="541C1A7D">
                  <w:pPr>
                    <w:widowControl/>
                    <w:jc w:val="center"/>
                    <w:textAlignment w:val="center"/>
                    <w:rPr>
                      <w:sz w:val="21"/>
                      <w:szCs w:val="21"/>
                    </w:rPr>
                  </w:pPr>
                  <w:r>
                    <w:rPr>
                      <w:kern w:val="0"/>
                      <w:sz w:val="21"/>
                      <w:szCs w:val="21"/>
                      <w:lang w:bidi="ar"/>
                    </w:rPr>
                    <w:t>1.80</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03D59F56">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3CA111C6">
                  <w:pPr>
                    <w:widowControl/>
                    <w:jc w:val="center"/>
                    <w:textAlignment w:val="center"/>
                    <w:rPr>
                      <w:sz w:val="21"/>
                      <w:szCs w:val="21"/>
                    </w:rPr>
                  </w:pPr>
                  <w:r>
                    <w:rPr>
                      <w:kern w:val="0"/>
                      <w:sz w:val="21"/>
                      <w:szCs w:val="21"/>
                      <w:lang w:bidi="ar"/>
                    </w:rPr>
                    <w:t>1.80</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5C8A5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05AC6622">
                  <w:pPr>
                    <w:widowControl/>
                    <w:contextualSpacing/>
                    <w:jc w:val="center"/>
                    <w:rPr>
                      <w:kern w:val="0"/>
                      <w:sz w:val="21"/>
                      <w:szCs w:val="21"/>
                    </w:rPr>
                  </w:pPr>
                  <w:r>
                    <w:rPr>
                      <w:rFonts w:hint="eastAsia"/>
                      <w:kern w:val="0"/>
                      <w:sz w:val="21"/>
                      <w:szCs w:val="21"/>
                    </w:rPr>
                    <w:t>4</w:t>
                  </w:r>
                </w:p>
              </w:tc>
              <w:tc>
                <w:tcPr>
                  <w:tcW w:w="1289" w:type="pct"/>
                  <w:shd w:val="clear" w:color="auto" w:fill="auto"/>
                  <w:vAlign w:val="center"/>
                </w:tcPr>
                <w:p w14:paraId="6BCB58DA">
                  <w:pPr>
                    <w:widowControl/>
                    <w:jc w:val="center"/>
                    <w:textAlignment w:val="center"/>
                    <w:rPr>
                      <w:kern w:val="0"/>
                      <w:sz w:val="21"/>
                      <w:szCs w:val="21"/>
                      <w:lang w:bidi="ar"/>
                    </w:rPr>
                  </w:pPr>
                  <w:r>
                    <w:rPr>
                      <w:kern w:val="0"/>
                      <w:sz w:val="21"/>
                      <w:szCs w:val="21"/>
                      <w:lang w:bidi="ar"/>
                    </w:rPr>
                    <w:t>乙腈</w:t>
                  </w:r>
                </w:p>
              </w:tc>
              <w:tc>
                <w:tcPr>
                  <w:tcW w:w="1017" w:type="pct"/>
                  <w:shd w:val="clear" w:color="auto" w:fill="auto"/>
                  <w:vAlign w:val="center"/>
                </w:tcPr>
                <w:p w14:paraId="6001F2A3">
                  <w:pPr>
                    <w:widowControl/>
                    <w:contextualSpacing/>
                    <w:jc w:val="center"/>
                    <w:rPr>
                      <w:kern w:val="0"/>
                      <w:sz w:val="21"/>
                      <w:szCs w:val="21"/>
                    </w:rPr>
                  </w:pPr>
                  <w:r>
                    <w:rPr>
                      <w:rFonts w:hint="eastAsia"/>
                      <w:kern w:val="0"/>
                      <w:sz w:val="21"/>
                      <w:szCs w:val="21"/>
                    </w:rPr>
                    <w:t>12L</w:t>
                  </w:r>
                </w:p>
              </w:tc>
              <w:tc>
                <w:tcPr>
                  <w:tcW w:w="798" w:type="pct"/>
                  <w:shd w:val="clear" w:color="auto" w:fill="auto"/>
                  <w:vAlign w:val="center"/>
                </w:tcPr>
                <w:p w14:paraId="1CC773F8">
                  <w:pPr>
                    <w:widowControl/>
                    <w:jc w:val="center"/>
                    <w:textAlignment w:val="center"/>
                    <w:rPr>
                      <w:sz w:val="21"/>
                      <w:szCs w:val="21"/>
                    </w:rPr>
                  </w:pPr>
                  <w:r>
                    <w:rPr>
                      <w:kern w:val="0"/>
                      <w:sz w:val="21"/>
                      <w:szCs w:val="21"/>
                      <w:lang w:bidi="ar"/>
                    </w:rPr>
                    <w:t>9.43</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7F9DAE13">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0093E2F3">
                  <w:pPr>
                    <w:widowControl/>
                    <w:jc w:val="center"/>
                    <w:textAlignment w:val="center"/>
                    <w:rPr>
                      <w:sz w:val="21"/>
                      <w:szCs w:val="21"/>
                    </w:rPr>
                  </w:pPr>
                  <w:r>
                    <w:rPr>
                      <w:kern w:val="0"/>
                      <w:sz w:val="21"/>
                      <w:szCs w:val="21"/>
                      <w:lang w:bidi="ar"/>
                    </w:rPr>
                    <w:t>9.43</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7FF5C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1CD6FB5C">
                  <w:pPr>
                    <w:widowControl/>
                    <w:contextualSpacing/>
                    <w:jc w:val="center"/>
                    <w:rPr>
                      <w:kern w:val="0"/>
                      <w:sz w:val="21"/>
                      <w:szCs w:val="21"/>
                    </w:rPr>
                  </w:pPr>
                  <w:r>
                    <w:rPr>
                      <w:rFonts w:hint="eastAsia"/>
                      <w:kern w:val="0"/>
                      <w:sz w:val="21"/>
                      <w:szCs w:val="21"/>
                    </w:rPr>
                    <w:t>5</w:t>
                  </w:r>
                </w:p>
              </w:tc>
              <w:tc>
                <w:tcPr>
                  <w:tcW w:w="1289" w:type="pct"/>
                  <w:shd w:val="clear" w:color="auto" w:fill="auto"/>
                  <w:vAlign w:val="center"/>
                </w:tcPr>
                <w:p w14:paraId="04882FBF">
                  <w:pPr>
                    <w:widowControl/>
                    <w:jc w:val="center"/>
                    <w:textAlignment w:val="center"/>
                    <w:rPr>
                      <w:kern w:val="0"/>
                      <w:sz w:val="21"/>
                      <w:szCs w:val="21"/>
                      <w:lang w:bidi="ar"/>
                    </w:rPr>
                  </w:pPr>
                  <w:r>
                    <w:rPr>
                      <w:kern w:val="0"/>
                      <w:sz w:val="21"/>
                      <w:szCs w:val="21"/>
                      <w:lang w:bidi="ar"/>
                    </w:rPr>
                    <w:t>甲醇</w:t>
                  </w:r>
                </w:p>
              </w:tc>
              <w:tc>
                <w:tcPr>
                  <w:tcW w:w="1017" w:type="pct"/>
                  <w:shd w:val="clear" w:color="auto" w:fill="auto"/>
                  <w:vAlign w:val="center"/>
                </w:tcPr>
                <w:p w14:paraId="42B86CFA">
                  <w:pPr>
                    <w:widowControl/>
                    <w:contextualSpacing/>
                    <w:jc w:val="center"/>
                    <w:rPr>
                      <w:kern w:val="0"/>
                      <w:sz w:val="21"/>
                      <w:szCs w:val="21"/>
                    </w:rPr>
                  </w:pPr>
                  <w:r>
                    <w:rPr>
                      <w:rFonts w:hint="eastAsia"/>
                      <w:kern w:val="0"/>
                      <w:sz w:val="21"/>
                      <w:szCs w:val="21"/>
                    </w:rPr>
                    <w:t>1000mL</w:t>
                  </w:r>
                </w:p>
              </w:tc>
              <w:tc>
                <w:tcPr>
                  <w:tcW w:w="798" w:type="pct"/>
                  <w:shd w:val="clear" w:color="auto" w:fill="auto"/>
                  <w:vAlign w:val="center"/>
                </w:tcPr>
                <w:p w14:paraId="5A10AAA7">
                  <w:pPr>
                    <w:widowControl/>
                    <w:jc w:val="center"/>
                    <w:textAlignment w:val="center"/>
                    <w:rPr>
                      <w:sz w:val="21"/>
                      <w:szCs w:val="21"/>
                    </w:rPr>
                  </w:pPr>
                  <w:r>
                    <w:rPr>
                      <w:kern w:val="0"/>
                      <w:sz w:val="21"/>
                      <w:szCs w:val="21"/>
                      <w:lang w:bidi="ar"/>
                    </w:rPr>
                    <w:t>7.9</w:t>
                  </w:r>
                  <w:r>
                    <w:rPr>
                      <w:rFonts w:hint="eastAsia"/>
                      <w:kern w:val="0"/>
                      <w:sz w:val="21"/>
                      <w:szCs w:val="21"/>
                      <w:lang w:bidi="ar"/>
                    </w:rPr>
                    <w:t>1</w:t>
                  </w:r>
                  <w:r>
                    <w:rPr>
                      <w:kern w:val="0"/>
                      <w:sz w:val="21"/>
                      <w:szCs w:val="21"/>
                    </w:rPr>
                    <w:t>×10</w:t>
                  </w:r>
                  <w:r>
                    <w:rPr>
                      <w:kern w:val="0"/>
                      <w:sz w:val="21"/>
                      <w:szCs w:val="21"/>
                      <w:vertAlign w:val="superscript"/>
                      <w:lang w:bidi="ar"/>
                    </w:rPr>
                    <w:t>-4</w:t>
                  </w:r>
                  <w:r>
                    <w:rPr>
                      <w:kern w:val="0"/>
                      <w:sz w:val="21"/>
                      <w:szCs w:val="21"/>
                    </w:rPr>
                    <w:t>t</w:t>
                  </w:r>
                </w:p>
              </w:tc>
              <w:tc>
                <w:tcPr>
                  <w:tcW w:w="727" w:type="pct"/>
                  <w:shd w:val="clear" w:color="auto" w:fill="auto"/>
                  <w:vAlign w:val="center"/>
                </w:tcPr>
                <w:p w14:paraId="09D6B575">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73E04CF1">
                  <w:pPr>
                    <w:widowControl/>
                    <w:jc w:val="center"/>
                    <w:textAlignment w:val="center"/>
                    <w:rPr>
                      <w:sz w:val="21"/>
                      <w:szCs w:val="21"/>
                    </w:rPr>
                  </w:pPr>
                  <w:r>
                    <w:rPr>
                      <w:kern w:val="0"/>
                      <w:sz w:val="21"/>
                      <w:szCs w:val="21"/>
                      <w:lang w:bidi="ar"/>
                    </w:rPr>
                    <w:t>7.9</w:t>
                  </w:r>
                  <w:r>
                    <w:rPr>
                      <w:rFonts w:hint="eastAsia"/>
                      <w:kern w:val="0"/>
                      <w:sz w:val="21"/>
                      <w:szCs w:val="21"/>
                      <w:lang w:bidi="ar"/>
                    </w:rPr>
                    <w:t>1</w:t>
                  </w:r>
                  <w:r>
                    <w:rPr>
                      <w:kern w:val="0"/>
                      <w:sz w:val="21"/>
                      <w:szCs w:val="21"/>
                    </w:rPr>
                    <w:t>×10</w:t>
                  </w:r>
                  <w:r>
                    <w:rPr>
                      <w:kern w:val="0"/>
                      <w:sz w:val="21"/>
                      <w:szCs w:val="21"/>
                      <w:vertAlign w:val="superscript"/>
                      <w:lang w:bidi="ar"/>
                    </w:rPr>
                    <w:t>-</w:t>
                  </w:r>
                  <w:r>
                    <w:rPr>
                      <w:rFonts w:hint="eastAsia"/>
                      <w:kern w:val="0"/>
                      <w:sz w:val="21"/>
                      <w:szCs w:val="21"/>
                      <w:vertAlign w:val="superscript"/>
                      <w:lang w:bidi="ar"/>
                    </w:rPr>
                    <w:t>5</w:t>
                  </w:r>
                </w:p>
              </w:tc>
            </w:tr>
            <w:tr w14:paraId="7A842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111F93C1">
                  <w:pPr>
                    <w:widowControl/>
                    <w:contextualSpacing/>
                    <w:jc w:val="center"/>
                    <w:rPr>
                      <w:kern w:val="0"/>
                      <w:sz w:val="21"/>
                      <w:szCs w:val="21"/>
                    </w:rPr>
                  </w:pPr>
                  <w:r>
                    <w:rPr>
                      <w:rFonts w:hint="eastAsia"/>
                      <w:kern w:val="0"/>
                      <w:sz w:val="21"/>
                      <w:szCs w:val="21"/>
                    </w:rPr>
                    <w:t>6</w:t>
                  </w:r>
                </w:p>
              </w:tc>
              <w:tc>
                <w:tcPr>
                  <w:tcW w:w="1289" w:type="pct"/>
                  <w:shd w:val="clear" w:color="auto" w:fill="auto"/>
                  <w:vAlign w:val="center"/>
                </w:tcPr>
                <w:p w14:paraId="0EFE7543">
                  <w:pPr>
                    <w:widowControl/>
                    <w:jc w:val="center"/>
                    <w:textAlignment w:val="center"/>
                    <w:rPr>
                      <w:kern w:val="0"/>
                      <w:sz w:val="21"/>
                      <w:szCs w:val="21"/>
                      <w:lang w:bidi="ar"/>
                    </w:rPr>
                  </w:pPr>
                  <w:r>
                    <w:rPr>
                      <w:kern w:val="0"/>
                      <w:sz w:val="21"/>
                      <w:szCs w:val="21"/>
                      <w:lang w:bidi="ar"/>
                    </w:rPr>
                    <w:t>甲基叔丁基醚</w:t>
                  </w:r>
                </w:p>
              </w:tc>
              <w:tc>
                <w:tcPr>
                  <w:tcW w:w="1017" w:type="pct"/>
                  <w:shd w:val="clear" w:color="auto" w:fill="auto"/>
                  <w:vAlign w:val="center"/>
                </w:tcPr>
                <w:p w14:paraId="4548E8DB">
                  <w:pPr>
                    <w:widowControl/>
                    <w:contextualSpacing/>
                    <w:jc w:val="center"/>
                    <w:rPr>
                      <w:kern w:val="0"/>
                      <w:sz w:val="21"/>
                      <w:szCs w:val="21"/>
                    </w:rPr>
                  </w:pPr>
                  <w:r>
                    <w:rPr>
                      <w:rFonts w:hint="eastAsia"/>
                      <w:kern w:val="0"/>
                      <w:sz w:val="21"/>
                      <w:szCs w:val="21"/>
                    </w:rPr>
                    <w:t>500mL</w:t>
                  </w:r>
                </w:p>
              </w:tc>
              <w:tc>
                <w:tcPr>
                  <w:tcW w:w="798" w:type="pct"/>
                  <w:shd w:val="clear" w:color="auto" w:fill="auto"/>
                  <w:vAlign w:val="center"/>
                </w:tcPr>
                <w:p w14:paraId="324E9E40">
                  <w:pPr>
                    <w:widowControl/>
                    <w:jc w:val="center"/>
                    <w:textAlignment w:val="center"/>
                    <w:rPr>
                      <w:sz w:val="21"/>
                      <w:szCs w:val="21"/>
                    </w:rPr>
                  </w:pPr>
                  <w:r>
                    <w:rPr>
                      <w:kern w:val="0"/>
                      <w:sz w:val="21"/>
                      <w:szCs w:val="21"/>
                      <w:lang w:bidi="ar"/>
                    </w:rPr>
                    <w:t>3.70</w:t>
                  </w:r>
                  <w:r>
                    <w:rPr>
                      <w:kern w:val="0"/>
                      <w:sz w:val="21"/>
                      <w:szCs w:val="21"/>
                    </w:rPr>
                    <w:t>×10</w:t>
                  </w:r>
                  <w:r>
                    <w:rPr>
                      <w:kern w:val="0"/>
                      <w:sz w:val="21"/>
                      <w:szCs w:val="21"/>
                      <w:vertAlign w:val="superscript"/>
                      <w:lang w:bidi="ar"/>
                    </w:rPr>
                    <w:t>-4</w:t>
                  </w:r>
                  <w:r>
                    <w:rPr>
                      <w:kern w:val="0"/>
                      <w:sz w:val="21"/>
                      <w:szCs w:val="21"/>
                    </w:rPr>
                    <w:t>t</w:t>
                  </w:r>
                </w:p>
              </w:tc>
              <w:tc>
                <w:tcPr>
                  <w:tcW w:w="727" w:type="pct"/>
                  <w:shd w:val="clear" w:color="auto" w:fill="auto"/>
                  <w:vAlign w:val="center"/>
                </w:tcPr>
                <w:p w14:paraId="7FF6D08E">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71314048">
                  <w:pPr>
                    <w:widowControl/>
                    <w:jc w:val="center"/>
                    <w:textAlignment w:val="center"/>
                    <w:rPr>
                      <w:sz w:val="21"/>
                      <w:szCs w:val="21"/>
                    </w:rPr>
                  </w:pPr>
                  <w:r>
                    <w:rPr>
                      <w:kern w:val="0"/>
                      <w:sz w:val="21"/>
                      <w:szCs w:val="21"/>
                      <w:lang w:bidi="ar"/>
                    </w:rPr>
                    <w:t>3.70</w:t>
                  </w:r>
                  <w:r>
                    <w:rPr>
                      <w:kern w:val="0"/>
                      <w:sz w:val="21"/>
                      <w:szCs w:val="21"/>
                    </w:rPr>
                    <w:t>×10</w:t>
                  </w:r>
                  <w:r>
                    <w:rPr>
                      <w:kern w:val="0"/>
                      <w:sz w:val="21"/>
                      <w:szCs w:val="21"/>
                      <w:vertAlign w:val="superscript"/>
                      <w:lang w:bidi="ar"/>
                    </w:rPr>
                    <w:t>-</w:t>
                  </w:r>
                  <w:r>
                    <w:rPr>
                      <w:rFonts w:hint="eastAsia"/>
                      <w:kern w:val="0"/>
                      <w:sz w:val="21"/>
                      <w:szCs w:val="21"/>
                      <w:vertAlign w:val="superscript"/>
                      <w:lang w:bidi="ar"/>
                    </w:rPr>
                    <w:t>5</w:t>
                  </w:r>
                </w:p>
              </w:tc>
            </w:tr>
            <w:tr w14:paraId="4B65F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3A3ACFD9">
                  <w:pPr>
                    <w:widowControl/>
                    <w:contextualSpacing/>
                    <w:jc w:val="center"/>
                    <w:rPr>
                      <w:kern w:val="0"/>
                      <w:sz w:val="21"/>
                      <w:szCs w:val="21"/>
                    </w:rPr>
                  </w:pPr>
                  <w:r>
                    <w:rPr>
                      <w:rFonts w:hint="eastAsia"/>
                      <w:kern w:val="0"/>
                      <w:sz w:val="21"/>
                      <w:szCs w:val="21"/>
                    </w:rPr>
                    <w:t>7</w:t>
                  </w:r>
                </w:p>
              </w:tc>
              <w:tc>
                <w:tcPr>
                  <w:tcW w:w="1289" w:type="pct"/>
                  <w:shd w:val="clear" w:color="auto" w:fill="auto"/>
                  <w:vAlign w:val="center"/>
                </w:tcPr>
                <w:p w14:paraId="590B592B">
                  <w:pPr>
                    <w:widowControl/>
                    <w:jc w:val="center"/>
                    <w:textAlignment w:val="center"/>
                    <w:rPr>
                      <w:kern w:val="0"/>
                      <w:sz w:val="21"/>
                      <w:szCs w:val="21"/>
                      <w:lang w:bidi="ar"/>
                    </w:rPr>
                  </w:pPr>
                  <w:r>
                    <w:rPr>
                      <w:rFonts w:hint="eastAsia"/>
                      <w:kern w:val="0"/>
                      <w:sz w:val="21"/>
                      <w:szCs w:val="21"/>
                      <w:lang w:bidi="ar"/>
                    </w:rPr>
                    <w:t>石油醚</w:t>
                  </w:r>
                </w:p>
              </w:tc>
              <w:tc>
                <w:tcPr>
                  <w:tcW w:w="1017" w:type="pct"/>
                  <w:shd w:val="clear" w:color="auto" w:fill="auto"/>
                  <w:vAlign w:val="center"/>
                </w:tcPr>
                <w:p w14:paraId="1E44903E">
                  <w:pPr>
                    <w:widowControl/>
                    <w:contextualSpacing/>
                    <w:jc w:val="center"/>
                    <w:rPr>
                      <w:kern w:val="0"/>
                      <w:sz w:val="21"/>
                      <w:szCs w:val="21"/>
                    </w:rPr>
                  </w:pPr>
                  <w:r>
                    <w:rPr>
                      <w:rFonts w:hint="eastAsia"/>
                      <w:kern w:val="0"/>
                      <w:sz w:val="21"/>
                      <w:szCs w:val="21"/>
                    </w:rPr>
                    <w:t>4000mL</w:t>
                  </w:r>
                </w:p>
              </w:tc>
              <w:tc>
                <w:tcPr>
                  <w:tcW w:w="798" w:type="pct"/>
                  <w:shd w:val="clear" w:color="auto" w:fill="auto"/>
                  <w:vAlign w:val="center"/>
                </w:tcPr>
                <w:p w14:paraId="4C88537A">
                  <w:pPr>
                    <w:widowControl/>
                    <w:jc w:val="center"/>
                    <w:textAlignment w:val="center"/>
                    <w:rPr>
                      <w:sz w:val="21"/>
                      <w:szCs w:val="21"/>
                    </w:rPr>
                  </w:pPr>
                  <w:r>
                    <w:rPr>
                      <w:kern w:val="0"/>
                      <w:sz w:val="21"/>
                      <w:szCs w:val="21"/>
                      <w:lang w:bidi="ar"/>
                    </w:rPr>
                    <w:t>2.64</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56C8F9DC">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0F4AB045">
                  <w:pPr>
                    <w:widowControl/>
                    <w:jc w:val="center"/>
                    <w:textAlignment w:val="center"/>
                    <w:rPr>
                      <w:sz w:val="21"/>
                      <w:szCs w:val="21"/>
                    </w:rPr>
                  </w:pPr>
                  <w:r>
                    <w:rPr>
                      <w:kern w:val="0"/>
                      <w:sz w:val="21"/>
                      <w:szCs w:val="21"/>
                      <w:lang w:bidi="ar"/>
                    </w:rPr>
                    <w:t>2.64</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2F5B4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466A2018">
                  <w:pPr>
                    <w:widowControl/>
                    <w:contextualSpacing/>
                    <w:jc w:val="center"/>
                    <w:rPr>
                      <w:kern w:val="0"/>
                      <w:sz w:val="21"/>
                      <w:szCs w:val="21"/>
                    </w:rPr>
                  </w:pPr>
                  <w:r>
                    <w:rPr>
                      <w:rFonts w:hint="eastAsia"/>
                      <w:kern w:val="0"/>
                      <w:sz w:val="21"/>
                      <w:szCs w:val="21"/>
                    </w:rPr>
                    <w:t>8</w:t>
                  </w:r>
                </w:p>
              </w:tc>
              <w:tc>
                <w:tcPr>
                  <w:tcW w:w="1289" w:type="pct"/>
                  <w:shd w:val="clear" w:color="auto" w:fill="auto"/>
                  <w:vAlign w:val="center"/>
                </w:tcPr>
                <w:p w14:paraId="51916238">
                  <w:pPr>
                    <w:widowControl/>
                    <w:contextualSpacing/>
                    <w:jc w:val="center"/>
                    <w:rPr>
                      <w:kern w:val="0"/>
                      <w:sz w:val="21"/>
                      <w:szCs w:val="21"/>
                    </w:rPr>
                  </w:pPr>
                  <w:r>
                    <w:rPr>
                      <w:kern w:val="0"/>
                      <w:sz w:val="21"/>
                      <w:szCs w:val="21"/>
                      <w:lang w:bidi="ar"/>
                    </w:rPr>
                    <w:t>N,N-二甲基甲酰胺</w:t>
                  </w:r>
                </w:p>
              </w:tc>
              <w:tc>
                <w:tcPr>
                  <w:tcW w:w="1017" w:type="pct"/>
                  <w:shd w:val="clear" w:color="auto" w:fill="auto"/>
                  <w:vAlign w:val="center"/>
                </w:tcPr>
                <w:p w14:paraId="63DCECB5">
                  <w:pPr>
                    <w:widowControl/>
                    <w:contextualSpacing/>
                    <w:jc w:val="center"/>
                    <w:rPr>
                      <w:kern w:val="0"/>
                      <w:sz w:val="21"/>
                      <w:szCs w:val="21"/>
                    </w:rPr>
                  </w:pPr>
                  <w:r>
                    <w:rPr>
                      <w:rFonts w:hint="eastAsia"/>
                      <w:kern w:val="0"/>
                      <w:sz w:val="21"/>
                      <w:szCs w:val="21"/>
                    </w:rPr>
                    <w:t>1500mL</w:t>
                  </w:r>
                </w:p>
              </w:tc>
              <w:tc>
                <w:tcPr>
                  <w:tcW w:w="798" w:type="pct"/>
                  <w:shd w:val="clear" w:color="auto" w:fill="auto"/>
                  <w:vAlign w:val="center"/>
                </w:tcPr>
                <w:p w14:paraId="61712057">
                  <w:pPr>
                    <w:widowControl/>
                    <w:jc w:val="center"/>
                    <w:textAlignment w:val="center"/>
                    <w:rPr>
                      <w:sz w:val="21"/>
                      <w:szCs w:val="21"/>
                    </w:rPr>
                  </w:pPr>
                  <w:r>
                    <w:rPr>
                      <w:kern w:val="0"/>
                      <w:sz w:val="21"/>
                      <w:szCs w:val="21"/>
                      <w:lang w:bidi="ar"/>
                    </w:rPr>
                    <w:t>1.42</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2BDC34AC">
                  <w:pPr>
                    <w:widowControl/>
                    <w:contextualSpacing/>
                    <w:jc w:val="center"/>
                    <w:rPr>
                      <w:kern w:val="0"/>
                      <w:sz w:val="21"/>
                      <w:szCs w:val="21"/>
                    </w:rPr>
                  </w:pPr>
                  <w:r>
                    <w:rPr>
                      <w:rFonts w:hint="eastAsia"/>
                      <w:kern w:val="0"/>
                      <w:sz w:val="21"/>
                      <w:szCs w:val="21"/>
                    </w:rPr>
                    <w:t>5t</w:t>
                  </w:r>
                </w:p>
              </w:tc>
              <w:tc>
                <w:tcPr>
                  <w:tcW w:w="738" w:type="pct"/>
                  <w:shd w:val="clear" w:color="auto" w:fill="auto"/>
                  <w:vAlign w:val="center"/>
                </w:tcPr>
                <w:p w14:paraId="2E8EFE95">
                  <w:pPr>
                    <w:widowControl/>
                    <w:jc w:val="center"/>
                    <w:textAlignment w:val="center"/>
                    <w:rPr>
                      <w:sz w:val="21"/>
                      <w:szCs w:val="21"/>
                    </w:rPr>
                  </w:pPr>
                  <w:r>
                    <w:rPr>
                      <w:rFonts w:hint="eastAsia"/>
                      <w:kern w:val="0"/>
                      <w:sz w:val="21"/>
                      <w:szCs w:val="21"/>
                      <w:lang w:bidi="ar"/>
                    </w:rPr>
                    <w:t>2.84</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7E895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3D61A489">
                  <w:pPr>
                    <w:widowControl/>
                    <w:contextualSpacing/>
                    <w:jc w:val="center"/>
                    <w:rPr>
                      <w:kern w:val="0"/>
                      <w:sz w:val="21"/>
                      <w:szCs w:val="21"/>
                    </w:rPr>
                  </w:pPr>
                  <w:r>
                    <w:rPr>
                      <w:rFonts w:hint="eastAsia"/>
                      <w:kern w:val="0"/>
                      <w:sz w:val="21"/>
                      <w:szCs w:val="21"/>
                    </w:rPr>
                    <w:t>9</w:t>
                  </w:r>
                </w:p>
              </w:tc>
              <w:tc>
                <w:tcPr>
                  <w:tcW w:w="1289" w:type="pct"/>
                  <w:shd w:val="clear" w:color="auto" w:fill="auto"/>
                  <w:vAlign w:val="center"/>
                </w:tcPr>
                <w:p w14:paraId="6B46BEC1">
                  <w:pPr>
                    <w:widowControl/>
                    <w:contextualSpacing/>
                    <w:jc w:val="center"/>
                    <w:rPr>
                      <w:kern w:val="0"/>
                      <w:sz w:val="21"/>
                      <w:szCs w:val="21"/>
                    </w:rPr>
                  </w:pPr>
                  <w:r>
                    <w:rPr>
                      <w:kern w:val="0"/>
                      <w:sz w:val="21"/>
                      <w:szCs w:val="21"/>
                      <w:lang w:bidi="ar"/>
                    </w:rPr>
                    <w:t>氨水</w:t>
                  </w:r>
                  <w:r>
                    <w:rPr>
                      <w:rFonts w:hint="eastAsia"/>
                      <w:kern w:val="0"/>
                      <w:sz w:val="21"/>
                      <w:szCs w:val="21"/>
                      <w:lang w:bidi="ar"/>
                    </w:rPr>
                    <w:t>（25</w:t>
                  </w:r>
                  <w:r>
                    <w:rPr>
                      <w:kern w:val="0"/>
                      <w:sz w:val="21"/>
                      <w:szCs w:val="21"/>
                      <w:lang w:bidi="ar"/>
                    </w:rPr>
                    <w:t>%-</w:t>
                  </w:r>
                  <w:r>
                    <w:rPr>
                      <w:rFonts w:hint="eastAsia"/>
                      <w:kern w:val="0"/>
                      <w:sz w:val="21"/>
                      <w:szCs w:val="21"/>
                      <w:lang w:bidi="ar"/>
                    </w:rPr>
                    <w:t>2</w:t>
                  </w:r>
                  <w:r>
                    <w:rPr>
                      <w:kern w:val="0"/>
                      <w:sz w:val="21"/>
                      <w:szCs w:val="21"/>
                      <w:lang w:bidi="ar"/>
                    </w:rPr>
                    <w:t>8%</w:t>
                  </w:r>
                  <w:r>
                    <w:rPr>
                      <w:rFonts w:hint="eastAsia"/>
                      <w:kern w:val="0"/>
                      <w:sz w:val="21"/>
                      <w:szCs w:val="21"/>
                      <w:lang w:bidi="ar"/>
                    </w:rPr>
                    <w:t>）</w:t>
                  </w:r>
                </w:p>
              </w:tc>
              <w:tc>
                <w:tcPr>
                  <w:tcW w:w="1017" w:type="pct"/>
                  <w:shd w:val="clear" w:color="auto" w:fill="auto"/>
                  <w:vAlign w:val="center"/>
                </w:tcPr>
                <w:p w14:paraId="427BD2E1">
                  <w:pPr>
                    <w:widowControl/>
                    <w:contextualSpacing/>
                    <w:jc w:val="center"/>
                    <w:rPr>
                      <w:kern w:val="0"/>
                      <w:sz w:val="21"/>
                      <w:szCs w:val="21"/>
                    </w:rPr>
                  </w:pPr>
                  <w:r>
                    <w:rPr>
                      <w:rFonts w:hint="eastAsia"/>
                      <w:kern w:val="0"/>
                      <w:sz w:val="21"/>
                      <w:szCs w:val="21"/>
                    </w:rPr>
                    <w:t>1000mL</w:t>
                  </w:r>
                </w:p>
              </w:tc>
              <w:tc>
                <w:tcPr>
                  <w:tcW w:w="798" w:type="pct"/>
                  <w:shd w:val="clear" w:color="auto" w:fill="auto"/>
                  <w:vAlign w:val="center"/>
                </w:tcPr>
                <w:p w14:paraId="2D815099">
                  <w:pPr>
                    <w:widowControl/>
                    <w:jc w:val="center"/>
                    <w:textAlignment w:val="center"/>
                    <w:rPr>
                      <w:sz w:val="21"/>
                      <w:szCs w:val="21"/>
                    </w:rPr>
                  </w:pPr>
                  <w:r>
                    <w:rPr>
                      <w:rFonts w:hint="eastAsia"/>
                      <w:kern w:val="0"/>
                      <w:sz w:val="21"/>
                      <w:szCs w:val="21"/>
                      <w:lang w:bidi="ar"/>
                    </w:rPr>
                    <w:t>2.41</w:t>
                  </w:r>
                  <w:r>
                    <w:rPr>
                      <w:kern w:val="0"/>
                      <w:sz w:val="21"/>
                      <w:szCs w:val="21"/>
                    </w:rPr>
                    <w:t>×10</w:t>
                  </w:r>
                  <w:r>
                    <w:rPr>
                      <w:kern w:val="0"/>
                      <w:sz w:val="21"/>
                      <w:szCs w:val="21"/>
                      <w:vertAlign w:val="superscript"/>
                      <w:lang w:bidi="ar"/>
                    </w:rPr>
                    <w:t>-4</w:t>
                  </w:r>
                  <w:r>
                    <w:rPr>
                      <w:kern w:val="0"/>
                      <w:sz w:val="21"/>
                      <w:szCs w:val="21"/>
                    </w:rPr>
                    <w:t>t</w:t>
                  </w:r>
                </w:p>
              </w:tc>
              <w:tc>
                <w:tcPr>
                  <w:tcW w:w="727" w:type="pct"/>
                  <w:shd w:val="clear" w:color="auto" w:fill="auto"/>
                  <w:vAlign w:val="center"/>
                </w:tcPr>
                <w:p w14:paraId="74D80DAA">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72F9BB4E">
                  <w:pPr>
                    <w:widowControl/>
                    <w:jc w:val="center"/>
                    <w:textAlignment w:val="center"/>
                    <w:rPr>
                      <w:sz w:val="21"/>
                      <w:szCs w:val="21"/>
                    </w:rPr>
                  </w:pPr>
                  <w:r>
                    <w:rPr>
                      <w:rFonts w:hint="eastAsia"/>
                      <w:kern w:val="0"/>
                      <w:sz w:val="21"/>
                      <w:szCs w:val="21"/>
                      <w:lang w:bidi="ar"/>
                    </w:rPr>
                    <w:t>2.41</w:t>
                  </w:r>
                  <w:r>
                    <w:rPr>
                      <w:kern w:val="0"/>
                      <w:sz w:val="21"/>
                      <w:szCs w:val="21"/>
                    </w:rPr>
                    <w:t>×10</w:t>
                  </w:r>
                  <w:r>
                    <w:rPr>
                      <w:kern w:val="0"/>
                      <w:sz w:val="21"/>
                      <w:szCs w:val="21"/>
                      <w:vertAlign w:val="superscript"/>
                      <w:lang w:bidi="ar"/>
                    </w:rPr>
                    <w:t>-</w:t>
                  </w:r>
                  <w:r>
                    <w:rPr>
                      <w:rFonts w:hint="eastAsia"/>
                      <w:kern w:val="0"/>
                      <w:sz w:val="21"/>
                      <w:szCs w:val="21"/>
                      <w:vertAlign w:val="superscript"/>
                      <w:lang w:bidi="ar"/>
                    </w:rPr>
                    <w:t>5</w:t>
                  </w:r>
                </w:p>
              </w:tc>
            </w:tr>
            <w:tr w14:paraId="6B69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38133598">
                  <w:pPr>
                    <w:widowControl/>
                    <w:contextualSpacing/>
                    <w:jc w:val="center"/>
                    <w:rPr>
                      <w:kern w:val="0"/>
                      <w:sz w:val="21"/>
                      <w:szCs w:val="21"/>
                    </w:rPr>
                  </w:pPr>
                  <w:r>
                    <w:rPr>
                      <w:rFonts w:hint="eastAsia"/>
                      <w:kern w:val="0"/>
                      <w:sz w:val="21"/>
                      <w:szCs w:val="21"/>
                    </w:rPr>
                    <w:t>10</w:t>
                  </w:r>
                </w:p>
              </w:tc>
              <w:tc>
                <w:tcPr>
                  <w:tcW w:w="1289" w:type="pct"/>
                  <w:shd w:val="clear" w:color="auto" w:fill="auto"/>
                  <w:vAlign w:val="center"/>
                </w:tcPr>
                <w:p w14:paraId="3B55A03D">
                  <w:pPr>
                    <w:widowControl/>
                    <w:contextualSpacing/>
                    <w:jc w:val="center"/>
                    <w:rPr>
                      <w:kern w:val="0"/>
                      <w:sz w:val="21"/>
                      <w:szCs w:val="21"/>
                    </w:rPr>
                  </w:pPr>
                  <w:r>
                    <w:rPr>
                      <w:kern w:val="0"/>
                      <w:sz w:val="21"/>
                      <w:szCs w:val="21"/>
                      <w:lang w:bidi="ar"/>
                    </w:rPr>
                    <w:t>冰乙酸</w:t>
                  </w:r>
                </w:p>
              </w:tc>
              <w:tc>
                <w:tcPr>
                  <w:tcW w:w="1017" w:type="pct"/>
                  <w:shd w:val="clear" w:color="auto" w:fill="auto"/>
                  <w:vAlign w:val="center"/>
                </w:tcPr>
                <w:p w14:paraId="4FD44F93">
                  <w:pPr>
                    <w:widowControl/>
                    <w:contextualSpacing/>
                    <w:jc w:val="center"/>
                    <w:rPr>
                      <w:kern w:val="0"/>
                      <w:sz w:val="21"/>
                      <w:szCs w:val="21"/>
                    </w:rPr>
                  </w:pPr>
                  <w:r>
                    <w:rPr>
                      <w:rFonts w:hint="eastAsia"/>
                      <w:kern w:val="0"/>
                      <w:sz w:val="21"/>
                      <w:szCs w:val="21"/>
                    </w:rPr>
                    <w:t>2500mL</w:t>
                  </w:r>
                </w:p>
              </w:tc>
              <w:tc>
                <w:tcPr>
                  <w:tcW w:w="798" w:type="pct"/>
                  <w:shd w:val="clear" w:color="auto" w:fill="auto"/>
                  <w:vAlign w:val="center"/>
                </w:tcPr>
                <w:p w14:paraId="311954A8">
                  <w:pPr>
                    <w:widowControl/>
                    <w:jc w:val="center"/>
                    <w:textAlignment w:val="center"/>
                    <w:rPr>
                      <w:sz w:val="21"/>
                      <w:szCs w:val="21"/>
                    </w:rPr>
                  </w:pPr>
                  <w:r>
                    <w:rPr>
                      <w:kern w:val="0"/>
                      <w:sz w:val="21"/>
                      <w:szCs w:val="21"/>
                      <w:lang w:bidi="ar"/>
                    </w:rPr>
                    <w:t>2.63</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1BCE2188">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683F485E">
                  <w:pPr>
                    <w:widowControl/>
                    <w:jc w:val="center"/>
                    <w:textAlignment w:val="center"/>
                    <w:rPr>
                      <w:sz w:val="21"/>
                      <w:szCs w:val="21"/>
                    </w:rPr>
                  </w:pPr>
                  <w:r>
                    <w:rPr>
                      <w:kern w:val="0"/>
                      <w:sz w:val="21"/>
                      <w:szCs w:val="21"/>
                      <w:lang w:bidi="ar"/>
                    </w:rPr>
                    <w:t>2.63</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1F331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07BD8519">
                  <w:pPr>
                    <w:widowControl/>
                    <w:contextualSpacing/>
                    <w:jc w:val="center"/>
                    <w:rPr>
                      <w:kern w:val="0"/>
                      <w:sz w:val="21"/>
                      <w:szCs w:val="21"/>
                    </w:rPr>
                  </w:pPr>
                  <w:r>
                    <w:rPr>
                      <w:rFonts w:hint="eastAsia"/>
                      <w:kern w:val="0"/>
                      <w:sz w:val="21"/>
                      <w:szCs w:val="21"/>
                    </w:rPr>
                    <w:t>11</w:t>
                  </w:r>
                </w:p>
              </w:tc>
              <w:tc>
                <w:tcPr>
                  <w:tcW w:w="1289" w:type="pct"/>
                  <w:shd w:val="clear" w:color="auto" w:fill="auto"/>
                  <w:vAlign w:val="center"/>
                </w:tcPr>
                <w:p w14:paraId="73A7EB2D">
                  <w:pPr>
                    <w:widowControl/>
                    <w:contextualSpacing/>
                    <w:jc w:val="center"/>
                    <w:rPr>
                      <w:kern w:val="0"/>
                      <w:sz w:val="21"/>
                      <w:szCs w:val="21"/>
                    </w:rPr>
                  </w:pPr>
                  <w:r>
                    <w:rPr>
                      <w:kern w:val="0"/>
                      <w:sz w:val="21"/>
                      <w:szCs w:val="21"/>
                      <w:lang w:bidi="ar"/>
                    </w:rPr>
                    <w:t>次氯酸钠</w:t>
                  </w:r>
                </w:p>
              </w:tc>
              <w:tc>
                <w:tcPr>
                  <w:tcW w:w="1017" w:type="pct"/>
                  <w:shd w:val="clear" w:color="auto" w:fill="auto"/>
                  <w:vAlign w:val="center"/>
                </w:tcPr>
                <w:p w14:paraId="23898556">
                  <w:pPr>
                    <w:widowControl/>
                    <w:contextualSpacing/>
                    <w:jc w:val="center"/>
                    <w:rPr>
                      <w:kern w:val="0"/>
                      <w:sz w:val="21"/>
                      <w:szCs w:val="21"/>
                    </w:rPr>
                  </w:pPr>
                  <w:r>
                    <w:rPr>
                      <w:rFonts w:hint="eastAsia"/>
                      <w:kern w:val="0"/>
                      <w:sz w:val="21"/>
                      <w:szCs w:val="21"/>
                    </w:rPr>
                    <w:t>500mL</w:t>
                  </w:r>
                </w:p>
              </w:tc>
              <w:tc>
                <w:tcPr>
                  <w:tcW w:w="798" w:type="pct"/>
                  <w:shd w:val="clear" w:color="auto" w:fill="auto"/>
                  <w:vAlign w:val="center"/>
                </w:tcPr>
                <w:p w14:paraId="7061F2BC">
                  <w:pPr>
                    <w:widowControl/>
                    <w:jc w:val="center"/>
                    <w:textAlignment w:val="center"/>
                    <w:rPr>
                      <w:sz w:val="21"/>
                      <w:szCs w:val="21"/>
                    </w:rPr>
                  </w:pPr>
                  <w:r>
                    <w:rPr>
                      <w:kern w:val="0"/>
                      <w:sz w:val="21"/>
                      <w:szCs w:val="21"/>
                      <w:lang w:bidi="ar"/>
                    </w:rPr>
                    <w:t>6.25</w:t>
                  </w:r>
                  <w:r>
                    <w:rPr>
                      <w:kern w:val="0"/>
                      <w:sz w:val="21"/>
                      <w:szCs w:val="21"/>
                    </w:rPr>
                    <w:t>×10</w:t>
                  </w:r>
                  <w:r>
                    <w:rPr>
                      <w:kern w:val="0"/>
                      <w:sz w:val="21"/>
                      <w:szCs w:val="21"/>
                      <w:vertAlign w:val="superscript"/>
                      <w:lang w:bidi="ar"/>
                    </w:rPr>
                    <w:t>-4</w:t>
                  </w:r>
                  <w:r>
                    <w:rPr>
                      <w:kern w:val="0"/>
                      <w:sz w:val="21"/>
                      <w:szCs w:val="21"/>
                    </w:rPr>
                    <w:t>t</w:t>
                  </w:r>
                </w:p>
              </w:tc>
              <w:tc>
                <w:tcPr>
                  <w:tcW w:w="727" w:type="pct"/>
                  <w:shd w:val="clear" w:color="auto" w:fill="auto"/>
                  <w:vAlign w:val="center"/>
                </w:tcPr>
                <w:p w14:paraId="6E1CDC3C">
                  <w:pPr>
                    <w:widowControl/>
                    <w:contextualSpacing/>
                    <w:jc w:val="center"/>
                    <w:rPr>
                      <w:kern w:val="0"/>
                      <w:sz w:val="21"/>
                      <w:szCs w:val="21"/>
                    </w:rPr>
                  </w:pPr>
                  <w:r>
                    <w:rPr>
                      <w:rFonts w:hint="eastAsia"/>
                      <w:kern w:val="0"/>
                      <w:sz w:val="21"/>
                      <w:szCs w:val="21"/>
                    </w:rPr>
                    <w:t>5t</w:t>
                  </w:r>
                </w:p>
              </w:tc>
              <w:tc>
                <w:tcPr>
                  <w:tcW w:w="738" w:type="pct"/>
                  <w:shd w:val="clear" w:color="auto" w:fill="auto"/>
                  <w:vAlign w:val="center"/>
                </w:tcPr>
                <w:p w14:paraId="75573FD1">
                  <w:pPr>
                    <w:widowControl/>
                    <w:jc w:val="center"/>
                    <w:textAlignment w:val="center"/>
                    <w:rPr>
                      <w:sz w:val="21"/>
                      <w:szCs w:val="21"/>
                    </w:rPr>
                  </w:pPr>
                  <w:r>
                    <w:rPr>
                      <w:rFonts w:hint="eastAsia"/>
                      <w:kern w:val="0"/>
                      <w:sz w:val="21"/>
                      <w:szCs w:val="21"/>
                      <w:lang w:bidi="ar"/>
                    </w:rPr>
                    <w:t>1.25</w:t>
                  </w:r>
                  <w:r>
                    <w:rPr>
                      <w:kern w:val="0"/>
                      <w:sz w:val="21"/>
                      <w:szCs w:val="21"/>
                    </w:rPr>
                    <w:t>×10</w:t>
                  </w:r>
                  <w:r>
                    <w:rPr>
                      <w:kern w:val="0"/>
                      <w:sz w:val="21"/>
                      <w:szCs w:val="21"/>
                      <w:vertAlign w:val="superscript"/>
                      <w:lang w:bidi="ar"/>
                    </w:rPr>
                    <w:t>-4</w:t>
                  </w:r>
                </w:p>
              </w:tc>
            </w:tr>
            <w:tr w14:paraId="57A9B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0AA876D8">
                  <w:pPr>
                    <w:widowControl/>
                    <w:contextualSpacing/>
                    <w:jc w:val="center"/>
                    <w:rPr>
                      <w:kern w:val="0"/>
                      <w:sz w:val="21"/>
                      <w:szCs w:val="21"/>
                    </w:rPr>
                  </w:pPr>
                  <w:r>
                    <w:rPr>
                      <w:rFonts w:hint="eastAsia"/>
                      <w:kern w:val="0"/>
                      <w:sz w:val="21"/>
                      <w:szCs w:val="21"/>
                    </w:rPr>
                    <w:t>12</w:t>
                  </w:r>
                </w:p>
              </w:tc>
              <w:tc>
                <w:tcPr>
                  <w:tcW w:w="1289" w:type="pct"/>
                  <w:shd w:val="clear" w:color="auto" w:fill="auto"/>
                  <w:vAlign w:val="center"/>
                </w:tcPr>
                <w:p w14:paraId="565D1A37">
                  <w:pPr>
                    <w:widowControl/>
                    <w:contextualSpacing/>
                    <w:jc w:val="center"/>
                    <w:rPr>
                      <w:kern w:val="0"/>
                      <w:sz w:val="21"/>
                      <w:szCs w:val="21"/>
                      <w:lang w:bidi="ar"/>
                    </w:rPr>
                  </w:pPr>
                  <w:r>
                    <w:rPr>
                      <w:kern w:val="0"/>
                      <w:sz w:val="21"/>
                      <w:szCs w:val="21"/>
                      <w:lang w:bidi="ar"/>
                    </w:rPr>
                    <w:t>磷酸</w:t>
                  </w:r>
                </w:p>
              </w:tc>
              <w:tc>
                <w:tcPr>
                  <w:tcW w:w="1017" w:type="pct"/>
                  <w:shd w:val="clear" w:color="auto" w:fill="auto"/>
                  <w:vAlign w:val="center"/>
                </w:tcPr>
                <w:p w14:paraId="30FD0AD3">
                  <w:pPr>
                    <w:widowControl/>
                    <w:contextualSpacing/>
                    <w:jc w:val="center"/>
                    <w:rPr>
                      <w:kern w:val="0"/>
                      <w:sz w:val="21"/>
                      <w:szCs w:val="21"/>
                    </w:rPr>
                  </w:pPr>
                  <w:r>
                    <w:rPr>
                      <w:rFonts w:hint="eastAsia"/>
                      <w:kern w:val="0"/>
                      <w:sz w:val="21"/>
                      <w:szCs w:val="21"/>
                    </w:rPr>
                    <w:t>1000mL</w:t>
                  </w:r>
                </w:p>
              </w:tc>
              <w:tc>
                <w:tcPr>
                  <w:tcW w:w="798" w:type="pct"/>
                  <w:shd w:val="clear" w:color="auto" w:fill="auto"/>
                  <w:vAlign w:val="center"/>
                </w:tcPr>
                <w:p w14:paraId="45E876A1">
                  <w:pPr>
                    <w:widowControl/>
                    <w:jc w:val="center"/>
                    <w:textAlignment w:val="center"/>
                    <w:rPr>
                      <w:sz w:val="21"/>
                      <w:szCs w:val="21"/>
                    </w:rPr>
                  </w:pPr>
                  <w:r>
                    <w:rPr>
                      <w:kern w:val="0"/>
                      <w:sz w:val="21"/>
                      <w:szCs w:val="21"/>
                      <w:lang w:bidi="ar"/>
                    </w:rPr>
                    <w:t>1.87</w:t>
                  </w:r>
                  <w:r>
                    <w:rPr>
                      <w:kern w:val="0"/>
                      <w:sz w:val="21"/>
                      <w:szCs w:val="21"/>
                    </w:rPr>
                    <w:t>×10</w:t>
                  </w:r>
                  <w:r>
                    <w:rPr>
                      <w:kern w:val="0"/>
                      <w:sz w:val="21"/>
                      <w:szCs w:val="21"/>
                      <w:vertAlign w:val="superscript"/>
                      <w:lang w:bidi="ar"/>
                    </w:rPr>
                    <w:t>-3</w:t>
                  </w:r>
                  <w:r>
                    <w:rPr>
                      <w:kern w:val="0"/>
                      <w:sz w:val="21"/>
                      <w:szCs w:val="21"/>
                    </w:rPr>
                    <w:t>t</w:t>
                  </w:r>
                </w:p>
              </w:tc>
              <w:tc>
                <w:tcPr>
                  <w:tcW w:w="727" w:type="pct"/>
                  <w:shd w:val="clear" w:color="auto" w:fill="auto"/>
                  <w:vAlign w:val="center"/>
                </w:tcPr>
                <w:p w14:paraId="094F13A8">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48C7D6C1">
                  <w:pPr>
                    <w:widowControl/>
                    <w:jc w:val="center"/>
                    <w:textAlignment w:val="center"/>
                    <w:rPr>
                      <w:sz w:val="21"/>
                      <w:szCs w:val="21"/>
                    </w:rPr>
                  </w:pPr>
                  <w:r>
                    <w:rPr>
                      <w:kern w:val="0"/>
                      <w:sz w:val="21"/>
                      <w:szCs w:val="21"/>
                      <w:lang w:bidi="ar"/>
                    </w:rPr>
                    <w:t>1.87</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2342A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234A29DF">
                  <w:pPr>
                    <w:widowControl/>
                    <w:contextualSpacing/>
                    <w:jc w:val="center"/>
                    <w:rPr>
                      <w:kern w:val="0"/>
                      <w:sz w:val="21"/>
                      <w:szCs w:val="21"/>
                    </w:rPr>
                  </w:pPr>
                  <w:r>
                    <w:rPr>
                      <w:rFonts w:hint="eastAsia"/>
                      <w:kern w:val="0"/>
                      <w:sz w:val="21"/>
                      <w:szCs w:val="21"/>
                    </w:rPr>
                    <w:t>13</w:t>
                  </w:r>
                </w:p>
              </w:tc>
              <w:tc>
                <w:tcPr>
                  <w:tcW w:w="1289" w:type="pct"/>
                  <w:shd w:val="clear" w:color="auto" w:fill="auto"/>
                  <w:vAlign w:val="center"/>
                </w:tcPr>
                <w:p w14:paraId="60125A6F">
                  <w:pPr>
                    <w:widowControl/>
                    <w:contextualSpacing/>
                    <w:jc w:val="center"/>
                    <w:rPr>
                      <w:kern w:val="0"/>
                      <w:sz w:val="21"/>
                      <w:szCs w:val="21"/>
                      <w:lang w:bidi="ar"/>
                    </w:rPr>
                  </w:pPr>
                  <w:r>
                    <w:rPr>
                      <w:kern w:val="0"/>
                      <w:sz w:val="21"/>
                      <w:szCs w:val="21"/>
                      <w:lang w:bidi="ar"/>
                    </w:rPr>
                    <w:t>硫酸（95%-98%）</w:t>
                  </w:r>
                </w:p>
              </w:tc>
              <w:tc>
                <w:tcPr>
                  <w:tcW w:w="1017" w:type="pct"/>
                  <w:shd w:val="clear" w:color="auto" w:fill="auto"/>
                  <w:vAlign w:val="center"/>
                </w:tcPr>
                <w:p w14:paraId="0B5807FD">
                  <w:pPr>
                    <w:widowControl/>
                    <w:contextualSpacing/>
                    <w:jc w:val="center"/>
                    <w:rPr>
                      <w:kern w:val="0"/>
                      <w:sz w:val="21"/>
                      <w:szCs w:val="21"/>
                    </w:rPr>
                  </w:pPr>
                  <w:r>
                    <w:rPr>
                      <w:rFonts w:hint="eastAsia"/>
                      <w:kern w:val="0"/>
                      <w:sz w:val="21"/>
                      <w:szCs w:val="21"/>
                    </w:rPr>
                    <w:t>20000mL</w:t>
                  </w:r>
                </w:p>
              </w:tc>
              <w:tc>
                <w:tcPr>
                  <w:tcW w:w="798" w:type="pct"/>
                  <w:shd w:val="clear" w:color="auto" w:fill="auto"/>
                  <w:vAlign w:val="center"/>
                </w:tcPr>
                <w:p w14:paraId="5CC1DA8E">
                  <w:pPr>
                    <w:widowControl/>
                    <w:jc w:val="center"/>
                    <w:textAlignment w:val="center"/>
                    <w:rPr>
                      <w:kern w:val="0"/>
                      <w:sz w:val="21"/>
                      <w:szCs w:val="21"/>
                    </w:rPr>
                  </w:pPr>
                  <w:r>
                    <w:rPr>
                      <w:kern w:val="0"/>
                      <w:sz w:val="21"/>
                      <w:szCs w:val="21"/>
                      <w:lang w:bidi="ar"/>
                    </w:rPr>
                    <w:t>3</w:t>
                  </w:r>
                  <w:r>
                    <w:rPr>
                      <w:rFonts w:hint="eastAsia"/>
                      <w:kern w:val="0"/>
                      <w:sz w:val="21"/>
                      <w:szCs w:val="21"/>
                      <w:lang w:bidi="ar"/>
                    </w:rPr>
                    <w:t>.53</w:t>
                  </w:r>
                  <w:r>
                    <w:rPr>
                      <w:kern w:val="0"/>
                      <w:sz w:val="21"/>
                      <w:szCs w:val="21"/>
                    </w:rPr>
                    <w:t>×10</w:t>
                  </w:r>
                  <w:r>
                    <w:rPr>
                      <w:kern w:val="0"/>
                      <w:sz w:val="21"/>
                      <w:szCs w:val="21"/>
                      <w:vertAlign w:val="superscript"/>
                      <w:lang w:bidi="ar"/>
                    </w:rPr>
                    <w:t>-2</w:t>
                  </w:r>
                  <w:r>
                    <w:rPr>
                      <w:kern w:val="0"/>
                      <w:sz w:val="21"/>
                      <w:szCs w:val="21"/>
                    </w:rPr>
                    <w:t>t</w:t>
                  </w:r>
                </w:p>
              </w:tc>
              <w:tc>
                <w:tcPr>
                  <w:tcW w:w="727" w:type="pct"/>
                  <w:shd w:val="clear" w:color="auto" w:fill="auto"/>
                  <w:vAlign w:val="center"/>
                </w:tcPr>
                <w:p w14:paraId="12D1C5D9">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4BCE871A">
                  <w:pPr>
                    <w:widowControl/>
                    <w:jc w:val="center"/>
                    <w:textAlignment w:val="center"/>
                    <w:rPr>
                      <w:kern w:val="0"/>
                      <w:sz w:val="21"/>
                      <w:szCs w:val="21"/>
                    </w:rPr>
                  </w:pPr>
                  <w:r>
                    <w:rPr>
                      <w:kern w:val="0"/>
                      <w:sz w:val="21"/>
                      <w:szCs w:val="21"/>
                      <w:lang w:bidi="ar"/>
                    </w:rPr>
                    <w:t>3.</w:t>
                  </w:r>
                  <w:r>
                    <w:rPr>
                      <w:rFonts w:hint="eastAsia"/>
                      <w:kern w:val="0"/>
                      <w:sz w:val="21"/>
                      <w:szCs w:val="21"/>
                      <w:lang w:bidi="ar"/>
                    </w:rPr>
                    <w:t>53</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p>
              </w:tc>
            </w:tr>
            <w:tr w14:paraId="5C34F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12F18B8F">
                  <w:pPr>
                    <w:widowControl/>
                    <w:contextualSpacing/>
                    <w:jc w:val="center"/>
                    <w:rPr>
                      <w:kern w:val="0"/>
                      <w:sz w:val="21"/>
                      <w:szCs w:val="21"/>
                    </w:rPr>
                  </w:pPr>
                  <w:r>
                    <w:rPr>
                      <w:rFonts w:hint="eastAsia"/>
                      <w:kern w:val="0"/>
                      <w:sz w:val="21"/>
                      <w:szCs w:val="21"/>
                    </w:rPr>
                    <w:t>14</w:t>
                  </w:r>
                </w:p>
              </w:tc>
              <w:tc>
                <w:tcPr>
                  <w:tcW w:w="1289" w:type="pct"/>
                  <w:shd w:val="clear" w:color="auto" w:fill="auto"/>
                  <w:vAlign w:val="center"/>
                </w:tcPr>
                <w:p w14:paraId="4547E909">
                  <w:pPr>
                    <w:widowControl/>
                    <w:contextualSpacing/>
                    <w:jc w:val="center"/>
                    <w:rPr>
                      <w:kern w:val="0"/>
                      <w:sz w:val="21"/>
                      <w:szCs w:val="21"/>
                      <w:lang w:bidi="ar"/>
                    </w:rPr>
                  </w:pPr>
                  <w:r>
                    <w:rPr>
                      <w:kern w:val="0"/>
                      <w:sz w:val="21"/>
                      <w:szCs w:val="21"/>
                      <w:lang w:bidi="ar"/>
                    </w:rPr>
                    <w:t>硫酸镉</w:t>
                  </w:r>
                </w:p>
              </w:tc>
              <w:tc>
                <w:tcPr>
                  <w:tcW w:w="1017" w:type="pct"/>
                  <w:shd w:val="clear" w:color="auto" w:fill="auto"/>
                  <w:vAlign w:val="center"/>
                </w:tcPr>
                <w:p w14:paraId="210856B7">
                  <w:pPr>
                    <w:widowControl/>
                    <w:contextualSpacing/>
                    <w:jc w:val="center"/>
                    <w:rPr>
                      <w:kern w:val="0"/>
                      <w:sz w:val="21"/>
                      <w:szCs w:val="21"/>
                    </w:rPr>
                  </w:pPr>
                  <w:r>
                    <w:rPr>
                      <w:rFonts w:hint="eastAsia"/>
                      <w:kern w:val="0"/>
                      <w:sz w:val="21"/>
                      <w:szCs w:val="21"/>
                    </w:rPr>
                    <w:t>100g</w:t>
                  </w:r>
                </w:p>
              </w:tc>
              <w:tc>
                <w:tcPr>
                  <w:tcW w:w="798" w:type="pct"/>
                  <w:shd w:val="clear" w:color="auto" w:fill="auto"/>
                  <w:vAlign w:val="center"/>
                </w:tcPr>
                <w:p w14:paraId="47AC76DF">
                  <w:pPr>
                    <w:jc w:val="center"/>
                    <w:rPr>
                      <w:kern w:val="0"/>
                      <w:sz w:val="21"/>
                      <w:szCs w:val="21"/>
                    </w:rPr>
                  </w:pPr>
                  <w:r>
                    <w:rPr>
                      <w:rFonts w:hint="eastAsia"/>
                      <w:kern w:val="0"/>
                      <w:sz w:val="21"/>
                      <w:szCs w:val="21"/>
                      <w:lang w:bidi="ar"/>
                    </w:rPr>
                    <w:t>1.00</w:t>
                  </w:r>
                  <w:r>
                    <w:rPr>
                      <w:kern w:val="0"/>
                      <w:sz w:val="21"/>
                      <w:szCs w:val="21"/>
                    </w:rPr>
                    <w:t>×10</w:t>
                  </w:r>
                  <w:r>
                    <w:rPr>
                      <w:kern w:val="0"/>
                      <w:sz w:val="21"/>
                      <w:szCs w:val="21"/>
                      <w:vertAlign w:val="superscript"/>
                      <w:lang w:bidi="ar"/>
                    </w:rPr>
                    <w:t>-</w:t>
                  </w:r>
                  <w:r>
                    <w:rPr>
                      <w:rFonts w:hint="eastAsia"/>
                      <w:kern w:val="0"/>
                      <w:sz w:val="21"/>
                      <w:szCs w:val="21"/>
                      <w:vertAlign w:val="superscript"/>
                      <w:lang w:bidi="ar"/>
                    </w:rPr>
                    <w:t>4</w:t>
                  </w:r>
                  <w:r>
                    <w:rPr>
                      <w:kern w:val="0"/>
                      <w:sz w:val="21"/>
                      <w:szCs w:val="21"/>
                    </w:rPr>
                    <w:t>t</w:t>
                  </w:r>
                </w:p>
              </w:tc>
              <w:tc>
                <w:tcPr>
                  <w:tcW w:w="727" w:type="pct"/>
                  <w:shd w:val="clear" w:color="auto" w:fill="auto"/>
                  <w:vAlign w:val="center"/>
                </w:tcPr>
                <w:p w14:paraId="18CB2D65">
                  <w:pPr>
                    <w:widowControl/>
                    <w:contextualSpacing/>
                    <w:jc w:val="center"/>
                    <w:rPr>
                      <w:kern w:val="0"/>
                      <w:sz w:val="21"/>
                      <w:szCs w:val="21"/>
                    </w:rPr>
                  </w:pPr>
                  <w:r>
                    <w:rPr>
                      <w:rFonts w:hint="eastAsia"/>
                      <w:kern w:val="0"/>
                      <w:sz w:val="21"/>
                      <w:szCs w:val="21"/>
                    </w:rPr>
                    <w:t>0.25t</w:t>
                  </w:r>
                </w:p>
              </w:tc>
              <w:tc>
                <w:tcPr>
                  <w:tcW w:w="738" w:type="pct"/>
                  <w:shd w:val="clear" w:color="auto" w:fill="auto"/>
                  <w:vAlign w:val="center"/>
                </w:tcPr>
                <w:p w14:paraId="24B7586F">
                  <w:pPr>
                    <w:jc w:val="center"/>
                    <w:rPr>
                      <w:kern w:val="0"/>
                      <w:sz w:val="21"/>
                      <w:szCs w:val="21"/>
                    </w:rPr>
                  </w:pPr>
                  <w:r>
                    <w:rPr>
                      <w:rFonts w:hint="eastAsia"/>
                      <w:kern w:val="0"/>
                      <w:sz w:val="21"/>
                      <w:szCs w:val="21"/>
                      <w:lang w:bidi="ar"/>
                    </w:rPr>
                    <w:t>4.00</w:t>
                  </w:r>
                  <w:r>
                    <w:rPr>
                      <w:kern w:val="0"/>
                      <w:sz w:val="21"/>
                      <w:szCs w:val="21"/>
                    </w:rPr>
                    <w:t>×10</w:t>
                  </w:r>
                  <w:r>
                    <w:rPr>
                      <w:kern w:val="0"/>
                      <w:sz w:val="21"/>
                      <w:szCs w:val="21"/>
                      <w:vertAlign w:val="superscript"/>
                      <w:lang w:bidi="ar"/>
                    </w:rPr>
                    <w:t>-</w:t>
                  </w:r>
                  <w:r>
                    <w:rPr>
                      <w:rFonts w:hint="eastAsia"/>
                      <w:kern w:val="0"/>
                      <w:sz w:val="21"/>
                      <w:szCs w:val="21"/>
                      <w:vertAlign w:val="superscript"/>
                      <w:lang w:bidi="ar"/>
                    </w:rPr>
                    <w:t>5</w:t>
                  </w:r>
                </w:p>
              </w:tc>
            </w:tr>
            <w:tr w14:paraId="19C4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1AA4BE1D">
                  <w:pPr>
                    <w:widowControl/>
                    <w:contextualSpacing/>
                    <w:jc w:val="center"/>
                    <w:rPr>
                      <w:kern w:val="0"/>
                      <w:sz w:val="21"/>
                      <w:szCs w:val="21"/>
                    </w:rPr>
                  </w:pPr>
                  <w:r>
                    <w:rPr>
                      <w:rFonts w:hint="eastAsia"/>
                      <w:kern w:val="0"/>
                      <w:sz w:val="21"/>
                      <w:szCs w:val="21"/>
                    </w:rPr>
                    <w:t>15</w:t>
                  </w:r>
                </w:p>
              </w:tc>
              <w:tc>
                <w:tcPr>
                  <w:tcW w:w="1289" w:type="pct"/>
                  <w:shd w:val="clear" w:color="auto" w:fill="auto"/>
                  <w:vAlign w:val="center"/>
                </w:tcPr>
                <w:p w14:paraId="37118419">
                  <w:pPr>
                    <w:widowControl/>
                    <w:contextualSpacing/>
                    <w:jc w:val="center"/>
                    <w:rPr>
                      <w:kern w:val="0"/>
                      <w:sz w:val="21"/>
                      <w:szCs w:val="21"/>
                      <w:lang w:bidi="ar"/>
                    </w:rPr>
                  </w:pPr>
                  <w:r>
                    <w:rPr>
                      <w:kern w:val="0"/>
                      <w:sz w:val="21"/>
                      <w:szCs w:val="21"/>
                      <w:lang w:bidi="ar"/>
                    </w:rPr>
                    <w:t>硝酸</w:t>
                  </w:r>
                </w:p>
              </w:tc>
              <w:tc>
                <w:tcPr>
                  <w:tcW w:w="1017" w:type="pct"/>
                  <w:shd w:val="clear" w:color="auto" w:fill="auto"/>
                  <w:vAlign w:val="center"/>
                </w:tcPr>
                <w:p w14:paraId="29154EDC">
                  <w:pPr>
                    <w:widowControl/>
                    <w:contextualSpacing/>
                    <w:jc w:val="center"/>
                    <w:rPr>
                      <w:kern w:val="0"/>
                      <w:sz w:val="21"/>
                      <w:szCs w:val="21"/>
                    </w:rPr>
                  </w:pPr>
                  <w:r>
                    <w:rPr>
                      <w:rFonts w:hint="eastAsia"/>
                      <w:kern w:val="0"/>
                      <w:sz w:val="21"/>
                      <w:szCs w:val="21"/>
                    </w:rPr>
                    <w:t>18000mL</w:t>
                  </w:r>
                </w:p>
              </w:tc>
              <w:tc>
                <w:tcPr>
                  <w:tcW w:w="798" w:type="pct"/>
                  <w:shd w:val="clear" w:color="auto" w:fill="auto"/>
                  <w:vAlign w:val="center"/>
                </w:tcPr>
                <w:p w14:paraId="3C1EADF7">
                  <w:pPr>
                    <w:widowControl/>
                    <w:jc w:val="center"/>
                    <w:textAlignment w:val="center"/>
                    <w:rPr>
                      <w:kern w:val="0"/>
                      <w:sz w:val="21"/>
                      <w:szCs w:val="21"/>
                    </w:rPr>
                  </w:pPr>
                  <w:r>
                    <w:rPr>
                      <w:kern w:val="0"/>
                      <w:sz w:val="21"/>
                      <w:szCs w:val="21"/>
                      <w:lang w:bidi="ar"/>
                    </w:rPr>
                    <w:t>2.56</w:t>
                  </w:r>
                  <w:r>
                    <w:rPr>
                      <w:kern w:val="0"/>
                      <w:sz w:val="21"/>
                      <w:szCs w:val="21"/>
                    </w:rPr>
                    <w:t>×10</w:t>
                  </w:r>
                  <w:r>
                    <w:rPr>
                      <w:kern w:val="0"/>
                      <w:sz w:val="21"/>
                      <w:szCs w:val="21"/>
                      <w:vertAlign w:val="superscript"/>
                      <w:lang w:bidi="ar"/>
                    </w:rPr>
                    <w:t>-2</w:t>
                  </w:r>
                  <w:r>
                    <w:rPr>
                      <w:kern w:val="0"/>
                      <w:sz w:val="21"/>
                      <w:szCs w:val="21"/>
                    </w:rPr>
                    <w:t>t</w:t>
                  </w:r>
                </w:p>
              </w:tc>
              <w:tc>
                <w:tcPr>
                  <w:tcW w:w="727" w:type="pct"/>
                  <w:shd w:val="clear" w:color="auto" w:fill="auto"/>
                  <w:vAlign w:val="center"/>
                </w:tcPr>
                <w:p w14:paraId="29D65517">
                  <w:pPr>
                    <w:widowControl/>
                    <w:contextualSpacing/>
                    <w:jc w:val="center"/>
                    <w:rPr>
                      <w:kern w:val="0"/>
                      <w:sz w:val="21"/>
                      <w:szCs w:val="21"/>
                    </w:rPr>
                  </w:pPr>
                  <w:r>
                    <w:rPr>
                      <w:rFonts w:hint="eastAsia"/>
                      <w:kern w:val="0"/>
                      <w:sz w:val="21"/>
                      <w:szCs w:val="21"/>
                    </w:rPr>
                    <w:t>7.5t</w:t>
                  </w:r>
                </w:p>
              </w:tc>
              <w:tc>
                <w:tcPr>
                  <w:tcW w:w="738" w:type="pct"/>
                  <w:shd w:val="clear" w:color="auto" w:fill="auto"/>
                  <w:vAlign w:val="center"/>
                </w:tcPr>
                <w:p w14:paraId="6496F257">
                  <w:pPr>
                    <w:widowControl/>
                    <w:jc w:val="center"/>
                    <w:textAlignment w:val="center"/>
                    <w:rPr>
                      <w:kern w:val="0"/>
                      <w:sz w:val="21"/>
                      <w:szCs w:val="21"/>
                    </w:rPr>
                  </w:pPr>
                  <w:r>
                    <w:rPr>
                      <w:rFonts w:hint="eastAsia"/>
                      <w:kern w:val="0"/>
                      <w:sz w:val="21"/>
                      <w:szCs w:val="21"/>
                      <w:lang w:bidi="ar"/>
                    </w:rPr>
                    <w:t>3.41</w:t>
                  </w:r>
                  <w:r>
                    <w:rPr>
                      <w:kern w:val="0"/>
                      <w:sz w:val="21"/>
                      <w:szCs w:val="21"/>
                    </w:rPr>
                    <w:t>×10</w:t>
                  </w:r>
                  <w:r>
                    <w:rPr>
                      <w:kern w:val="0"/>
                      <w:sz w:val="21"/>
                      <w:szCs w:val="21"/>
                      <w:vertAlign w:val="superscript"/>
                      <w:lang w:bidi="ar"/>
                    </w:rPr>
                    <w:t>-</w:t>
                  </w:r>
                  <w:r>
                    <w:rPr>
                      <w:rFonts w:hint="eastAsia"/>
                      <w:kern w:val="0"/>
                      <w:sz w:val="21"/>
                      <w:szCs w:val="21"/>
                      <w:vertAlign w:val="superscript"/>
                      <w:lang w:bidi="ar"/>
                    </w:rPr>
                    <w:t>3</w:t>
                  </w:r>
                </w:p>
              </w:tc>
            </w:tr>
            <w:tr w14:paraId="1EFBA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7436BBDC">
                  <w:pPr>
                    <w:widowControl/>
                    <w:contextualSpacing/>
                    <w:jc w:val="center"/>
                    <w:rPr>
                      <w:kern w:val="0"/>
                      <w:sz w:val="21"/>
                      <w:szCs w:val="21"/>
                    </w:rPr>
                  </w:pPr>
                  <w:r>
                    <w:rPr>
                      <w:rFonts w:hint="eastAsia"/>
                      <w:kern w:val="0"/>
                      <w:sz w:val="21"/>
                      <w:szCs w:val="21"/>
                    </w:rPr>
                    <w:t>16</w:t>
                  </w:r>
                </w:p>
              </w:tc>
              <w:tc>
                <w:tcPr>
                  <w:tcW w:w="1289" w:type="pct"/>
                  <w:shd w:val="clear" w:color="auto" w:fill="auto"/>
                  <w:vAlign w:val="center"/>
                </w:tcPr>
                <w:p w14:paraId="52C05250">
                  <w:pPr>
                    <w:widowControl/>
                    <w:contextualSpacing/>
                    <w:jc w:val="center"/>
                    <w:rPr>
                      <w:kern w:val="0"/>
                      <w:sz w:val="21"/>
                      <w:szCs w:val="21"/>
                      <w:lang w:bidi="ar"/>
                    </w:rPr>
                  </w:pPr>
                  <w:r>
                    <w:rPr>
                      <w:kern w:val="0"/>
                      <w:sz w:val="21"/>
                      <w:szCs w:val="21"/>
                      <w:lang w:bidi="ar"/>
                    </w:rPr>
                    <w:t>盐酸（</w:t>
                  </w:r>
                  <w:r>
                    <w:rPr>
                      <w:rFonts w:hint="eastAsia"/>
                      <w:kern w:val="0"/>
                      <w:sz w:val="21"/>
                      <w:szCs w:val="21"/>
                      <w:lang w:bidi="ar"/>
                    </w:rPr>
                    <w:t>36</w:t>
                  </w:r>
                  <w:r>
                    <w:rPr>
                      <w:kern w:val="0"/>
                      <w:sz w:val="21"/>
                      <w:szCs w:val="21"/>
                      <w:lang w:bidi="ar"/>
                    </w:rPr>
                    <w:t>%-</w:t>
                  </w:r>
                  <w:r>
                    <w:rPr>
                      <w:rFonts w:hint="eastAsia"/>
                      <w:kern w:val="0"/>
                      <w:sz w:val="21"/>
                      <w:szCs w:val="21"/>
                      <w:lang w:bidi="ar"/>
                    </w:rPr>
                    <w:t>3</w:t>
                  </w:r>
                  <w:r>
                    <w:rPr>
                      <w:kern w:val="0"/>
                      <w:sz w:val="21"/>
                      <w:szCs w:val="21"/>
                      <w:lang w:bidi="ar"/>
                    </w:rPr>
                    <w:t>8%）</w:t>
                  </w:r>
                </w:p>
              </w:tc>
              <w:tc>
                <w:tcPr>
                  <w:tcW w:w="1017" w:type="pct"/>
                  <w:shd w:val="clear" w:color="auto" w:fill="auto"/>
                  <w:vAlign w:val="center"/>
                </w:tcPr>
                <w:p w14:paraId="5E9B8402">
                  <w:pPr>
                    <w:widowControl/>
                    <w:contextualSpacing/>
                    <w:jc w:val="center"/>
                    <w:rPr>
                      <w:kern w:val="0"/>
                      <w:sz w:val="21"/>
                      <w:szCs w:val="21"/>
                    </w:rPr>
                  </w:pPr>
                  <w:r>
                    <w:rPr>
                      <w:rFonts w:hint="eastAsia"/>
                      <w:kern w:val="0"/>
                      <w:sz w:val="21"/>
                      <w:szCs w:val="21"/>
                    </w:rPr>
                    <w:t>20000mL</w:t>
                  </w:r>
                </w:p>
              </w:tc>
              <w:tc>
                <w:tcPr>
                  <w:tcW w:w="798" w:type="pct"/>
                  <w:shd w:val="clear" w:color="auto" w:fill="auto"/>
                  <w:vAlign w:val="center"/>
                </w:tcPr>
                <w:p w14:paraId="636F5EE6">
                  <w:pPr>
                    <w:widowControl/>
                    <w:jc w:val="center"/>
                    <w:textAlignment w:val="center"/>
                    <w:rPr>
                      <w:kern w:val="0"/>
                      <w:sz w:val="21"/>
                      <w:szCs w:val="21"/>
                    </w:rPr>
                  </w:pPr>
                  <w:r>
                    <w:rPr>
                      <w:rFonts w:hint="eastAsia"/>
                      <w:kern w:val="0"/>
                      <w:sz w:val="21"/>
                      <w:szCs w:val="21"/>
                      <w:lang w:bidi="ar"/>
                    </w:rPr>
                    <w:t>8.73</w:t>
                  </w:r>
                  <w:r>
                    <w:rPr>
                      <w:kern w:val="0"/>
                      <w:sz w:val="21"/>
                      <w:szCs w:val="21"/>
                    </w:rPr>
                    <w:t>×10</w:t>
                  </w:r>
                  <w:r>
                    <w:rPr>
                      <w:kern w:val="0"/>
                      <w:sz w:val="21"/>
                      <w:szCs w:val="21"/>
                      <w:vertAlign w:val="superscript"/>
                      <w:lang w:bidi="ar"/>
                    </w:rPr>
                    <w:t>-</w:t>
                  </w:r>
                  <w:r>
                    <w:rPr>
                      <w:rFonts w:hint="eastAsia"/>
                      <w:kern w:val="0"/>
                      <w:sz w:val="21"/>
                      <w:szCs w:val="21"/>
                      <w:vertAlign w:val="superscript"/>
                      <w:lang w:bidi="ar"/>
                    </w:rPr>
                    <w:t>3</w:t>
                  </w:r>
                  <w:r>
                    <w:rPr>
                      <w:kern w:val="0"/>
                      <w:sz w:val="21"/>
                      <w:szCs w:val="21"/>
                    </w:rPr>
                    <w:t>t</w:t>
                  </w:r>
                </w:p>
              </w:tc>
              <w:tc>
                <w:tcPr>
                  <w:tcW w:w="727" w:type="pct"/>
                  <w:shd w:val="clear" w:color="auto" w:fill="auto"/>
                  <w:vAlign w:val="center"/>
                </w:tcPr>
                <w:p w14:paraId="644AA488">
                  <w:pPr>
                    <w:widowControl/>
                    <w:contextualSpacing/>
                    <w:jc w:val="center"/>
                    <w:rPr>
                      <w:kern w:val="0"/>
                      <w:sz w:val="21"/>
                      <w:szCs w:val="21"/>
                    </w:rPr>
                  </w:pPr>
                  <w:r>
                    <w:rPr>
                      <w:rFonts w:hint="eastAsia"/>
                      <w:kern w:val="0"/>
                      <w:sz w:val="21"/>
                      <w:szCs w:val="21"/>
                    </w:rPr>
                    <w:t>7.5t</w:t>
                  </w:r>
                </w:p>
              </w:tc>
              <w:tc>
                <w:tcPr>
                  <w:tcW w:w="738" w:type="pct"/>
                  <w:shd w:val="clear" w:color="auto" w:fill="auto"/>
                  <w:vAlign w:val="center"/>
                </w:tcPr>
                <w:p w14:paraId="64D95D9B">
                  <w:pPr>
                    <w:widowControl/>
                    <w:jc w:val="center"/>
                    <w:textAlignment w:val="center"/>
                    <w:rPr>
                      <w:kern w:val="0"/>
                      <w:sz w:val="21"/>
                      <w:szCs w:val="21"/>
                    </w:rPr>
                  </w:pPr>
                  <w:r>
                    <w:rPr>
                      <w:rFonts w:hint="eastAsia"/>
                      <w:kern w:val="0"/>
                      <w:sz w:val="21"/>
                      <w:szCs w:val="21"/>
                      <w:lang w:bidi="ar"/>
                    </w:rPr>
                    <w:t>1.16</w:t>
                  </w:r>
                  <w:r>
                    <w:rPr>
                      <w:kern w:val="0"/>
                      <w:sz w:val="21"/>
                      <w:szCs w:val="21"/>
                    </w:rPr>
                    <w:t>×10</w:t>
                  </w:r>
                  <w:r>
                    <w:rPr>
                      <w:kern w:val="0"/>
                      <w:sz w:val="21"/>
                      <w:szCs w:val="21"/>
                      <w:vertAlign w:val="superscript"/>
                      <w:lang w:bidi="ar"/>
                    </w:rPr>
                    <w:t>-</w:t>
                  </w:r>
                  <w:r>
                    <w:rPr>
                      <w:rFonts w:hint="eastAsia"/>
                      <w:kern w:val="0"/>
                      <w:sz w:val="21"/>
                      <w:szCs w:val="21"/>
                      <w:vertAlign w:val="superscript"/>
                      <w:lang w:bidi="ar"/>
                    </w:rPr>
                    <w:t>3</w:t>
                  </w:r>
                </w:p>
              </w:tc>
            </w:tr>
            <w:tr w14:paraId="0E915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2206710D">
                  <w:pPr>
                    <w:widowControl/>
                    <w:contextualSpacing/>
                    <w:jc w:val="center"/>
                    <w:rPr>
                      <w:kern w:val="0"/>
                      <w:sz w:val="21"/>
                      <w:szCs w:val="21"/>
                    </w:rPr>
                  </w:pPr>
                  <w:r>
                    <w:rPr>
                      <w:rFonts w:hint="eastAsia"/>
                      <w:kern w:val="0"/>
                      <w:sz w:val="21"/>
                      <w:szCs w:val="21"/>
                    </w:rPr>
                    <w:t>17</w:t>
                  </w:r>
                </w:p>
              </w:tc>
              <w:tc>
                <w:tcPr>
                  <w:tcW w:w="1289" w:type="pct"/>
                  <w:shd w:val="clear" w:color="auto" w:fill="auto"/>
                  <w:vAlign w:val="center"/>
                </w:tcPr>
                <w:p w14:paraId="3EC052D1">
                  <w:pPr>
                    <w:widowControl/>
                    <w:contextualSpacing/>
                    <w:jc w:val="center"/>
                    <w:rPr>
                      <w:kern w:val="0"/>
                      <w:sz w:val="21"/>
                      <w:szCs w:val="21"/>
                      <w:lang w:bidi="ar"/>
                    </w:rPr>
                  </w:pPr>
                  <w:r>
                    <w:rPr>
                      <w:rFonts w:hint="eastAsia"/>
                      <w:kern w:val="0"/>
                      <w:sz w:val="21"/>
                      <w:szCs w:val="21"/>
                      <w:lang w:bidi="ar"/>
                    </w:rPr>
                    <w:t>乙炔</w:t>
                  </w:r>
                </w:p>
              </w:tc>
              <w:tc>
                <w:tcPr>
                  <w:tcW w:w="1017" w:type="pct"/>
                  <w:shd w:val="clear" w:color="auto" w:fill="auto"/>
                  <w:vAlign w:val="center"/>
                </w:tcPr>
                <w:p w14:paraId="16515F55">
                  <w:pPr>
                    <w:widowControl/>
                    <w:contextualSpacing/>
                    <w:jc w:val="center"/>
                    <w:rPr>
                      <w:kern w:val="0"/>
                      <w:sz w:val="21"/>
                      <w:szCs w:val="21"/>
                    </w:rPr>
                  </w:pPr>
                  <w:r>
                    <w:rPr>
                      <w:rFonts w:hint="eastAsia"/>
                      <w:kern w:val="0"/>
                      <w:sz w:val="21"/>
                      <w:szCs w:val="21"/>
                    </w:rPr>
                    <w:t>60L</w:t>
                  </w:r>
                </w:p>
              </w:tc>
              <w:tc>
                <w:tcPr>
                  <w:tcW w:w="798" w:type="pct"/>
                  <w:shd w:val="clear" w:color="auto" w:fill="auto"/>
                  <w:vAlign w:val="center"/>
                </w:tcPr>
                <w:p w14:paraId="4EB268AC">
                  <w:pPr>
                    <w:widowControl/>
                    <w:jc w:val="center"/>
                    <w:textAlignment w:val="center"/>
                    <w:rPr>
                      <w:kern w:val="0"/>
                      <w:sz w:val="21"/>
                      <w:szCs w:val="21"/>
                    </w:rPr>
                  </w:pPr>
                  <w:r>
                    <w:rPr>
                      <w:kern w:val="0"/>
                      <w:sz w:val="21"/>
                      <w:szCs w:val="21"/>
                      <w:lang w:bidi="ar"/>
                    </w:rPr>
                    <w:t>5.46</w:t>
                  </w:r>
                  <w:r>
                    <w:rPr>
                      <w:kern w:val="0"/>
                      <w:sz w:val="21"/>
                      <w:szCs w:val="21"/>
                    </w:rPr>
                    <w:t>×10</w:t>
                  </w:r>
                  <w:r>
                    <w:rPr>
                      <w:kern w:val="0"/>
                      <w:sz w:val="21"/>
                      <w:szCs w:val="21"/>
                      <w:vertAlign w:val="superscript"/>
                      <w:lang w:bidi="ar"/>
                    </w:rPr>
                    <w:t>-</w:t>
                  </w:r>
                  <w:r>
                    <w:rPr>
                      <w:rFonts w:hint="eastAsia"/>
                      <w:kern w:val="0"/>
                      <w:sz w:val="21"/>
                      <w:szCs w:val="21"/>
                      <w:vertAlign w:val="superscript"/>
                      <w:lang w:bidi="ar"/>
                    </w:rPr>
                    <w:t>2</w:t>
                  </w:r>
                  <w:r>
                    <w:rPr>
                      <w:kern w:val="0"/>
                      <w:sz w:val="21"/>
                      <w:szCs w:val="21"/>
                    </w:rPr>
                    <w:t>t</w:t>
                  </w:r>
                </w:p>
              </w:tc>
              <w:tc>
                <w:tcPr>
                  <w:tcW w:w="727" w:type="pct"/>
                  <w:shd w:val="clear" w:color="auto" w:fill="auto"/>
                  <w:vAlign w:val="center"/>
                </w:tcPr>
                <w:p w14:paraId="438B0954">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54C2B225">
                  <w:pPr>
                    <w:widowControl/>
                    <w:jc w:val="center"/>
                    <w:textAlignment w:val="center"/>
                    <w:rPr>
                      <w:kern w:val="0"/>
                      <w:sz w:val="21"/>
                      <w:szCs w:val="21"/>
                    </w:rPr>
                  </w:pPr>
                  <w:r>
                    <w:rPr>
                      <w:kern w:val="0"/>
                      <w:sz w:val="21"/>
                      <w:szCs w:val="21"/>
                      <w:lang w:bidi="ar"/>
                    </w:rPr>
                    <w:t>5.46</w:t>
                  </w:r>
                  <w:r>
                    <w:rPr>
                      <w:kern w:val="0"/>
                      <w:sz w:val="21"/>
                      <w:szCs w:val="21"/>
                    </w:rPr>
                    <w:t>×10</w:t>
                  </w:r>
                  <w:r>
                    <w:rPr>
                      <w:kern w:val="0"/>
                      <w:sz w:val="21"/>
                      <w:szCs w:val="21"/>
                      <w:vertAlign w:val="superscript"/>
                      <w:lang w:bidi="ar"/>
                    </w:rPr>
                    <w:t>-</w:t>
                  </w:r>
                  <w:r>
                    <w:rPr>
                      <w:rFonts w:hint="eastAsia"/>
                      <w:kern w:val="0"/>
                      <w:sz w:val="21"/>
                      <w:szCs w:val="21"/>
                      <w:vertAlign w:val="superscript"/>
                      <w:lang w:bidi="ar"/>
                    </w:rPr>
                    <w:t>3</w:t>
                  </w:r>
                </w:p>
              </w:tc>
            </w:tr>
            <w:tr w14:paraId="490E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7" w:type="pct"/>
                  <w:shd w:val="clear" w:color="auto" w:fill="auto"/>
                  <w:vAlign w:val="center"/>
                </w:tcPr>
                <w:p w14:paraId="61003D41">
                  <w:pPr>
                    <w:widowControl/>
                    <w:contextualSpacing/>
                    <w:jc w:val="center"/>
                    <w:rPr>
                      <w:kern w:val="0"/>
                      <w:sz w:val="21"/>
                      <w:szCs w:val="21"/>
                    </w:rPr>
                  </w:pPr>
                  <w:r>
                    <w:rPr>
                      <w:rFonts w:hint="eastAsia"/>
                      <w:kern w:val="0"/>
                      <w:sz w:val="21"/>
                      <w:szCs w:val="21"/>
                    </w:rPr>
                    <w:t>18</w:t>
                  </w:r>
                </w:p>
              </w:tc>
              <w:tc>
                <w:tcPr>
                  <w:tcW w:w="1289" w:type="pct"/>
                  <w:shd w:val="clear" w:color="auto" w:fill="auto"/>
                  <w:vAlign w:val="center"/>
                </w:tcPr>
                <w:p w14:paraId="1AC441BF">
                  <w:pPr>
                    <w:widowControl/>
                    <w:contextualSpacing/>
                    <w:jc w:val="center"/>
                    <w:rPr>
                      <w:kern w:val="0"/>
                      <w:sz w:val="21"/>
                      <w:szCs w:val="21"/>
                      <w:lang w:bidi="ar"/>
                    </w:rPr>
                  </w:pPr>
                  <w:r>
                    <w:rPr>
                      <w:rFonts w:hint="eastAsia"/>
                      <w:kern w:val="0"/>
                      <w:sz w:val="21"/>
                      <w:szCs w:val="21"/>
                      <w:lang w:bidi="ar"/>
                    </w:rPr>
                    <w:t>实验废液</w:t>
                  </w:r>
                </w:p>
              </w:tc>
              <w:tc>
                <w:tcPr>
                  <w:tcW w:w="1017" w:type="pct"/>
                  <w:shd w:val="clear" w:color="auto" w:fill="auto"/>
                  <w:vAlign w:val="center"/>
                </w:tcPr>
                <w:p w14:paraId="353C5290">
                  <w:pPr>
                    <w:widowControl/>
                    <w:contextualSpacing/>
                    <w:jc w:val="center"/>
                    <w:rPr>
                      <w:kern w:val="0"/>
                      <w:sz w:val="21"/>
                      <w:szCs w:val="21"/>
                    </w:rPr>
                  </w:pPr>
                  <w:r>
                    <w:rPr>
                      <w:rFonts w:hint="eastAsia"/>
                      <w:kern w:val="0"/>
                      <w:sz w:val="21"/>
                      <w:szCs w:val="21"/>
                    </w:rPr>
                    <w:t>0.6t</w:t>
                  </w:r>
                </w:p>
              </w:tc>
              <w:tc>
                <w:tcPr>
                  <w:tcW w:w="798" w:type="pct"/>
                  <w:shd w:val="clear" w:color="auto" w:fill="auto"/>
                  <w:vAlign w:val="center"/>
                </w:tcPr>
                <w:p w14:paraId="760B0AD2">
                  <w:pPr>
                    <w:widowControl/>
                    <w:contextualSpacing/>
                    <w:jc w:val="center"/>
                    <w:rPr>
                      <w:kern w:val="0"/>
                      <w:sz w:val="21"/>
                      <w:szCs w:val="21"/>
                    </w:rPr>
                  </w:pPr>
                  <w:r>
                    <w:rPr>
                      <w:rFonts w:hint="eastAsia"/>
                      <w:kern w:val="0"/>
                      <w:sz w:val="21"/>
                      <w:szCs w:val="21"/>
                    </w:rPr>
                    <w:t>0.8t</w:t>
                  </w:r>
                </w:p>
              </w:tc>
              <w:tc>
                <w:tcPr>
                  <w:tcW w:w="727" w:type="pct"/>
                  <w:shd w:val="clear" w:color="auto" w:fill="auto"/>
                  <w:vAlign w:val="center"/>
                </w:tcPr>
                <w:p w14:paraId="2EF1F696">
                  <w:pPr>
                    <w:widowControl/>
                    <w:contextualSpacing/>
                    <w:jc w:val="center"/>
                    <w:rPr>
                      <w:kern w:val="0"/>
                      <w:sz w:val="21"/>
                      <w:szCs w:val="21"/>
                    </w:rPr>
                  </w:pPr>
                  <w:r>
                    <w:rPr>
                      <w:rFonts w:hint="eastAsia"/>
                      <w:kern w:val="0"/>
                      <w:sz w:val="21"/>
                      <w:szCs w:val="21"/>
                    </w:rPr>
                    <w:t>10t</w:t>
                  </w:r>
                </w:p>
              </w:tc>
              <w:tc>
                <w:tcPr>
                  <w:tcW w:w="738" w:type="pct"/>
                  <w:shd w:val="clear" w:color="auto" w:fill="auto"/>
                  <w:vAlign w:val="center"/>
                </w:tcPr>
                <w:p w14:paraId="163D6C95">
                  <w:pPr>
                    <w:widowControl/>
                    <w:contextualSpacing/>
                    <w:jc w:val="center"/>
                    <w:rPr>
                      <w:kern w:val="0"/>
                      <w:sz w:val="21"/>
                      <w:szCs w:val="21"/>
                    </w:rPr>
                  </w:pPr>
                  <w:r>
                    <w:rPr>
                      <w:rFonts w:hint="eastAsia"/>
                      <w:kern w:val="0"/>
                      <w:sz w:val="21"/>
                      <w:szCs w:val="21"/>
                    </w:rPr>
                    <w:t>0.08</w:t>
                  </w:r>
                </w:p>
              </w:tc>
            </w:tr>
            <w:tr w14:paraId="4126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61" w:type="pct"/>
                  <w:gridSpan w:val="5"/>
                  <w:shd w:val="clear" w:color="auto" w:fill="auto"/>
                  <w:vAlign w:val="center"/>
                </w:tcPr>
                <w:p w14:paraId="7BBC684B">
                  <w:pPr>
                    <w:widowControl/>
                    <w:contextualSpacing/>
                    <w:jc w:val="center"/>
                    <w:rPr>
                      <w:kern w:val="0"/>
                      <w:sz w:val="21"/>
                      <w:szCs w:val="21"/>
                    </w:rPr>
                  </w:pPr>
                  <w:r>
                    <w:rPr>
                      <w:rFonts w:hint="eastAsia"/>
                      <w:color w:val="auto"/>
                      <w:kern w:val="0"/>
                      <w:sz w:val="21"/>
                      <w:szCs w:val="21"/>
                    </w:rPr>
                    <w:t>合计</w:t>
                  </w:r>
                </w:p>
              </w:tc>
              <w:tc>
                <w:tcPr>
                  <w:tcW w:w="738" w:type="pct"/>
                  <w:shd w:val="clear" w:color="auto" w:fill="auto"/>
                  <w:vAlign w:val="center"/>
                </w:tcPr>
                <w:p w14:paraId="1D3CDC51">
                  <w:pPr>
                    <w:widowControl/>
                    <w:contextualSpacing/>
                    <w:jc w:val="center"/>
                    <w:rPr>
                      <w:kern w:val="0"/>
                      <w:sz w:val="21"/>
                      <w:szCs w:val="21"/>
                    </w:rPr>
                  </w:pPr>
                  <w:r>
                    <w:rPr>
                      <w:rFonts w:hint="eastAsia"/>
                      <w:kern w:val="0"/>
                      <w:sz w:val="21"/>
                      <w:szCs w:val="21"/>
                    </w:rPr>
                    <w:t>0.09713</w:t>
                  </w:r>
                </w:p>
              </w:tc>
            </w:tr>
          </w:tbl>
          <w:p w14:paraId="42033ECB">
            <w:pPr>
              <w:tabs>
                <w:tab w:val="left" w:pos="3836"/>
              </w:tabs>
              <w:spacing w:line="360" w:lineRule="auto"/>
              <w:ind w:firstLine="480" w:firstLineChars="200"/>
              <w:rPr>
                <w:rFonts w:eastAsiaTheme="minorEastAsia"/>
                <w:szCs w:val="21"/>
              </w:rPr>
            </w:pPr>
            <w:r>
              <w:rPr>
                <w:rFonts w:eastAsiaTheme="minorEastAsia"/>
                <w:szCs w:val="21"/>
              </w:rPr>
              <w:t>按上表所示，Q值＜1</w:t>
            </w:r>
            <w:r>
              <w:rPr>
                <w:rFonts w:eastAsiaTheme="minorEastAsia"/>
                <w:bCs/>
                <w:spacing w:val="-10"/>
              </w:rPr>
              <w:t>，项目环境风险潜势划分为I级。</w:t>
            </w:r>
          </w:p>
          <w:p w14:paraId="6E52F8A9">
            <w:pPr>
              <w:tabs>
                <w:tab w:val="left" w:pos="3836"/>
              </w:tabs>
              <w:spacing w:line="360" w:lineRule="auto"/>
              <w:ind w:firstLine="480" w:firstLineChars="200"/>
              <w:rPr>
                <w:rFonts w:eastAsiaTheme="minorEastAsia"/>
                <w:szCs w:val="21"/>
              </w:rPr>
            </w:pPr>
            <w:r>
              <w:rPr>
                <w:rFonts w:eastAsiaTheme="minorEastAsia"/>
                <w:szCs w:val="21"/>
              </w:rPr>
              <w:t>（2）影响途径</w:t>
            </w:r>
          </w:p>
          <w:p w14:paraId="0F7FDB18">
            <w:pPr>
              <w:tabs>
                <w:tab w:val="left" w:pos="3836"/>
              </w:tabs>
              <w:spacing w:line="360" w:lineRule="auto"/>
              <w:ind w:firstLine="480" w:firstLineChars="200"/>
              <w:rPr>
                <w:rFonts w:eastAsiaTheme="minorEastAsia"/>
                <w:szCs w:val="21"/>
              </w:rPr>
            </w:pPr>
            <w:r>
              <w:rPr>
                <w:rFonts w:eastAsiaTheme="minorEastAsia"/>
                <w:szCs w:val="21"/>
              </w:rPr>
              <w:t>主要影响途径为上述物质</w:t>
            </w:r>
            <w:r>
              <w:rPr>
                <w:rFonts w:hint="eastAsia" w:eastAsiaTheme="minorEastAsia"/>
                <w:szCs w:val="21"/>
              </w:rPr>
              <w:t>泄漏</w:t>
            </w:r>
            <w:r>
              <w:rPr>
                <w:rFonts w:eastAsiaTheme="minorEastAsia"/>
                <w:szCs w:val="21"/>
              </w:rPr>
              <w:t>后衍生的环境空气污染，或物质</w:t>
            </w:r>
            <w:r>
              <w:rPr>
                <w:rFonts w:hint="eastAsia" w:eastAsiaTheme="minorEastAsia"/>
                <w:szCs w:val="21"/>
              </w:rPr>
              <w:t>泄漏</w:t>
            </w:r>
            <w:r>
              <w:rPr>
                <w:rFonts w:eastAsiaTheme="minorEastAsia"/>
                <w:szCs w:val="21"/>
              </w:rPr>
              <w:t>及其反应</w:t>
            </w:r>
            <w:r>
              <w:rPr>
                <w:rFonts w:eastAsiaTheme="minorEastAsia"/>
                <w:color w:val="auto"/>
                <w:szCs w:val="21"/>
              </w:rPr>
              <w:t>生</w:t>
            </w:r>
            <w:r>
              <w:rPr>
                <w:rFonts w:hint="eastAsia" w:eastAsiaTheme="minorEastAsia"/>
                <w:color w:val="auto"/>
                <w:szCs w:val="21"/>
              </w:rPr>
              <w:t>成</w:t>
            </w:r>
            <w:r>
              <w:rPr>
                <w:rFonts w:eastAsiaTheme="minorEastAsia"/>
                <w:szCs w:val="21"/>
              </w:rPr>
              <w:t>物质、消防废物等泄漏后流出厂区地面，造成土壤、地下水、地表水污染。</w:t>
            </w:r>
          </w:p>
          <w:p w14:paraId="4B2F3E13">
            <w:pPr>
              <w:tabs>
                <w:tab w:val="left" w:pos="3836"/>
              </w:tabs>
              <w:spacing w:line="360" w:lineRule="auto"/>
              <w:ind w:firstLine="480" w:firstLineChars="200"/>
              <w:rPr>
                <w:rFonts w:eastAsiaTheme="minorEastAsia"/>
                <w:szCs w:val="21"/>
              </w:rPr>
            </w:pPr>
            <w:r>
              <w:rPr>
                <w:rFonts w:eastAsiaTheme="minorEastAsia"/>
                <w:szCs w:val="21"/>
              </w:rPr>
              <w:t>（3）环境风险防范措施</w:t>
            </w:r>
          </w:p>
          <w:p w14:paraId="0E5E2F2E">
            <w:pPr>
              <w:tabs>
                <w:tab w:val="left" w:pos="3836"/>
              </w:tabs>
              <w:spacing w:line="360" w:lineRule="auto"/>
              <w:ind w:firstLine="480" w:firstLineChars="200"/>
              <w:rPr>
                <w:rFonts w:eastAsiaTheme="minorEastAsia"/>
                <w:szCs w:val="21"/>
              </w:rPr>
            </w:pPr>
            <w:r>
              <w:rPr>
                <w:rFonts w:hint="eastAsia" w:eastAsiaTheme="minorEastAsia"/>
                <w:szCs w:val="21"/>
              </w:rPr>
              <w:t>①储存少量化学试剂，遵循量少、次数多的原则，减少储存量。</w:t>
            </w:r>
          </w:p>
          <w:p w14:paraId="606D4C17">
            <w:pPr>
              <w:tabs>
                <w:tab w:val="left" w:pos="3836"/>
              </w:tabs>
              <w:spacing w:line="360" w:lineRule="auto"/>
              <w:ind w:firstLine="480" w:firstLineChars="200"/>
              <w:rPr>
                <w:szCs w:val="22"/>
              </w:rPr>
            </w:pPr>
            <w:r>
              <w:rPr>
                <w:rFonts w:hint="eastAsia"/>
                <w:szCs w:val="22"/>
              </w:rPr>
              <w:t>②化学试剂购置后直接交管理员接收并入库。管理员先检查包装的完好性，封口是否严密，试剂是否泄漏，标签是否粘贴牢固无破损，内容清晰，贮存条件明确。瓶签已部分脱胶的，应及时用胶水粘贴；无标签的试剂不得入库，应及时予以销毁。</w:t>
            </w:r>
          </w:p>
          <w:p w14:paraId="76F2100C">
            <w:pPr>
              <w:tabs>
                <w:tab w:val="left" w:pos="3836"/>
              </w:tabs>
              <w:spacing w:line="360" w:lineRule="auto"/>
              <w:ind w:firstLine="480" w:firstLineChars="200"/>
              <w:rPr>
                <w:szCs w:val="22"/>
              </w:rPr>
            </w:pPr>
            <w:r>
              <w:rPr>
                <w:rFonts w:hint="eastAsia" w:eastAsiaTheme="minorEastAsia"/>
                <w:szCs w:val="21"/>
              </w:rPr>
              <w:t>③</w:t>
            </w:r>
            <w:r>
              <w:rPr>
                <w:rFonts w:hint="eastAsia"/>
                <w:szCs w:val="22"/>
              </w:rPr>
              <w:t>化学试剂须严格按其性质如剧毒、易燃、易挥发、强腐蚀品等和贮存要求分类存放；试剂室内装有监控及通风设施。</w:t>
            </w:r>
          </w:p>
          <w:p w14:paraId="59803E5C">
            <w:pPr>
              <w:tabs>
                <w:tab w:val="left" w:pos="3836"/>
              </w:tabs>
              <w:spacing w:line="360" w:lineRule="auto"/>
              <w:ind w:firstLine="480" w:firstLineChars="200"/>
              <w:rPr>
                <w:rFonts w:eastAsiaTheme="minorEastAsia"/>
                <w:szCs w:val="21"/>
              </w:rPr>
            </w:pPr>
            <w:r>
              <w:rPr>
                <w:rFonts w:hint="eastAsia" w:eastAsiaTheme="minorEastAsia"/>
                <w:szCs w:val="21"/>
              </w:rPr>
              <w:t>④实验室地面均进行硬化，项目所用试剂放置于试剂柜/通风试剂柜，易制毒化学品放置于防爆柜，且各柜子尽量放在通风良好的地面靠墙处以保证存放安全。</w:t>
            </w:r>
          </w:p>
          <w:p w14:paraId="1BDC4957">
            <w:pPr>
              <w:tabs>
                <w:tab w:val="left" w:pos="3836"/>
              </w:tabs>
              <w:spacing w:line="360" w:lineRule="auto"/>
              <w:ind w:firstLine="480" w:firstLineChars="200"/>
              <w:rPr>
                <w:rFonts w:eastAsiaTheme="minorEastAsia"/>
                <w:szCs w:val="21"/>
              </w:rPr>
            </w:pPr>
            <w:r>
              <w:rPr>
                <w:rFonts w:hint="eastAsia" w:eastAsiaTheme="minorEastAsia"/>
                <w:szCs w:val="21"/>
              </w:rPr>
              <w:t>⑤根据化学品安全说明书（MSDS）要求，正确使用与储存化学品，并配置相应的防护用品。使用会产生有毒、有害、刺激性物质的化学试剂，或是易挥发试剂，要在通风橱、</w:t>
            </w:r>
            <w:r>
              <w:rPr>
                <w:rFonts w:hint="eastAsia" w:eastAsiaTheme="minorEastAsia"/>
                <w:szCs w:val="21"/>
                <w:lang w:eastAsia="zh-CN"/>
              </w:rPr>
              <w:t>万向罩</w:t>
            </w:r>
            <w:r>
              <w:rPr>
                <w:rFonts w:hint="eastAsia" w:eastAsiaTheme="minorEastAsia"/>
                <w:szCs w:val="21"/>
              </w:rPr>
              <w:t>或吸风罩下操作。</w:t>
            </w:r>
          </w:p>
          <w:p w14:paraId="1562D49E">
            <w:pPr>
              <w:tabs>
                <w:tab w:val="left" w:pos="3836"/>
              </w:tabs>
              <w:spacing w:line="360" w:lineRule="auto"/>
              <w:ind w:firstLine="480" w:firstLineChars="200"/>
              <w:rPr>
                <w:rFonts w:eastAsiaTheme="minorEastAsia"/>
                <w:szCs w:val="21"/>
              </w:rPr>
            </w:pPr>
            <w:r>
              <w:rPr>
                <w:rFonts w:hint="eastAsia" w:eastAsiaTheme="minorEastAsia"/>
                <w:szCs w:val="21"/>
              </w:rPr>
              <w:t>⑥化学品管理员应每天对保管的化学品进行清查，在每次领发化学品后应进行账、物核对，确保其品种、数量、标志准确无误；化学品的领用，必须经主管领导批准后，方可领用等相关措施，以防范化学品保管和使用等管理过程中存在的环境风险。</w:t>
            </w:r>
          </w:p>
          <w:p w14:paraId="100C9D76">
            <w:pPr>
              <w:tabs>
                <w:tab w:val="left" w:pos="3836"/>
              </w:tabs>
              <w:spacing w:line="360" w:lineRule="auto"/>
              <w:ind w:firstLine="480" w:firstLineChars="200"/>
              <w:rPr>
                <w:rFonts w:eastAsiaTheme="minorEastAsia"/>
                <w:szCs w:val="21"/>
              </w:rPr>
            </w:pPr>
            <w:r>
              <w:rPr>
                <w:rFonts w:hint="eastAsia" w:eastAsiaTheme="minorEastAsia"/>
                <w:szCs w:val="21"/>
              </w:rPr>
              <w:t>⑦加强实验室监督管理制度，完善监控及门禁制度，在风险源处安装视频摄像探头进行监控。</w:t>
            </w:r>
          </w:p>
          <w:p w14:paraId="5D0A823B">
            <w:pPr>
              <w:tabs>
                <w:tab w:val="left" w:pos="3836"/>
              </w:tabs>
              <w:spacing w:line="360" w:lineRule="auto"/>
              <w:ind w:firstLine="480" w:firstLineChars="200"/>
              <w:rPr>
                <w:rFonts w:eastAsiaTheme="minorEastAsia"/>
                <w:szCs w:val="21"/>
              </w:rPr>
            </w:pPr>
            <w:r>
              <w:rPr>
                <w:rFonts w:hint="eastAsia" w:eastAsiaTheme="minorEastAsia"/>
                <w:szCs w:val="21"/>
              </w:rPr>
              <w:t>⑧实验室设置灭火器材，并设有禁止吸烟、严禁烟火标志。</w:t>
            </w:r>
          </w:p>
          <w:p w14:paraId="18445632">
            <w:pPr>
              <w:spacing w:line="360" w:lineRule="auto"/>
              <w:ind w:firstLine="480" w:firstLineChars="200"/>
              <w:rPr>
                <w:rFonts w:eastAsiaTheme="minorEastAsia"/>
                <w:szCs w:val="21"/>
              </w:rPr>
            </w:pPr>
            <w:r>
              <w:rPr>
                <w:rFonts w:hint="eastAsia" w:ascii="宋体" w:hAnsi="宋体" w:cs="宋体"/>
                <w:szCs w:val="21"/>
              </w:rPr>
              <w:t>⑨</w:t>
            </w:r>
            <w:r>
              <w:rPr>
                <w:rFonts w:hint="eastAsia" w:eastAsiaTheme="minorEastAsia"/>
                <w:szCs w:val="21"/>
              </w:rPr>
              <w:t>制定实验室安全操作规程，</w:t>
            </w:r>
            <w:r>
              <w:rPr>
                <w:rFonts w:eastAsiaTheme="minorEastAsia"/>
                <w:szCs w:val="21"/>
              </w:rPr>
              <w:t>对相关实验室工作人员进行严格管理，实验室操作要</w:t>
            </w:r>
            <w:r>
              <w:rPr>
                <w:rFonts w:hint="eastAsia" w:eastAsiaTheme="minorEastAsia"/>
                <w:szCs w:val="21"/>
              </w:rPr>
              <w:t>按照相应的防护要求佩戴及穿戴</w:t>
            </w:r>
            <w:r>
              <w:rPr>
                <w:rFonts w:eastAsiaTheme="minorEastAsia"/>
                <w:szCs w:val="21"/>
              </w:rPr>
              <w:t>。</w:t>
            </w:r>
          </w:p>
          <w:p w14:paraId="1A881386">
            <w:pPr>
              <w:tabs>
                <w:tab w:val="left" w:pos="3836"/>
              </w:tabs>
              <w:spacing w:line="360" w:lineRule="auto"/>
              <w:ind w:firstLine="480" w:firstLineChars="200"/>
              <w:rPr>
                <w:rFonts w:eastAsiaTheme="minorEastAsia"/>
                <w:szCs w:val="21"/>
              </w:rPr>
            </w:pPr>
            <w:r>
              <w:rPr>
                <w:rFonts w:hint="eastAsia" w:ascii="宋体" w:hAnsi="宋体" w:cs="宋体"/>
                <w:szCs w:val="21"/>
              </w:rPr>
              <w:t>⑩</w:t>
            </w:r>
            <w:r>
              <w:rPr>
                <w:rFonts w:hint="eastAsia" w:eastAsiaTheme="minorEastAsia"/>
                <w:szCs w:val="21"/>
              </w:rPr>
              <w:t>公司员工实行严格的安全教育制度，充分提高职工自救互救的能力，预防危险化学品事故及事故早发现、早处理技能</w:t>
            </w:r>
            <w:r>
              <w:rPr>
                <w:rFonts w:eastAsiaTheme="minorEastAsia"/>
                <w:szCs w:val="21"/>
              </w:rPr>
              <w:t>。</w:t>
            </w:r>
          </w:p>
          <w:p w14:paraId="7F909EF5">
            <w:pPr>
              <w:tabs>
                <w:tab w:val="left" w:pos="3836"/>
              </w:tabs>
              <w:spacing w:line="360" w:lineRule="auto"/>
              <w:ind w:firstLine="482" w:firstLineChars="200"/>
              <w:rPr>
                <w:b/>
                <w:bCs/>
                <w:szCs w:val="21"/>
              </w:rPr>
            </w:pPr>
            <w:r>
              <w:rPr>
                <w:rFonts w:hint="eastAsia"/>
                <w:b/>
                <w:bCs/>
                <w:szCs w:val="21"/>
              </w:rPr>
              <w:t>8、环保投资</w:t>
            </w:r>
          </w:p>
          <w:p w14:paraId="33CB48BF">
            <w:pPr>
              <w:tabs>
                <w:tab w:val="left" w:pos="3836"/>
              </w:tabs>
              <w:spacing w:line="360" w:lineRule="auto"/>
              <w:ind w:firstLine="480" w:firstLineChars="200"/>
              <w:rPr>
                <w:rFonts w:eastAsiaTheme="minorEastAsia"/>
                <w:szCs w:val="21"/>
              </w:rPr>
            </w:pPr>
            <w:r>
              <w:rPr>
                <w:rFonts w:eastAsiaTheme="minorEastAsia"/>
                <w:szCs w:val="21"/>
              </w:rPr>
              <w:t>本项目总投资</w:t>
            </w:r>
            <w:r>
              <w:rPr>
                <w:rFonts w:hint="eastAsia" w:eastAsiaTheme="minorEastAsia"/>
                <w:szCs w:val="21"/>
              </w:rPr>
              <w:t>700</w:t>
            </w:r>
            <w:r>
              <w:rPr>
                <w:rFonts w:eastAsiaTheme="minorEastAsia"/>
                <w:szCs w:val="21"/>
              </w:rPr>
              <w:t>万元，其中环保投资</w:t>
            </w:r>
            <w:r>
              <w:rPr>
                <w:rFonts w:hint="eastAsia" w:eastAsiaTheme="minorEastAsia"/>
                <w:szCs w:val="21"/>
              </w:rPr>
              <w:t>67</w:t>
            </w:r>
            <w:r>
              <w:rPr>
                <w:rFonts w:eastAsiaTheme="minorEastAsia"/>
                <w:szCs w:val="21"/>
              </w:rPr>
              <w:t>万元，占总投资的</w:t>
            </w:r>
            <w:r>
              <w:rPr>
                <w:rFonts w:hint="eastAsia" w:eastAsiaTheme="minorEastAsia"/>
                <w:szCs w:val="21"/>
              </w:rPr>
              <w:t>9.57</w:t>
            </w:r>
            <w:r>
              <w:rPr>
                <w:rFonts w:eastAsiaTheme="minorEastAsia"/>
                <w:szCs w:val="21"/>
              </w:rPr>
              <w:t>%，项目环保投资见表4-</w:t>
            </w:r>
            <w:r>
              <w:rPr>
                <w:rFonts w:hint="eastAsia" w:eastAsiaTheme="minorEastAsia"/>
                <w:szCs w:val="21"/>
              </w:rPr>
              <w:t>21</w:t>
            </w:r>
            <w:r>
              <w:rPr>
                <w:rFonts w:eastAsiaTheme="minorEastAsia"/>
                <w:szCs w:val="21"/>
              </w:rPr>
              <w:t>。</w:t>
            </w:r>
          </w:p>
          <w:p w14:paraId="5D422751">
            <w:pPr>
              <w:tabs>
                <w:tab w:val="left" w:pos="3836"/>
              </w:tabs>
              <w:jc w:val="center"/>
              <w:rPr>
                <w:b/>
                <w:bCs/>
                <w:sz w:val="21"/>
                <w:szCs w:val="18"/>
              </w:rPr>
            </w:pPr>
            <w:r>
              <w:rPr>
                <w:b/>
                <w:bCs/>
                <w:sz w:val="21"/>
                <w:szCs w:val="18"/>
              </w:rPr>
              <w:t>表4-</w:t>
            </w:r>
            <w:r>
              <w:rPr>
                <w:rFonts w:hint="eastAsia"/>
                <w:b/>
                <w:bCs/>
                <w:sz w:val="21"/>
                <w:szCs w:val="18"/>
              </w:rPr>
              <w:t>21</w:t>
            </w:r>
            <w:r>
              <w:rPr>
                <w:b/>
                <w:bCs/>
                <w:sz w:val="21"/>
                <w:szCs w:val="18"/>
              </w:rPr>
              <w:t xml:space="preserve">  </w:t>
            </w:r>
            <w:r>
              <w:rPr>
                <w:rFonts w:hint="eastAsia"/>
                <w:b/>
                <w:bCs/>
                <w:sz w:val="21"/>
                <w:szCs w:val="18"/>
              </w:rPr>
              <w:t>项目</w:t>
            </w:r>
            <w:r>
              <w:rPr>
                <w:b/>
                <w:bCs/>
                <w:sz w:val="21"/>
                <w:szCs w:val="18"/>
              </w:rPr>
              <w:t>环保投资一览表</w:t>
            </w:r>
          </w:p>
          <w:tbl>
            <w:tblPr>
              <w:tblStyle w:val="23"/>
              <w:tblW w:w="81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900"/>
              <w:gridCol w:w="3094"/>
              <w:gridCol w:w="960"/>
              <w:gridCol w:w="1306"/>
            </w:tblGrid>
            <w:tr w14:paraId="7A891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Align w:val="center"/>
                </w:tcPr>
                <w:p w14:paraId="277510EE">
                  <w:pPr>
                    <w:tabs>
                      <w:tab w:val="left" w:pos="3836"/>
                    </w:tabs>
                    <w:jc w:val="center"/>
                    <w:rPr>
                      <w:b/>
                      <w:bCs/>
                      <w:sz w:val="21"/>
                      <w:szCs w:val="21"/>
                    </w:rPr>
                  </w:pPr>
                  <w:r>
                    <w:rPr>
                      <w:b/>
                      <w:bCs/>
                      <w:sz w:val="21"/>
                      <w:szCs w:val="21"/>
                    </w:rPr>
                    <w:t>类型</w:t>
                  </w:r>
                </w:p>
              </w:tc>
              <w:tc>
                <w:tcPr>
                  <w:tcW w:w="1900" w:type="dxa"/>
                  <w:vAlign w:val="center"/>
                </w:tcPr>
                <w:p w14:paraId="32B2E280">
                  <w:pPr>
                    <w:tabs>
                      <w:tab w:val="left" w:pos="3836"/>
                    </w:tabs>
                    <w:jc w:val="center"/>
                    <w:rPr>
                      <w:b/>
                      <w:bCs/>
                      <w:sz w:val="21"/>
                      <w:szCs w:val="21"/>
                    </w:rPr>
                  </w:pPr>
                  <w:r>
                    <w:rPr>
                      <w:b/>
                      <w:bCs/>
                      <w:sz w:val="21"/>
                      <w:szCs w:val="21"/>
                    </w:rPr>
                    <w:t>污染源</w:t>
                  </w:r>
                </w:p>
              </w:tc>
              <w:tc>
                <w:tcPr>
                  <w:tcW w:w="3094" w:type="dxa"/>
                  <w:vAlign w:val="center"/>
                </w:tcPr>
                <w:p w14:paraId="26467A57">
                  <w:pPr>
                    <w:tabs>
                      <w:tab w:val="left" w:pos="3836"/>
                    </w:tabs>
                    <w:jc w:val="center"/>
                    <w:rPr>
                      <w:b/>
                      <w:bCs/>
                      <w:sz w:val="21"/>
                      <w:szCs w:val="21"/>
                    </w:rPr>
                  </w:pPr>
                  <w:r>
                    <w:rPr>
                      <w:rFonts w:hint="eastAsia"/>
                      <w:b/>
                      <w:bCs/>
                      <w:sz w:val="21"/>
                      <w:szCs w:val="21"/>
                    </w:rPr>
                    <w:t>环保措施</w:t>
                  </w:r>
                </w:p>
              </w:tc>
              <w:tc>
                <w:tcPr>
                  <w:tcW w:w="960" w:type="dxa"/>
                  <w:vAlign w:val="center"/>
                </w:tcPr>
                <w:p w14:paraId="30BCF1FE">
                  <w:pPr>
                    <w:tabs>
                      <w:tab w:val="left" w:pos="3836"/>
                    </w:tabs>
                    <w:jc w:val="center"/>
                    <w:rPr>
                      <w:b/>
                      <w:bCs/>
                      <w:sz w:val="21"/>
                      <w:szCs w:val="21"/>
                    </w:rPr>
                  </w:pPr>
                  <w:r>
                    <w:rPr>
                      <w:rFonts w:hint="eastAsia"/>
                      <w:b/>
                      <w:bCs/>
                      <w:sz w:val="21"/>
                      <w:szCs w:val="21"/>
                    </w:rPr>
                    <w:t>数量</w:t>
                  </w:r>
                </w:p>
              </w:tc>
              <w:tc>
                <w:tcPr>
                  <w:tcW w:w="1306" w:type="dxa"/>
                  <w:vAlign w:val="center"/>
                </w:tcPr>
                <w:p w14:paraId="12F65373">
                  <w:pPr>
                    <w:tabs>
                      <w:tab w:val="left" w:pos="3836"/>
                    </w:tabs>
                    <w:jc w:val="center"/>
                    <w:rPr>
                      <w:b/>
                      <w:bCs/>
                      <w:sz w:val="21"/>
                      <w:szCs w:val="21"/>
                    </w:rPr>
                  </w:pPr>
                  <w:r>
                    <w:rPr>
                      <w:rFonts w:hint="eastAsia"/>
                      <w:b/>
                      <w:bCs/>
                      <w:sz w:val="21"/>
                      <w:szCs w:val="21"/>
                    </w:rPr>
                    <w:t>环保投资（万元）</w:t>
                  </w:r>
                </w:p>
              </w:tc>
            </w:tr>
            <w:tr w14:paraId="66D06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restart"/>
                  <w:vAlign w:val="center"/>
                </w:tcPr>
                <w:p w14:paraId="40F91253">
                  <w:pPr>
                    <w:tabs>
                      <w:tab w:val="left" w:pos="3836"/>
                    </w:tabs>
                    <w:jc w:val="center"/>
                    <w:rPr>
                      <w:sz w:val="21"/>
                      <w:szCs w:val="21"/>
                    </w:rPr>
                  </w:pPr>
                  <w:r>
                    <w:rPr>
                      <w:rFonts w:hint="eastAsia"/>
                      <w:sz w:val="21"/>
                      <w:szCs w:val="21"/>
                    </w:rPr>
                    <w:t>废气</w:t>
                  </w:r>
                </w:p>
              </w:tc>
              <w:tc>
                <w:tcPr>
                  <w:tcW w:w="1900" w:type="dxa"/>
                  <w:vMerge w:val="restart"/>
                  <w:vAlign w:val="center"/>
                </w:tcPr>
                <w:p w14:paraId="0FE8C620">
                  <w:pPr>
                    <w:tabs>
                      <w:tab w:val="left" w:pos="3836"/>
                    </w:tabs>
                    <w:jc w:val="center"/>
                    <w:rPr>
                      <w:sz w:val="21"/>
                      <w:szCs w:val="21"/>
                    </w:rPr>
                  </w:pPr>
                  <w:r>
                    <w:rPr>
                      <w:rFonts w:hint="eastAsia"/>
                      <w:sz w:val="21"/>
                      <w:szCs w:val="21"/>
                    </w:rPr>
                    <w:t>实验废气</w:t>
                  </w:r>
                </w:p>
              </w:tc>
              <w:tc>
                <w:tcPr>
                  <w:tcW w:w="3094" w:type="dxa"/>
                  <w:vAlign w:val="center"/>
                </w:tcPr>
                <w:p w14:paraId="6820971D">
                  <w:pPr>
                    <w:tabs>
                      <w:tab w:val="left" w:pos="3836"/>
                    </w:tabs>
                    <w:jc w:val="center"/>
                    <w:rPr>
                      <w:sz w:val="21"/>
                      <w:szCs w:val="21"/>
                    </w:rPr>
                  </w:pPr>
                  <w:r>
                    <w:rPr>
                      <w:rFonts w:hint="eastAsia"/>
                      <w:sz w:val="21"/>
                      <w:szCs w:val="21"/>
                    </w:rPr>
                    <w:t>通风橱</w:t>
                  </w:r>
                </w:p>
              </w:tc>
              <w:tc>
                <w:tcPr>
                  <w:tcW w:w="960" w:type="dxa"/>
                  <w:vAlign w:val="center"/>
                </w:tcPr>
                <w:p w14:paraId="770920ED">
                  <w:pPr>
                    <w:tabs>
                      <w:tab w:val="left" w:pos="3836"/>
                    </w:tabs>
                    <w:jc w:val="center"/>
                    <w:rPr>
                      <w:sz w:val="21"/>
                      <w:szCs w:val="21"/>
                    </w:rPr>
                  </w:pPr>
                  <w:r>
                    <w:rPr>
                      <w:rFonts w:hint="eastAsia"/>
                      <w:sz w:val="21"/>
                      <w:szCs w:val="21"/>
                    </w:rPr>
                    <w:t>36个</w:t>
                  </w:r>
                </w:p>
              </w:tc>
              <w:tc>
                <w:tcPr>
                  <w:tcW w:w="1306" w:type="dxa"/>
                  <w:vAlign w:val="center"/>
                </w:tcPr>
                <w:p w14:paraId="2BDE7231">
                  <w:pPr>
                    <w:tabs>
                      <w:tab w:val="left" w:pos="3836"/>
                    </w:tabs>
                    <w:jc w:val="center"/>
                    <w:rPr>
                      <w:sz w:val="21"/>
                      <w:szCs w:val="21"/>
                    </w:rPr>
                  </w:pPr>
                  <w:r>
                    <w:rPr>
                      <w:rFonts w:hint="eastAsia"/>
                      <w:sz w:val="21"/>
                      <w:szCs w:val="21"/>
                    </w:rPr>
                    <w:t>30</w:t>
                  </w:r>
                </w:p>
              </w:tc>
            </w:tr>
            <w:tr w14:paraId="17B0B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139853DC">
                  <w:pPr>
                    <w:tabs>
                      <w:tab w:val="left" w:pos="3836"/>
                    </w:tabs>
                    <w:jc w:val="center"/>
                    <w:rPr>
                      <w:sz w:val="21"/>
                      <w:szCs w:val="21"/>
                    </w:rPr>
                  </w:pPr>
                </w:p>
              </w:tc>
              <w:tc>
                <w:tcPr>
                  <w:tcW w:w="1900" w:type="dxa"/>
                  <w:vMerge w:val="continue"/>
                  <w:vAlign w:val="center"/>
                </w:tcPr>
                <w:p w14:paraId="3AD61362">
                  <w:pPr>
                    <w:tabs>
                      <w:tab w:val="left" w:pos="3836"/>
                    </w:tabs>
                    <w:jc w:val="center"/>
                    <w:rPr>
                      <w:sz w:val="21"/>
                      <w:szCs w:val="21"/>
                    </w:rPr>
                  </w:pPr>
                </w:p>
              </w:tc>
              <w:tc>
                <w:tcPr>
                  <w:tcW w:w="3094" w:type="dxa"/>
                  <w:vAlign w:val="center"/>
                </w:tcPr>
                <w:p w14:paraId="4E1399BD">
                  <w:pPr>
                    <w:tabs>
                      <w:tab w:val="left" w:pos="3836"/>
                    </w:tabs>
                    <w:jc w:val="center"/>
                    <w:rPr>
                      <w:rFonts w:hint="eastAsia" w:eastAsia="宋体"/>
                      <w:sz w:val="21"/>
                      <w:szCs w:val="21"/>
                      <w:lang w:eastAsia="zh-CN"/>
                    </w:rPr>
                  </w:pPr>
                  <w:r>
                    <w:rPr>
                      <w:rFonts w:hint="eastAsia"/>
                      <w:sz w:val="21"/>
                      <w:szCs w:val="21"/>
                      <w:lang w:eastAsia="zh-CN"/>
                    </w:rPr>
                    <w:t>万向罩</w:t>
                  </w:r>
                </w:p>
              </w:tc>
              <w:tc>
                <w:tcPr>
                  <w:tcW w:w="960" w:type="dxa"/>
                  <w:vAlign w:val="center"/>
                </w:tcPr>
                <w:p w14:paraId="642DFA29">
                  <w:pPr>
                    <w:tabs>
                      <w:tab w:val="left" w:pos="3836"/>
                    </w:tabs>
                    <w:jc w:val="center"/>
                    <w:rPr>
                      <w:sz w:val="21"/>
                      <w:szCs w:val="21"/>
                    </w:rPr>
                  </w:pPr>
                  <w:r>
                    <w:rPr>
                      <w:rFonts w:hint="eastAsia"/>
                      <w:sz w:val="21"/>
                      <w:szCs w:val="21"/>
                    </w:rPr>
                    <w:t>20个</w:t>
                  </w:r>
                </w:p>
              </w:tc>
              <w:tc>
                <w:tcPr>
                  <w:tcW w:w="1306" w:type="dxa"/>
                  <w:vAlign w:val="center"/>
                </w:tcPr>
                <w:p w14:paraId="0C8FD021">
                  <w:pPr>
                    <w:tabs>
                      <w:tab w:val="left" w:pos="3836"/>
                    </w:tabs>
                    <w:jc w:val="center"/>
                    <w:rPr>
                      <w:sz w:val="21"/>
                      <w:szCs w:val="21"/>
                    </w:rPr>
                  </w:pPr>
                  <w:r>
                    <w:rPr>
                      <w:rFonts w:hint="eastAsia"/>
                      <w:sz w:val="21"/>
                      <w:szCs w:val="21"/>
                    </w:rPr>
                    <w:t>3</w:t>
                  </w:r>
                </w:p>
              </w:tc>
            </w:tr>
            <w:tr w14:paraId="36C7F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2F5F096E">
                  <w:pPr>
                    <w:tabs>
                      <w:tab w:val="left" w:pos="3836"/>
                    </w:tabs>
                    <w:jc w:val="center"/>
                    <w:rPr>
                      <w:sz w:val="21"/>
                      <w:szCs w:val="21"/>
                    </w:rPr>
                  </w:pPr>
                </w:p>
              </w:tc>
              <w:tc>
                <w:tcPr>
                  <w:tcW w:w="1900" w:type="dxa"/>
                  <w:vMerge w:val="continue"/>
                  <w:vAlign w:val="center"/>
                </w:tcPr>
                <w:p w14:paraId="24F4E6D4">
                  <w:pPr>
                    <w:tabs>
                      <w:tab w:val="left" w:pos="3836"/>
                    </w:tabs>
                    <w:jc w:val="center"/>
                    <w:rPr>
                      <w:sz w:val="21"/>
                      <w:szCs w:val="21"/>
                    </w:rPr>
                  </w:pPr>
                </w:p>
              </w:tc>
              <w:tc>
                <w:tcPr>
                  <w:tcW w:w="3094" w:type="dxa"/>
                  <w:vAlign w:val="center"/>
                </w:tcPr>
                <w:p w14:paraId="35D4845E">
                  <w:pPr>
                    <w:tabs>
                      <w:tab w:val="left" w:pos="3836"/>
                    </w:tabs>
                    <w:jc w:val="center"/>
                    <w:rPr>
                      <w:sz w:val="21"/>
                      <w:szCs w:val="21"/>
                    </w:rPr>
                  </w:pPr>
                  <w:r>
                    <w:rPr>
                      <w:rFonts w:hint="eastAsia"/>
                      <w:sz w:val="21"/>
                      <w:szCs w:val="21"/>
                    </w:rPr>
                    <w:t>吸风罩</w:t>
                  </w:r>
                </w:p>
              </w:tc>
              <w:tc>
                <w:tcPr>
                  <w:tcW w:w="960" w:type="dxa"/>
                  <w:vAlign w:val="center"/>
                </w:tcPr>
                <w:p w14:paraId="6420FCC7">
                  <w:pPr>
                    <w:tabs>
                      <w:tab w:val="left" w:pos="3836"/>
                    </w:tabs>
                    <w:jc w:val="center"/>
                    <w:rPr>
                      <w:sz w:val="21"/>
                      <w:szCs w:val="21"/>
                    </w:rPr>
                  </w:pPr>
                  <w:r>
                    <w:rPr>
                      <w:rFonts w:hint="eastAsia"/>
                      <w:sz w:val="21"/>
                      <w:szCs w:val="21"/>
                    </w:rPr>
                    <w:t>8个</w:t>
                  </w:r>
                </w:p>
              </w:tc>
              <w:tc>
                <w:tcPr>
                  <w:tcW w:w="1306" w:type="dxa"/>
                  <w:vAlign w:val="center"/>
                </w:tcPr>
                <w:p w14:paraId="2D38AD87">
                  <w:pPr>
                    <w:tabs>
                      <w:tab w:val="left" w:pos="3836"/>
                    </w:tabs>
                    <w:jc w:val="center"/>
                    <w:rPr>
                      <w:sz w:val="21"/>
                      <w:szCs w:val="21"/>
                    </w:rPr>
                  </w:pPr>
                  <w:r>
                    <w:rPr>
                      <w:rFonts w:hint="eastAsia"/>
                      <w:sz w:val="21"/>
                      <w:szCs w:val="21"/>
                    </w:rPr>
                    <w:t>1.5</w:t>
                  </w:r>
                </w:p>
              </w:tc>
            </w:tr>
            <w:tr w14:paraId="1E489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vMerge w:val="continue"/>
                  <w:vAlign w:val="center"/>
                </w:tcPr>
                <w:p w14:paraId="606BF574">
                  <w:pPr>
                    <w:tabs>
                      <w:tab w:val="left" w:pos="3836"/>
                    </w:tabs>
                    <w:jc w:val="center"/>
                    <w:rPr>
                      <w:sz w:val="21"/>
                      <w:szCs w:val="21"/>
                    </w:rPr>
                  </w:pPr>
                </w:p>
              </w:tc>
              <w:tc>
                <w:tcPr>
                  <w:tcW w:w="1900" w:type="dxa"/>
                  <w:vMerge w:val="continue"/>
                  <w:vAlign w:val="center"/>
                </w:tcPr>
                <w:p w14:paraId="4FCE9902">
                  <w:pPr>
                    <w:tabs>
                      <w:tab w:val="left" w:pos="3836"/>
                    </w:tabs>
                    <w:jc w:val="center"/>
                    <w:rPr>
                      <w:sz w:val="21"/>
                      <w:szCs w:val="21"/>
                    </w:rPr>
                  </w:pPr>
                </w:p>
              </w:tc>
              <w:tc>
                <w:tcPr>
                  <w:tcW w:w="3094" w:type="dxa"/>
                  <w:vAlign w:val="center"/>
                </w:tcPr>
                <w:p w14:paraId="20D553E2">
                  <w:pPr>
                    <w:tabs>
                      <w:tab w:val="left" w:pos="3836"/>
                    </w:tabs>
                    <w:jc w:val="center"/>
                    <w:rPr>
                      <w:sz w:val="21"/>
                      <w:szCs w:val="21"/>
                    </w:rPr>
                  </w:pPr>
                  <w:r>
                    <w:rPr>
                      <w:rFonts w:hint="eastAsia"/>
                      <w:sz w:val="21"/>
                      <w:szCs w:val="21"/>
                    </w:rPr>
                    <w:t>排风管道</w:t>
                  </w:r>
                </w:p>
              </w:tc>
              <w:tc>
                <w:tcPr>
                  <w:tcW w:w="960" w:type="dxa"/>
                  <w:vAlign w:val="center"/>
                </w:tcPr>
                <w:p w14:paraId="11A16DA6">
                  <w:pPr>
                    <w:tabs>
                      <w:tab w:val="left" w:pos="3836"/>
                    </w:tabs>
                    <w:jc w:val="center"/>
                    <w:rPr>
                      <w:sz w:val="21"/>
                      <w:szCs w:val="21"/>
                    </w:rPr>
                  </w:pPr>
                  <w:r>
                    <w:rPr>
                      <w:rFonts w:hint="eastAsia"/>
                      <w:sz w:val="21"/>
                      <w:szCs w:val="21"/>
                    </w:rPr>
                    <w:t>/</w:t>
                  </w:r>
                </w:p>
              </w:tc>
              <w:tc>
                <w:tcPr>
                  <w:tcW w:w="1306" w:type="dxa"/>
                  <w:vAlign w:val="center"/>
                </w:tcPr>
                <w:p w14:paraId="04A3E1AA">
                  <w:pPr>
                    <w:tabs>
                      <w:tab w:val="left" w:pos="3836"/>
                    </w:tabs>
                    <w:jc w:val="center"/>
                    <w:rPr>
                      <w:sz w:val="21"/>
                      <w:szCs w:val="21"/>
                    </w:rPr>
                  </w:pPr>
                  <w:r>
                    <w:rPr>
                      <w:rFonts w:hint="eastAsia"/>
                      <w:sz w:val="21"/>
                      <w:szCs w:val="21"/>
                    </w:rPr>
                    <w:t>10</w:t>
                  </w:r>
                </w:p>
              </w:tc>
            </w:tr>
            <w:tr w14:paraId="52AA2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34980E5F">
                  <w:pPr>
                    <w:tabs>
                      <w:tab w:val="left" w:pos="3836"/>
                    </w:tabs>
                    <w:jc w:val="center"/>
                    <w:rPr>
                      <w:sz w:val="21"/>
                      <w:szCs w:val="21"/>
                    </w:rPr>
                  </w:pPr>
                </w:p>
              </w:tc>
              <w:tc>
                <w:tcPr>
                  <w:tcW w:w="1900" w:type="dxa"/>
                  <w:vMerge w:val="continue"/>
                  <w:vAlign w:val="center"/>
                </w:tcPr>
                <w:p w14:paraId="538FC7B0">
                  <w:pPr>
                    <w:tabs>
                      <w:tab w:val="left" w:pos="3836"/>
                    </w:tabs>
                    <w:jc w:val="center"/>
                    <w:rPr>
                      <w:sz w:val="21"/>
                      <w:szCs w:val="21"/>
                    </w:rPr>
                  </w:pPr>
                </w:p>
              </w:tc>
              <w:tc>
                <w:tcPr>
                  <w:tcW w:w="3094" w:type="dxa"/>
                  <w:vAlign w:val="center"/>
                </w:tcPr>
                <w:p w14:paraId="6446991C">
                  <w:pPr>
                    <w:widowControl/>
                    <w:jc w:val="center"/>
                    <w:textAlignment w:val="center"/>
                    <w:rPr>
                      <w:color w:val="auto"/>
                      <w:kern w:val="0"/>
                      <w:sz w:val="21"/>
                      <w:szCs w:val="21"/>
                      <w:lang w:bidi="ar"/>
                    </w:rPr>
                  </w:pPr>
                  <w:r>
                    <w:rPr>
                      <w:rFonts w:hint="eastAsia"/>
                      <w:color w:val="auto"/>
                      <w:kern w:val="0"/>
                      <w:sz w:val="21"/>
                      <w:szCs w:val="21"/>
                      <w:lang w:bidi="ar"/>
                    </w:rPr>
                    <w:t>活性炭吸附装置+风机+排气筒</w:t>
                  </w:r>
                </w:p>
              </w:tc>
              <w:tc>
                <w:tcPr>
                  <w:tcW w:w="960" w:type="dxa"/>
                  <w:vAlign w:val="center"/>
                </w:tcPr>
                <w:p w14:paraId="7472DC4B">
                  <w:pPr>
                    <w:tabs>
                      <w:tab w:val="left" w:pos="3836"/>
                    </w:tabs>
                    <w:jc w:val="center"/>
                    <w:rPr>
                      <w:sz w:val="21"/>
                      <w:szCs w:val="21"/>
                    </w:rPr>
                  </w:pPr>
                  <w:r>
                    <w:rPr>
                      <w:rFonts w:hint="eastAsia"/>
                      <w:sz w:val="21"/>
                      <w:szCs w:val="21"/>
                    </w:rPr>
                    <w:t>1套</w:t>
                  </w:r>
                </w:p>
              </w:tc>
              <w:tc>
                <w:tcPr>
                  <w:tcW w:w="1306" w:type="dxa"/>
                  <w:vAlign w:val="center"/>
                </w:tcPr>
                <w:p w14:paraId="47EFE6E0">
                  <w:pPr>
                    <w:tabs>
                      <w:tab w:val="left" w:pos="3836"/>
                    </w:tabs>
                    <w:jc w:val="center"/>
                    <w:rPr>
                      <w:sz w:val="21"/>
                      <w:szCs w:val="21"/>
                    </w:rPr>
                  </w:pPr>
                  <w:r>
                    <w:rPr>
                      <w:rFonts w:hint="eastAsia"/>
                      <w:sz w:val="21"/>
                      <w:szCs w:val="21"/>
                    </w:rPr>
                    <w:t>6</w:t>
                  </w:r>
                </w:p>
              </w:tc>
            </w:tr>
            <w:tr w14:paraId="3A982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44465392">
                  <w:pPr>
                    <w:tabs>
                      <w:tab w:val="left" w:pos="3836"/>
                    </w:tabs>
                    <w:jc w:val="center"/>
                    <w:rPr>
                      <w:sz w:val="21"/>
                      <w:szCs w:val="21"/>
                    </w:rPr>
                  </w:pPr>
                </w:p>
              </w:tc>
              <w:tc>
                <w:tcPr>
                  <w:tcW w:w="1900" w:type="dxa"/>
                  <w:vMerge w:val="continue"/>
                  <w:vAlign w:val="center"/>
                </w:tcPr>
                <w:p w14:paraId="5CF17AD7">
                  <w:pPr>
                    <w:tabs>
                      <w:tab w:val="left" w:pos="3836"/>
                    </w:tabs>
                    <w:jc w:val="center"/>
                    <w:rPr>
                      <w:sz w:val="21"/>
                      <w:szCs w:val="21"/>
                    </w:rPr>
                  </w:pPr>
                </w:p>
              </w:tc>
              <w:tc>
                <w:tcPr>
                  <w:tcW w:w="3094" w:type="dxa"/>
                  <w:vAlign w:val="center"/>
                </w:tcPr>
                <w:p w14:paraId="4A15C7FE">
                  <w:pPr>
                    <w:widowControl/>
                    <w:jc w:val="center"/>
                    <w:textAlignment w:val="center"/>
                    <w:rPr>
                      <w:rFonts w:ascii="宋体" w:hAnsi="宋体" w:cs="宋体"/>
                      <w:color w:val="auto"/>
                      <w:kern w:val="0"/>
                      <w:sz w:val="21"/>
                      <w:szCs w:val="21"/>
                      <w:lang w:bidi="ar"/>
                    </w:rPr>
                  </w:pPr>
                  <w:r>
                    <w:rPr>
                      <w:rFonts w:hint="eastAsia" w:ascii="宋体" w:hAnsi="宋体" w:cs="宋体"/>
                      <w:color w:val="auto"/>
                      <w:kern w:val="0"/>
                      <w:sz w:val="21"/>
                      <w:szCs w:val="21"/>
                      <w:lang w:bidi="ar"/>
                    </w:rPr>
                    <w:t>喷淋塔装置+风机+排气筒</w:t>
                  </w:r>
                </w:p>
              </w:tc>
              <w:tc>
                <w:tcPr>
                  <w:tcW w:w="960" w:type="dxa"/>
                  <w:vAlign w:val="center"/>
                </w:tcPr>
                <w:p w14:paraId="481CEF12">
                  <w:pPr>
                    <w:tabs>
                      <w:tab w:val="left" w:pos="3836"/>
                    </w:tabs>
                    <w:jc w:val="center"/>
                    <w:rPr>
                      <w:sz w:val="21"/>
                      <w:szCs w:val="21"/>
                    </w:rPr>
                  </w:pPr>
                  <w:r>
                    <w:rPr>
                      <w:rFonts w:hint="eastAsia"/>
                      <w:sz w:val="21"/>
                      <w:szCs w:val="21"/>
                    </w:rPr>
                    <w:t>1套</w:t>
                  </w:r>
                </w:p>
              </w:tc>
              <w:tc>
                <w:tcPr>
                  <w:tcW w:w="1306" w:type="dxa"/>
                  <w:vAlign w:val="center"/>
                </w:tcPr>
                <w:p w14:paraId="737C4ACE">
                  <w:pPr>
                    <w:tabs>
                      <w:tab w:val="left" w:pos="3836"/>
                    </w:tabs>
                    <w:jc w:val="center"/>
                    <w:rPr>
                      <w:sz w:val="21"/>
                      <w:szCs w:val="21"/>
                    </w:rPr>
                  </w:pPr>
                  <w:r>
                    <w:rPr>
                      <w:rFonts w:hint="eastAsia"/>
                      <w:sz w:val="21"/>
                      <w:szCs w:val="21"/>
                    </w:rPr>
                    <w:t>7</w:t>
                  </w:r>
                </w:p>
              </w:tc>
            </w:tr>
            <w:tr w14:paraId="35952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7CE8CDCB">
                  <w:pPr>
                    <w:tabs>
                      <w:tab w:val="left" w:pos="3836"/>
                    </w:tabs>
                    <w:jc w:val="center"/>
                    <w:rPr>
                      <w:sz w:val="21"/>
                      <w:szCs w:val="21"/>
                    </w:rPr>
                  </w:pPr>
                </w:p>
              </w:tc>
              <w:tc>
                <w:tcPr>
                  <w:tcW w:w="1900" w:type="dxa"/>
                  <w:vMerge w:val="continue"/>
                  <w:vAlign w:val="center"/>
                </w:tcPr>
                <w:p w14:paraId="711A85FD">
                  <w:pPr>
                    <w:tabs>
                      <w:tab w:val="left" w:pos="3836"/>
                    </w:tabs>
                    <w:jc w:val="center"/>
                    <w:rPr>
                      <w:sz w:val="21"/>
                      <w:szCs w:val="21"/>
                    </w:rPr>
                  </w:pPr>
                </w:p>
              </w:tc>
              <w:tc>
                <w:tcPr>
                  <w:tcW w:w="3094" w:type="dxa"/>
                  <w:vAlign w:val="center"/>
                </w:tcPr>
                <w:p w14:paraId="601F8E84">
                  <w:pPr>
                    <w:tabs>
                      <w:tab w:val="left" w:pos="3836"/>
                    </w:tabs>
                    <w:jc w:val="center"/>
                    <w:rPr>
                      <w:sz w:val="21"/>
                      <w:szCs w:val="21"/>
                    </w:rPr>
                  </w:pPr>
                  <w:r>
                    <w:rPr>
                      <w:rFonts w:hint="eastAsia"/>
                      <w:sz w:val="21"/>
                      <w:szCs w:val="21"/>
                    </w:rPr>
                    <w:t>除尘设备</w:t>
                  </w:r>
                </w:p>
              </w:tc>
              <w:tc>
                <w:tcPr>
                  <w:tcW w:w="960" w:type="dxa"/>
                  <w:vAlign w:val="center"/>
                </w:tcPr>
                <w:p w14:paraId="7FA1574B">
                  <w:pPr>
                    <w:tabs>
                      <w:tab w:val="left" w:pos="3836"/>
                    </w:tabs>
                    <w:jc w:val="center"/>
                    <w:rPr>
                      <w:sz w:val="21"/>
                      <w:szCs w:val="21"/>
                    </w:rPr>
                  </w:pPr>
                  <w:r>
                    <w:rPr>
                      <w:rFonts w:hint="eastAsia"/>
                      <w:sz w:val="21"/>
                      <w:szCs w:val="21"/>
                    </w:rPr>
                    <w:t>2套</w:t>
                  </w:r>
                </w:p>
              </w:tc>
              <w:tc>
                <w:tcPr>
                  <w:tcW w:w="1306" w:type="dxa"/>
                  <w:vAlign w:val="center"/>
                </w:tcPr>
                <w:p w14:paraId="502231E4">
                  <w:pPr>
                    <w:tabs>
                      <w:tab w:val="left" w:pos="3836"/>
                    </w:tabs>
                    <w:jc w:val="center"/>
                    <w:rPr>
                      <w:sz w:val="21"/>
                      <w:szCs w:val="21"/>
                    </w:rPr>
                  </w:pPr>
                  <w:r>
                    <w:rPr>
                      <w:rFonts w:hint="eastAsia"/>
                      <w:sz w:val="21"/>
                      <w:szCs w:val="21"/>
                    </w:rPr>
                    <w:t>2</w:t>
                  </w:r>
                </w:p>
              </w:tc>
            </w:tr>
            <w:tr w14:paraId="10CD3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restart"/>
                  <w:vAlign w:val="center"/>
                </w:tcPr>
                <w:p w14:paraId="6DCE109A">
                  <w:pPr>
                    <w:tabs>
                      <w:tab w:val="left" w:pos="3836"/>
                    </w:tabs>
                    <w:jc w:val="center"/>
                    <w:rPr>
                      <w:sz w:val="21"/>
                      <w:szCs w:val="21"/>
                    </w:rPr>
                  </w:pPr>
                  <w:r>
                    <w:rPr>
                      <w:rFonts w:hint="eastAsia"/>
                      <w:sz w:val="21"/>
                      <w:szCs w:val="21"/>
                    </w:rPr>
                    <w:t>废水</w:t>
                  </w:r>
                </w:p>
              </w:tc>
              <w:tc>
                <w:tcPr>
                  <w:tcW w:w="1900" w:type="dxa"/>
                  <w:vMerge w:val="restart"/>
                  <w:vAlign w:val="center"/>
                </w:tcPr>
                <w:p w14:paraId="707747AA">
                  <w:pPr>
                    <w:tabs>
                      <w:tab w:val="left" w:pos="3836"/>
                    </w:tabs>
                    <w:jc w:val="center"/>
                    <w:rPr>
                      <w:sz w:val="21"/>
                      <w:szCs w:val="21"/>
                    </w:rPr>
                  </w:pPr>
                  <w:r>
                    <w:rPr>
                      <w:rFonts w:hint="eastAsia"/>
                      <w:sz w:val="21"/>
                      <w:szCs w:val="21"/>
                    </w:rPr>
                    <w:t>实验器皿清洗废水、剩余一般水样、喷淋塔排水</w:t>
                  </w:r>
                </w:p>
              </w:tc>
              <w:tc>
                <w:tcPr>
                  <w:tcW w:w="3094" w:type="dxa"/>
                  <w:vAlign w:val="center"/>
                </w:tcPr>
                <w:p w14:paraId="65B2D990">
                  <w:pPr>
                    <w:tabs>
                      <w:tab w:val="left" w:pos="3836"/>
                    </w:tabs>
                    <w:jc w:val="center"/>
                    <w:rPr>
                      <w:sz w:val="21"/>
                      <w:szCs w:val="21"/>
                    </w:rPr>
                  </w:pPr>
                  <w:r>
                    <w:rPr>
                      <w:rFonts w:hint="eastAsia"/>
                      <w:sz w:val="21"/>
                      <w:szCs w:val="21"/>
                    </w:rPr>
                    <w:t>废水处理设备（利旧搬迁）</w:t>
                  </w:r>
                </w:p>
              </w:tc>
              <w:tc>
                <w:tcPr>
                  <w:tcW w:w="960" w:type="dxa"/>
                  <w:vAlign w:val="center"/>
                </w:tcPr>
                <w:p w14:paraId="0831C2B6">
                  <w:pPr>
                    <w:tabs>
                      <w:tab w:val="left" w:pos="3836"/>
                    </w:tabs>
                    <w:jc w:val="center"/>
                    <w:rPr>
                      <w:sz w:val="21"/>
                      <w:szCs w:val="21"/>
                    </w:rPr>
                  </w:pPr>
                  <w:r>
                    <w:rPr>
                      <w:rFonts w:hint="eastAsia"/>
                      <w:sz w:val="21"/>
                      <w:szCs w:val="21"/>
                    </w:rPr>
                    <w:t>1套</w:t>
                  </w:r>
                </w:p>
              </w:tc>
              <w:tc>
                <w:tcPr>
                  <w:tcW w:w="1306" w:type="dxa"/>
                  <w:vMerge w:val="restart"/>
                  <w:vAlign w:val="center"/>
                </w:tcPr>
                <w:p w14:paraId="564F2E75">
                  <w:pPr>
                    <w:tabs>
                      <w:tab w:val="left" w:pos="3836"/>
                    </w:tabs>
                    <w:jc w:val="center"/>
                    <w:rPr>
                      <w:sz w:val="21"/>
                      <w:szCs w:val="21"/>
                    </w:rPr>
                  </w:pPr>
                  <w:r>
                    <w:rPr>
                      <w:rFonts w:hint="eastAsia"/>
                      <w:sz w:val="21"/>
                      <w:szCs w:val="21"/>
                    </w:rPr>
                    <w:t>/</w:t>
                  </w:r>
                </w:p>
              </w:tc>
            </w:tr>
            <w:tr w14:paraId="6F5F3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2995B8CF">
                  <w:pPr>
                    <w:tabs>
                      <w:tab w:val="left" w:pos="3836"/>
                    </w:tabs>
                    <w:jc w:val="center"/>
                    <w:rPr>
                      <w:sz w:val="21"/>
                      <w:szCs w:val="21"/>
                    </w:rPr>
                  </w:pPr>
                </w:p>
              </w:tc>
              <w:tc>
                <w:tcPr>
                  <w:tcW w:w="1900" w:type="dxa"/>
                  <w:vMerge w:val="continue"/>
                  <w:vAlign w:val="center"/>
                </w:tcPr>
                <w:p w14:paraId="23812041">
                  <w:pPr>
                    <w:tabs>
                      <w:tab w:val="left" w:pos="3836"/>
                    </w:tabs>
                    <w:jc w:val="center"/>
                    <w:rPr>
                      <w:sz w:val="21"/>
                      <w:szCs w:val="21"/>
                    </w:rPr>
                  </w:pPr>
                </w:p>
              </w:tc>
              <w:tc>
                <w:tcPr>
                  <w:tcW w:w="3094" w:type="dxa"/>
                  <w:vAlign w:val="center"/>
                </w:tcPr>
                <w:p w14:paraId="5BFD1CB0">
                  <w:pPr>
                    <w:tabs>
                      <w:tab w:val="left" w:pos="3836"/>
                    </w:tabs>
                    <w:jc w:val="center"/>
                    <w:rPr>
                      <w:sz w:val="21"/>
                      <w:szCs w:val="21"/>
                    </w:rPr>
                  </w:pPr>
                  <w:r>
                    <w:rPr>
                      <w:rFonts w:hint="eastAsia"/>
                      <w:sz w:val="21"/>
                      <w:szCs w:val="21"/>
                    </w:rPr>
                    <w:t>废水专用桶（利旧搬迁）</w:t>
                  </w:r>
                </w:p>
              </w:tc>
              <w:tc>
                <w:tcPr>
                  <w:tcW w:w="960" w:type="dxa"/>
                  <w:vAlign w:val="center"/>
                </w:tcPr>
                <w:p w14:paraId="3FC5CF2A">
                  <w:pPr>
                    <w:tabs>
                      <w:tab w:val="left" w:pos="3836"/>
                    </w:tabs>
                    <w:jc w:val="center"/>
                    <w:rPr>
                      <w:sz w:val="21"/>
                      <w:szCs w:val="21"/>
                    </w:rPr>
                  </w:pPr>
                  <w:r>
                    <w:rPr>
                      <w:rFonts w:hint="eastAsia"/>
                      <w:sz w:val="21"/>
                      <w:szCs w:val="21"/>
                    </w:rPr>
                    <w:t>1个</w:t>
                  </w:r>
                </w:p>
              </w:tc>
              <w:tc>
                <w:tcPr>
                  <w:tcW w:w="1306" w:type="dxa"/>
                  <w:vMerge w:val="continue"/>
                  <w:vAlign w:val="center"/>
                </w:tcPr>
                <w:p w14:paraId="31B11266">
                  <w:pPr>
                    <w:tabs>
                      <w:tab w:val="left" w:pos="3836"/>
                    </w:tabs>
                    <w:jc w:val="center"/>
                    <w:rPr>
                      <w:sz w:val="21"/>
                      <w:szCs w:val="21"/>
                    </w:rPr>
                  </w:pPr>
                </w:p>
              </w:tc>
            </w:tr>
            <w:tr w14:paraId="33595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0E443B6B">
                  <w:pPr>
                    <w:tabs>
                      <w:tab w:val="left" w:pos="3836"/>
                    </w:tabs>
                    <w:jc w:val="center"/>
                    <w:rPr>
                      <w:sz w:val="21"/>
                      <w:szCs w:val="21"/>
                    </w:rPr>
                  </w:pPr>
                </w:p>
              </w:tc>
              <w:tc>
                <w:tcPr>
                  <w:tcW w:w="1900" w:type="dxa"/>
                  <w:vMerge w:val="continue"/>
                  <w:vAlign w:val="center"/>
                </w:tcPr>
                <w:p w14:paraId="15E3A652">
                  <w:pPr>
                    <w:tabs>
                      <w:tab w:val="left" w:pos="3836"/>
                    </w:tabs>
                    <w:jc w:val="center"/>
                    <w:rPr>
                      <w:sz w:val="21"/>
                      <w:szCs w:val="21"/>
                    </w:rPr>
                  </w:pPr>
                </w:p>
              </w:tc>
              <w:tc>
                <w:tcPr>
                  <w:tcW w:w="3094" w:type="dxa"/>
                  <w:vAlign w:val="center"/>
                </w:tcPr>
                <w:p w14:paraId="1D71E56D">
                  <w:pPr>
                    <w:tabs>
                      <w:tab w:val="left" w:pos="3836"/>
                    </w:tabs>
                    <w:jc w:val="center"/>
                    <w:rPr>
                      <w:sz w:val="21"/>
                      <w:szCs w:val="21"/>
                    </w:rPr>
                  </w:pPr>
                  <w:r>
                    <w:rPr>
                      <w:rFonts w:hint="eastAsia"/>
                      <w:sz w:val="21"/>
                      <w:szCs w:val="21"/>
                    </w:rPr>
                    <w:t>排水管道</w:t>
                  </w:r>
                </w:p>
              </w:tc>
              <w:tc>
                <w:tcPr>
                  <w:tcW w:w="960" w:type="dxa"/>
                  <w:vAlign w:val="center"/>
                </w:tcPr>
                <w:p w14:paraId="221227E7">
                  <w:pPr>
                    <w:tabs>
                      <w:tab w:val="left" w:pos="3836"/>
                    </w:tabs>
                    <w:jc w:val="center"/>
                    <w:rPr>
                      <w:sz w:val="21"/>
                      <w:szCs w:val="21"/>
                    </w:rPr>
                  </w:pPr>
                  <w:r>
                    <w:rPr>
                      <w:rFonts w:hint="eastAsia"/>
                      <w:sz w:val="21"/>
                      <w:szCs w:val="21"/>
                    </w:rPr>
                    <w:t>1套</w:t>
                  </w:r>
                </w:p>
              </w:tc>
              <w:tc>
                <w:tcPr>
                  <w:tcW w:w="1306" w:type="dxa"/>
                  <w:vAlign w:val="center"/>
                </w:tcPr>
                <w:p w14:paraId="61F650CF">
                  <w:pPr>
                    <w:tabs>
                      <w:tab w:val="left" w:pos="3836"/>
                    </w:tabs>
                    <w:jc w:val="center"/>
                    <w:rPr>
                      <w:sz w:val="21"/>
                      <w:szCs w:val="21"/>
                    </w:rPr>
                  </w:pPr>
                  <w:r>
                    <w:rPr>
                      <w:rFonts w:hint="eastAsia"/>
                      <w:sz w:val="21"/>
                      <w:szCs w:val="21"/>
                    </w:rPr>
                    <w:t>1</w:t>
                  </w:r>
                </w:p>
              </w:tc>
            </w:tr>
            <w:tr w14:paraId="036CA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16900ED1">
                  <w:pPr>
                    <w:tabs>
                      <w:tab w:val="left" w:pos="3836"/>
                    </w:tabs>
                    <w:jc w:val="center"/>
                    <w:rPr>
                      <w:sz w:val="21"/>
                      <w:szCs w:val="21"/>
                    </w:rPr>
                  </w:pPr>
                </w:p>
              </w:tc>
              <w:tc>
                <w:tcPr>
                  <w:tcW w:w="1900" w:type="dxa"/>
                  <w:vMerge w:val="continue"/>
                  <w:vAlign w:val="center"/>
                </w:tcPr>
                <w:p w14:paraId="4DC4629B">
                  <w:pPr>
                    <w:tabs>
                      <w:tab w:val="left" w:pos="3836"/>
                    </w:tabs>
                    <w:jc w:val="center"/>
                    <w:rPr>
                      <w:sz w:val="21"/>
                      <w:szCs w:val="21"/>
                    </w:rPr>
                  </w:pPr>
                </w:p>
              </w:tc>
              <w:tc>
                <w:tcPr>
                  <w:tcW w:w="3094" w:type="dxa"/>
                  <w:vMerge w:val="restart"/>
                  <w:vAlign w:val="center"/>
                </w:tcPr>
                <w:p w14:paraId="4C1ADD4D">
                  <w:pPr>
                    <w:tabs>
                      <w:tab w:val="left" w:pos="3836"/>
                    </w:tabs>
                    <w:jc w:val="center"/>
                    <w:rPr>
                      <w:sz w:val="21"/>
                      <w:szCs w:val="21"/>
                    </w:rPr>
                  </w:pPr>
                  <w:r>
                    <w:rPr>
                      <w:rFonts w:hint="eastAsia"/>
                      <w:sz w:val="21"/>
                      <w:szCs w:val="21"/>
                    </w:rPr>
                    <w:t>园区化粪池（依托）</w:t>
                  </w:r>
                </w:p>
              </w:tc>
              <w:tc>
                <w:tcPr>
                  <w:tcW w:w="960" w:type="dxa"/>
                  <w:vMerge w:val="restart"/>
                  <w:vAlign w:val="center"/>
                </w:tcPr>
                <w:p w14:paraId="74E7CE7A">
                  <w:pPr>
                    <w:tabs>
                      <w:tab w:val="left" w:pos="3836"/>
                    </w:tabs>
                    <w:jc w:val="center"/>
                    <w:rPr>
                      <w:sz w:val="21"/>
                      <w:szCs w:val="21"/>
                    </w:rPr>
                  </w:pPr>
                  <w:r>
                    <w:rPr>
                      <w:rFonts w:hint="eastAsia"/>
                      <w:sz w:val="21"/>
                      <w:szCs w:val="21"/>
                    </w:rPr>
                    <w:t>/</w:t>
                  </w:r>
                </w:p>
              </w:tc>
              <w:tc>
                <w:tcPr>
                  <w:tcW w:w="1306" w:type="dxa"/>
                  <w:vMerge w:val="restart"/>
                  <w:vAlign w:val="center"/>
                </w:tcPr>
                <w:p w14:paraId="7834F9EA">
                  <w:pPr>
                    <w:tabs>
                      <w:tab w:val="left" w:pos="3836"/>
                    </w:tabs>
                    <w:jc w:val="center"/>
                    <w:rPr>
                      <w:sz w:val="21"/>
                      <w:szCs w:val="21"/>
                    </w:rPr>
                  </w:pPr>
                  <w:r>
                    <w:rPr>
                      <w:rFonts w:hint="eastAsia"/>
                      <w:sz w:val="21"/>
                      <w:szCs w:val="21"/>
                    </w:rPr>
                    <w:t>/</w:t>
                  </w:r>
                </w:p>
              </w:tc>
            </w:tr>
            <w:tr w14:paraId="3AA22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1975787B">
                  <w:pPr>
                    <w:tabs>
                      <w:tab w:val="left" w:pos="3836"/>
                    </w:tabs>
                    <w:jc w:val="center"/>
                    <w:rPr>
                      <w:sz w:val="21"/>
                      <w:szCs w:val="21"/>
                    </w:rPr>
                  </w:pPr>
                </w:p>
              </w:tc>
              <w:tc>
                <w:tcPr>
                  <w:tcW w:w="1900" w:type="dxa"/>
                  <w:vAlign w:val="center"/>
                </w:tcPr>
                <w:p w14:paraId="41D57FFB">
                  <w:pPr>
                    <w:tabs>
                      <w:tab w:val="left" w:pos="3836"/>
                    </w:tabs>
                    <w:jc w:val="center"/>
                    <w:rPr>
                      <w:sz w:val="21"/>
                      <w:szCs w:val="21"/>
                    </w:rPr>
                  </w:pPr>
                  <w:r>
                    <w:rPr>
                      <w:rFonts w:hint="eastAsia"/>
                      <w:sz w:val="21"/>
                      <w:szCs w:val="21"/>
                    </w:rPr>
                    <w:t>生活污水及其他废水</w:t>
                  </w:r>
                </w:p>
              </w:tc>
              <w:tc>
                <w:tcPr>
                  <w:tcW w:w="3094" w:type="dxa"/>
                  <w:vMerge w:val="continue"/>
                  <w:vAlign w:val="center"/>
                </w:tcPr>
                <w:p w14:paraId="39D96367">
                  <w:pPr>
                    <w:tabs>
                      <w:tab w:val="left" w:pos="3836"/>
                    </w:tabs>
                    <w:jc w:val="center"/>
                    <w:rPr>
                      <w:sz w:val="21"/>
                      <w:szCs w:val="21"/>
                    </w:rPr>
                  </w:pPr>
                </w:p>
              </w:tc>
              <w:tc>
                <w:tcPr>
                  <w:tcW w:w="960" w:type="dxa"/>
                  <w:vMerge w:val="continue"/>
                  <w:vAlign w:val="center"/>
                </w:tcPr>
                <w:p w14:paraId="6E1430EB">
                  <w:pPr>
                    <w:tabs>
                      <w:tab w:val="left" w:pos="3836"/>
                    </w:tabs>
                    <w:jc w:val="center"/>
                    <w:rPr>
                      <w:sz w:val="21"/>
                      <w:szCs w:val="21"/>
                    </w:rPr>
                  </w:pPr>
                </w:p>
              </w:tc>
              <w:tc>
                <w:tcPr>
                  <w:tcW w:w="1306" w:type="dxa"/>
                  <w:vMerge w:val="continue"/>
                  <w:vAlign w:val="center"/>
                </w:tcPr>
                <w:p w14:paraId="7941C40B">
                  <w:pPr>
                    <w:tabs>
                      <w:tab w:val="left" w:pos="3836"/>
                    </w:tabs>
                    <w:jc w:val="center"/>
                    <w:rPr>
                      <w:sz w:val="21"/>
                      <w:szCs w:val="21"/>
                    </w:rPr>
                  </w:pPr>
                </w:p>
              </w:tc>
            </w:tr>
            <w:tr w14:paraId="1227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Align w:val="center"/>
                </w:tcPr>
                <w:p w14:paraId="454BB1C0">
                  <w:pPr>
                    <w:tabs>
                      <w:tab w:val="left" w:pos="3836"/>
                    </w:tabs>
                    <w:jc w:val="center"/>
                    <w:rPr>
                      <w:sz w:val="21"/>
                      <w:szCs w:val="21"/>
                    </w:rPr>
                  </w:pPr>
                  <w:r>
                    <w:rPr>
                      <w:rFonts w:hint="eastAsia"/>
                      <w:sz w:val="21"/>
                      <w:szCs w:val="21"/>
                    </w:rPr>
                    <w:t>噪声</w:t>
                  </w:r>
                </w:p>
              </w:tc>
              <w:tc>
                <w:tcPr>
                  <w:tcW w:w="1900" w:type="dxa"/>
                  <w:vAlign w:val="center"/>
                </w:tcPr>
                <w:p w14:paraId="179C368F">
                  <w:pPr>
                    <w:tabs>
                      <w:tab w:val="left" w:pos="3836"/>
                    </w:tabs>
                    <w:jc w:val="center"/>
                    <w:rPr>
                      <w:sz w:val="21"/>
                      <w:szCs w:val="21"/>
                    </w:rPr>
                  </w:pPr>
                  <w:r>
                    <w:rPr>
                      <w:rFonts w:hint="eastAsia"/>
                      <w:sz w:val="21"/>
                      <w:szCs w:val="21"/>
                    </w:rPr>
                    <w:t>设备噪声</w:t>
                  </w:r>
                </w:p>
              </w:tc>
              <w:tc>
                <w:tcPr>
                  <w:tcW w:w="3094" w:type="dxa"/>
                  <w:vAlign w:val="center"/>
                </w:tcPr>
                <w:p w14:paraId="6CC9737F">
                  <w:pPr>
                    <w:tabs>
                      <w:tab w:val="left" w:pos="3836"/>
                    </w:tabs>
                    <w:jc w:val="center"/>
                    <w:rPr>
                      <w:sz w:val="21"/>
                      <w:szCs w:val="21"/>
                    </w:rPr>
                  </w:pPr>
                  <w:r>
                    <w:rPr>
                      <w:rFonts w:hint="eastAsia"/>
                      <w:sz w:val="21"/>
                      <w:szCs w:val="21"/>
                    </w:rPr>
                    <w:t>消声、隔声、减振</w:t>
                  </w:r>
                </w:p>
              </w:tc>
              <w:tc>
                <w:tcPr>
                  <w:tcW w:w="960" w:type="dxa"/>
                  <w:vAlign w:val="center"/>
                </w:tcPr>
                <w:p w14:paraId="70519267">
                  <w:pPr>
                    <w:tabs>
                      <w:tab w:val="left" w:pos="3836"/>
                    </w:tabs>
                    <w:jc w:val="center"/>
                    <w:rPr>
                      <w:sz w:val="21"/>
                      <w:szCs w:val="21"/>
                    </w:rPr>
                  </w:pPr>
                  <w:r>
                    <w:rPr>
                      <w:rFonts w:hint="eastAsia"/>
                      <w:sz w:val="21"/>
                      <w:szCs w:val="21"/>
                    </w:rPr>
                    <w:t>配套</w:t>
                  </w:r>
                </w:p>
              </w:tc>
              <w:tc>
                <w:tcPr>
                  <w:tcW w:w="1306" w:type="dxa"/>
                  <w:vAlign w:val="center"/>
                </w:tcPr>
                <w:p w14:paraId="45875CD8">
                  <w:pPr>
                    <w:tabs>
                      <w:tab w:val="left" w:pos="3836"/>
                    </w:tabs>
                    <w:jc w:val="center"/>
                    <w:rPr>
                      <w:sz w:val="21"/>
                      <w:szCs w:val="21"/>
                    </w:rPr>
                  </w:pPr>
                  <w:r>
                    <w:rPr>
                      <w:rFonts w:hint="eastAsia"/>
                      <w:sz w:val="21"/>
                      <w:szCs w:val="21"/>
                    </w:rPr>
                    <w:t>3</w:t>
                  </w:r>
                </w:p>
              </w:tc>
            </w:tr>
            <w:tr w14:paraId="5FFF9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restart"/>
                  <w:vAlign w:val="center"/>
                </w:tcPr>
                <w:p w14:paraId="601E75B4">
                  <w:pPr>
                    <w:tabs>
                      <w:tab w:val="left" w:pos="3836"/>
                    </w:tabs>
                    <w:jc w:val="center"/>
                    <w:rPr>
                      <w:sz w:val="21"/>
                      <w:szCs w:val="21"/>
                    </w:rPr>
                  </w:pPr>
                  <w:r>
                    <w:rPr>
                      <w:rFonts w:hint="eastAsia"/>
                      <w:sz w:val="21"/>
                      <w:szCs w:val="21"/>
                    </w:rPr>
                    <w:t>固废</w:t>
                  </w:r>
                </w:p>
              </w:tc>
              <w:tc>
                <w:tcPr>
                  <w:tcW w:w="1900" w:type="dxa"/>
                  <w:vAlign w:val="center"/>
                </w:tcPr>
                <w:p w14:paraId="093A56DF">
                  <w:pPr>
                    <w:tabs>
                      <w:tab w:val="left" w:pos="3836"/>
                    </w:tabs>
                    <w:jc w:val="center"/>
                    <w:rPr>
                      <w:sz w:val="21"/>
                      <w:szCs w:val="21"/>
                    </w:rPr>
                  </w:pPr>
                  <w:r>
                    <w:rPr>
                      <w:rFonts w:hint="eastAsia"/>
                      <w:sz w:val="21"/>
                      <w:szCs w:val="21"/>
                    </w:rPr>
                    <w:t>生活垃圾</w:t>
                  </w:r>
                </w:p>
              </w:tc>
              <w:tc>
                <w:tcPr>
                  <w:tcW w:w="3094" w:type="dxa"/>
                  <w:vAlign w:val="center"/>
                </w:tcPr>
                <w:p w14:paraId="27C95AEC">
                  <w:pPr>
                    <w:tabs>
                      <w:tab w:val="left" w:pos="3836"/>
                    </w:tabs>
                    <w:jc w:val="center"/>
                    <w:rPr>
                      <w:sz w:val="21"/>
                      <w:szCs w:val="21"/>
                    </w:rPr>
                  </w:pPr>
                  <w:r>
                    <w:rPr>
                      <w:rFonts w:hint="eastAsia"/>
                      <w:sz w:val="21"/>
                      <w:szCs w:val="21"/>
                    </w:rPr>
                    <w:t>加盖垃圾桶</w:t>
                  </w:r>
                </w:p>
              </w:tc>
              <w:tc>
                <w:tcPr>
                  <w:tcW w:w="960" w:type="dxa"/>
                  <w:vAlign w:val="center"/>
                </w:tcPr>
                <w:p w14:paraId="1D136909">
                  <w:pPr>
                    <w:tabs>
                      <w:tab w:val="left" w:pos="250"/>
                      <w:tab w:val="left" w:pos="3836"/>
                    </w:tabs>
                    <w:jc w:val="center"/>
                    <w:rPr>
                      <w:sz w:val="21"/>
                      <w:szCs w:val="21"/>
                    </w:rPr>
                  </w:pPr>
                  <w:r>
                    <w:rPr>
                      <w:rFonts w:hint="eastAsia"/>
                      <w:sz w:val="21"/>
                      <w:szCs w:val="21"/>
                    </w:rPr>
                    <w:t>若干</w:t>
                  </w:r>
                </w:p>
              </w:tc>
              <w:tc>
                <w:tcPr>
                  <w:tcW w:w="1306" w:type="dxa"/>
                  <w:vMerge w:val="restart"/>
                  <w:vAlign w:val="center"/>
                </w:tcPr>
                <w:p w14:paraId="5ADA1590">
                  <w:pPr>
                    <w:tabs>
                      <w:tab w:val="left" w:pos="3836"/>
                    </w:tabs>
                    <w:jc w:val="center"/>
                    <w:rPr>
                      <w:sz w:val="21"/>
                      <w:szCs w:val="21"/>
                    </w:rPr>
                  </w:pPr>
                  <w:r>
                    <w:rPr>
                      <w:rFonts w:hint="eastAsia"/>
                      <w:sz w:val="21"/>
                      <w:szCs w:val="21"/>
                    </w:rPr>
                    <w:t>0.5</w:t>
                  </w:r>
                </w:p>
              </w:tc>
            </w:tr>
            <w:tr w14:paraId="5A0D1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46BFA2AF">
                  <w:pPr>
                    <w:tabs>
                      <w:tab w:val="left" w:pos="3836"/>
                    </w:tabs>
                    <w:jc w:val="center"/>
                    <w:rPr>
                      <w:sz w:val="21"/>
                      <w:szCs w:val="21"/>
                    </w:rPr>
                  </w:pPr>
                </w:p>
              </w:tc>
              <w:tc>
                <w:tcPr>
                  <w:tcW w:w="1900" w:type="dxa"/>
                  <w:vAlign w:val="center"/>
                </w:tcPr>
                <w:p w14:paraId="7C00CF47">
                  <w:pPr>
                    <w:tabs>
                      <w:tab w:val="left" w:pos="3836"/>
                    </w:tabs>
                    <w:jc w:val="center"/>
                    <w:rPr>
                      <w:sz w:val="21"/>
                      <w:szCs w:val="21"/>
                    </w:rPr>
                  </w:pPr>
                  <w:r>
                    <w:rPr>
                      <w:rFonts w:hint="eastAsia"/>
                      <w:sz w:val="21"/>
                      <w:szCs w:val="21"/>
                    </w:rPr>
                    <w:t>一般固废</w:t>
                  </w:r>
                </w:p>
              </w:tc>
              <w:tc>
                <w:tcPr>
                  <w:tcW w:w="3094" w:type="dxa"/>
                  <w:vAlign w:val="center"/>
                </w:tcPr>
                <w:p w14:paraId="0073A790">
                  <w:pPr>
                    <w:tabs>
                      <w:tab w:val="left" w:pos="3836"/>
                    </w:tabs>
                    <w:jc w:val="center"/>
                    <w:rPr>
                      <w:sz w:val="21"/>
                      <w:szCs w:val="21"/>
                    </w:rPr>
                  </w:pPr>
                  <w:r>
                    <w:rPr>
                      <w:sz w:val="21"/>
                      <w:szCs w:val="18"/>
                    </w:rPr>
                    <w:t>收集箱</w:t>
                  </w:r>
                </w:p>
              </w:tc>
              <w:tc>
                <w:tcPr>
                  <w:tcW w:w="960" w:type="dxa"/>
                  <w:vAlign w:val="center"/>
                </w:tcPr>
                <w:p w14:paraId="0F8E386E">
                  <w:pPr>
                    <w:tabs>
                      <w:tab w:val="left" w:pos="3836"/>
                    </w:tabs>
                    <w:jc w:val="center"/>
                    <w:rPr>
                      <w:sz w:val="21"/>
                      <w:szCs w:val="21"/>
                    </w:rPr>
                  </w:pPr>
                  <w:r>
                    <w:rPr>
                      <w:rFonts w:hint="eastAsia"/>
                      <w:sz w:val="21"/>
                      <w:szCs w:val="21"/>
                    </w:rPr>
                    <w:t>若干</w:t>
                  </w:r>
                </w:p>
              </w:tc>
              <w:tc>
                <w:tcPr>
                  <w:tcW w:w="1306" w:type="dxa"/>
                  <w:vMerge w:val="continue"/>
                  <w:vAlign w:val="center"/>
                </w:tcPr>
                <w:p w14:paraId="3A2A46D8">
                  <w:pPr>
                    <w:tabs>
                      <w:tab w:val="left" w:pos="3836"/>
                    </w:tabs>
                    <w:jc w:val="center"/>
                    <w:rPr>
                      <w:sz w:val="21"/>
                      <w:szCs w:val="21"/>
                    </w:rPr>
                  </w:pPr>
                </w:p>
              </w:tc>
            </w:tr>
            <w:tr w14:paraId="61510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76AA45D6">
                  <w:pPr>
                    <w:tabs>
                      <w:tab w:val="left" w:pos="3836"/>
                    </w:tabs>
                    <w:jc w:val="center"/>
                    <w:rPr>
                      <w:sz w:val="21"/>
                      <w:szCs w:val="21"/>
                    </w:rPr>
                  </w:pPr>
                </w:p>
              </w:tc>
              <w:tc>
                <w:tcPr>
                  <w:tcW w:w="1900" w:type="dxa"/>
                  <w:vMerge w:val="restart"/>
                  <w:vAlign w:val="center"/>
                </w:tcPr>
                <w:p w14:paraId="087590B5">
                  <w:pPr>
                    <w:tabs>
                      <w:tab w:val="left" w:pos="3836"/>
                    </w:tabs>
                    <w:jc w:val="center"/>
                    <w:rPr>
                      <w:sz w:val="21"/>
                      <w:szCs w:val="21"/>
                    </w:rPr>
                  </w:pPr>
                  <w:r>
                    <w:rPr>
                      <w:rFonts w:hint="eastAsia"/>
                      <w:sz w:val="21"/>
                      <w:szCs w:val="21"/>
                    </w:rPr>
                    <w:t>危险废物</w:t>
                  </w:r>
                </w:p>
              </w:tc>
              <w:tc>
                <w:tcPr>
                  <w:tcW w:w="3094" w:type="dxa"/>
                  <w:vAlign w:val="center"/>
                </w:tcPr>
                <w:p w14:paraId="4C5BC509">
                  <w:pPr>
                    <w:tabs>
                      <w:tab w:val="left" w:pos="3836"/>
                    </w:tabs>
                    <w:jc w:val="center"/>
                    <w:rPr>
                      <w:sz w:val="21"/>
                      <w:szCs w:val="21"/>
                    </w:rPr>
                  </w:pPr>
                  <w:r>
                    <w:rPr>
                      <w:rFonts w:hint="eastAsia"/>
                      <w:sz w:val="21"/>
                      <w:szCs w:val="21"/>
                    </w:rPr>
                    <w:t>危废收集桶、收集袋</w:t>
                  </w:r>
                </w:p>
              </w:tc>
              <w:tc>
                <w:tcPr>
                  <w:tcW w:w="960" w:type="dxa"/>
                  <w:vAlign w:val="center"/>
                </w:tcPr>
                <w:p w14:paraId="59CFC6D1">
                  <w:pPr>
                    <w:tabs>
                      <w:tab w:val="left" w:pos="250"/>
                      <w:tab w:val="left" w:pos="3836"/>
                    </w:tabs>
                    <w:jc w:val="center"/>
                    <w:rPr>
                      <w:sz w:val="21"/>
                      <w:szCs w:val="21"/>
                    </w:rPr>
                  </w:pPr>
                  <w:r>
                    <w:rPr>
                      <w:rFonts w:hint="eastAsia"/>
                      <w:sz w:val="21"/>
                      <w:szCs w:val="21"/>
                    </w:rPr>
                    <w:t>若干</w:t>
                  </w:r>
                </w:p>
              </w:tc>
              <w:tc>
                <w:tcPr>
                  <w:tcW w:w="1306" w:type="dxa"/>
                  <w:vMerge w:val="continue"/>
                  <w:vAlign w:val="center"/>
                </w:tcPr>
                <w:p w14:paraId="17B511A6">
                  <w:pPr>
                    <w:tabs>
                      <w:tab w:val="left" w:pos="3836"/>
                    </w:tabs>
                    <w:jc w:val="center"/>
                    <w:rPr>
                      <w:sz w:val="21"/>
                      <w:szCs w:val="21"/>
                    </w:rPr>
                  </w:pPr>
                </w:p>
              </w:tc>
            </w:tr>
            <w:tr w14:paraId="4358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Merge w:val="continue"/>
                  <w:vAlign w:val="center"/>
                </w:tcPr>
                <w:p w14:paraId="2A846E03">
                  <w:pPr>
                    <w:tabs>
                      <w:tab w:val="left" w:pos="3836"/>
                    </w:tabs>
                    <w:jc w:val="center"/>
                    <w:rPr>
                      <w:sz w:val="21"/>
                      <w:szCs w:val="21"/>
                    </w:rPr>
                  </w:pPr>
                </w:p>
              </w:tc>
              <w:tc>
                <w:tcPr>
                  <w:tcW w:w="1900" w:type="dxa"/>
                  <w:vMerge w:val="continue"/>
                  <w:vAlign w:val="center"/>
                </w:tcPr>
                <w:p w14:paraId="71F6950C">
                  <w:pPr>
                    <w:tabs>
                      <w:tab w:val="left" w:pos="3836"/>
                    </w:tabs>
                    <w:jc w:val="center"/>
                    <w:rPr>
                      <w:sz w:val="21"/>
                      <w:szCs w:val="21"/>
                    </w:rPr>
                  </w:pPr>
                </w:p>
              </w:tc>
              <w:tc>
                <w:tcPr>
                  <w:tcW w:w="3094" w:type="dxa"/>
                  <w:vAlign w:val="center"/>
                </w:tcPr>
                <w:p w14:paraId="7AE2AAC1">
                  <w:pPr>
                    <w:tabs>
                      <w:tab w:val="left" w:pos="3836"/>
                    </w:tabs>
                    <w:jc w:val="center"/>
                    <w:rPr>
                      <w:sz w:val="21"/>
                      <w:szCs w:val="21"/>
                    </w:rPr>
                  </w:pPr>
                  <w:r>
                    <w:rPr>
                      <w:rFonts w:hint="eastAsia"/>
                      <w:sz w:val="21"/>
                      <w:szCs w:val="21"/>
                    </w:rPr>
                    <w:t>危废贮存点</w:t>
                  </w:r>
                </w:p>
              </w:tc>
              <w:tc>
                <w:tcPr>
                  <w:tcW w:w="960" w:type="dxa"/>
                  <w:vAlign w:val="center"/>
                </w:tcPr>
                <w:p w14:paraId="741EFF5E">
                  <w:pPr>
                    <w:tabs>
                      <w:tab w:val="left" w:pos="3836"/>
                    </w:tabs>
                    <w:jc w:val="center"/>
                    <w:rPr>
                      <w:sz w:val="21"/>
                      <w:szCs w:val="21"/>
                    </w:rPr>
                  </w:pPr>
                  <w:r>
                    <w:rPr>
                      <w:rFonts w:hint="eastAsia"/>
                      <w:sz w:val="21"/>
                      <w:szCs w:val="21"/>
                    </w:rPr>
                    <w:t>1间</w:t>
                  </w:r>
                </w:p>
              </w:tc>
              <w:tc>
                <w:tcPr>
                  <w:tcW w:w="1306" w:type="dxa"/>
                  <w:vAlign w:val="center"/>
                </w:tcPr>
                <w:p w14:paraId="466B87AA">
                  <w:pPr>
                    <w:tabs>
                      <w:tab w:val="left" w:pos="3836"/>
                    </w:tabs>
                    <w:jc w:val="center"/>
                    <w:rPr>
                      <w:sz w:val="21"/>
                      <w:szCs w:val="21"/>
                    </w:rPr>
                  </w:pPr>
                  <w:r>
                    <w:rPr>
                      <w:rFonts w:hint="eastAsia"/>
                      <w:sz w:val="21"/>
                      <w:szCs w:val="21"/>
                    </w:rPr>
                    <w:t>3</w:t>
                  </w:r>
                </w:p>
              </w:tc>
            </w:tr>
            <w:tr w14:paraId="25DB8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40" w:type="dxa"/>
                  <w:vAlign w:val="center"/>
                </w:tcPr>
                <w:p w14:paraId="40CB4539">
                  <w:pPr>
                    <w:tabs>
                      <w:tab w:val="left" w:pos="3836"/>
                    </w:tabs>
                    <w:jc w:val="center"/>
                    <w:rPr>
                      <w:sz w:val="21"/>
                      <w:szCs w:val="21"/>
                    </w:rPr>
                  </w:pPr>
                  <w:r>
                    <w:rPr>
                      <w:rFonts w:hint="eastAsia"/>
                      <w:sz w:val="21"/>
                      <w:szCs w:val="21"/>
                    </w:rPr>
                    <w:t>合计</w:t>
                  </w:r>
                </w:p>
              </w:tc>
              <w:tc>
                <w:tcPr>
                  <w:tcW w:w="1900" w:type="dxa"/>
                  <w:vAlign w:val="center"/>
                </w:tcPr>
                <w:p w14:paraId="7DFD12CE">
                  <w:pPr>
                    <w:tabs>
                      <w:tab w:val="left" w:pos="3836"/>
                    </w:tabs>
                    <w:jc w:val="center"/>
                    <w:rPr>
                      <w:sz w:val="21"/>
                      <w:szCs w:val="21"/>
                    </w:rPr>
                  </w:pPr>
                  <w:r>
                    <w:rPr>
                      <w:rFonts w:hint="eastAsia"/>
                      <w:sz w:val="21"/>
                      <w:szCs w:val="21"/>
                    </w:rPr>
                    <w:t>/</w:t>
                  </w:r>
                </w:p>
              </w:tc>
              <w:tc>
                <w:tcPr>
                  <w:tcW w:w="3094" w:type="dxa"/>
                  <w:vAlign w:val="center"/>
                </w:tcPr>
                <w:p w14:paraId="1AF4CF9D">
                  <w:pPr>
                    <w:tabs>
                      <w:tab w:val="left" w:pos="3836"/>
                    </w:tabs>
                    <w:jc w:val="center"/>
                    <w:rPr>
                      <w:sz w:val="21"/>
                      <w:szCs w:val="21"/>
                    </w:rPr>
                  </w:pPr>
                  <w:r>
                    <w:rPr>
                      <w:rFonts w:hint="eastAsia"/>
                      <w:sz w:val="21"/>
                      <w:szCs w:val="21"/>
                    </w:rPr>
                    <w:t>/</w:t>
                  </w:r>
                </w:p>
              </w:tc>
              <w:tc>
                <w:tcPr>
                  <w:tcW w:w="960" w:type="dxa"/>
                  <w:vAlign w:val="center"/>
                </w:tcPr>
                <w:p w14:paraId="3A3C4219">
                  <w:pPr>
                    <w:tabs>
                      <w:tab w:val="left" w:pos="3836"/>
                    </w:tabs>
                    <w:jc w:val="center"/>
                    <w:rPr>
                      <w:sz w:val="21"/>
                      <w:szCs w:val="21"/>
                    </w:rPr>
                  </w:pPr>
                  <w:r>
                    <w:rPr>
                      <w:rFonts w:hint="eastAsia"/>
                      <w:sz w:val="21"/>
                      <w:szCs w:val="21"/>
                    </w:rPr>
                    <w:t>/</w:t>
                  </w:r>
                </w:p>
              </w:tc>
              <w:tc>
                <w:tcPr>
                  <w:tcW w:w="1306" w:type="dxa"/>
                  <w:vAlign w:val="center"/>
                </w:tcPr>
                <w:p w14:paraId="0E7DFA1F">
                  <w:pPr>
                    <w:tabs>
                      <w:tab w:val="left" w:pos="3836"/>
                    </w:tabs>
                    <w:jc w:val="center"/>
                    <w:rPr>
                      <w:sz w:val="21"/>
                      <w:szCs w:val="21"/>
                    </w:rPr>
                  </w:pPr>
                  <w:r>
                    <w:rPr>
                      <w:rFonts w:hint="eastAsia"/>
                      <w:sz w:val="21"/>
                      <w:szCs w:val="21"/>
                    </w:rPr>
                    <w:t>67</w:t>
                  </w:r>
                </w:p>
              </w:tc>
            </w:tr>
          </w:tbl>
          <w:p w14:paraId="2FEB8576">
            <w:pPr>
              <w:tabs>
                <w:tab w:val="left" w:pos="3836"/>
              </w:tabs>
              <w:spacing w:line="360" w:lineRule="auto"/>
              <w:rPr>
                <w:rFonts w:eastAsiaTheme="minorEastAsia"/>
                <w:szCs w:val="21"/>
              </w:rPr>
            </w:pPr>
          </w:p>
          <w:p w14:paraId="39A23B1A">
            <w:pPr>
              <w:tabs>
                <w:tab w:val="left" w:pos="3836"/>
              </w:tabs>
              <w:spacing w:line="360" w:lineRule="auto"/>
              <w:rPr>
                <w:rFonts w:eastAsiaTheme="minorEastAsia"/>
                <w:szCs w:val="21"/>
              </w:rPr>
            </w:pPr>
          </w:p>
          <w:p w14:paraId="0EE16896">
            <w:pPr>
              <w:spacing w:line="360" w:lineRule="auto"/>
              <w:rPr>
                <w:rFonts w:eastAsiaTheme="minorEastAsia"/>
                <w:szCs w:val="21"/>
              </w:rPr>
            </w:pPr>
          </w:p>
          <w:p w14:paraId="4D16FD9B">
            <w:pPr>
              <w:spacing w:line="360" w:lineRule="auto"/>
            </w:pPr>
          </w:p>
          <w:p w14:paraId="476371B5">
            <w:pPr>
              <w:spacing w:line="360" w:lineRule="auto"/>
            </w:pPr>
          </w:p>
          <w:p w14:paraId="1CE35CA5">
            <w:pPr>
              <w:spacing w:line="360" w:lineRule="auto"/>
            </w:pPr>
          </w:p>
          <w:p w14:paraId="33B63B4F">
            <w:pPr>
              <w:spacing w:line="360" w:lineRule="auto"/>
            </w:pPr>
          </w:p>
          <w:p w14:paraId="63978888">
            <w:pPr>
              <w:spacing w:line="360" w:lineRule="auto"/>
            </w:pPr>
          </w:p>
          <w:p w14:paraId="61CC530F">
            <w:pPr>
              <w:spacing w:line="360" w:lineRule="auto"/>
            </w:pPr>
          </w:p>
          <w:p w14:paraId="70323055">
            <w:pPr>
              <w:spacing w:line="360" w:lineRule="auto"/>
            </w:pPr>
          </w:p>
          <w:p w14:paraId="1282EB58">
            <w:pPr>
              <w:spacing w:line="360" w:lineRule="auto"/>
            </w:pPr>
          </w:p>
          <w:p w14:paraId="009223CA">
            <w:pPr>
              <w:spacing w:line="360" w:lineRule="auto"/>
            </w:pPr>
          </w:p>
          <w:p w14:paraId="5CAB53A9">
            <w:pPr>
              <w:spacing w:line="360" w:lineRule="auto"/>
            </w:pPr>
          </w:p>
          <w:p w14:paraId="7298DD2C">
            <w:pPr>
              <w:spacing w:line="360" w:lineRule="auto"/>
            </w:pPr>
          </w:p>
          <w:p w14:paraId="1B429EC3">
            <w:pPr>
              <w:spacing w:line="360" w:lineRule="auto"/>
            </w:pPr>
          </w:p>
          <w:p w14:paraId="2A716F9F">
            <w:pPr>
              <w:spacing w:line="360" w:lineRule="auto"/>
            </w:pPr>
          </w:p>
          <w:p w14:paraId="36B5BBCB">
            <w:pPr>
              <w:spacing w:line="360" w:lineRule="auto"/>
            </w:pPr>
          </w:p>
          <w:p w14:paraId="77CF31A1">
            <w:pPr>
              <w:spacing w:line="360" w:lineRule="auto"/>
            </w:pPr>
          </w:p>
          <w:p w14:paraId="382C0F7C">
            <w:pPr>
              <w:spacing w:line="360" w:lineRule="auto"/>
            </w:pPr>
          </w:p>
          <w:p w14:paraId="4D853D29">
            <w:pPr>
              <w:spacing w:line="360" w:lineRule="auto"/>
            </w:pPr>
          </w:p>
          <w:p w14:paraId="1C04B607">
            <w:pPr>
              <w:spacing w:line="360" w:lineRule="auto"/>
            </w:pPr>
          </w:p>
        </w:tc>
      </w:tr>
    </w:tbl>
    <w:p w14:paraId="7C599F51">
      <w:pPr>
        <w:spacing w:line="360" w:lineRule="auto"/>
        <w:rPr>
          <w:b/>
          <w:bCs/>
          <w:sz w:val="28"/>
          <w:szCs w:val="28"/>
        </w:rPr>
        <w:sectPr>
          <w:pgSz w:w="11906" w:h="16838"/>
          <w:pgMar w:top="1701" w:right="1531" w:bottom="1701" w:left="1531" w:header="851" w:footer="992" w:gutter="0"/>
          <w:cols w:space="425" w:num="1"/>
          <w:docGrid w:type="lines" w:linePitch="312" w:charSpace="0"/>
        </w:sectPr>
      </w:pPr>
    </w:p>
    <w:p w14:paraId="71470D07">
      <w:pPr>
        <w:pStyle w:val="18"/>
        <w:jc w:val="center"/>
        <w:outlineLvl w:val="0"/>
        <w:rPr>
          <w:rFonts w:ascii="黑体" w:hAnsi="黑体" w:eastAsia="黑体" w:cs="Times New Roman"/>
          <w:snapToGrid w:val="0"/>
          <w:kern w:val="0"/>
          <w:sz w:val="30"/>
          <w:szCs w:val="30"/>
        </w:rPr>
      </w:pPr>
      <w:bookmarkStart w:id="7" w:name="_Toc28729"/>
      <w:r>
        <w:rPr>
          <w:rFonts w:hint="eastAsia" w:ascii="黑体" w:hAnsi="黑体" w:eastAsia="黑体" w:cs="Times New Roman"/>
          <w:snapToGrid w:val="0"/>
          <w:kern w:val="0"/>
          <w:sz w:val="30"/>
          <w:szCs w:val="30"/>
        </w:rPr>
        <w:t>五、环境保护措施监督检查清单</w:t>
      </w:r>
      <w:bookmarkEnd w:id="7"/>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390"/>
        <w:gridCol w:w="1814"/>
        <w:gridCol w:w="2682"/>
        <w:gridCol w:w="1840"/>
      </w:tblGrid>
      <w:tr w14:paraId="576D7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34" w:type="pct"/>
            <w:tcBorders>
              <w:tl2br w:val="single" w:color="auto" w:sz="4" w:space="0"/>
            </w:tcBorders>
            <w:vAlign w:val="center"/>
          </w:tcPr>
          <w:p w14:paraId="438B4007">
            <w:pPr>
              <w:adjustRightInd w:val="0"/>
              <w:snapToGrid w:val="0"/>
              <w:ind w:firstLine="480" w:firstLineChars="200"/>
            </w:pPr>
            <w:r>
              <w:t>内容</w:t>
            </w:r>
          </w:p>
          <w:p w14:paraId="6ED719F8">
            <w:pPr>
              <w:adjustRightInd w:val="0"/>
              <w:snapToGrid w:val="0"/>
              <w:jc w:val="left"/>
            </w:pPr>
            <w:r>
              <w:t>要素</w:t>
            </w:r>
          </w:p>
        </w:tc>
        <w:tc>
          <w:tcPr>
            <w:tcW w:w="767" w:type="pct"/>
            <w:vAlign w:val="center"/>
          </w:tcPr>
          <w:p w14:paraId="0DF09469">
            <w:pPr>
              <w:adjustRightInd w:val="0"/>
              <w:snapToGrid w:val="0"/>
              <w:jc w:val="center"/>
            </w:pPr>
            <w:r>
              <w:t>排放口（编号、名称）/污染源</w:t>
            </w:r>
          </w:p>
        </w:tc>
        <w:tc>
          <w:tcPr>
            <w:tcW w:w="1001" w:type="pct"/>
            <w:vAlign w:val="center"/>
          </w:tcPr>
          <w:p w14:paraId="57A1F828">
            <w:pPr>
              <w:adjustRightInd w:val="0"/>
              <w:snapToGrid w:val="0"/>
              <w:jc w:val="center"/>
            </w:pPr>
            <w:r>
              <w:t>污染物项目</w:t>
            </w:r>
          </w:p>
        </w:tc>
        <w:tc>
          <w:tcPr>
            <w:tcW w:w="1481" w:type="pct"/>
            <w:vAlign w:val="center"/>
          </w:tcPr>
          <w:p w14:paraId="31482B2C">
            <w:pPr>
              <w:adjustRightInd w:val="0"/>
              <w:snapToGrid w:val="0"/>
              <w:jc w:val="center"/>
            </w:pPr>
            <w:r>
              <w:t>环境保护措施</w:t>
            </w:r>
          </w:p>
        </w:tc>
        <w:tc>
          <w:tcPr>
            <w:tcW w:w="1015" w:type="pct"/>
            <w:vAlign w:val="center"/>
          </w:tcPr>
          <w:p w14:paraId="6895A0DC">
            <w:pPr>
              <w:adjustRightInd w:val="0"/>
              <w:snapToGrid w:val="0"/>
              <w:jc w:val="center"/>
            </w:pPr>
            <w:r>
              <w:t>执行标准</w:t>
            </w:r>
          </w:p>
        </w:tc>
      </w:tr>
      <w:tr w14:paraId="26380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34" w:type="pct"/>
            <w:vMerge w:val="restart"/>
            <w:vAlign w:val="center"/>
          </w:tcPr>
          <w:p w14:paraId="3258E765">
            <w:pPr>
              <w:widowControl/>
              <w:jc w:val="center"/>
            </w:pPr>
            <w:r>
              <w:t>大气环境</w:t>
            </w:r>
          </w:p>
        </w:tc>
        <w:tc>
          <w:tcPr>
            <w:tcW w:w="767" w:type="pct"/>
            <w:vAlign w:val="center"/>
          </w:tcPr>
          <w:p w14:paraId="49265C71">
            <w:pPr>
              <w:adjustRightInd w:val="0"/>
              <w:snapToGrid w:val="0"/>
              <w:jc w:val="center"/>
            </w:pPr>
            <w:r>
              <w:rPr>
                <w:rFonts w:hint="eastAsia"/>
              </w:rPr>
              <w:t>DA001</w:t>
            </w:r>
          </w:p>
        </w:tc>
        <w:tc>
          <w:tcPr>
            <w:tcW w:w="1001" w:type="pct"/>
            <w:vAlign w:val="center"/>
          </w:tcPr>
          <w:p w14:paraId="6488A169">
            <w:pPr>
              <w:adjustRightInd w:val="0"/>
              <w:snapToGrid w:val="0"/>
              <w:jc w:val="center"/>
              <w:rPr>
                <w:szCs w:val="21"/>
              </w:rPr>
            </w:pPr>
            <w:r>
              <w:rPr>
                <w:szCs w:val="21"/>
              </w:rPr>
              <w:t>非甲烷总烃</w:t>
            </w:r>
          </w:p>
        </w:tc>
        <w:tc>
          <w:tcPr>
            <w:tcW w:w="1481" w:type="pct"/>
            <w:vAlign w:val="center"/>
          </w:tcPr>
          <w:p w14:paraId="4B239266">
            <w:pPr>
              <w:adjustRightInd w:val="0"/>
              <w:snapToGrid w:val="0"/>
              <w:jc w:val="center"/>
              <w:rPr>
                <w:kern w:val="0"/>
                <w:lang w:bidi="ar"/>
              </w:rPr>
            </w:pPr>
            <w:r>
              <w:t>通风</w:t>
            </w:r>
            <w:r>
              <w:rPr>
                <w:rFonts w:hint="eastAsia"/>
              </w:rPr>
              <w:t>橱/</w:t>
            </w:r>
            <w:r>
              <w:rPr>
                <w:rFonts w:hint="eastAsia"/>
                <w:lang w:eastAsia="zh-CN"/>
              </w:rPr>
              <w:t>万向罩</w:t>
            </w:r>
            <w:r>
              <w:rPr>
                <w:rFonts w:hint="eastAsia"/>
              </w:rPr>
              <w:t>+两级</w:t>
            </w:r>
            <w:r>
              <w:rPr>
                <w:rFonts w:hint="eastAsia"/>
                <w:kern w:val="0"/>
                <w:lang w:bidi="ar"/>
              </w:rPr>
              <w:t>活性炭吸附装置+35m高排气筒排放</w:t>
            </w:r>
          </w:p>
        </w:tc>
        <w:tc>
          <w:tcPr>
            <w:tcW w:w="1015" w:type="pct"/>
            <w:vMerge w:val="restart"/>
            <w:vAlign w:val="center"/>
          </w:tcPr>
          <w:p w14:paraId="4B72BEE6">
            <w:pPr>
              <w:adjustRightInd w:val="0"/>
              <w:snapToGrid w:val="0"/>
              <w:jc w:val="center"/>
            </w:pPr>
            <w:r>
              <w:rPr>
                <w:rFonts w:hint="eastAsia"/>
              </w:rPr>
              <w:t>《大气污染物综合排放标准》（GB 16297-1996）、《挥发性有机物无组织排放控制标准》（GB 37822-2019）</w:t>
            </w:r>
          </w:p>
        </w:tc>
      </w:tr>
      <w:tr w14:paraId="6FFE0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34" w:type="pct"/>
            <w:vMerge w:val="continue"/>
            <w:vAlign w:val="center"/>
          </w:tcPr>
          <w:p w14:paraId="07CA522D">
            <w:pPr>
              <w:widowControl/>
              <w:jc w:val="center"/>
            </w:pPr>
          </w:p>
        </w:tc>
        <w:tc>
          <w:tcPr>
            <w:tcW w:w="767" w:type="pct"/>
            <w:vAlign w:val="center"/>
          </w:tcPr>
          <w:p w14:paraId="0BD7834E">
            <w:pPr>
              <w:adjustRightInd w:val="0"/>
              <w:snapToGrid w:val="0"/>
              <w:jc w:val="center"/>
            </w:pPr>
            <w:r>
              <w:rPr>
                <w:rFonts w:hint="eastAsia"/>
              </w:rPr>
              <w:t>DA002</w:t>
            </w:r>
          </w:p>
        </w:tc>
        <w:tc>
          <w:tcPr>
            <w:tcW w:w="1001" w:type="pct"/>
            <w:vAlign w:val="center"/>
          </w:tcPr>
          <w:p w14:paraId="6DFC5F94">
            <w:pPr>
              <w:adjustRightInd w:val="0"/>
              <w:snapToGrid w:val="0"/>
              <w:jc w:val="center"/>
              <w:rPr>
                <w:szCs w:val="21"/>
              </w:rPr>
            </w:pPr>
            <w:r>
              <w:rPr>
                <w:rFonts w:hint="eastAsia"/>
                <w:szCs w:val="21"/>
              </w:rPr>
              <w:t>氯化氢、硫酸雾、氮氧化物</w:t>
            </w:r>
          </w:p>
        </w:tc>
        <w:tc>
          <w:tcPr>
            <w:tcW w:w="1481" w:type="pct"/>
            <w:vAlign w:val="center"/>
          </w:tcPr>
          <w:p w14:paraId="4F147D1F">
            <w:pPr>
              <w:adjustRightInd w:val="0"/>
              <w:snapToGrid w:val="0"/>
              <w:jc w:val="center"/>
              <w:rPr>
                <w:kern w:val="0"/>
                <w:lang w:bidi="ar"/>
              </w:rPr>
            </w:pPr>
            <w:r>
              <w:t>通风</w:t>
            </w:r>
            <w:r>
              <w:rPr>
                <w:rFonts w:hint="eastAsia"/>
              </w:rPr>
              <w:t>橱/</w:t>
            </w:r>
            <w:r>
              <w:rPr>
                <w:rFonts w:hint="eastAsia"/>
                <w:lang w:eastAsia="zh-CN"/>
              </w:rPr>
              <w:t>万向罩</w:t>
            </w:r>
            <w:r>
              <w:rPr>
                <w:rFonts w:hint="eastAsia"/>
              </w:rPr>
              <w:t>/吸风罩+</w:t>
            </w:r>
            <w:r>
              <w:rPr>
                <w:rFonts w:hint="eastAsia"/>
                <w:kern w:val="0"/>
                <w:lang w:bidi="ar"/>
              </w:rPr>
              <w:t>喷淋塔装置+35m高排气筒排放</w:t>
            </w:r>
          </w:p>
        </w:tc>
        <w:tc>
          <w:tcPr>
            <w:tcW w:w="1015" w:type="pct"/>
            <w:vMerge w:val="continue"/>
            <w:vAlign w:val="center"/>
          </w:tcPr>
          <w:p w14:paraId="07643AAC">
            <w:pPr>
              <w:adjustRightInd w:val="0"/>
              <w:snapToGrid w:val="0"/>
              <w:jc w:val="center"/>
            </w:pPr>
          </w:p>
        </w:tc>
      </w:tr>
      <w:tr w14:paraId="58ACF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34" w:type="pct"/>
            <w:vMerge w:val="continue"/>
            <w:vAlign w:val="center"/>
          </w:tcPr>
          <w:p w14:paraId="0D5861F1">
            <w:pPr>
              <w:widowControl/>
              <w:jc w:val="center"/>
            </w:pPr>
          </w:p>
        </w:tc>
        <w:tc>
          <w:tcPr>
            <w:tcW w:w="767" w:type="pct"/>
            <w:vAlign w:val="center"/>
          </w:tcPr>
          <w:p w14:paraId="61036157">
            <w:pPr>
              <w:adjustRightInd w:val="0"/>
              <w:snapToGrid w:val="0"/>
              <w:jc w:val="center"/>
            </w:pPr>
            <w:r>
              <w:rPr>
                <w:rFonts w:hint="eastAsia"/>
              </w:rPr>
              <w:t>实验室无组织废气</w:t>
            </w:r>
          </w:p>
        </w:tc>
        <w:tc>
          <w:tcPr>
            <w:tcW w:w="1001" w:type="pct"/>
            <w:vAlign w:val="center"/>
          </w:tcPr>
          <w:p w14:paraId="60872F46">
            <w:pPr>
              <w:adjustRightInd w:val="0"/>
              <w:snapToGrid w:val="0"/>
              <w:jc w:val="center"/>
              <w:rPr>
                <w:szCs w:val="21"/>
              </w:rPr>
            </w:pPr>
            <w:r>
              <w:rPr>
                <w:szCs w:val="21"/>
              </w:rPr>
              <w:t>非甲烷总烃</w:t>
            </w:r>
            <w:r>
              <w:rPr>
                <w:rFonts w:hint="eastAsia"/>
                <w:szCs w:val="21"/>
              </w:rPr>
              <w:t>、氯化氢、硫酸雾、氮氧化物、颗粒物</w:t>
            </w:r>
          </w:p>
        </w:tc>
        <w:tc>
          <w:tcPr>
            <w:tcW w:w="1481" w:type="pct"/>
            <w:vAlign w:val="center"/>
          </w:tcPr>
          <w:p w14:paraId="0FB4D180">
            <w:pPr>
              <w:adjustRightInd w:val="0"/>
              <w:snapToGrid w:val="0"/>
              <w:jc w:val="center"/>
            </w:pPr>
            <w:r>
              <w:rPr>
                <w:rFonts w:hint="eastAsia"/>
              </w:rPr>
              <w:t>通风换气</w:t>
            </w:r>
          </w:p>
        </w:tc>
        <w:tc>
          <w:tcPr>
            <w:tcW w:w="1015" w:type="pct"/>
            <w:vMerge w:val="continue"/>
            <w:vAlign w:val="center"/>
          </w:tcPr>
          <w:p w14:paraId="3A052747">
            <w:pPr>
              <w:adjustRightInd w:val="0"/>
              <w:snapToGrid w:val="0"/>
              <w:jc w:val="center"/>
            </w:pPr>
          </w:p>
        </w:tc>
      </w:tr>
      <w:tr w14:paraId="6787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5" w:hRule="atLeast"/>
          <w:jc w:val="center"/>
        </w:trPr>
        <w:tc>
          <w:tcPr>
            <w:tcW w:w="734" w:type="pct"/>
            <w:vAlign w:val="center"/>
          </w:tcPr>
          <w:p w14:paraId="24347817">
            <w:pPr>
              <w:adjustRightInd w:val="0"/>
              <w:snapToGrid w:val="0"/>
              <w:jc w:val="center"/>
            </w:pPr>
            <w:r>
              <w:t>地表水环境</w:t>
            </w:r>
          </w:p>
        </w:tc>
        <w:tc>
          <w:tcPr>
            <w:tcW w:w="767" w:type="pct"/>
            <w:vAlign w:val="center"/>
          </w:tcPr>
          <w:p w14:paraId="403B0E5D">
            <w:pPr>
              <w:adjustRightInd w:val="0"/>
              <w:snapToGrid w:val="0"/>
              <w:jc w:val="center"/>
            </w:pPr>
            <w:r>
              <w:t>园区</w:t>
            </w:r>
            <w:r>
              <w:rPr>
                <w:rFonts w:hint="eastAsia"/>
              </w:rPr>
              <w:t>废水总排口</w:t>
            </w:r>
            <w:r>
              <w:t>DW0</w:t>
            </w:r>
            <w:r>
              <w:rPr>
                <w:rFonts w:hint="eastAsia"/>
              </w:rPr>
              <w:t>0</w:t>
            </w:r>
            <w:r>
              <w:t>1</w:t>
            </w:r>
          </w:p>
        </w:tc>
        <w:tc>
          <w:tcPr>
            <w:tcW w:w="1001" w:type="pct"/>
            <w:vAlign w:val="center"/>
          </w:tcPr>
          <w:p w14:paraId="61A3AF92">
            <w:pPr>
              <w:adjustRightInd w:val="0"/>
              <w:snapToGrid w:val="0"/>
              <w:jc w:val="center"/>
              <w:rPr>
                <w:color w:val="auto"/>
              </w:rPr>
            </w:pPr>
            <w:r>
              <w:rPr>
                <w:color w:val="auto"/>
              </w:rPr>
              <w:t>pH、COD、BOD</w:t>
            </w:r>
            <w:r>
              <w:rPr>
                <w:color w:val="auto"/>
                <w:vertAlign w:val="subscript"/>
              </w:rPr>
              <w:t>5</w:t>
            </w:r>
            <w:r>
              <w:rPr>
                <w:color w:val="auto"/>
              </w:rPr>
              <w:t>、氨氮、SS</w:t>
            </w:r>
            <w:r>
              <w:rPr>
                <w:rFonts w:hint="eastAsia"/>
                <w:color w:val="auto"/>
              </w:rPr>
              <w:t>、TN、TP、阴离子表面活性剂、石油类、溶解性总固体</w:t>
            </w:r>
          </w:p>
        </w:tc>
        <w:tc>
          <w:tcPr>
            <w:tcW w:w="1481" w:type="pct"/>
            <w:vAlign w:val="center"/>
          </w:tcPr>
          <w:p w14:paraId="339AC087">
            <w:pPr>
              <w:adjustRightInd w:val="0"/>
              <w:snapToGrid w:val="0"/>
              <w:jc w:val="center"/>
              <w:rPr>
                <w:color w:val="auto"/>
              </w:rPr>
            </w:pPr>
            <w:r>
              <w:rPr>
                <w:rFonts w:hint="eastAsia"/>
                <w:color w:val="auto"/>
              </w:rPr>
              <w:t>实验器皿清洗废水（不含一次清洗废水）、剩余一般水样和喷淋塔排水经自建废水处理设备（酸碱中和，1t/d）处理后排入园区化粪池；生活污水和其他废水（地面清洁废水、职工工作服清洗废水、超纯水制备排放浓水）排入园区化粪池处理，最终经市政污水管网排入西安净水处理有限责任公司第六再生水厂。</w:t>
            </w:r>
          </w:p>
        </w:tc>
        <w:tc>
          <w:tcPr>
            <w:tcW w:w="1015" w:type="pct"/>
            <w:vAlign w:val="center"/>
          </w:tcPr>
          <w:p w14:paraId="69E9EBC4">
            <w:pPr>
              <w:adjustRightInd w:val="0"/>
              <w:snapToGrid w:val="0"/>
              <w:jc w:val="center"/>
            </w:pPr>
            <w:r>
              <w:rPr>
                <w:kern w:val="0"/>
              </w:rPr>
              <w:t>《污水综合排放标准》（GB</w:t>
            </w:r>
            <w:r>
              <w:rPr>
                <w:rFonts w:hint="eastAsia"/>
                <w:kern w:val="0"/>
              </w:rPr>
              <w:t xml:space="preserve"> </w:t>
            </w:r>
            <w:r>
              <w:rPr>
                <w:kern w:val="0"/>
              </w:rPr>
              <w:t>8978-1996）三级标准及《污水排入城镇下水道水质标准》（GB/T 31962-2015）</w:t>
            </w:r>
            <w:r>
              <w:rPr>
                <w:rFonts w:hint="eastAsia"/>
                <w:kern w:val="0"/>
              </w:rPr>
              <w:t>A</w:t>
            </w:r>
            <w:r>
              <w:rPr>
                <w:kern w:val="0"/>
              </w:rPr>
              <w:t>级标准</w:t>
            </w:r>
          </w:p>
        </w:tc>
      </w:tr>
      <w:tr w14:paraId="1D8C2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34" w:type="pct"/>
            <w:vAlign w:val="center"/>
          </w:tcPr>
          <w:p w14:paraId="212E83CB">
            <w:pPr>
              <w:adjustRightInd w:val="0"/>
              <w:snapToGrid w:val="0"/>
              <w:jc w:val="center"/>
            </w:pPr>
            <w:r>
              <w:t>声环境</w:t>
            </w:r>
          </w:p>
        </w:tc>
        <w:tc>
          <w:tcPr>
            <w:tcW w:w="767" w:type="pct"/>
            <w:vAlign w:val="center"/>
          </w:tcPr>
          <w:p w14:paraId="77181498">
            <w:pPr>
              <w:adjustRightInd w:val="0"/>
              <w:snapToGrid w:val="0"/>
              <w:jc w:val="center"/>
            </w:pPr>
            <w:r>
              <w:rPr>
                <w:rFonts w:hint="eastAsia"/>
              </w:rPr>
              <w:t>设备噪声</w:t>
            </w:r>
          </w:p>
        </w:tc>
        <w:tc>
          <w:tcPr>
            <w:tcW w:w="1001" w:type="pct"/>
            <w:vAlign w:val="center"/>
          </w:tcPr>
          <w:p w14:paraId="30C14355">
            <w:pPr>
              <w:adjustRightInd w:val="0"/>
              <w:snapToGrid w:val="0"/>
              <w:jc w:val="center"/>
            </w:pPr>
            <w:r>
              <w:t>Leq（A）</w:t>
            </w:r>
          </w:p>
        </w:tc>
        <w:tc>
          <w:tcPr>
            <w:tcW w:w="1481" w:type="pct"/>
            <w:vAlign w:val="center"/>
          </w:tcPr>
          <w:p w14:paraId="6B5E9954">
            <w:pPr>
              <w:adjustRightInd w:val="0"/>
              <w:snapToGrid w:val="0"/>
              <w:jc w:val="center"/>
            </w:pPr>
            <w:r>
              <w:t>选用低噪设备、厂房隔声、基础减振</w:t>
            </w:r>
            <w:r>
              <w:rPr>
                <w:rFonts w:hint="eastAsia"/>
              </w:rPr>
              <w:t>、</w:t>
            </w:r>
            <w:r>
              <w:t>加强维护</w:t>
            </w:r>
          </w:p>
        </w:tc>
        <w:tc>
          <w:tcPr>
            <w:tcW w:w="1015" w:type="pct"/>
            <w:vAlign w:val="center"/>
          </w:tcPr>
          <w:p w14:paraId="6AD09210">
            <w:pPr>
              <w:adjustRightInd w:val="0"/>
              <w:snapToGrid w:val="0"/>
              <w:jc w:val="center"/>
            </w:pPr>
            <w:r>
              <w:rPr>
                <w:rFonts w:hint="eastAsia"/>
              </w:rPr>
              <w:t>东、西、北厂界执行</w:t>
            </w:r>
            <w:r>
              <w:t>《工业企业厂界环境噪声排放标准》（GB</w:t>
            </w:r>
            <w:r>
              <w:rPr>
                <w:rFonts w:hint="eastAsia"/>
              </w:rPr>
              <w:t xml:space="preserve"> </w:t>
            </w:r>
            <w:r>
              <w:t>12348-2008）</w:t>
            </w:r>
            <w:r>
              <w:rPr>
                <w:rFonts w:hint="eastAsia"/>
              </w:rPr>
              <w:t>中的</w:t>
            </w:r>
            <w:r>
              <w:t>2类标准</w:t>
            </w:r>
            <w:r>
              <w:rPr>
                <w:rFonts w:hint="eastAsia"/>
              </w:rPr>
              <w:t>，南厂界执行</w:t>
            </w:r>
            <w:r>
              <w:t>《工业企业厂界环境噪声排放标准》（GB</w:t>
            </w:r>
            <w:r>
              <w:rPr>
                <w:rFonts w:hint="eastAsia"/>
              </w:rPr>
              <w:t xml:space="preserve"> </w:t>
            </w:r>
            <w:r>
              <w:t>12348-2008）</w:t>
            </w:r>
            <w:r>
              <w:rPr>
                <w:rFonts w:hint="eastAsia"/>
              </w:rPr>
              <w:t>中的4类标准</w:t>
            </w:r>
          </w:p>
        </w:tc>
      </w:tr>
      <w:tr w14:paraId="71816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restart"/>
            <w:vAlign w:val="center"/>
          </w:tcPr>
          <w:p w14:paraId="0FA72285">
            <w:pPr>
              <w:adjustRightInd w:val="0"/>
              <w:snapToGrid w:val="0"/>
              <w:jc w:val="center"/>
            </w:pPr>
            <w:r>
              <w:t>固体废物</w:t>
            </w:r>
          </w:p>
        </w:tc>
        <w:tc>
          <w:tcPr>
            <w:tcW w:w="767" w:type="pct"/>
            <w:vAlign w:val="center"/>
          </w:tcPr>
          <w:p w14:paraId="734370A5">
            <w:pPr>
              <w:adjustRightInd w:val="0"/>
              <w:snapToGrid w:val="0"/>
              <w:jc w:val="center"/>
            </w:pPr>
            <w:r>
              <w:rPr>
                <w:rFonts w:hint="eastAsia"/>
              </w:rPr>
              <w:t>办公生活</w:t>
            </w:r>
          </w:p>
        </w:tc>
        <w:tc>
          <w:tcPr>
            <w:tcW w:w="1001" w:type="pct"/>
            <w:vAlign w:val="center"/>
          </w:tcPr>
          <w:p w14:paraId="28C6E5E5">
            <w:pPr>
              <w:adjustRightInd w:val="0"/>
              <w:snapToGrid w:val="0"/>
              <w:jc w:val="center"/>
            </w:pPr>
            <w:r>
              <w:t>生活垃圾</w:t>
            </w:r>
          </w:p>
        </w:tc>
        <w:tc>
          <w:tcPr>
            <w:tcW w:w="1481" w:type="pct"/>
            <w:vAlign w:val="center"/>
          </w:tcPr>
          <w:p w14:paraId="211F66B8">
            <w:pPr>
              <w:adjustRightInd w:val="0"/>
              <w:snapToGrid w:val="0"/>
              <w:jc w:val="center"/>
            </w:pPr>
            <w:r>
              <w:t>分类收集后，</w:t>
            </w:r>
            <w:r>
              <w:rPr>
                <w:rFonts w:hint="eastAsia"/>
              </w:rPr>
              <w:t>交</w:t>
            </w:r>
            <w:r>
              <w:t>由环卫部门统一清运</w:t>
            </w:r>
          </w:p>
        </w:tc>
        <w:tc>
          <w:tcPr>
            <w:tcW w:w="1015" w:type="pct"/>
            <w:vAlign w:val="center"/>
          </w:tcPr>
          <w:p w14:paraId="4E3D62C7">
            <w:pPr>
              <w:adjustRightInd w:val="0"/>
              <w:snapToGrid w:val="0"/>
              <w:jc w:val="center"/>
            </w:pPr>
            <w:r>
              <w:rPr>
                <w:rFonts w:hint="eastAsia"/>
              </w:rPr>
              <w:t>/</w:t>
            </w:r>
          </w:p>
        </w:tc>
      </w:tr>
      <w:tr w14:paraId="473FF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2C526DF0">
            <w:pPr>
              <w:adjustRightInd w:val="0"/>
              <w:snapToGrid w:val="0"/>
              <w:jc w:val="center"/>
            </w:pPr>
          </w:p>
        </w:tc>
        <w:tc>
          <w:tcPr>
            <w:tcW w:w="767" w:type="pct"/>
            <w:vAlign w:val="center"/>
          </w:tcPr>
          <w:p w14:paraId="7BB249A7">
            <w:pPr>
              <w:adjustRightInd w:val="0"/>
              <w:snapToGrid w:val="0"/>
              <w:jc w:val="center"/>
            </w:pPr>
            <w:r>
              <w:rPr>
                <w:rFonts w:hint="eastAsia"/>
              </w:rPr>
              <w:t>超纯水制备</w:t>
            </w:r>
          </w:p>
        </w:tc>
        <w:tc>
          <w:tcPr>
            <w:tcW w:w="1001" w:type="pct"/>
            <w:vAlign w:val="center"/>
          </w:tcPr>
          <w:p w14:paraId="123A7883">
            <w:pPr>
              <w:adjustRightInd w:val="0"/>
              <w:snapToGrid w:val="0"/>
              <w:jc w:val="center"/>
            </w:pPr>
            <w:r>
              <w:rPr>
                <w:rFonts w:hint="eastAsia"/>
              </w:rPr>
              <w:t>废滤芯</w:t>
            </w:r>
          </w:p>
        </w:tc>
        <w:tc>
          <w:tcPr>
            <w:tcW w:w="1481" w:type="pct"/>
            <w:vAlign w:val="center"/>
          </w:tcPr>
          <w:p w14:paraId="44F11096">
            <w:pPr>
              <w:adjustRightInd w:val="0"/>
              <w:snapToGrid w:val="0"/>
              <w:jc w:val="center"/>
            </w:pPr>
            <w:r>
              <w:rPr>
                <w:rFonts w:hint="eastAsia"/>
              </w:rPr>
              <w:t>厂家回收</w:t>
            </w:r>
          </w:p>
        </w:tc>
        <w:tc>
          <w:tcPr>
            <w:tcW w:w="1015" w:type="pct"/>
            <w:vMerge w:val="restart"/>
            <w:vAlign w:val="center"/>
          </w:tcPr>
          <w:p w14:paraId="550052CA">
            <w:pPr>
              <w:adjustRightInd w:val="0"/>
              <w:snapToGrid w:val="0"/>
              <w:jc w:val="center"/>
            </w:pPr>
            <w:r>
              <w:rPr>
                <w:rFonts w:hint="eastAsia"/>
              </w:rPr>
              <w:t>《一般工业固体废物贮存和填埋污染控制标准》（GB 18599-2020）的相关规定</w:t>
            </w:r>
          </w:p>
        </w:tc>
      </w:tr>
      <w:tr w14:paraId="222B3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5819DCEB">
            <w:pPr>
              <w:adjustRightInd w:val="0"/>
              <w:snapToGrid w:val="0"/>
              <w:jc w:val="center"/>
            </w:pPr>
          </w:p>
        </w:tc>
        <w:tc>
          <w:tcPr>
            <w:tcW w:w="767" w:type="pct"/>
            <w:vMerge w:val="restart"/>
            <w:vAlign w:val="center"/>
          </w:tcPr>
          <w:p w14:paraId="7BF96E91">
            <w:pPr>
              <w:adjustRightInd w:val="0"/>
              <w:snapToGrid w:val="0"/>
              <w:jc w:val="center"/>
            </w:pPr>
            <w:r>
              <w:rPr>
                <w:rFonts w:hint="eastAsia"/>
              </w:rPr>
              <w:t>实验检验</w:t>
            </w:r>
          </w:p>
        </w:tc>
        <w:tc>
          <w:tcPr>
            <w:tcW w:w="1001" w:type="pct"/>
            <w:vAlign w:val="center"/>
          </w:tcPr>
          <w:p w14:paraId="774CF131">
            <w:pPr>
              <w:adjustRightInd w:val="0"/>
              <w:snapToGrid w:val="0"/>
              <w:jc w:val="center"/>
            </w:pPr>
            <w:r>
              <w:rPr>
                <w:rFonts w:hint="eastAsia"/>
              </w:rPr>
              <w:t>废包装</w:t>
            </w:r>
          </w:p>
        </w:tc>
        <w:tc>
          <w:tcPr>
            <w:tcW w:w="1481" w:type="pct"/>
            <w:vAlign w:val="center"/>
          </w:tcPr>
          <w:p w14:paraId="68EFABD3">
            <w:pPr>
              <w:pStyle w:val="40"/>
              <w:jc w:val="center"/>
              <w:rPr>
                <w:rFonts w:cs="Times New Roman"/>
                <w:color w:val="auto"/>
                <w:sz w:val="21"/>
                <w:szCs w:val="21"/>
              </w:rPr>
            </w:pPr>
            <w:r>
              <w:rPr>
                <w:rFonts w:cs="Times New Roman"/>
                <w:color w:val="auto"/>
              </w:rPr>
              <w:t>收集后外售相关单位回收利用</w:t>
            </w:r>
          </w:p>
        </w:tc>
        <w:tc>
          <w:tcPr>
            <w:tcW w:w="1015" w:type="pct"/>
            <w:vMerge w:val="continue"/>
            <w:vAlign w:val="center"/>
          </w:tcPr>
          <w:p w14:paraId="7E64F3AE">
            <w:pPr>
              <w:adjustRightInd w:val="0"/>
              <w:snapToGrid w:val="0"/>
              <w:jc w:val="center"/>
            </w:pPr>
          </w:p>
        </w:tc>
      </w:tr>
      <w:tr w14:paraId="3DCC8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4C1E64A6">
            <w:pPr>
              <w:adjustRightInd w:val="0"/>
              <w:snapToGrid w:val="0"/>
              <w:jc w:val="center"/>
            </w:pPr>
          </w:p>
        </w:tc>
        <w:tc>
          <w:tcPr>
            <w:tcW w:w="767" w:type="pct"/>
            <w:vMerge w:val="continue"/>
            <w:vAlign w:val="center"/>
          </w:tcPr>
          <w:p w14:paraId="70568AEF">
            <w:pPr>
              <w:adjustRightInd w:val="0"/>
              <w:snapToGrid w:val="0"/>
              <w:jc w:val="center"/>
            </w:pPr>
          </w:p>
        </w:tc>
        <w:tc>
          <w:tcPr>
            <w:tcW w:w="1001" w:type="pct"/>
            <w:vAlign w:val="center"/>
          </w:tcPr>
          <w:p w14:paraId="7283C402">
            <w:pPr>
              <w:pStyle w:val="52"/>
              <w:autoSpaceDE w:val="0"/>
              <w:autoSpaceDN w:val="0"/>
              <w:rPr>
                <w:b w:val="0"/>
                <w:color w:val="auto"/>
              </w:rPr>
            </w:pPr>
            <w:r>
              <w:rPr>
                <w:rFonts w:hint="eastAsia"/>
                <w:b w:val="0"/>
                <w:color w:val="auto"/>
              </w:rPr>
              <w:t>剩余一般样品</w:t>
            </w:r>
          </w:p>
        </w:tc>
        <w:tc>
          <w:tcPr>
            <w:tcW w:w="1481" w:type="pct"/>
            <w:vAlign w:val="center"/>
          </w:tcPr>
          <w:p w14:paraId="2AED0C0A">
            <w:pPr>
              <w:pStyle w:val="40"/>
              <w:jc w:val="center"/>
              <w:rPr>
                <w:rFonts w:ascii="宋体" w:hAnsi="宋体"/>
                <w:color w:val="auto"/>
              </w:rPr>
            </w:pPr>
            <w:r>
              <w:rPr>
                <w:rFonts w:hint="eastAsia" w:ascii="宋体" w:hAnsi="宋体"/>
                <w:color w:val="auto"/>
              </w:rPr>
              <w:t>作为一般固废处置</w:t>
            </w:r>
          </w:p>
        </w:tc>
        <w:tc>
          <w:tcPr>
            <w:tcW w:w="1015" w:type="pct"/>
            <w:vMerge w:val="continue"/>
            <w:vAlign w:val="center"/>
          </w:tcPr>
          <w:p w14:paraId="07976971">
            <w:pPr>
              <w:adjustRightInd w:val="0"/>
              <w:snapToGrid w:val="0"/>
              <w:jc w:val="center"/>
            </w:pPr>
          </w:p>
        </w:tc>
      </w:tr>
      <w:tr w14:paraId="621F4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30EDEC16">
            <w:pPr>
              <w:adjustRightInd w:val="0"/>
              <w:snapToGrid w:val="0"/>
              <w:jc w:val="center"/>
            </w:pPr>
          </w:p>
        </w:tc>
        <w:tc>
          <w:tcPr>
            <w:tcW w:w="767" w:type="pct"/>
            <w:vMerge w:val="continue"/>
            <w:vAlign w:val="center"/>
          </w:tcPr>
          <w:p w14:paraId="01D52173">
            <w:pPr>
              <w:adjustRightInd w:val="0"/>
              <w:snapToGrid w:val="0"/>
              <w:jc w:val="center"/>
            </w:pPr>
          </w:p>
        </w:tc>
        <w:tc>
          <w:tcPr>
            <w:tcW w:w="1001" w:type="pct"/>
            <w:vAlign w:val="center"/>
          </w:tcPr>
          <w:p w14:paraId="75CCBAAC">
            <w:pPr>
              <w:pStyle w:val="52"/>
              <w:autoSpaceDE w:val="0"/>
              <w:autoSpaceDN w:val="0"/>
              <w:rPr>
                <w:b w:val="0"/>
                <w:color w:val="auto"/>
              </w:rPr>
            </w:pPr>
            <w:r>
              <w:rPr>
                <w:rFonts w:hint="eastAsia"/>
                <w:b w:val="0"/>
                <w:color w:val="auto"/>
              </w:rPr>
              <w:t>剩余超标样品</w:t>
            </w:r>
          </w:p>
        </w:tc>
        <w:tc>
          <w:tcPr>
            <w:tcW w:w="1481" w:type="pct"/>
            <w:vAlign w:val="center"/>
          </w:tcPr>
          <w:p w14:paraId="682417B8">
            <w:pPr>
              <w:pStyle w:val="40"/>
              <w:jc w:val="center"/>
              <w:rPr>
                <w:rFonts w:ascii="宋体" w:hAnsi="宋体"/>
                <w:color w:val="auto"/>
              </w:rPr>
            </w:pPr>
            <w:r>
              <w:rPr>
                <w:rFonts w:hint="eastAsia" w:ascii="宋体" w:hAnsi="宋体"/>
                <w:color w:val="auto"/>
              </w:rPr>
              <w:t>待出具检测报告后退回送检单位</w:t>
            </w:r>
          </w:p>
        </w:tc>
        <w:tc>
          <w:tcPr>
            <w:tcW w:w="1015" w:type="pct"/>
            <w:vMerge w:val="continue"/>
            <w:vAlign w:val="center"/>
          </w:tcPr>
          <w:p w14:paraId="0E763B32">
            <w:pPr>
              <w:adjustRightInd w:val="0"/>
              <w:snapToGrid w:val="0"/>
              <w:jc w:val="center"/>
            </w:pPr>
          </w:p>
        </w:tc>
      </w:tr>
      <w:tr w14:paraId="5724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384337FD">
            <w:pPr>
              <w:adjustRightInd w:val="0"/>
              <w:snapToGrid w:val="0"/>
              <w:jc w:val="center"/>
            </w:pPr>
          </w:p>
        </w:tc>
        <w:tc>
          <w:tcPr>
            <w:tcW w:w="767" w:type="pct"/>
            <w:vMerge w:val="continue"/>
            <w:vAlign w:val="center"/>
          </w:tcPr>
          <w:p w14:paraId="6B2DD844">
            <w:pPr>
              <w:adjustRightInd w:val="0"/>
              <w:snapToGrid w:val="0"/>
              <w:jc w:val="center"/>
            </w:pPr>
          </w:p>
        </w:tc>
        <w:tc>
          <w:tcPr>
            <w:tcW w:w="1001" w:type="pct"/>
            <w:vAlign w:val="center"/>
          </w:tcPr>
          <w:p w14:paraId="7F1C91AE">
            <w:pPr>
              <w:adjustRightInd w:val="0"/>
              <w:snapToGrid w:val="0"/>
              <w:jc w:val="center"/>
            </w:pPr>
            <w:r>
              <w:rPr>
                <w:rFonts w:hint="eastAsia"/>
              </w:rPr>
              <w:t>废培养基</w:t>
            </w:r>
          </w:p>
        </w:tc>
        <w:tc>
          <w:tcPr>
            <w:tcW w:w="1481" w:type="pct"/>
            <w:vAlign w:val="center"/>
          </w:tcPr>
          <w:p w14:paraId="716EC220">
            <w:pPr>
              <w:pStyle w:val="40"/>
              <w:jc w:val="center"/>
              <w:rPr>
                <w:rFonts w:ascii="宋体" w:hAnsi="宋体"/>
                <w:color w:val="auto"/>
              </w:rPr>
            </w:pPr>
            <w:r>
              <w:rPr>
                <w:rFonts w:hint="eastAsia" w:ascii="宋体" w:hAnsi="宋体"/>
                <w:color w:val="auto"/>
              </w:rPr>
              <w:t>作为一般固废处置</w:t>
            </w:r>
          </w:p>
        </w:tc>
        <w:tc>
          <w:tcPr>
            <w:tcW w:w="1015" w:type="pct"/>
            <w:vMerge w:val="continue"/>
            <w:vAlign w:val="center"/>
          </w:tcPr>
          <w:p w14:paraId="5509E1F5">
            <w:pPr>
              <w:adjustRightInd w:val="0"/>
              <w:snapToGrid w:val="0"/>
              <w:jc w:val="center"/>
            </w:pPr>
          </w:p>
        </w:tc>
      </w:tr>
      <w:tr w14:paraId="4EB60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3C554A59">
            <w:pPr>
              <w:adjustRightInd w:val="0"/>
              <w:snapToGrid w:val="0"/>
              <w:jc w:val="center"/>
            </w:pPr>
          </w:p>
        </w:tc>
        <w:tc>
          <w:tcPr>
            <w:tcW w:w="767" w:type="pct"/>
            <w:vMerge w:val="continue"/>
            <w:vAlign w:val="center"/>
          </w:tcPr>
          <w:p w14:paraId="7C6D23A9">
            <w:pPr>
              <w:adjustRightInd w:val="0"/>
              <w:snapToGrid w:val="0"/>
              <w:jc w:val="center"/>
            </w:pPr>
          </w:p>
        </w:tc>
        <w:tc>
          <w:tcPr>
            <w:tcW w:w="1001" w:type="pct"/>
            <w:vAlign w:val="center"/>
          </w:tcPr>
          <w:p w14:paraId="32BFEDCF">
            <w:pPr>
              <w:pStyle w:val="52"/>
              <w:autoSpaceDE w:val="0"/>
              <w:autoSpaceDN w:val="0"/>
              <w:rPr>
                <w:b w:val="0"/>
                <w:color w:val="auto"/>
              </w:rPr>
            </w:pPr>
            <w:r>
              <w:rPr>
                <w:rFonts w:hint="eastAsia"/>
                <w:b w:val="0"/>
                <w:color w:val="auto"/>
              </w:rPr>
              <w:t>实验废液</w:t>
            </w:r>
          </w:p>
        </w:tc>
        <w:tc>
          <w:tcPr>
            <w:tcW w:w="1481" w:type="pct"/>
            <w:vMerge w:val="restart"/>
            <w:vAlign w:val="center"/>
          </w:tcPr>
          <w:p w14:paraId="59740B86">
            <w:pPr>
              <w:adjustRightInd w:val="0"/>
              <w:snapToGrid w:val="0"/>
              <w:jc w:val="center"/>
            </w:pPr>
            <w:r>
              <w:rPr>
                <w:rFonts w:hint="eastAsia"/>
              </w:rPr>
              <w:t>分类收集置于危废贮存点，定期交由有资质单位处置</w:t>
            </w:r>
          </w:p>
        </w:tc>
        <w:tc>
          <w:tcPr>
            <w:tcW w:w="1015" w:type="pct"/>
            <w:vMerge w:val="restart"/>
            <w:vAlign w:val="center"/>
          </w:tcPr>
          <w:p w14:paraId="407B2207">
            <w:pPr>
              <w:adjustRightInd w:val="0"/>
              <w:snapToGrid w:val="0"/>
              <w:jc w:val="center"/>
            </w:pPr>
            <w:r>
              <w:rPr>
                <w:rFonts w:hint="eastAsia"/>
              </w:rPr>
              <w:t>《危险废物贮存污染控制标准》（GB 18597-2023）中相关规定</w:t>
            </w:r>
          </w:p>
        </w:tc>
      </w:tr>
      <w:tr w14:paraId="01BB2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69E64C71">
            <w:pPr>
              <w:adjustRightInd w:val="0"/>
              <w:snapToGrid w:val="0"/>
              <w:jc w:val="center"/>
            </w:pPr>
          </w:p>
        </w:tc>
        <w:tc>
          <w:tcPr>
            <w:tcW w:w="767" w:type="pct"/>
            <w:vMerge w:val="continue"/>
            <w:vAlign w:val="center"/>
          </w:tcPr>
          <w:p w14:paraId="551F8E9D">
            <w:pPr>
              <w:adjustRightInd w:val="0"/>
              <w:snapToGrid w:val="0"/>
              <w:jc w:val="center"/>
            </w:pPr>
          </w:p>
        </w:tc>
        <w:tc>
          <w:tcPr>
            <w:tcW w:w="1001" w:type="pct"/>
            <w:vAlign w:val="center"/>
          </w:tcPr>
          <w:p w14:paraId="5E123A38">
            <w:pPr>
              <w:pStyle w:val="52"/>
              <w:autoSpaceDE w:val="0"/>
              <w:autoSpaceDN w:val="0"/>
              <w:rPr>
                <w:b w:val="0"/>
                <w:color w:val="auto"/>
              </w:rPr>
            </w:pPr>
            <w:r>
              <w:rPr>
                <w:rFonts w:hint="eastAsia"/>
                <w:b w:val="0"/>
                <w:color w:val="auto"/>
              </w:rPr>
              <w:t>一次清洗废水</w:t>
            </w:r>
          </w:p>
        </w:tc>
        <w:tc>
          <w:tcPr>
            <w:tcW w:w="1481" w:type="pct"/>
            <w:vMerge w:val="continue"/>
            <w:vAlign w:val="center"/>
          </w:tcPr>
          <w:p w14:paraId="22A8C2A6">
            <w:pPr>
              <w:adjustRightInd w:val="0"/>
              <w:snapToGrid w:val="0"/>
              <w:jc w:val="center"/>
            </w:pPr>
          </w:p>
        </w:tc>
        <w:tc>
          <w:tcPr>
            <w:tcW w:w="1015" w:type="pct"/>
            <w:vMerge w:val="continue"/>
            <w:vAlign w:val="center"/>
          </w:tcPr>
          <w:p w14:paraId="58CCE3DA">
            <w:pPr>
              <w:adjustRightInd w:val="0"/>
              <w:snapToGrid w:val="0"/>
              <w:jc w:val="center"/>
            </w:pPr>
          </w:p>
        </w:tc>
      </w:tr>
      <w:tr w14:paraId="07004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0ECF3519">
            <w:pPr>
              <w:adjustRightInd w:val="0"/>
              <w:snapToGrid w:val="0"/>
              <w:jc w:val="center"/>
            </w:pPr>
          </w:p>
        </w:tc>
        <w:tc>
          <w:tcPr>
            <w:tcW w:w="767" w:type="pct"/>
            <w:vMerge w:val="continue"/>
            <w:vAlign w:val="center"/>
          </w:tcPr>
          <w:p w14:paraId="259E583B">
            <w:pPr>
              <w:adjustRightInd w:val="0"/>
              <w:snapToGrid w:val="0"/>
              <w:jc w:val="center"/>
            </w:pPr>
          </w:p>
        </w:tc>
        <w:tc>
          <w:tcPr>
            <w:tcW w:w="1001" w:type="pct"/>
            <w:vAlign w:val="center"/>
          </w:tcPr>
          <w:p w14:paraId="67822DB5">
            <w:pPr>
              <w:pStyle w:val="52"/>
              <w:autoSpaceDE w:val="0"/>
              <w:autoSpaceDN w:val="0"/>
              <w:rPr>
                <w:b w:val="0"/>
                <w:color w:val="auto"/>
              </w:rPr>
            </w:pPr>
            <w:r>
              <w:rPr>
                <w:b w:val="0"/>
                <w:color w:val="auto"/>
              </w:rPr>
              <w:t>废试剂</w:t>
            </w:r>
            <w:r>
              <w:rPr>
                <w:rFonts w:hint="eastAsia"/>
                <w:b w:val="0"/>
                <w:color w:val="auto"/>
              </w:rPr>
              <w:t>瓶</w:t>
            </w:r>
          </w:p>
        </w:tc>
        <w:tc>
          <w:tcPr>
            <w:tcW w:w="1481" w:type="pct"/>
            <w:vMerge w:val="continue"/>
            <w:vAlign w:val="center"/>
          </w:tcPr>
          <w:p w14:paraId="1FAB8201">
            <w:pPr>
              <w:adjustRightInd w:val="0"/>
              <w:snapToGrid w:val="0"/>
              <w:jc w:val="center"/>
            </w:pPr>
          </w:p>
        </w:tc>
        <w:tc>
          <w:tcPr>
            <w:tcW w:w="1015" w:type="pct"/>
            <w:vMerge w:val="continue"/>
            <w:vAlign w:val="center"/>
          </w:tcPr>
          <w:p w14:paraId="7576AF4B">
            <w:pPr>
              <w:adjustRightInd w:val="0"/>
              <w:snapToGrid w:val="0"/>
              <w:jc w:val="center"/>
            </w:pPr>
          </w:p>
        </w:tc>
      </w:tr>
      <w:tr w14:paraId="661DB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0C4F22F3">
            <w:pPr>
              <w:adjustRightInd w:val="0"/>
              <w:snapToGrid w:val="0"/>
              <w:jc w:val="center"/>
            </w:pPr>
          </w:p>
        </w:tc>
        <w:tc>
          <w:tcPr>
            <w:tcW w:w="767" w:type="pct"/>
            <w:vMerge w:val="continue"/>
            <w:vAlign w:val="center"/>
          </w:tcPr>
          <w:p w14:paraId="4FE35F39">
            <w:pPr>
              <w:adjustRightInd w:val="0"/>
              <w:snapToGrid w:val="0"/>
              <w:jc w:val="center"/>
            </w:pPr>
          </w:p>
        </w:tc>
        <w:tc>
          <w:tcPr>
            <w:tcW w:w="1001" w:type="pct"/>
            <w:vAlign w:val="center"/>
          </w:tcPr>
          <w:p w14:paraId="27934020">
            <w:pPr>
              <w:pStyle w:val="52"/>
              <w:autoSpaceDE w:val="0"/>
              <w:autoSpaceDN w:val="0"/>
              <w:rPr>
                <w:b w:val="0"/>
                <w:color w:val="auto"/>
              </w:rPr>
            </w:pPr>
            <w:r>
              <w:rPr>
                <w:rFonts w:hint="eastAsia"/>
                <w:b w:val="0"/>
                <w:color w:val="auto"/>
              </w:rPr>
              <w:t>过期试剂</w:t>
            </w:r>
          </w:p>
        </w:tc>
        <w:tc>
          <w:tcPr>
            <w:tcW w:w="1481" w:type="pct"/>
            <w:vMerge w:val="continue"/>
            <w:vAlign w:val="center"/>
          </w:tcPr>
          <w:p w14:paraId="65B69F7B">
            <w:pPr>
              <w:adjustRightInd w:val="0"/>
              <w:snapToGrid w:val="0"/>
              <w:jc w:val="center"/>
            </w:pPr>
          </w:p>
        </w:tc>
        <w:tc>
          <w:tcPr>
            <w:tcW w:w="1015" w:type="pct"/>
            <w:vMerge w:val="continue"/>
            <w:vAlign w:val="center"/>
          </w:tcPr>
          <w:p w14:paraId="2077EAED">
            <w:pPr>
              <w:adjustRightInd w:val="0"/>
              <w:snapToGrid w:val="0"/>
              <w:jc w:val="center"/>
            </w:pPr>
          </w:p>
        </w:tc>
      </w:tr>
      <w:tr w14:paraId="53CD8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60682223">
            <w:pPr>
              <w:adjustRightInd w:val="0"/>
              <w:snapToGrid w:val="0"/>
              <w:jc w:val="center"/>
            </w:pPr>
          </w:p>
        </w:tc>
        <w:tc>
          <w:tcPr>
            <w:tcW w:w="767" w:type="pct"/>
            <w:vMerge w:val="restart"/>
            <w:vAlign w:val="center"/>
          </w:tcPr>
          <w:p w14:paraId="1AD1EAAD">
            <w:pPr>
              <w:adjustRightInd w:val="0"/>
              <w:snapToGrid w:val="0"/>
              <w:jc w:val="center"/>
            </w:pPr>
            <w:r>
              <w:rPr>
                <w:rFonts w:hint="eastAsia"/>
              </w:rPr>
              <w:t>废气处理</w:t>
            </w:r>
          </w:p>
        </w:tc>
        <w:tc>
          <w:tcPr>
            <w:tcW w:w="1001" w:type="pct"/>
            <w:vAlign w:val="center"/>
          </w:tcPr>
          <w:p w14:paraId="028F0DD7">
            <w:pPr>
              <w:pStyle w:val="52"/>
              <w:autoSpaceDE w:val="0"/>
              <w:autoSpaceDN w:val="0"/>
              <w:rPr>
                <w:b w:val="0"/>
                <w:color w:val="auto"/>
              </w:rPr>
            </w:pPr>
            <w:r>
              <w:rPr>
                <w:rFonts w:hint="eastAsia"/>
                <w:b w:val="0"/>
                <w:color w:val="auto"/>
              </w:rPr>
              <w:t>废紫外灯管</w:t>
            </w:r>
          </w:p>
        </w:tc>
        <w:tc>
          <w:tcPr>
            <w:tcW w:w="1481" w:type="pct"/>
            <w:vMerge w:val="continue"/>
            <w:vAlign w:val="center"/>
          </w:tcPr>
          <w:p w14:paraId="1EB6EE1E">
            <w:pPr>
              <w:adjustRightInd w:val="0"/>
              <w:snapToGrid w:val="0"/>
              <w:jc w:val="center"/>
            </w:pPr>
          </w:p>
        </w:tc>
        <w:tc>
          <w:tcPr>
            <w:tcW w:w="1015" w:type="pct"/>
            <w:vMerge w:val="continue"/>
            <w:vAlign w:val="center"/>
          </w:tcPr>
          <w:p w14:paraId="69743211">
            <w:pPr>
              <w:adjustRightInd w:val="0"/>
              <w:snapToGrid w:val="0"/>
              <w:jc w:val="center"/>
            </w:pPr>
          </w:p>
        </w:tc>
      </w:tr>
      <w:tr w14:paraId="7F47C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4" w:type="pct"/>
            <w:vMerge w:val="continue"/>
            <w:vAlign w:val="center"/>
          </w:tcPr>
          <w:p w14:paraId="291247B4">
            <w:pPr>
              <w:adjustRightInd w:val="0"/>
              <w:snapToGrid w:val="0"/>
              <w:jc w:val="center"/>
            </w:pPr>
          </w:p>
        </w:tc>
        <w:tc>
          <w:tcPr>
            <w:tcW w:w="767" w:type="pct"/>
            <w:vMerge w:val="continue"/>
            <w:vAlign w:val="center"/>
          </w:tcPr>
          <w:p w14:paraId="7044F52B">
            <w:pPr>
              <w:adjustRightInd w:val="0"/>
              <w:snapToGrid w:val="0"/>
              <w:jc w:val="center"/>
              <w:rPr>
                <w:color w:val="auto"/>
              </w:rPr>
            </w:pPr>
          </w:p>
        </w:tc>
        <w:tc>
          <w:tcPr>
            <w:tcW w:w="1001" w:type="pct"/>
            <w:vAlign w:val="center"/>
          </w:tcPr>
          <w:p w14:paraId="0E102BCB">
            <w:pPr>
              <w:pStyle w:val="52"/>
              <w:autoSpaceDE w:val="0"/>
              <w:autoSpaceDN w:val="0"/>
              <w:rPr>
                <w:b w:val="0"/>
                <w:color w:val="auto"/>
              </w:rPr>
            </w:pPr>
            <w:r>
              <w:rPr>
                <w:rFonts w:hint="eastAsia"/>
                <w:b w:val="0"/>
                <w:color w:val="auto"/>
              </w:rPr>
              <w:t>废活性炭</w:t>
            </w:r>
          </w:p>
        </w:tc>
        <w:tc>
          <w:tcPr>
            <w:tcW w:w="1481" w:type="pct"/>
            <w:vMerge w:val="continue"/>
            <w:vAlign w:val="center"/>
          </w:tcPr>
          <w:p w14:paraId="2AD9B079">
            <w:pPr>
              <w:adjustRightInd w:val="0"/>
              <w:snapToGrid w:val="0"/>
              <w:jc w:val="center"/>
              <w:rPr>
                <w:color w:val="auto"/>
              </w:rPr>
            </w:pPr>
          </w:p>
        </w:tc>
        <w:tc>
          <w:tcPr>
            <w:tcW w:w="1015" w:type="pct"/>
            <w:vMerge w:val="continue"/>
            <w:vAlign w:val="center"/>
          </w:tcPr>
          <w:p w14:paraId="3114554A">
            <w:pPr>
              <w:adjustRightInd w:val="0"/>
              <w:snapToGrid w:val="0"/>
              <w:jc w:val="center"/>
              <w:rPr>
                <w:color w:val="auto"/>
              </w:rPr>
            </w:pPr>
          </w:p>
        </w:tc>
      </w:tr>
      <w:tr w14:paraId="4893F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734" w:type="pct"/>
            <w:vAlign w:val="center"/>
          </w:tcPr>
          <w:p w14:paraId="38877F90">
            <w:pPr>
              <w:adjustRightInd w:val="0"/>
              <w:snapToGrid w:val="0"/>
              <w:jc w:val="center"/>
            </w:pPr>
            <w:r>
              <w:t>土壤及地下水污染防治措施</w:t>
            </w:r>
          </w:p>
        </w:tc>
        <w:tc>
          <w:tcPr>
            <w:tcW w:w="4265" w:type="pct"/>
            <w:gridSpan w:val="4"/>
            <w:vAlign w:val="center"/>
          </w:tcPr>
          <w:p w14:paraId="1C4A7555">
            <w:pPr>
              <w:tabs>
                <w:tab w:val="left" w:pos="3836"/>
              </w:tabs>
              <w:ind w:firstLine="480" w:firstLineChars="200"/>
              <w:rPr>
                <w:color w:val="auto"/>
              </w:rPr>
            </w:pPr>
            <w:r>
              <w:rPr>
                <w:rFonts w:hint="eastAsia"/>
                <w:color w:val="auto"/>
              </w:rPr>
              <w:t>本项目实验室主要位于4楼且</w:t>
            </w:r>
            <w:r>
              <w:rPr>
                <w:color w:val="auto"/>
              </w:rPr>
              <w:t>项目污染源</w:t>
            </w:r>
            <w:r>
              <w:rPr>
                <w:rFonts w:hint="eastAsia"/>
                <w:color w:val="auto"/>
              </w:rPr>
              <w:t>（</w:t>
            </w:r>
            <w:r>
              <w:rPr>
                <w:color w:val="auto"/>
              </w:rPr>
              <w:t>实验室各类有毒有害试剂及各种危险废物</w:t>
            </w:r>
            <w:r>
              <w:rPr>
                <w:rFonts w:hint="eastAsia"/>
                <w:color w:val="auto"/>
              </w:rPr>
              <w:t>）</w:t>
            </w:r>
            <w:r>
              <w:rPr>
                <w:color w:val="auto"/>
              </w:rPr>
              <w:t>均贮存于容器中，</w:t>
            </w:r>
            <w:r>
              <w:rPr>
                <w:rFonts w:hint="eastAsia"/>
                <w:color w:val="auto"/>
              </w:rPr>
              <w:t>试剂库和危废贮存点</w:t>
            </w:r>
            <w:r>
              <w:rPr>
                <w:color w:val="auto"/>
              </w:rPr>
              <w:t>不直接接触地表，</w:t>
            </w:r>
            <w:r>
              <w:rPr>
                <w:rFonts w:hint="eastAsia"/>
                <w:color w:val="auto"/>
              </w:rPr>
              <w:t>实验室、试剂库地面均硬化处理，危废贮存点进行防渗处理（防渗层为至少1m厚黏土层，渗透系数不大于10</w:t>
            </w:r>
            <w:r>
              <w:rPr>
                <w:rFonts w:hint="eastAsia"/>
                <w:color w:val="auto"/>
                <w:vertAlign w:val="superscript"/>
              </w:rPr>
              <w:t>-7</w:t>
            </w:r>
            <w:r>
              <w:rPr>
                <w:rFonts w:hint="eastAsia"/>
                <w:color w:val="auto"/>
              </w:rPr>
              <w:t>cm/s），</w:t>
            </w:r>
            <w:r>
              <w:rPr>
                <w:color w:val="auto"/>
              </w:rPr>
              <w:t>在严格按照规章制度落实安全贮存、禁烟禁火等措施后，项目土壤及地下水污染防控措施到位</w:t>
            </w:r>
            <w:r>
              <w:rPr>
                <w:rFonts w:hint="eastAsia"/>
                <w:color w:val="auto"/>
              </w:rPr>
              <w:t>，不会对土壤和地下水造成影响</w:t>
            </w:r>
            <w:r>
              <w:rPr>
                <w:color w:val="auto"/>
              </w:rPr>
              <w:t>。</w:t>
            </w:r>
          </w:p>
        </w:tc>
      </w:tr>
      <w:tr w14:paraId="1E9CE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34" w:type="pct"/>
            <w:vAlign w:val="center"/>
          </w:tcPr>
          <w:p w14:paraId="022F2765">
            <w:pPr>
              <w:adjustRightInd w:val="0"/>
              <w:snapToGrid w:val="0"/>
              <w:jc w:val="center"/>
            </w:pPr>
            <w:r>
              <w:t>生态保护措施</w:t>
            </w:r>
          </w:p>
        </w:tc>
        <w:tc>
          <w:tcPr>
            <w:tcW w:w="4265" w:type="pct"/>
            <w:gridSpan w:val="4"/>
            <w:vAlign w:val="center"/>
          </w:tcPr>
          <w:p w14:paraId="7E9298A6">
            <w:pPr>
              <w:adjustRightInd w:val="0"/>
              <w:snapToGrid w:val="0"/>
              <w:ind w:firstLine="480" w:firstLineChars="200"/>
              <w:jc w:val="center"/>
              <w:rPr>
                <w:kern w:val="0"/>
              </w:rPr>
            </w:pPr>
            <w:r>
              <w:rPr>
                <w:kern w:val="0"/>
              </w:rPr>
              <w:t>无</w:t>
            </w:r>
          </w:p>
        </w:tc>
      </w:tr>
      <w:tr w14:paraId="435E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34" w:type="pct"/>
            <w:vAlign w:val="center"/>
          </w:tcPr>
          <w:p w14:paraId="286511C8">
            <w:pPr>
              <w:adjustRightInd w:val="0"/>
              <w:snapToGrid w:val="0"/>
              <w:jc w:val="center"/>
              <w:rPr>
                <w:spacing w:val="-8"/>
              </w:rPr>
            </w:pPr>
            <w:r>
              <w:rPr>
                <w:spacing w:val="-8"/>
              </w:rPr>
              <w:t>环境风险</w:t>
            </w:r>
          </w:p>
          <w:p w14:paraId="52989C8F">
            <w:pPr>
              <w:adjustRightInd w:val="0"/>
              <w:snapToGrid w:val="0"/>
              <w:jc w:val="center"/>
              <w:rPr>
                <w:spacing w:val="-8"/>
              </w:rPr>
            </w:pPr>
            <w:r>
              <w:rPr>
                <w:spacing w:val="-8"/>
              </w:rPr>
              <w:t>防范措施</w:t>
            </w:r>
          </w:p>
        </w:tc>
        <w:tc>
          <w:tcPr>
            <w:tcW w:w="4265" w:type="pct"/>
            <w:gridSpan w:val="4"/>
            <w:vAlign w:val="center"/>
          </w:tcPr>
          <w:p w14:paraId="375308D0">
            <w:pPr>
              <w:widowControl/>
              <w:ind w:firstLine="480" w:firstLineChars="200"/>
              <w:rPr>
                <w:kern w:val="0"/>
              </w:rPr>
            </w:pPr>
            <w:r>
              <w:rPr>
                <w:kern w:val="0"/>
              </w:rPr>
              <w:t>减少风险物质存放，加强运营期环境风险管理，严格落实环评报告提出的各项环境风险防范措施。</w:t>
            </w:r>
          </w:p>
        </w:tc>
      </w:tr>
      <w:tr w14:paraId="639A4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734" w:type="pct"/>
            <w:vAlign w:val="center"/>
          </w:tcPr>
          <w:p w14:paraId="2477951A">
            <w:pPr>
              <w:adjustRightInd w:val="0"/>
              <w:snapToGrid w:val="0"/>
              <w:jc w:val="center"/>
              <w:rPr>
                <w:spacing w:val="-8"/>
              </w:rPr>
            </w:pPr>
            <w:r>
              <w:rPr>
                <w:spacing w:val="-8"/>
              </w:rPr>
              <w:t>其它环境管理要求</w:t>
            </w:r>
          </w:p>
        </w:tc>
        <w:tc>
          <w:tcPr>
            <w:tcW w:w="4265" w:type="pct"/>
            <w:gridSpan w:val="4"/>
            <w:vAlign w:val="center"/>
          </w:tcPr>
          <w:p w14:paraId="7BBA7544">
            <w:pPr>
              <w:adjustRightInd w:val="0"/>
              <w:snapToGrid w:val="0"/>
              <w:ind w:firstLine="480" w:firstLineChars="200"/>
            </w:pPr>
            <w:r>
              <w:t>施工期落实环评提出的各污染防治措施，执行</w:t>
            </w:r>
            <w:r>
              <w:rPr>
                <w:rFonts w:hint="eastAsia"/>
              </w:rPr>
              <w:t>“</w:t>
            </w:r>
            <w:r>
              <w:t>三同时</w:t>
            </w:r>
            <w:r>
              <w:rPr>
                <w:rFonts w:hint="eastAsia"/>
              </w:rPr>
              <w:t>”</w:t>
            </w:r>
            <w:r>
              <w:t>制度，运营期</w:t>
            </w:r>
            <w:r>
              <w:rPr>
                <w:rFonts w:hint="eastAsia"/>
              </w:rPr>
              <w:t>加强设备检修及维护，保证设备正常运转，污染物达标排放，及时组织竣工验收，定期</w:t>
            </w:r>
            <w:r>
              <w:t>开展例行监测</w:t>
            </w:r>
            <w:r>
              <w:rPr>
                <w:rFonts w:hint="eastAsia"/>
              </w:rPr>
              <w:t>；搬迁后原场地</w:t>
            </w:r>
            <w:r>
              <w:rPr>
                <w:rFonts w:hint="eastAsia"/>
                <w:bCs/>
              </w:rPr>
              <w:t>危废贮存点清空后清理，剩余环保设备（通风橱、活性炭吸附装置+排气筒、喷淋塔装置+排气筒）及场地污染物清理</w:t>
            </w:r>
            <w:r>
              <w:rPr>
                <w:rFonts w:hint="eastAsia"/>
              </w:rPr>
              <w:t>等。</w:t>
            </w:r>
          </w:p>
        </w:tc>
      </w:tr>
    </w:tbl>
    <w:p w14:paraId="26CAB2A4">
      <w:pPr>
        <w:spacing w:line="360" w:lineRule="auto"/>
        <w:rPr>
          <w:b/>
          <w:bCs/>
          <w:sz w:val="28"/>
          <w:szCs w:val="28"/>
        </w:rPr>
        <w:sectPr>
          <w:pgSz w:w="11906" w:h="16838"/>
          <w:pgMar w:top="1701" w:right="1531" w:bottom="1701" w:left="1531" w:header="851" w:footer="992" w:gutter="0"/>
          <w:cols w:space="425" w:num="1"/>
          <w:docGrid w:type="lines" w:linePitch="312" w:charSpace="0"/>
        </w:sectPr>
      </w:pPr>
    </w:p>
    <w:p w14:paraId="1D904063">
      <w:pPr>
        <w:pStyle w:val="18"/>
        <w:numPr>
          <w:ilvl w:val="0"/>
          <w:numId w:val="9"/>
        </w:numPr>
        <w:jc w:val="center"/>
        <w:outlineLvl w:val="0"/>
        <w:rPr>
          <w:rFonts w:ascii="黑体" w:hAnsi="黑体" w:eastAsia="黑体" w:cs="Times New Roman"/>
          <w:snapToGrid w:val="0"/>
          <w:kern w:val="0"/>
          <w:sz w:val="30"/>
          <w:szCs w:val="30"/>
        </w:rPr>
      </w:pPr>
      <w:bookmarkStart w:id="8" w:name="_Toc26218"/>
      <w:r>
        <w:rPr>
          <w:rFonts w:hint="eastAsia" w:ascii="黑体" w:hAnsi="黑体" w:eastAsia="黑体" w:cs="Times New Roman"/>
          <w:snapToGrid w:val="0"/>
          <w:kern w:val="0"/>
          <w:sz w:val="30"/>
          <w:szCs w:val="30"/>
        </w:rPr>
        <w:t>结论</w:t>
      </w:r>
      <w:bookmarkEnd w:id="8"/>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52FDE2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14:paraId="6FC68083">
            <w:pPr>
              <w:spacing w:line="360" w:lineRule="auto"/>
              <w:jc w:val="center"/>
              <w:rPr>
                <w:rFonts w:ascii="宋体" w:cs="宋体"/>
              </w:rPr>
            </w:pPr>
            <w:r>
              <w:rPr>
                <w:rFonts w:hint="eastAsia" w:ascii="宋体" w:hAnsi="宋体" w:cs="宋体"/>
                <w:color w:val="000000"/>
                <w:kern w:val="0"/>
                <w:lang w:bidi="ar"/>
              </w:rPr>
              <w:t>从环境保护角度分析，项目建设环境影响可行。</w:t>
            </w:r>
          </w:p>
        </w:tc>
      </w:tr>
    </w:tbl>
    <w:p w14:paraId="207D3E53">
      <w:pPr>
        <w:spacing w:line="360" w:lineRule="auto"/>
        <w:sectPr>
          <w:pgSz w:w="11906" w:h="16838"/>
          <w:pgMar w:top="1701" w:right="1531" w:bottom="1701" w:left="1531" w:header="851" w:footer="992" w:gutter="0"/>
          <w:cols w:space="425" w:num="1"/>
          <w:docGrid w:type="lines" w:linePitch="312" w:charSpace="0"/>
        </w:sectPr>
      </w:pPr>
    </w:p>
    <w:p w14:paraId="488DAC07">
      <w:pPr>
        <w:spacing w:line="360" w:lineRule="auto"/>
      </w:pPr>
      <w:bookmarkStart w:id="9" w:name="_Toc13064"/>
      <w:bookmarkStart w:id="10" w:name="_Hlk66044300"/>
      <w:r>
        <w:rPr>
          <w:b/>
          <w:bCs/>
          <w:sz w:val="28"/>
          <w:szCs w:val="28"/>
        </w:rPr>
        <w:t>附表</w:t>
      </w:r>
      <w:bookmarkEnd w:id="9"/>
    </w:p>
    <w:p w14:paraId="7BF32635">
      <w:pPr>
        <w:spacing w:line="360" w:lineRule="auto"/>
        <w:jc w:val="center"/>
        <w:outlineLvl w:val="0"/>
        <w:rPr>
          <w:b/>
          <w:bCs/>
          <w:sz w:val="40"/>
          <w:szCs w:val="40"/>
        </w:rPr>
      </w:pPr>
      <w:bookmarkStart w:id="11" w:name="_Toc30668"/>
      <w:r>
        <w:rPr>
          <w:b/>
          <w:bCs/>
          <w:sz w:val="40"/>
          <w:szCs w:val="40"/>
        </w:rPr>
        <w:t>建设项目污染物排放量汇总表</w:t>
      </w:r>
      <w:bookmarkEnd w:id="11"/>
    </w:p>
    <w:bookmarkEnd w:id="10"/>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
        <w:gridCol w:w="2457"/>
        <w:gridCol w:w="1467"/>
        <w:gridCol w:w="1278"/>
        <w:gridCol w:w="1508"/>
        <w:gridCol w:w="1508"/>
        <w:gridCol w:w="1508"/>
        <w:gridCol w:w="1555"/>
        <w:gridCol w:w="1464"/>
      </w:tblGrid>
      <w:tr w14:paraId="0D2F9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tcBorders>
              <w:tl2br w:val="single" w:color="auto" w:sz="4" w:space="0"/>
            </w:tcBorders>
            <w:shd w:val="clear" w:color="auto" w:fill="auto"/>
            <w:tcMar>
              <w:top w:w="0" w:type="dxa"/>
              <w:left w:w="28" w:type="dxa"/>
              <w:bottom w:w="0" w:type="dxa"/>
              <w:right w:w="28" w:type="dxa"/>
            </w:tcMar>
            <w:vAlign w:val="center"/>
          </w:tcPr>
          <w:p w14:paraId="42295360">
            <w:pPr>
              <w:pStyle w:val="35"/>
              <w:spacing w:before="31" w:after="31" w:line="240" w:lineRule="auto"/>
              <w:jc w:val="right"/>
              <w:rPr>
                <w:rFonts w:ascii="Times New Roman" w:hAnsi="Times New Roman" w:cs="Times New Roman"/>
                <w:snapToGrid w:val="0"/>
                <w:spacing w:val="-6"/>
                <w:kern w:val="21"/>
                <w:szCs w:val="21"/>
              </w:rPr>
            </w:pPr>
            <w:bookmarkStart w:id="12" w:name="_Hlk79759726"/>
            <w:r>
              <w:rPr>
                <w:rFonts w:ascii="Times New Roman" w:hAnsi="Times New Roman" w:cs="Times New Roman"/>
                <w:snapToGrid w:val="0"/>
                <w:spacing w:val="-6"/>
                <w:kern w:val="21"/>
                <w:szCs w:val="21"/>
              </w:rPr>
              <w:t>项目</w:t>
            </w:r>
          </w:p>
          <w:p w14:paraId="3CC436CF">
            <w:pPr>
              <w:pStyle w:val="35"/>
              <w:spacing w:before="31" w:after="31" w:line="240" w:lineRule="auto"/>
              <w:jc w:val="left"/>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t>分类</w:t>
            </w:r>
          </w:p>
        </w:tc>
        <w:tc>
          <w:tcPr>
            <w:tcW w:w="888" w:type="pct"/>
            <w:shd w:val="clear" w:color="auto" w:fill="auto"/>
            <w:tcMar>
              <w:top w:w="0" w:type="dxa"/>
              <w:left w:w="28" w:type="dxa"/>
              <w:bottom w:w="0" w:type="dxa"/>
              <w:right w:w="28" w:type="dxa"/>
            </w:tcMar>
            <w:vAlign w:val="center"/>
          </w:tcPr>
          <w:p w14:paraId="72A79EEA">
            <w:pPr>
              <w:pStyle w:val="35"/>
              <w:spacing w:before="31" w:after="31" w:line="240" w:lineRule="auto"/>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t>污染物名称</w:t>
            </w:r>
          </w:p>
        </w:tc>
        <w:tc>
          <w:tcPr>
            <w:tcW w:w="530" w:type="pct"/>
            <w:shd w:val="clear" w:color="auto" w:fill="auto"/>
            <w:tcMar>
              <w:top w:w="0" w:type="dxa"/>
              <w:left w:w="28" w:type="dxa"/>
              <w:bottom w:w="0" w:type="dxa"/>
              <w:right w:w="28" w:type="dxa"/>
            </w:tcMar>
            <w:vAlign w:val="center"/>
          </w:tcPr>
          <w:p w14:paraId="7FF33610">
            <w:pPr>
              <w:pStyle w:val="35"/>
              <w:spacing w:before="31" w:after="31" w:line="240" w:lineRule="auto"/>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t>现有工程排放量（固体废物产生量）</w:t>
            </w:r>
            <w:r>
              <w:rPr>
                <w:rFonts w:ascii="Times New Roman" w:hAnsi="Times New Roman" w:cs="Times New Roman"/>
                <w:snapToGrid w:val="0"/>
                <w:spacing w:val="-6"/>
                <w:kern w:val="21"/>
                <w:szCs w:val="21"/>
              </w:rPr>
              <w:fldChar w:fldCharType="begin"/>
            </w:r>
            <w:r>
              <w:rPr>
                <w:rFonts w:ascii="Times New Roman" w:hAnsi="Times New Roman" w:cs="Times New Roman"/>
                <w:snapToGrid w:val="0"/>
                <w:spacing w:val="-6"/>
                <w:kern w:val="21"/>
                <w:szCs w:val="21"/>
              </w:rPr>
              <w:instrText xml:space="preserve"> = 1 \* GB3 \* MERGEFORMAT </w:instrText>
            </w:r>
            <w:r>
              <w:rPr>
                <w:rFonts w:ascii="Times New Roman" w:hAnsi="Times New Roman" w:cs="Times New Roman"/>
                <w:snapToGrid w:val="0"/>
                <w:spacing w:val="-6"/>
                <w:kern w:val="21"/>
                <w:szCs w:val="21"/>
              </w:rPr>
              <w:fldChar w:fldCharType="separate"/>
            </w:r>
            <w:r>
              <w:rPr>
                <w:rFonts w:ascii="Times New Roman" w:hAnsi="Times New Roman" w:cs="Times New Roman"/>
                <w:szCs w:val="21"/>
              </w:rPr>
              <w:t>①</w:t>
            </w:r>
            <w:r>
              <w:rPr>
                <w:rFonts w:ascii="Times New Roman" w:hAnsi="Times New Roman" w:cs="Times New Roman"/>
                <w:snapToGrid w:val="0"/>
                <w:spacing w:val="-6"/>
                <w:kern w:val="21"/>
                <w:szCs w:val="21"/>
              </w:rPr>
              <w:fldChar w:fldCharType="end"/>
            </w:r>
          </w:p>
        </w:tc>
        <w:tc>
          <w:tcPr>
            <w:tcW w:w="462" w:type="pct"/>
            <w:shd w:val="clear" w:color="auto" w:fill="auto"/>
            <w:tcMar>
              <w:top w:w="0" w:type="dxa"/>
              <w:left w:w="28" w:type="dxa"/>
              <w:bottom w:w="0" w:type="dxa"/>
              <w:right w:w="28" w:type="dxa"/>
            </w:tcMar>
            <w:vAlign w:val="center"/>
          </w:tcPr>
          <w:p w14:paraId="69CEBC55">
            <w:pPr>
              <w:pStyle w:val="35"/>
              <w:spacing w:before="31" w:after="31" w:line="240" w:lineRule="auto"/>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t>现有工程许可排放量</w:t>
            </w:r>
            <w:r>
              <w:rPr>
                <w:rFonts w:ascii="Times New Roman" w:hAnsi="Times New Roman" w:cs="Times New Roman"/>
                <w:snapToGrid w:val="0"/>
                <w:spacing w:val="-6"/>
                <w:kern w:val="21"/>
                <w:szCs w:val="21"/>
              </w:rPr>
              <w:fldChar w:fldCharType="begin"/>
            </w:r>
            <w:r>
              <w:rPr>
                <w:rFonts w:ascii="Times New Roman" w:hAnsi="Times New Roman" w:cs="Times New Roman"/>
                <w:snapToGrid w:val="0"/>
                <w:spacing w:val="-6"/>
                <w:kern w:val="21"/>
                <w:szCs w:val="21"/>
              </w:rPr>
              <w:instrText xml:space="preserve"> = 2 \* GB3 \* MERGEFORMAT </w:instrText>
            </w:r>
            <w:r>
              <w:rPr>
                <w:rFonts w:ascii="Times New Roman" w:hAnsi="Times New Roman" w:cs="Times New Roman"/>
                <w:snapToGrid w:val="0"/>
                <w:spacing w:val="-6"/>
                <w:kern w:val="21"/>
                <w:szCs w:val="21"/>
              </w:rPr>
              <w:fldChar w:fldCharType="separate"/>
            </w:r>
            <w:r>
              <w:rPr>
                <w:rFonts w:ascii="Times New Roman" w:hAnsi="Times New Roman" w:cs="Times New Roman"/>
                <w:snapToGrid w:val="0"/>
                <w:spacing w:val="-6"/>
                <w:kern w:val="21"/>
                <w:szCs w:val="21"/>
              </w:rPr>
              <w:t>②</w:t>
            </w:r>
            <w:r>
              <w:rPr>
                <w:rFonts w:ascii="Times New Roman" w:hAnsi="Times New Roman" w:cs="Times New Roman"/>
                <w:snapToGrid w:val="0"/>
                <w:spacing w:val="-6"/>
                <w:kern w:val="21"/>
                <w:szCs w:val="21"/>
              </w:rPr>
              <w:fldChar w:fldCharType="end"/>
            </w:r>
          </w:p>
        </w:tc>
        <w:tc>
          <w:tcPr>
            <w:tcW w:w="545" w:type="pct"/>
            <w:shd w:val="clear" w:color="auto" w:fill="auto"/>
            <w:tcMar>
              <w:top w:w="0" w:type="dxa"/>
              <w:left w:w="28" w:type="dxa"/>
              <w:bottom w:w="0" w:type="dxa"/>
              <w:right w:w="28" w:type="dxa"/>
            </w:tcMar>
            <w:vAlign w:val="center"/>
          </w:tcPr>
          <w:p w14:paraId="23E73E2F">
            <w:pPr>
              <w:pStyle w:val="35"/>
              <w:spacing w:before="31" w:after="31" w:line="240" w:lineRule="auto"/>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t>在建工程排放量（固体废物产生量）</w:t>
            </w:r>
            <w:r>
              <w:rPr>
                <w:rFonts w:ascii="Times New Roman" w:hAnsi="Times New Roman" w:cs="Times New Roman"/>
                <w:snapToGrid w:val="0"/>
                <w:spacing w:val="-6"/>
                <w:kern w:val="21"/>
                <w:szCs w:val="21"/>
              </w:rPr>
              <w:fldChar w:fldCharType="begin"/>
            </w:r>
            <w:r>
              <w:rPr>
                <w:rFonts w:ascii="Times New Roman" w:hAnsi="Times New Roman" w:cs="Times New Roman"/>
                <w:snapToGrid w:val="0"/>
                <w:spacing w:val="-6"/>
                <w:kern w:val="21"/>
                <w:szCs w:val="21"/>
              </w:rPr>
              <w:instrText xml:space="preserve"> = 3 \* GB3 \* MERGEFORMAT </w:instrText>
            </w:r>
            <w:r>
              <w:rPr>
                <w:rFonts w:ascii="Times New Roman" w:hAnsi="Times New Roman" w:cs="Times New Roman"/>
                <w:snapToGrid w:val="0"/>
                <w:spacing w:val="-6"/>
                <w:kern w:val="21"/>
                <w:szCs w:val="21"/>
              </w:rPr>
              <w:fldChar w:fldCharType="separate"/>
            </w:r>
            <w:r>
              <w:rPr>
                <w:rFonts w:ascii="Times New Roman" w:hAnsi="Times New Roman" w:cs="Times New Roman"/>
                <w:szCs w:val="21"/>
              </w:rPr>
              <w:t>③</w:t>
            </w:r>
            <w:r>
              <w:rPr>
                <w:rFonts w:ascii="Times New Roman" w:hAnsi="Times New Roman" w:cs="Times New Roman"/>
                <w:snapToGrid w:val="0"/>
                <w:spacing w:val="-6"/>
                <w:kern w:val="21"/>
                <w:szCs w:val="21"/>
              </w:rPr>
              <w:fldChar w:fldCharType="end"/>
            </w:r>
          </w:p>
        </w:tc>
        <w:tc>
          <w:tcPr>
            <w:tcW w:w="545" w:type="pct"/>
            <w:shd w:val="clear" w:color="auto" w:fill="auto"/>
            <w:tcMar>
              <w:top w:w="0" w:type="dxa"/>
              <w:left w:w="28" w:type="dxa"/>
              <w:bottom w:w="0" w:type="dxa"/>
              <w:right w:w="28" w:type="dxa"/>
            </w:tcMar>
            <w:vAlign w:val="center"/>
          </w:tcPr>
          <w:p w14:paraId="32C27C41">
            <w:pPr>
              <w:pStyle w:val="35"/>
              <w:spacing w:before="31" w:after="31" w:line="240" w:lineRule="auto"/>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t>本项目排放量（固体废物产生量）</w:t>
            </w:r>
            <w:r>
              <w:rPr>
                <w:rFonts w:ascii="Times New Roman" w:hAnsi="Times New Roman" w:cs="Times New Roman"/>
                <w:snapToGrid w:val="0"/>
                <w:spacing w:val="-6"/>
                <w:kern w:val="21"/>
                <w:szCs w:val="21"/>
              </w:rPr>
              <w:fldChar w:fldCharType="begin"/>
            </w:r>
            <w:r>
              <w:rPr>
                <w:rFonts w:ascii="Times New Roman" w:hAnsi="Times New Roman" w:cs="Times New Roman"/>
                <w:snapToGrid w:val="0"/>
                <w:spacing w:val="-6"/>
                <w:kern w:val="21"/>
                <w:szCs w:val="21"/>
              </w:rPr>
              <w:instrText xml:space="preserve"> = 4 \* GB3 \* MERGEFORMAT </w:instrText>
            </w:r>
            <w:r>
              <w:rPr>
                <w:rFonts w:ascii="Times New Roman" w:hAnsi="Times New Roman" w:cs="Times New Roman"/>
                <w:snapToGrid w:val="0"/>
                <w:spacing w:val="-6"/>
                <w:kern w:val="21"/>
                <w:szCs w:val="21"/>
              </w:rPr>
              <w:fldChar w:fldCharType="separate"/>
            </w:r>
            <w:r>
              <w:rPr>
                <w:rFonts w:ascii="Times New Roman" w:hAnsi="Times New Roman" w:cs="Times New Roman"/>
                <w:szCs w:val="21"/>
              </w:rPr>
              <w:t>④</w:t>
            </w:r>
            <w:r>
              <w:rPr>
                <w:rFonts w:ascii="Times New Roman" w:hAnsi="Times New Roman" w:cs="Times New Roman"/>
                <w:snapToGrid w:val="0"/>
                <w:spacing w:val="-6"/>
                <w:kern w:val="21"/>
                <w:szCs w:val="21"/>
              </w:rPr>
              <w:fldChar w:fldCharType="end"/>
            </w:r>
          </w:p>
        </w:tc>
        <w:tc>
          <w:tcPr>
            <w:tcW w:w="545" w:type="pct"/>
            <w:shd w:val="clear" w:color="auto" w:fill="auto"/>
            <w:tcMar>
              <w:top w:w="0" w:type="dxa"/>
              <w:left w:w="28" w:type="dxa"/>
              <w:bottom w:w="0" w:type="dxa"/>
              <w:right w:w="28" w:type="dxa"/>
            </w:tcMar>
            <w:vAlign w:val="center"/>
          </w:tcPr>
          <w:p w14:paraId="0FA42884">
            <w:pPr>
              <w:pStyle w:val="35"/>
              <w:spacing w:before="31" w:after="31" w:line="240" w:lineRule="auto"/>
              <w:rPr>
                <w:rFonts w:ascii="Times New Roman" w:hAnsi="Times New Roman" w:cs="Times New Roman"/>
                <w:snapToGrid w:val="0"/>
                <w:spacing w:val="-16"/>
                <w:kern w:val="21"/>
                <w:szCs w:val="21"/>
              </w:rPr>
            </w:pPr>
            <w:r>
              <w:rPr>
                <w:rFonts w:ascii="Times New Roman" w:hAnsi="Times New Roman" w:cs="Times New Roman"/>
                <w:snapToGrid w:val="0"/>
                <w:spacing w:val="-16"/>
                <w:kern w:val="21"/>
                <w:szCs w:val="21"/>
              </w:rPr>
              <w:t>以新带老削减量（新建项目不填）</w:t>
            </w:r>
          </w:p>
          <w:p w14:paraId="24B2A3EE">
            <w:pPr>
              <w:pStyle w:val="35"/>
              <w:spacing w:before="31" w:after="31" w:line="240" w:lineRule="auto"/>
              <w:rPr>
                <w:rFonts w:ascii="Times New Roman" w:hAnsi="Times New Roman" w:cs="Times New Roman"/>
                <w:snapToGrid w:val="0"/>
                <w:spacing w:val="-16"/>
                <w:kern w:val="21"/>
                <w:szCs w:val="21"/>
              </w:rPr>
            </w:pPr>
            <w:r>
              <w:rPr>
                <w:rFonts w:ascii="Times New Roman" w:hAnsi="Times New Roman" w:cs="Times New Roman"/>
                <w:snapToGrid w:val="0"/>
                <w:spacing w:val="-16"/>
                <w:kern w:val="21"/>
                <w:szCs w:val="21"/>
              </w:rPr>
              <w:fldChar w:fldCharType="begin"/>
            </w:r>
            <w:r>
              <w:rPr>
                <w:rFonts w:ascii="Times New Roman" w:hAnsi="Times New Roman" w:cs="Times New Roman"/>
                <w:snapToGrid w:val="0"/>
                <w:spacing w:val="-16"/>
                <w:kern w:val="21"/>
                <w:szCs w:val="21"/>
              </w:rPr>
              <w:instrText xml:space="preserve"> = 5 \* GB3 \* MERGEFORMAT </w:instrText>
            </w:r>
            <w:r>
              <w:rPr>
                <w:rFonts w:ascii="Times New Roman" w:hAnsi="Times New Roman" w:cs="Times New Roman"/>
                <w:snapToGrid w:val="0"/>
                <w:spacing w:val="-16"/>
                <w:kern w:val="21"/>
                <w:szCs w:val="21"/>
              </w:rPr>
              <w:fldChar w:fldCharType="separate"/>
            </w:r>
            <w:r>
              <w:rPr>
                <w:rFonts w:ascii="Times New Roman" w:hAnsi="Times New Roman" w:cs="Times New Roman"/>
                <w:szCs w:val="21"/>
              </w:rPr>
              <w:t>⑤</w:t>
            </w:r>
            <w:r>
              <w:rPr>
                <w:rFonts w:ascii="Times New Roman" w:hAnsi="Times New Roman" w:cs="Times New Roman"/>
                <w:snapToGrid w:val="0"/>
                <w:spacing w:val="-16"/>
                <w:kern w:val="21"/>
                <w:szCs w:val="21"/>
              </w:rPr>
              <w:fldChar w:fldCharType="end"/>
            </w:r>
          </w:p>
        </w:tc>
        <w:tc>
          <w:tcPr>
            <w:tcW w:w="562" w:type="pct"/>
            <w:shd w:val="clear" w:color="auto" w:fill="auto"/>
            <w:tcMar>
              <w:top w:w="0" w:type="dxa"/>
              <w:left w:w="28" w:type="dxa"/>
              <w:bottom w:w="0" w:type="dxa"/>
              <w:right w:w="28" w:type="dxa"/>
            </w:tcMar>
            <w:vAlign w:val="center"/>
          </w:tcPr>
          <w:p w14:paraId="197065BE">
            <w:pPr>
              <w:pStyle w:val="35"/>
              <w:spacing w:before="31" w:after="31" w:line="240" w:lineRule="auto"/>
              <w:rPr>
                <w:rFonts w:ascii="Times New Roman" w:hAnsi="Times New Roman" w:cs="Times New Roman"/>
                <w:snapToGrid w:val="0"/>
                <w:spacing w:val="-16"/>
                <w:kern w:val="21"/>
                <w:szCs w:val="21"/>
              </w:rPr>
            </w:pPr>
            <w:r>
              <w:rPr>
                <w:rFonts w:ascii="Times New Roman" w:hAnsi="Times New Roman" w:cs="Times New Roman"/>
                <w:snapToGrid w:val="0"/>
                <w:spacing w:val="-16"/>
                <w:kern w:val="21"/>
                <w:szCs w:val="21"/>
              </w:rPr>
              <w:t>本项目建成后全厂排放量（固体废物产生量）</w:t>
            </w:r>
            <w:r>
              <w:rPr>
                <w:rFonts w:ascii="Times New Roman" w:hAnsi="Times New Roman" w:cs="Times New Roman"/>
                <w:snapToGrid w:val="0"/>
                <w:spacing w:val="-16"/>
                <w:kern w:val="21"/>
                <w:szCs w:val="21"/>
              </w:rPr>
              <w:fldChar w:fldCharType="begin"/>
            </w:r>
            <w:r>
              <w:rPr>
                <w:rFonts w:ascii="Times New Roman" w:hAnsi="Times New Roman" w:cs="Times New Roman"/>
                <w:snapToGrid w:val="0"/>
                <w:spacing w:val="-16"/>
                <w:kern w:val="21"/>
                <w:szCs w:val="21"/>
              </w:rPr>
              <w:instrText xml:space="preserve"> = 6 \* GB3 \* MERGEFORMAT </w:instrText>
            </w:r>
            <w:r>
              <w:rPr>
                <w:rFonts w:ascii="Times New Roman" w:hAnsi="Times New Roman" w:cs="Times New Roman"/>
                <w:snapToGrid w:val="0"/>
                <w:spacing w:val="-16"/>
                <w:kern w:val="21"/>
                <w:szCs w:val="21"/>
              </w:rPr>
              <w:fldChar w:fldCharType="separate"/>
            </w:r>
            <w:r>
              <w:rPr>
                <w:rFonts w:ascii="Times New Roman" w:hAnsi="Times New Roman" w:cs="Times New Roman"/>
                <w:szCs w:val="21"/>
              </w:rPr>
              <w:t>⑥</w:t>
            </w:r>
            <w:r>
              <w:rPr>
                <w:rFonts w:ascii="Times New Roman" w:hAnsi="Times New Roman" w:cs="Times New Roman"/>
                <w:snapToGrid w:val="0"/>
                <w:spacing w:val="-16"/>
                <w:kern w:val="21"/>
                <w:szCs w:val="21"/>
              </w:rPr>
              <w:fldChar w:fldCharType="end"/>
            </w:r>
          </w:p>
        </w:tc>
        <w:tc>
          <w:tcPr>
            <w:tcW w:w="529" w:type="pct"/>
            <w:shd w:val="clear" w:color="auto" w:fill="auto"/>
            <w:tcMar>
              <w:top w:w="0" w:type="dxa"/>
              <w:left w:w="28" w:type="dxa"/>
              <w:bottom w:w="0" w:type="dxa"/>
              <w:right w:w="28" w:type="dxa"/>
            </w:tcMar>
            <w:vAlign w:val="center"/>
          </w:tcPr>
          <w:p w14:paraId="7AB5D5FC">
            <w:pPr>
              <w:pStyle w:val="35"/>
              <w:spacing w:before="31" w:after="31" w:line="240" w:lineRule="auto"/>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t>变化量</w:t>
            </w:r>
          </w:p>
          <w:p w14:paraId="2D9EE5F0">
            <w:pPr>
              <w:pStyle w:val="35"/>
              <w:spacing w:before="31" w:after="31" w:line="240" w:lineRule="auto"/>
              <w:rPr>
                <w:rFonts w:ascii="Times New Roman" w:hAnsi="Times New Roman" w:cs="Times New Roman"/>
                <w:snapToGrid w:val="0"/>
                <w:spacing w:val="-6"/>
                <w:kern w:val="21"/>
                <w:szCs w:val="21"/>
              </w:rPr>
            </w:pPr>
            <w:r>
              <w:rPr>
                <w:rFonts w:ascii="Times New Roman" w:hAnsi="Times New Roman" w:cs="Times New Roman"/>
                <w:snapToGrid w:val="0"/>
                <w:spacing w:val="-6"/>
                <w:kern w:val="21"/>
                <w:szCs w:val="21"/>
              </w:rPr>
              <w:fldChar w:fldCharType="begin"/>
            </w:r>
            <w:r>
              <w:rPr>
                <w:rFonts w:ascii="Times New Roman" w:hAnsi="Times New Roman" w:cs="Times New Roman"/>
                <w:snapToGrid w:val="0"/>
                <w:spacing w:val="-6"/>
                <w:kern w:val="21"/>
                <w:szCs w:val="21"/>
              </w:rPr>
              <w:instrText xml:space="preserve"> = 7 \* GB3 \* MERGEFORMAT </w:instrText>
            </w:r>
            <w:r>
              <w:rPr>
                <w:rFonts w:ascii="Times New Roman" w:hAnsi="Times New Roman" w:cs="Times New Roman"/>
                <w:snapToGrid w:val="0"/>
                <w:spacing w:val="-6"/>
                <w:kern w:val="21"/>
                <w:szCs w:val="21"/>
              </w:rPr>
              <w:fldChar w:fldCharType="separate"/>
            </w:r>
            <w:r>
              <w:rPr>
                <w:rFonts w:ascii="Times New Roman" w:hAnsi="Times New Roman" w:cs="Times New Roman"/>
                <w:szCs w:val="21"/>
              </w:rPr>
              <w:t>⑦</w:t>
            </w:r>
            <w:r>
              <w:rPr>
                <w:rFonts w:ascii="Times New Roman" w:hAnsi="Times New Roman" w:cs="Times New Roman"/>
                <w:snapToGrid w:val="0"/>
                <w:spacing w:val="-6"/>
                <w:kern w:val="21"/>
                <w:szCs w:val="21"/>
              </w:rPr>
              <w:fldChar w:fldCharType="end"/>
            </w:r>
          </w:p>
        </w:tc>
      </w:tr>
      <w:bookmarkEnd w:id="12"/>
      <w:tr w14:paraId="04B33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restart"/>
            <w:shd w:val="clear" w:color="auto" w:fill="auto"/>
            <w:vAlign w:val="center"/>
          </w:tcPr>
          <w:p w14:paraId="791451AB">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废气</w:t>
            </w:r>
          </w:p>
        </w:tc>
        <w:tc>
          <w:tcPr>
            <w:tcW w:w="888" w:type="pct"/>
            <w:shd w:val="clear" w:color="auto" w:fill="auto"/>
            <w:vAlign w:val="center"/>
          </w:tcPr>
          <w:p w14:paraId="04E74AD4">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非甲烷总烃</w:t>
            </w:r>
          </w:p>
        </w:tc>
        <w:tc>
          <w:tcPr>
            <w:tcW w:w="530" w:type="pct"/>
            <w:shd w:val="clear" w:color="auto" w:fill="auto"/>
            <w:vAlign w:val="center"/>
          </w:tcPr>
          <w:p w14:paraId="147B6B93">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0.</w:t>
            </w:r>
            <w:r>
              <w:rPr>
                <w:rFonts w:hint="eastAsia" w:ascii="Times New Roman" w:hAnsi="Times New Roman" w:cs="Times New Roman"/>
                <w:snapToGrid w:val="0"/>
                <w:color w:val="FF0000"/>
                <w:kern w:val="21"/>
                <w:szCs w:val="21"/>
                <w:lang w:val="en-US" w:eastAsia="zh-CN"/>
              </w:rPr>
              <w:t>05547</w:t>
            </w:r>
            <w:r>
              <w:rPr>
                <w:rFonts w:hint="eastAsia" w:ascii="Times New Roman" w:hAnsi="Times New Roman" w:cs="Times New Roman"/>
                <w:color w:val="FF0000"/>
                <w:szCs w:val="21"/>
              </w:rPr>
              <w:t>t/a</w:t>
            </w:r>
          </w:p>
        </w:tc>
        <w:tc>
          <w:tcPr>
            <w:tcW w:w="462" w:type="pct"/>
            <w:shd w:val="clear" w:color="auto" w:fill="auto"/>
            <w:vAlign w:val="center"/>
          </w:tcPr>
          <w:p w14:paraId="15CFCFFE">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w:t>
            </w:r>
          </w:p>
        </w:tc>
        <w:tc>
          <w:tcPr>
            <w:tcW w:w="545" w:type="pct"/>
            <w:shd w:val="clear" w:color="auto" w:fill="auto"/>
            <w:vAlign w:val="center"/>
          </w:tcPr>
          <w:p w14:paraId="52855DC6">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w:t>
            </w:r>
          </w:p>
        </w:tc>
        <w:tc>
          <w:tcPr>
            <w:tcW w:w="545" w:type="pct"/>
            <w:shd w:val="clear" w:color="auto" w:fill="auto"/>
            <w:vAlign w:val="center"/>
          </w:tcPr>
          <w:p w14:paraId="46EF7DB9">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color w:val="FF0000"/>
                <w:szCs w:val="21"/>
              </w:rPr>
              <w:t>0.0</w:t>
            </w:r>
            <w:r>
              <w:rPr>
                <w:rFonts w:hint="eastAsia" w:ascii="Times New Roman" w:hAnsi="Times New Roman" w:cs="Times New Roman"/>
                <w:color w:val="FF0000"/>
                <w:szCs w:val="21"/>
                <w:lang w:val="en-US" w:eastAsia="zh-CN"/>
              </w:rPr>
              <w:t>5778</w:t>
            </w:r>
            <w:r>
              <w:rPr>
                <w:rFonts w:hint="eastAsia" w:ascii="Times New Roman" w:hAnsi="Times New Roman" w:cs="Times New Roman"/>
                <w:color w:val="FF0000"/>
                <w:szCs w:val="21"/>
              </w:rPr>
              <w:t>t/a</w:t>
            </w:r>
          </w:p>
        </w:tc>
        <w:tc>
          <w:tcPr>
            <w:tcW w:w="1508" w:type="dxa"/>
            <w:shd w:val="clear" w:color="auto" w:fill="auto"/>
            <w:vAlign w:val="center"/>
          </w:tcPr>
          <w:p w14:paraId="517E4CC6">
            <w:pPr>
              <w:pStyle w:val="35"/>
              <w:spacing w:before="31" w:after="31" w:line="240" w:lineRule="auto"/>
              <w:rPr>
                <w:rFonts w:ascii="Times New Roman" w:hAnsi="Times New Roman" w:cs="Times New Roman"/>
                <w:snapToGrid w:val="0"/>
                <w:kern w:val="21"/>
                <w:szCs w:val="21"/>
              </w:rPr>
            </w:pPr>
            <w:r>
              <w:rPr>
                <w:rFonts w:hint="eastAsia" w:ascii="Times New Roman" w:hAnsi="Times New Roman" w:cs="Times New Roman"/>
                <w:snapToGrid w:val="0"/>
                <w:color w:val="FF0000"/>
                <w:kern w:val="21"/>
                <w:szCs w:val="21"/>
              </w:rPr>
              <w:t>0.</w:t>
            </w:r>
            <w:r>
              <w:rPr>
                <w:rFonts w:hint="eastAsia" w:ascii="Times New Roman" w:hAnsi="Times New Roman" w:cs="Times New Roman"/>
                <w:snapToGrid w:val="0"/>
                <w:color w:val="FF0000"/>
                <w:kern w:val="21"/>
                <w:szCs w:val="21"/>
                <w:lang w:val="en-US" w:eastAsia="zh-CN"/>
              </w:rPr>
              <w:t>05547</w:t>
            </w:r>
            <w:r>
              <w:rPr>
                <w:rFonts w:hint="eastAsia" w:ascii="Times New Roman" w:hAnsi="Times New Roman" w:cs="Times New Roman"/>
                <w:color w:val="FF0000"/>
                <w:szCs w:val="21"/>
              </w:rPr>
              <w:t>t/a</w:t>
            </w:r>
          </w:p>
        </w:tc>
        <w:tc>
          <w:tcPr>
            <w:tcW w:w="562" w:type="pct"/>
            <w:shd w:val="clear" w:color="auto" w:fill="auto"/>
            <w:vAlign w:val="center"/>
          </w:tcPr>
          <w:p w14:paraId="468A53B2">
            <w:pPr>
              <w:pStyle w:val="35"/>
              <w:spacing w:before="31" w:after="31" w:line="240" w:lineRule="auto"/>
              <w:rPr>
                <w:rFonts w:ascii="Times New Roman" w:hAnsi="Times New Roman" w:cs="Times New Roman"/>
                <w:snapToGrid w:val="0"/>
                <w:color w:val="FF0000"/>
                <w:kern w:val="21"/>
                <w:szCs w:val="21"/>
                <w:highlight w:val="none"/>
              </w:rPr>
            </w:pPr>
            <w:r>
              <w:rPr>
                <w:rFonts w:hint="eastAsia" w:ascii="Times New Roman" w:hAnsi="Times New Roman" w:cs="Times New Roman"/>
                <w:color w:val="FF0000"/>
                <w:szCs w:val="21"/>
                <w:highlight w:val="none"/>
              </w:rPr>
              <w:t>0.0</w:t>
            </w:r>
            <w:r>
              <w:rPr>
                <w:rFonts w:hint="eastAsia" w:ascii="Times New Roman" w:hAnsi="Times New Roman" w:cs="Times New Roman"/>
                <w:color w:val="FF0000"/>
                <w:szCs w:val="21"/>
                <w:highlight w:val="none"/>
                <w:lang w:val="en-US" w:eastAsia="zh-CN"/>
              </w:rPr>
              <w:t>5778</w:t>
            </w:r>
            <w:r>
              <w:rPr>
                <w:rFonts w:hint="eastAsia" w:ascii="Times New Roman" w:hAnsi="Times New Roman" w:cs="Times New Roman"/>
                <w:color w:val="FF0000"/>
                <w:szCs w:val="21"/>
                <w:highlight w:val="none"/>
              </w:rPr>
              <w:t>t/a</w:t>
            </w:r>
          </w:p>
        </w:tc>
        <w:tc>
          <w:tcPr>
            <w:tcW w:w="1464" w:type="dxa"/>
            <w:shd w:val="clear" w:color="auto" w:fill="auto"/>
            <w:vAlign w:val="center"/>
          </w:tcPr>
          <w:p w14:paraId="17F5EE40">
            <w:pPr>
              <w:pStyle w:val="35"/>
              <w:spacing w:before="31" w:after="31" w:line="240" w:lineRule="auto"/>
              <w:rPr>
                <w:snapToGrid w:val="0"/>
                <w:color w:val="FF0000"/>
                <w:kern w:val="21"/>
                <w:sz w:val="21"/>
                <w:szCs w:val="21"/>
                <w:highlight w:val="none"/>
              </w:rPr>
            </w:pP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color w:val="FF0000"/>
                <w:szCs w:val="21"/>
                <w:highlight w:val="none"/>
              </w:rPr>
              <w:t>0.</w:t>
            </w:r>
            <w:r>
              <w:rPr>
                <w:rFonts w:hint="eastAsia" w:ascii="Times New Roman" w:hAnsi="Times New Roman" w:cs="Times New Roman"/>
                <w:color w:val="FF0000"/>
                <w:szCs w:val="21"/>
                <w:highlight w:val="none"/>
                <w:lang w:val="en-US" w:eastAsia="zh-CN"/>
              </w:rPr>
              <w:t>00231</w:t>
            </w:r>
            <w:r>
              <w:rPr>
                <w:rFonts w:hint="eastAsia" w:ascii="Times New Roman" w:hAnsi="Times New Roman" w:cs="Times New Roman"/>
                <w:color w:val="FF0000"/>
                <w:szCs w:val="21"/>
                <w:highlight w:val="none"/>
              </w:rPr>
              <w:t>t/a</w:t>
            </w:r>
          </w:p>
        </w:tc>
      </w:tr>
      <w:tr w14:paraId="60B80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293F9A78">
            <w:pPr>
              <w:pStyle w:val="35"/>
              <w:spacing w:before="31" w:after="31" w:line="240" w:lineRule="auto"/>
              <w:rPr>
                <w:rFonts w:ascii="Times New Roman" w:hAnsi="Times New Roman" w:cs="Times New Roman"/>
                <w:snapToGrid w:val="0"/>
                <w:kern w:val="21"/>
                <w:szCs w:val="21"/>
              </w:rPr>
            </w:pPr>
          </w:p>
        </w:tc>
        <w:tc>
          <w:tcPr>
            <w:tcW w:w="888" w:type="pct"/>
            <w:shd w:val="clear" w:color="auto" w:fill="auto"/>
            <w:vAlign w:val="center"/>
          </w:tcPr>
          <w:p w14:paraId="7641A2E4">
            <w:pPr>
              <w:pStyle w:val="35"/>
              <w:spacing w:before="31" w:after="31" w:line="240" w:lineRule="auto"/>
              <w:rPr>
                <w:rFonts w:ascii="Times New Roman" w:hAnsi="Times New Roman" w:cs="Times New Roman"/>
                <w:snapToGrid w:val="0"/>
                <w:kern w:val="21"/>
                <w:szCs w:val="21"/>
              </w:rPr>
            </w:pPr>
            <w:r>
              <w:rPr>
                <w:rFonts w:hint="eastAsia" w:ascii="Times New Roman" w:hAnsi="Times New Roman" w:cs="Times New Roman"/>
                <w:snapToGrid w:val="0"/>
                <w:kern w:val="21"/>
                <w:szCs w:val="21"/>
              </w:rPr>
              <w:t>氯化氢</w:t>
            </w:r>
          </w:p>
        </w:tc>
        <w:tc>
          <w:tcPr>
            <w:tcW w:w="530" w:type="pct"/>
            <w:shd w:val="clear" w:color="auto" w:fill="auto"/>
            <w:vAlign w:val="center"/>
          </w:tcPr>
          <w:p w14:paraId="68D1A202">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lang w:val="en-US" w:eastAsia="zh-CN"/>
              </w:rPr>
              <w:t>0.006</w:t>
            </w:r>
            <w:r>
              <w:rPr>
                <w:rFonts w:hint="eastAsia" w:ascii="Times New Roman" w:hAnsi="Times New Roman" w:cs="Times New Roman"/>
                <w:color w:val="FF0000"/>
                <w:szCs w:val="21"/>
              </w:rPr>
              <w:t>t/a</w:t>
            </w:r>
          </w:p>
        </w:tc>
        <w:tc>
          <w:tcPr>
            <w:tcW w:w="462" w:type="pct"/>
            <w:shd w:val="clear" w:color="auto" w:fill="auto"/>
            <w:vAlign w:val="center"/>
          </w:tcPr>
          <w:p w14:paraId="2DD11762">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w:t>
            </w:r>
          </w:p>
        </w:tc>
        <w:tc>
          <w:tcPr>
            <w:tcW w:w="545" w:type="pct"/>
            <w:shd w:val="clear" w:color="auto" w:fill="auto"/>
            <w:vAlign w:val="center"/>
          </w:tcPr>
          <w:p w14:paraId="7B0D4628">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w:t>
            </w:r>
          </w:p>
        </w:tc>
        <w:tc>
          <w:tcPr>
            <w:tcW w:w="545" w:type="pct"/>
            <w:shd w:val="clear" w:color="auto" w:fill="auto"/>
            <w:vAlign w:val="center"/>
          </w:tcPr>
          <w:p w14:paraId="6666A5AC">
            <w:pPr>
              <w:pStyle w:val="35"/>
              <w:spacing w:before="31" w:after="31" w:line="240" w:lineRule="auto"/>
              <w:rPr>
                <w:rFonts w:ascii="Times New Roman" w:hAnsi="Times New Roman" w:cs="Times New Roman"/>
                <w:color w:val="FF0000"/>
                <w:szCs w:val="21"/>
              </w:rPr>
            </w:pPr>
            <w:r>
              <w:rPr>
                <w:rFonts w:hint="eastAsia" w:ascii="Times New Roman" w:hAnsi="Times New Roman" w:cs="Times New Roman"/>
                <w:color w:val="FF0000"/>
                <w:szCs w:val="21"/>
              </w:rPr>
              <w:t>0.0</w:t>
            </w:r>
            <w:r>
              <w:rPr>
                <w:rFonts w:hint="eastAsia" w:ascii="Times New Roman" w:hAnsi="Times New Roman" w:cs="Times New Roman"/>
                <w:color w:val="FF0000"/>
                <w:szCs w:val="21"/>
                <w:lang w:val="en-US" w:eastAsia="zh-CN"/>
              </w:rPr>
              <w:t>135</w:t>
            </w:r>
            <w:r>
              <w:rPr>
                <w:rFonts w:hint="eastAsia" w:ascii="Times New Roman" w:hAnsi="Times New Roman" w:cs="Times New Roman"/>
                <w:color w:val="FF0000"/>
                <w:szCs w:val="21"/>
              </w:rPr>
              <w:t>t/a</w:t>
            </w:r>
          </w:p>
        </w:tc>
        <w:tc>
          <w:tcPr>
            <w:tcW w:w="1508" w:type="dxa"/>
            <w:shd w:val="clear" w:color="auto" w:fill="auto"/>
            <w:vAlign w:val="center"/>
          </w:tcPr>
          <w:p w14:paraId="24A45752">
            <w:pPr>
              <w:pStyle w:val="35"/>
              <w:spacing w:before="31" w:after="31" w:line="240" w:lineRule="auto"/>
              <w:rPr>
                <w:rFonts w:ascii="Times New Roman" w:hAnsi="Times New Roman" w:cs="Times New Roman"/>
                <w:snapToGrid w:val="0"/>
                <w:kern w:val="21"/>
                <w:szCs w:val="21"/>
              </w:rPr>
            </w:pPr>
            <w:r>
              <w:rPr>
                <w:rFonts w:hint="eastAsia" w:ascii="Times New Roman" w:hAnsi="Times New Roman" w:cs="Times New Roman"/>
                <w:snapToGrid w:val="0"/>
                <w:color w:val="FF0000"/>
                <w:kern w:val="21"/>
                <w:szCs w:val="21"/>
                <w:lang w:val="en-US" w:eastAsia="zh-CN"/>
              </w:rPr>
              <w:t>0.006</w:t>
            </w:r>
            <w:r>
              <w:rPr>
                <w:rFonts w:hint="eastAsia" w:ascii="Times New Roman" w:hAnsi="Times New Roman" w:cs="Times New Roman"/>
                <w:color w:val="FF0000"/>
                <w:szCs w:val="21"/>
              </w:rPr>
              <w:t>t/a</w:t>
            </w:r>
          </w:p>
        </w:tc>
        <w:tc>
          <w:tcPr>
            <w:tcW w:w="562" w:type="pct"/>
            <w:shd w:val="clear" w:color="auto" w:fill="auto"/>
            <w:vAlign w:val="center"/>
          </w:tcPr>
          <w:p w14:paraId="15C6AFD9">
            <w:pPr>
              <w:pStyle w:val="35"/>
              <w:spacing w:before="31" w:after="31" w:line="240" w:lineRule="auto"/>
              <w:rPr>
                <w:rFonts w:ascii="Times New Roman" w:hAnsi="Times New Roman" w:cs="Times New Roman"/>
                <w:snapToGrid w:val="0"/>
                <w:color w:val="FF0000"/>
                <w:kern w:val="21"/>
                <w:szCs w:val="21"/>
                <w:highlight w:val="none"/>
              </w:rPr>
            </w:pPr>
            <w:r>
              <w:rPr>
                <w:rFonts w:hint="eastAsia" w:ascii="Times New Roman" w:hAnsi="Times New Roman" w:cs="Times New Roman"/>
                <w:color w:val="FF0000"/>
                <w:szCs w:val="21"/>
                <w:highlight w:val="none"/>
              </w:rPr>
              <w:t>0.0</w:t>
            </w:r>
            <w:r>
              <w:rPr>
                <w:rFonts w:hint="eastAsia" w:ascii="Times New Roman" w:hAnsi="Times New Roman" w:cs="Times New Roman"/>
                <w:color w:val="FF0000"/>
                <w:szCs w:val="21"/>
                <w:highlight w:val="none"/>
                <w:lang w:val="en-US" w:eastAsia="zh-CN"/>
              </w:rPr>
              <w:t>135</w:t>
            </w:r>
            <w:r>
              <w:rPr>
                <w:rFonts w:hint="eastAsia" w:ascii="Times New Roman" w:hAnsi="Times New Roman" w:cs="Times New Roman"/>
                <w:color w:val="FF0000"/>
                <w:szCs w:val="21"/>
                <w:highlight w:val="none"/>
              </w:rPr>
              <w:t>t/a</w:t>
            </w:r>
          </w:p>
        </w:tc>
        <w:tc>
          <w:tcPr>
            <w:tcW w:w="1464" w:type="dxa"/>
            <w:shd w:val="clear" w:color="auto" w:fill="auto"/>
            <w:vAlign w:val="center"/>
          </w:tcPr>
          <w:p w14:paraId="23B0D722">
            <w:pPr>
              <w:pStyle w:val="35"/>
              <w:spacing w:before="31" w:after="31" w:line="240" w:lineRule="auto"/>
              <w:rPr>
                <w:color w:val="FF0000"/>
                <w:sz w:val="21"/>
                <w:szCs w:val="21"/>
                <w:highlight w:val="none"/>
              </w:rPr>
            </w:pP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color w:val="FF0000"/>
                <w:szCs w:val="21"/>
                <w:highlight w:val="none"/>
              </w:rPr>
              <w:t>0.00</w:t>
            </w:r>
            <w:r>
              <w:rPr>
                <w:rFonts w:hint="eastAsia" w:ascii="Times New Roman" w:hAnsi="Times New Roman" w:cs="Times New Roman"/>
                <w:color w:val="FF0000"/>
                <w:szCs w:val="21"/>
                <w:highlight w:val="none"/>
                <w:lang w:val="en-US" w:eastAsia="zh-CN"/>
              </w:rPr>
              <w:t>75</w:t>
            </w:r>
            <w:r>
              <w:rPr>
                <w:rFonts w:hint="eastAsia" w:ascii="Times New Roman" w:hAnsi="Times New Roman" w:cs="Times New Roman"/>
                <w:color w:val="FF0000"/>
                <w:szCs w:val="21"/>
                <w:highlight w:val="none"/>
              </w:rPr>
              <w:t>t/a</w:t>
            </w:r>
          </w:p>
        </w:tc>
      </w:tr>
      <w:tr w14:paraId="6EBA8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149E726F">
            <w:pPr>
              <w:pStyle w:val="35"/>
              <w:spacing w:before="31" w:after="31" w:line="240" w:lineRule="auto"/>
              <w:rPr>
                <w:rFonts w:ascii="Times New Roman" w:hAnsi="Times New Roman" w:cs="Times New Roman"/>
                <w:snapToGrid w:val="0"/>
                <w:kern w:val="21"/>
                <w:szCs w:val="21"/>
              </w:rPr>
            </w:pPr>
          </w:p>
        </w:tc>
        <w:tc>
          <w:tcPr>
            <w:tcW w:w="888" w:type="pct"/>
            <w:shd w:val="clear" w:color="auto" w:fill="auto"/>
            <w:vAlign w:val="center"/>
          </w:tcPr>
          <w:p w14:paraId="6711B656">
            <w:pPr>
              <w:pStyle w:val="35"/>
              <w:spacing w:before="31" w:after="31" w:line="240" w:lineRule="auto"/>
              <w:rPr>
                <w:rFonts w:ascii="Times New Roman" w:hAnsi="Times New Roman" w:cs="Times New Roman"/>
                <w:snapToGrid w:val="0"/>
                <w:kern w:val="21"/>
                <w:szCs w:val="21"/>
              </w:rPr>
            </w:pPr>
            <w:r>
              <w:rPr>
                <w:rFonts w:hint="eastAsia" w:ascii="Times New Roman" w:hAnsi="Times New Roman" w:cs="Times New Roman"/>
                <w:snapToGrid w:val="0"/>
                <w:kern w:val="21"/>
                <w:szCs w:val="21"/>
              </w:rPr>
              <w:t>硫酸雾</w:t>
            </w:r>
          </w:p>
        </w:tc>
        <w:tc>
          <w:tcPr>
            <w:tcW w:w="530" w:type="pct"/>
            <w:shd w:val="clear" w:color="auto" w:fill="auto"/>
            <w:vAlign w:val="center"/>
          </w:tcPr>
          <w:p w14:paraId="4A1E6DC6">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0.00</w:t>
            </w:r>
            <w:r>
              <w:rPr>
                <w:rFonts w:hint="eastAsia" w:ascii="Times New Roman" w:hAnsi="Times New Roman" w:cs="Times New Roman"/>
                <w:snapToGrid w:val="0"/>
                <w:color w:val="FF0000"/>
                <w:kern w:val="21"/>
                <w:szCs w:val="21"/>
                <w:lang w:val="en-US" w:eastAsia="zh-CN"/>
              </w:rPr>
              <w:t>051t</w:t>
            </w:r>
            <w:r>
              <w:rPr>
                <w:rFonts w:hint="eastAsia" w:ascii="Times New Roman" w:hAnsi="Times New Roman" w:cs="Times New Roman"/>
                <w:color w:val="FF0000"/>
                <w:szCs w:val="21"/>
              </w:rPr>
              <w:t>/a</w:t>
            </w:r>
          </w:p>
        </w:tc>
        <w:tc>
          <w:tcPr>
            <w:tcW w:w="462" w:type="pct"/>
            <w:shd w:val="clear" w:color="auto" w:fill="auto"/>
            <w:vAlign w:val="center"/>
          </w:tcPr>
          <w:p w14:paraId="2FA9DF6E">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w:t>
            </w:r>
          </w:p>
        </w:tc>
        <w:tc>
          <w:tcPr>
            <w:tcW w:w="545" w:type="pct"/>
            <w:shd w:val="clear" w:color="auto" w:fill="auto"/>
            <w:vAlign w:val="center"/>
          </w:tcPr>
          <w:p w14:paraId="21838966">
            <w:pPr>
              <w:pStyle w:val="35"/>
              <w:spacing w:before="31" w:after="31" w:line="240" w:lineRule="auto"/>
              <w:rPr>
                <w:rFonts w:ascii="Times New Roman" w:hAnsi="Times New Roman" w:cs="Times New Roman"/>
                <w:snapToGrid w:val="0"/>
                <w:kern w:val="21"/>
                <w:szCs w:val="21"/>
              </w:rPr>
            </w:pPr>
            <w:r>
              <w:rPr>
                <w:rFonts w:ascii="Times New Roman" w:hAnsi="Times New Roman" w:cs="Times New Roman"/>
                <w:snapToGrid w:val="0"/>
                <w:kern w:val="21"/>
                <w:szCs w:val="21"/>
              </w:rPr>
              <w:t>/</w:t>
            </w:r>
          </w:p>
        </w:tc>
        <w:tc>
          <w:tcPr>
            <w:tcW w:w="545" w:type="pct"/>
            <w:shd w:val="clear" w:color="auto" w:fill="auto"/>
            <w:vAlign w:val="center"/>
          </w:tcPr>
          <w:p w14:paraId="3F06F927">
            <w:pPr>
              <w:pStyle w:val="35"/>
              <w:spacing w:before="31" w:after="31" w:line="240" w:lineRule="auto"/>
              <w:rPr>
                <w:rFonts w:ascii="Times New Roman" w:hAnsi="Times New Roman" w:cs="Times New Roman"/>
                <w:color w:val="FF0000"/>
                <w:szCs w:val="21"/>
                <w:highlight w:val="none"/>
              </w:rPr>
            </w:pPr>
            <w:r>
              <w:rPr>
                <w:rFonts w:hint="eastAsia" w:ascii="Times New Roman" w:hAnsi="Times New Roman" w:cs="Times New Roman"/>
                <w:color w:val="FF0000"/>
                <w:szCs w:val="21"/>
                <w:highlight w:val="none"/>
              </w:rPr>
              <w:t>0.</w:t>
            </w:r>
            <w:r>
              <w:rPr>
                <w:rFonts w:hint="eastAsia" w:ascii="Times New Roman" w:hAnsi="Times New Roman" w:cs="Times New Roman"/>
                <w:color w:val="FF0000"/>
                <w:szCs w:val="21"/>
                <w:highlight w:val="none"/>
                <w:lang w:val="en-US" w:eastAsia="zh-CN"/>
              </w:rPr>
              <w:t>00115</w:t>
            </w:r>
            <w:r>
              <w:rPr>
                <w:rFonts w:hint="eastAsia" w:ascii="Times New Roman" w:hAnsi="Times New Roman" w:cs="Times New Roman"/>
                <w:color w:val="FF0000"/>
                <w:szCs w:val="21"/>
                <w:highlight w:val="none"/>
              </w:rPr>
              <w:t>t/a</w:t>
            </w:r>
          </w:p>
        </w:tc>
        <w:tc>
          <w:tcPr>
            <w:tcW w:w="1508" w:type="dxa"/>
            <w:shd w:val="clear" w:color="auto" w:fill="auto"/>
            <w:vAlign w:val="center"/>
          </w:tcPr>
          <w:p w14:paraId="360D5805">
            <w:pPr>
              <w:pStyle w:val="35"/>
              <w:spacing w:before="31" w:after="31" w:line="240" w:lineRule="auto"/>
              <w:rPr>
                <w:rFonts w:ascii="Times New Roman" w:hAnsi="Times New Roman" w:cs="Times New Roman"/>
                <w:snapToGrid w:val="0"/>
                <w:color w:val="FF0000"/>
                <w:kern w:val="21"/>
                <w:szCs w:val="21"/>
                <w:highlight w:val="none"/>
              </w:rPr>
            </w:pPr>
            <w:r>
              <w:rPr>
                <w:rFonts w:hint="eastAsia" w:ascii="Times New Roman" w:hAnsi="Times New Roman" w:cs="Times New Roman"/>
                <w:snapToGrid w:val="0"/>
                <w:color w:val="FF0000"/>
                <w:kern w:val="21"/>
                <w:szCs w:val="21"/>
                <w:highlight w:val="none"/>
              </w:rPr>
              <w:t>0.00</w:t>
            </w:r>
            <w:r>
              <w:rPr>
                <w:rFonts w:hint="eastAsia" w:ascii="Times New Roman" w:hAnsi="Times New Roman" w:cs="Times New Roman"/>
                <w:snapToGrid w:val="0"/>
                <w:color w:val="FF0000"/>
                <w:kern w:val="21"/>
                <w:szCs w:val="21"/>
                <w:highlight w:val="none"/>
                <w:lang w:val="en-US" w:eastAsia="zh-CN"/>
              </w:rPr>
              <w:t>051t</w:t>
            </w:r>
            <w:r>
              <w:rPr>
                <w:rFonts w:hint="eastAsia" w:ascii="Times New Roman" w:hAnsi="Times New Roman" w:cs="Times New Roman"/>
                <w:color w:val="FF0000"/>
                <w:szCs w:val="21"/>
                <w:highlight w:val="none"/>
              </w:rPr>
              <w:t>/a</w:t>
            </w:r>
          </w:p>
        </w:tc>
        <w:tc>
          <w:tcPr>
            <w:tcW w:w="562" w:type="pct"/>
            <w:shd w:val="clear" w:color="auto" w:fill="auto"/>
            <w:vAlign w:val="center"/>
          </w:tcPr>
          <w:p w14:paraId="066EBA65">
            <w:pPr>
              <w:pStyle w:val="35"/>
              <w:spacing w:before="31" w:after="31" w:line="240" w:lineRule="auto"/>
              <w:rPr>
                <w:rFonts w:ascii="Times New Roman" w:hAnsi="Times New Roman" w:cs="Times New Roman"/>
                <w:snapToGrid w:val="0"/>
                <w:color w:val="FF0000"/>
                <w:kern w:val="21"/>
                <w:szCs w:val="21"/>
                <w:highlight w:val="none"/>
              </w:rPr>
            </w:pPr>
            <w:r>
              <w:rPr>
                <w:rFonts w:hint="eastAsia" w:ascii="Times New Roman" w:hAnsi="Times New Roman" w:cs="Times New Roman"/>
                <w:color w:val="FF0000"/>
                <w:szCs w:val="21"/>
                <w:highlight w:val="none"/>
              </w:rPr>
              <w:t>0.0</w:t>
            </w:r>
            <w:r>
              <w:rPr>
                <w:rFonts w:hint="eastAsia" w:ascii="Times New Roman" w:hAnsi="Times New Roman" w:cs="Times New Roman"/>
                <w:color w:val="FF0000"/>
                <w:szCs w:val="21"/>
                <w:highlight w:val="none"/>
                <w:lang w:val="en-US" w:eastAsia="zh-CN"/>
              </w:rPr>
              <w:t>0115</w:t>
            </w:r>
            <w:r>
              <w:rPr>
                <w:rFonts w:hint="eastAsia" w:ascii="Times New Roman" w:hAnsi="Times New Roman" w:cs="Times New Roman"/>
                <w:snapToGrid w:val="0"/>
                <w:color w:val="FF0000"/>
                <w:kern w:val="21"/>
                <w:szCs w:val="21"/>
                <w:highlight w:val="none"/>
                <w:lang w:val="en-US" w:eastAsia="zh-CN"/>
              </w:rPr>
              <w:t>t</w:t>
            </w:r>
            <w:r>
              <w:rPr>
                <w:rFonts w:hint="eastAsia" w:ascii="Times New Roman" w:hAnsi="Times New Roman" w:cs="Times New Roman"/>
                <w:color w:val="FF0000"/>
                <w:szCs w:val="21"/>
                <w:highlight w:val="none"/>
              </w:rPr>
              <w:t>/a</w:t>
            </w:r>
          </w:p>
        </w:tc>
        <w:tc>
          <w:tcPr>
            <w:tcW w:w="1464" w:type="dxa"/>
            <w:shd w:val="clear" w:color="auto" w:fill="auto"/>
            <w:vAlign w:val="center"/>
          </w:tcPr>
          <w:p w14:paraId="4DEFF623">
            <w:pPr>
              <w:pStyle w:val="35"/>
              <w:spacing w:before="31" w:after="31" w:line="240" w:lineRule="auto"/>
              <w:rPr>
                <w:color w:val="FF0000"/>
                <w:sz w:val="21"/>
                <w:szCs w:val="21"/>
                <w:highlight w:val="magenta"/>
              </w:rPr>
            </w:pPr>
            <w:r>
              <w:rPr>
                <w:rFonts w:hint="eastAsia" w:ascii="Times New Roman" w:hAnsi="Times New Roman" w:cs="Times New Roman"/>
                <w:color w:val="FF0000"/>
                <w:szCs w:val="21"/>
                <w:lang w:val="en-US" w:eastAsia="zh-CN"/>
              </w:rPr>
              <w:t>+</w:t>
            </w:r>
            <w:r>
              <w:rPr>
                <w:rFonts w:hint="eastAsia" w:ascii="Times New Roman" w:hAnsi="Times New Roman" w:cs="Times New Roman"/>
                <w:color w:val="FF0000"/>
                <w:szCs w:val="21"/>
              </w:rPr>
              <w:t>0.0</w:t>
            </w:r>
            <w:r>
              <w:rPr>
                <w:rFonts w:hint="eastAsia" w:ascii="Times New Roman" w:hAnsi="Times New Roman" w:cs="Times New Roman"/>
                <w:color w:val="FF0000"/>
                <w:szCs w:val="21"/>
                <w:lang w:val="en-US" w:eastAsia="zh-CN"/>
              </w:rPr>
              <w:t>0064</w:t>
            </w:r>
            <w:r>
              <w:rPr>
                <w:rFonts w:hint="eastAsia" w:ascii="Times New Roman" w:hAnsi="Times New Roman" w:cs="Times New Roman"/>
                <w:color w:val="FF0000"/>
                <w:szCs w:val="21"/>
              </w:rPr>
              <w:t>t/a</w:t>
            </w:r>
          </w:p>
        </w:tc>
      </w:tr>
      <w:tr w14:paraId="40E9B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25F2BFB0">
            <w:pPr>
              <w:pStyle w:val="35"/>
              <w:spacing w:before="31" w:after="31" w:line="240" w:lineRule="auto"/>
              <w:rPr>
                <w:rFonts w:ascii="Times New Roman" w:hAnsi="Times New Roman" w:cs="Times New Roman"/>
                <w:snapToGrid w:val="0"/>
                <w:kern w:val="21"/>
                <w:szCs w:val="21"/>
              </w:rPr>
            </w:pPr>
          </w:p>
        </w:tc>
        <w:tc>
          <w:tcPr>
            <w:tcW w:w="888" w:type="pct"/>
            <w:shd w:val="clear" w:color="auto" w:fill="auto"/>
            <w:vAlign w:val="center"/>
          </w:tcPr>
          <w:p w14:paraId="68E43160">
            <w:pPr>
              <w:pStyle w:val="35"/>
              <w:spacing w:before="31" w:after="31" w:line="240" w:lineRule="auto"/>
              <w:rPr>
                <w:rFonts w:ascii="Times New Roman" w:hAnsi="Times New Roman" w:cs="Times New Roman"/>
                <w:snapToGrid w:val="0"/>
                <w:kern w:val="21"/>
                <w:szCs w:val="21"/>
              </w:rPr>
            </w:pPr>
            <w:r>
              <w:rPr>
                <w:rFonts w:hint="eastAsia" w:ascii="Times New Roman" w:hAnsi="Times New Roman" w:cs="Times New Roman"/>
                <w:snapToGrid w:val="0"/>
                <w:kern w:val="21"/>
                <w:szCs w:val="21"/>
              </w:rPr>
              <w:t>氮氧化物</w:t>
            </w:r>
          </w:p>
        </w:tc>
        <w:tc>
          <w:tcPr>
            <w:tcW w:w="530" w:type="pct"/>
            <w:shd w:val="clear" w:color="auto" w:fill="auto"/>
            <w:vAlign w:val="center"/>
          </w:tcPr>
          <w:p w14:paraId="3E53A7BD">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w:t>
            </w:r>
          </w:p>
        </w:tc>
        <w:tc>
          <w:tcPr>
            <w:tcW w:w="462" w:type="pct"/>
            <w:shd w:val="clear" w:color="auto" w:fill="auto"/>
            <w:vAlign w:val="center"/>
          </w:tcPr>
          <w:p w14:paraId="0D0AB337">
            <w:pPr>
              <w:pStyle w:val="35"/>
              <w:spacing w:before="31" w:after="31" w:line="240" w:lineRule="auto"/>
              <w:rPr>
                <w:rFonts w:ascii="Times New Roman" w:hAnsi="Times New Roman" w:cs="Times New Roman"/>
                <w:snapToGrid w:val="0"/>
                <w:kern w:val="21"/>
                <w:szCs w:val="21"/>
              </w:rPr>
            </w:pPr>
            <w:r>
              <w:rPr>
                <w:rFonts w:hint="eastAsia" w:ascii="Times New Roman" w:hAnsi="Times New Roman" w:cs="Times New Roman"/>
                <w:snapToGrid w:val="0"/>
                <w:kern w:val="21"/>
                <w:szCs w:val="21"/>
              </w:rPr>
              <w:t>/</w:t>
            </w:r>
          </w:p>
        </w:tc>
        <w:tc>
          <w:tcPr>
            <w:tcW w:w="545" w:type="pct"/>
            <w:shd w:val="clear" w:color="auto" w:fill="auto"/>
            <w:vAlign w:val="center"/>
          </w:tcPr>
          <w:p w14:paraId="316EBB73">
            <w:pPr>
              <w:pStyle w:val="35"/>
              <w:spacing w:before="31" w:after="31" w:line="240" w:lineRule="auto"/>
              <w:rPr>
                <w:rFonts w:ascii="Times New Roman" w:hAnsi="Times New Roman" w:cs="Times New Roman"/>
                <w:snapToGrid w:val="0"/>
                <w:kern w:val="21"/>
                <w:szCs w:val="21"/>
              </w:rPr>
            </w:pPr>
            <w:r>
              <w:rPr>
                <w:rFonts w:hint="eastAsia" w:ascii="Times New Roman" w:hAnsi="Times New Roman" w:cs="Times New Roman"/>
                <w:snapToGrid w:val="0"/>
                <w:kern w:val="21"/>
                <w:szCs w:val="21"/>
              </w:rPr>
              <w:t>/</w:t>
            </w:r>
          </w:p>
        </w:tc>
        <w:tc>
          <w:tcPr>
            <w:tcW w:w="545" w:type="pct"/>
            <w:shd w:val="clear" w:color="auto" w:fill="auto"/>
            <w:vAlign w:val="center"/>
          </w:tcPr>
          <w:p w14:paraId="13E5620F">
            <w:pPr>
              <w:pStyle w:val="35"/>
              <w:spacing w:before="31" w:after="31" w:line="240" w:lineRule="auto"/>
              <w:rPr>
                <w:rFonts w:ascii="Times New Roman" w:hAnsi="Times New Roman" w:cs="Times New Roman"/>
                <w:color w:val="FF0000"/>
                <w:szCs w:val="21"/>
              </w:rPr>
            </w:pPr>
            <w:r>
              <w:rPr>
                <w:rFonts w:hint="eastAsia" w:ascii="Times New Roman" w:hAnsi="Times New Roman" w:cs="Times New Roman"/>
                <w:color w:val="FF0000"/>
                <w:szCs w:val="21"/>
              </w:rPr>
              <w:t>0.0</w:t>
            </w:r>
            <w:r>
              <w:rPr>
                <w:rFonts w:hint="eastAsia" w:ascii="Times New Roman" w:hAnsi="Times New Roman" w:cs="Times New Roman"/>
                <w:color w:val="FF0000"/>
                <w:szCs w:val="21"/>
                <w:lang w:val="en-US" w:eastAsia="zh-CN"/>
              </w:rPr>
              <w:t>027</w:t>
            </w:r>
            <w:r>
              <w:rPr>
                <w:rFonts w:hint="eastAsia" w:ascii="Times New Roman" w:hAnsi="Times New Roman" w:cs="Times New Roman"/>
                <w:color w:val="FF0000"/>
                <w:szCs w:val="21"/>
              </w:rPr>
              <w:t>t/a</w:t>
            </w:r>
          </w:p>
        </w:tc>
        <w:tc>
          <w:tcPr>
            <w:tcW w:w="545" w:type="pct"/>
            <w:shd w:val="clear" w:color="auto" w:fill="auto"/>
            <w:vAlign w:val="center"/>
          </w:tcPr>
          <w:p w14:paraId="6DDD2A86">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w:t>
            </w:r>
          </w:p>
        </w:tc>
        <w:tc>
          <w:tcPr>
            <w:tcW w:w="562" w:type="pct"/>
            <w:shd w:val="clear" w:color="auto" w:fill="auto"/>
            <w:vAlign w:val="center"/>
          </w:tcPr>
          <w:p w14:paraId="06A9C5E5">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color w:val="FF0000"/>
                <w:szCs w:val="21"/>
              </w:rPr>
              <w:t>0.</w:t>
            </w:r>
            <w:r>
              <w:rPr>
                <w:rFonts w:hint="eastAsia" w:ascii="Times New Roman" w:hAnsi="Times New Roman" w:cs="Times New Roman"/>
                <w:color w:val="FF0000"/>
                <w:szCs w:val="21"/>
                <w:lang w:val="en-US" w:eastAsia="zh-CN"/>
              </w:rPr>
              <w:t>0027t</w:t>
            </w:r>
            <w:r>
              <w:rPr>
                <w:rFonts w:hint="eastAsia" w:ascii="Times New Roman" w:hAnsi="Times New Roman" w:cs="Times New Roman"/>
                <w:color w:val="FF0000"/>
                <w:szCs w:val="21"/>
              </w:rPr>
              <w:t>/a</w:t>
            </w:r>
          </w:p>
        </w:tc>
        <w:tc>
          <w:tcPr>
            <w:tcW w:w="1464" w:type="dxa"/>
            <w:shd w:val="clear" w:color="auto" w:fill="auto"/>
            <w:vAlign w:val="center"/>
          </w:tcPr>
          <w:p w14:paraId="7F55B3B3">
            <w:pPr>
              <w:pStyle w:val="35"/>
              <w:spacing w:before="31" w:after="31" w:line="240" w:lineRule="auto"/>
              <w:rPr>
                <w:color w:val="FF0000"/>
                <w:sz w:val="21"/>
                <w:szCs w:val="21"/>
              </w:rPr>
            </w:pPr>
            <w:r>
              <w:rPr>
                <w:rFonts w:hint="eastAsia" w:ascii="Times New Roman" w:hAnsi="Times New Roman" w:cs="Times New Roman"/>
                <w:color w:val="FF0000"/>
                <w:szCs w:val="21"/>
                <w:lang w:val="en-US" w:eastAsia="zh-CN"/>
              </w:rPr>
              <w:t>+</w:t>
            </w:r>
            <w:r>
              <w:rPr>
                <w:rFonts w:hint="eastAsia" w:ascii="Times New Roman" w:hAnsi="Times New Roman" w:cs="Times New Roman"/>
                <w:color w:val="FF0000"/>
                <w:szCs w:val="21"/>
              </w:rPr>
              <w:t>0.0</w:t>
            </w:r>
            <w:r>
              <w:rPr>
                <w:rFonts w:hint="eastAsia" w:ascii="Times New Roman" w:hAnsi="Times New Roman" w:cs="Times New Roman"/>
                <w:color w:val="FF0000"/>
                <w:szCs w:val="21"/>
                <w:lang w:val="en-US" w:eastAsia="zh-CN"/>
              </w:rPr>
              <w:t>027</w:t>
            </w:r>
            <w:r>
              <w:rPr>
                <w:rFonts w:hint="eastAsia" w:ascii="Times New Roman" w:hAnsi="Times New Roman" w:cs="Times New Roman"/>
                <w:color w:val="FF0000"/>
                <w:szCs w:val="21"/>
              </w:rPr>
              <w:t>t/a</w:t>
            </w:r>
          </w:p>
        </w:tc>
      </w:tr>
      <w:tr w14:paraId="3521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restart"/>
            <w:shd w:val="clear" w:color="auto" w:fill="auto"/>
            <w:vAlign w:val="center"/>
          </w:tcPr>
          <w:p w14:paraId="11E2C149">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废水</w:t>
            </w:r>
          </w:p>
        </w:tc>
        <w:tc>
          <w:tcPr>
            <w:tcW w:w="888" w:type="pct"/>
            <w:shd w:val="clear" w:color="auto" w:fill="auto"/>
            <w:vAlign w:val="center"/>
          </w:tcPr>
          <w:p w14:paraId="7F473958">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COD</w:t>
            </w:r>
          </w:p>
        </w:tc>
        <w:tc>
          <w:tcPr>
            <w:tcW w:w="530" w:type="pct"/>
            <w:shd w:val="clear" w:color="auto" w:fill="auto"/>
            <w:vAlign w:val="center"/>
          </w:tcPr>
          <w:p w14:paraId="1036EFA4">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0.2</w:t>
            </w:r>
            <w:r>
              <w:rPr>
                <w:rFonts w:hint="eastAsia" w:ascii="Times New Roman" w:hAnsi="Times New Roman" w:cs="Times New Roman"/>
                <w:snapToGrid w:val="0"/>
                <w:color w:val="FF0000"/>
                <w:kern w:val="21"/>
                <w:szCs w:val="21"/>
                <w:lang w:val="en-US" w:eastAsia="zh-CN"/>
              </w:rPr>
              <w:t>0</w:t>
            </w:r>
            <w:r>
              <w:rPr>
                <w:rFonts w:hint="eastAsia" w:ascii="Times New Roman" w:hAnsi="Times New Roman" w:cs="Times New Roman"/>
                <w:color w:val="FF0000"/>
                <w:szCs w:val="21"/>
              </w:rPr>
              <w:t>t/a</w:t>
            </w:r>
          </w:p>
        </w:tc>
        <w:tc>
          <w:tcPr>
            <w:tcW w:w="462" w:type="pct"/>
            <w:shd w:val="clear" w:color="auto" w:fill="auto"/>
            <w:vAlign w:val="center"/>
          </w:tcPr>
          <w:p w14:paraId="2DCCDEE6">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27DFCE52">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33BC1A23">
            <w:pPr>
              <w:adjustRightInd w:val="0"/>
              <w:snapToGrid w:val="0"/>
              <w:jc w:val="center"/>
              <w:rPr>
                <w:snapToGrid w:val="0"/>
                <w:color w:val="FF0000"/>
                <w:kern w:val="21"/>
                <w:sz w:val="21"/>
                <w:szCs w:val="21"/>
              </w:rPr>
            </w:pPr>
            <w:r>
              <w:rPr>
                <w:rFonts w:hint="eastAsia"/>
                <w:snapToGrid w:val="0"/>
                <w:color w:val="FF0000"/>
                <w:kern w:val="21"/>
                <w:sz w:val="21"/>
                <w:szCs w:val="21"/>
              </w:rPr>
              <w:t>0.</w:t>
            </w:r>
            <w:r>
              <w:rPr>
                <w:rFonts w:hint="eastAsia"/>
                <w:snapToGrid w:val="0"/>
                <w:color w:val="FF0000"/>
                <w:kern w:val="21"/>
                <w:sz w:val="21"/>
                <w:szCs w:val="21"/>
                <w:lang w:val="en-US" w:eastAsia="zh-CN"/>
              </w:rPr>
              <w:t>20</w:t>
            </w:r>
            <w:r>
              <w:rPr>
                <w:rFonts w:hint="eastAsia"/>
                <w:color w:val="FF0000"/>
                <w:szCs w:val="21"/>
              </w:rPr>
              <w:t>t/a</w:t>
            </w:r>
          </w:p>
        </w:tc>
        <w:tc>
          <w:tcPr>
            <w:tcW w:w="1508" w:type="dxa"/>
            <w:shd w:val="clear" w:color="auto" w:fill="auto"/>
            <w:vAlign w:val="center"/>
          </w:tcPr>
          <w:p w14:paraId="3858149E">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0.2</w:t>
            </w:r>
            <w:r>
              <w:rPr>
                <w:rFonts w:hint="eastAsia" w:ascii="Times New Roman" w:hAnsi="Times New Roman" w:cs="Times New Roman"/>
                <w:snapToGrid w:val="0"/>
                <w:color w:val="FF0000"/>
                <w:kern w:val="21"/>
                <w:szCs w:val="21"/>
                <w:lang w:val="en-US" w:eastAsia="zh-CN"/>
              </w:rPr>
              <w:t>0</w:t>
            </w:r>
            <w:r>
              <w:rPr>
                <w:rFonts w:hint="eastAsia" w:ascii="Times New Roman" w:hAnsi="Times New Roman" w:cs="Times New Roman"/>
                <w:color w:val="FF0000"/>
                <w:szCs w:val="21"/>
              </w:rPr>
              <w:t>t/a</w:t>
            </w:r>
          </w:p>
        </w:tc>
        <w:tc>
          <w:tcPr>
            <w:tcW w:w="562" w:type="pct"/>
            <w:shd w:val="clear" w:color="auto" w:fill="auto"/>
            <w:vAlign w:val="center"/>
          </w:tcPr>
          <w:p w14:paraId="15D04834">
            <w:pPr>
              <w:adjustRightInd w:val="0"/>
              <w:snapToGrid w:val="0"/>
              <w:jc w:val="center"/>
              <w:rPr>
                <w:snapToGrid w:val="0"/>
                <w:color w:val="FF0000"/>
                <w:kern w:val="21"/>
                <w:sz w:val="21"/>
                <w:szCs w:val="21"/>
                <w:highlight w:val="magenta"/>
              </w:rPr>
            </w:pPr>
            <w:r>
              <w:rPr>
                <w:rFonts w:hint="eastAsia"/>
                <w:snapToGrid w:val="0"/>
                <w:color w:val="FF0000"/>
                <w:kern w:val="21"/>
                <w:sz w:val="21"/>
                <w:szCs w:val="21"/>
              </w:rPr>
              <w:t>0.</w:t>
            </w:r>
            <w:r>
              <w:rPr>
                <w:rFonts w:hint="eastAsia"/>
                <w:snapToGrid w:val="0"/>
                <w:color w:val="FF0000"/>
                <w:kern w:val="21"/>
                <w:sz w:val="21"/>
                <w:szCs w:val="21"/>
                <w:lang w:val="en-US" w:eastAsia="zh-CN"/>
              </w:rPr>
              <w:t>20</w:t>
            </w:r>
            <w:r>
              <w:rPr>
                <w:rFonts w:hint="eastAsia"/>
                <w:color w:val="FF0000"/>
                <w:szCs w:val="21"/>
              </w:rPr>
              <w:t>t/a</w:t>
            </w:r>
          </w:p>
        </w:tc>
        <w:tc>
          <w:tcPr>
            <w:tcW w:w="1464" w:type="dxa"/>
            <w:shd w:val="clear" w:color="auto" w:fill="auto"/>
            <w:vAlign w:val="center"/>
          </w:tcPr>
          <w:p w14:paraId="271D9278">
            <w:pPr>
              <w:adjustRightInd w:val="0"/>
              <w:snapToGrid w:val="0"/>
              <w:jc w:val="center"/>
              <w:rPr>
                <w:snapToGrid w:val="0"/>
                <w:color w:val="FF0000"/>
                <w:kern w:val="21"/>
                <w:sz w:val="21"/>
                <w:szCs w:val="21"/>
                <w:highlight w:val="magenta"/>
              </w:rPr>
            </w:pPr>
            <w:r>
              <w:rPr>
                <w:rFonts w:hint="eastAsia"/>
                <w:snapToGrid w:val="0"/>
                <w:color w:val="FF0000"/>
                <w:kern w:val="21"/>
                <w:sz w:val="21"/>
                <w:szCs w:val="21"/>
                <w:lang w:val="en-US" w:eastAsia="zh-CN"/>
              </w:rPr>
              <w:t>0</w:t>
            </w:r>
          </w:p>
        </w:tc>
      </w:tr>
      <w:tr w14:paraId="0AAAB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7B9C6978">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1D7CA1E3">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氨氮</w:t>
            </w:r>
          </w:p>
        </w:tc>
        <w:tc>
          <w:tcPr>
            <w:tcW w:w="530" w:type="pct"/>
            <w:shd w:val="clear" w:color="auto" w:fill="auto"/>
            <w:vAlign w:val="center"/>
          </w:tcPr>
          <w:p w14:paraId="0DBB83CD">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0.0</w:t>
            </w:r>
            <w:r>
              <w:rPr>
                <w:rFonts w:hint="eastAsia" w:ascii="Times New Roman" w:hAnsi="Times New Roman" w:cs="Times New Roman"/>
                <w:snapToGrid w:val="0"/>
                <w:color w:val="FF0000"/>
                <w:kern w:val="21"/>
                <w:szCs w:val="21"/>
                <w:lang w:val="en-US" w:eastAsia="zh-CN"/>
              </w:rPr>
              <w:t>31</w:t>
            </w:r>
            <w:r>
              <w:rPr>
                <w:rFonts w:hint="eastAsia" w:ascii="Times New Roman" w:hAnsi="Times New Roman" w:cs="Times New Roman"/>
                <w:color w:val="FF0000"/>
                <w:szCs w:val="21"/>
              </w:rPr>
              <w:t>t/a</w:t>
            </w:r>
          </w:p>
        </w:tc>
        <w:tc>
          <w:tcPr>
            <w:tcW w:w="462" w:type="pct"/>
            <w:shd w:val="clear" w:color="auto" w:fill="auto"/>
            <w:vAlign w:val="center"/>
          </w:tcPr>
          <w:p w14:paraId="0243463F">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21916D09">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3DAB05DA">
            <w:pPr>
              <w:adjustRightInd w:val="0"/>
              <w:snapToGrid w:val="0"/>
              <w:jc w:val="center"/>
              <w:rPr>
                <w:snapToGrid w:val="0"/>
                <w:color w:val="FF0000"/>
                <w:kern w:val="21"/>
                <w:sz w:val="21"/>
                <w:szCs w:val="21"/>
              </w:rPr>
            </w:pPr>
            <w:r>
              <w:rPr>
                <w:rFonts w:hint="eastAsia"/>
                <w:snapToGrid w:val="0"/>
                <w:color w:val="FF0000"/>
                <w:kern w:val="21"/>
                <w:sz w:val="21"/>
                <w:szCs w:val="21"/>
              </w:rPr>
              <w:t>0.0</w:t>
            </w:r>
            <w:r>
              <w:rPr>
                <w:rFonts w:hint="eastAsia"/>
                <w:snapToGrid w:val="0"/>
                <w:color w:val="FF0000"/>
                <w:kern w:val="21"/>
                <w:sz w:val="21"/>
                <w:szCs w:val="21"/>
                <w:lang w:val="en-US" w:eastAsia="zh-CN"/>
              </w:rPr>
              <w:t>32</w:t>
            </w:r>
            <w:r>
              <w:rPr>
                <w:rFonts w:hint="eastAsia"/>
                <w:color w:val="FF0000"/>
                <w:szCs w:val="21"/>
              </w:rPr>
              <w:t>t/a</w:t>
            </w:r>
          </w:p>
        </w:tc>
        <w:tc>
          <w:tcPr>
            <w:tcW w:w="1508" w:type="dxa"/>
            <w:shd w:val="clear" w:color="auto" w:fill="auto"/>
            <w:vAlign w:val="center"/>
          </w:tcPr>
          <w:p w14:paraId="58632D5E">
            <w:pPr>
              <w:pStyle w:val="35"/>
              <w:spacing w:before="31" w:after="31" w:line="240" w:lineRule="auto"/>
              <w:rPr>
                <w:rFonts w:ascii="Times New Roman" w:hAnsi="Times New Roman" w:cs="Times New Roman"/>
                <w:snapToGrid w:val="0"/>
                <w:color w:val="FF0000"/>
                <w:kern w:val="21"/>
                <w:szCs w:val="21"/>
              </w:rPr>
            </w:pPr>
            <w:r>
              <w:rPr>
                <w:rFonts w:hint="eastAsia" w:ascii="Times New Roman" w:hAnsi="Times New Roman" w:cs="Times New Roman"/>
                <w:snapToGrid w:val="0"/>
                <w:color w:val="FF0000"/>
                <w:kern w:val="21"/>
                <w:szCs w:val="21"/>
              </w:rPr>
              <w:t>0.0</w:t>
            </w:r>
            <w:r>
              <w:rPr>
                <w:rFonts w:hint="eastAsia" w:ascii="Times New Roman" w:hAnsi="Times New Roman" w:cs="Times New Roman"/>
                <w:snapToGrid w:val="0"/>
                <w:color w:val="FF0000"/>
                <w:kern w:val="21"/>
                <w:szCs w:val="21"/>
                <w:lang w:val="en-US" w:eastAsia="zh-CN"/>
              </w:rPr>
              <w:t>31</w:t>
            </w:r>
            <w:r>
              <w:rPr>
                <w:rFonts w:hint="eastAsia" w:ascii="Times New Roman" w:hAnsi="Times New Roman" w:cs="Times New Roman"/>
                <w:color w:val="FF0000"/>
                <w:szCs w:val="21"/>
              </w:rPr>
              <w:t>t/a</w:t>
            </w:r>
          </w:p>
        </w:tc>
        <w:tc>
          <w:tcPr>
            <w:tcW w:w="562" w:type="pct"/>
            <w:shd w:val="clear" w:color="auto" w:fill="auto"/>
            <w:vAlign w:val="center"/>
          </w:tcPr>
          <w:p w14:paraId="6C34A69A">
            <w:pPr>
              <w:adjustRightInd w:val="0"/>
              <w:snapToGrid w:val="0"/>
              <w:jc w:val="center"/>
              <w:rPr>
                <w:snapToGrid w:val="0"/>
                <w:color w:val="FF0000"/>
                <w:kern w:val="21"/>
                <w:sz w:val="21"/>
                <w:szCs w:val="21"/>
              </w:rPr>
            </w:pPr>
            <w:r>
              <w:rPr>
                <w:rFonts w:hint="eastAsia"/>
                <w:snapToGrid w:val="0"/>
                <w:color w:val="FF0000"/>
                <w:kern w:val="21"/>
                <w:sz w:val="21"/>
                <w:szCs w:val="21"/>
              </w:rPr>
              <w:t>0.0</w:t>
            </w:r>
            <w:r>
              <w:rPr>
                <w:rFonts w:hint="eastAsia"/>
                <w:snapToGrid w:val="0"/>
                <w:color w:val="FF0000"/>
                <w:kern w:val="21"/>
                <w:sz w:val="21"/>
                <w:szCs w:val="21"/>
                <w:lang w:val="en-US" w:eastAsia="zh-CN"/>
              </w:rPr>
              <w:t>32</w:t>
            </w:r>
            <w:r>
              <w:rPr>
                <w:rFonts w:hint="eastAsia"/>
                <w:color w:val="FF0000"/>
                <w:szCs w:val="21"/>
              </w:rPr>
              <w:t>t/a</w:t>
            </w:r>
          </w:p>
        </w:tc>
        <w:tc>
          <w:tcPr>
            <w:tcW w:w="1464" w:type="dxa"/>
            <w:shd w:val="clear" w:color="auto" w:fill="auto"/>
            <w:vAlign w:val="center"/>
          </w:tcPr>
          <w:p w14:paraId="1EAB1204">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0.</w:t>
            </w:r>
            <w:r>
              <w:rPr>
                <w:rFonts w:hint="eastAsia"/>
                <w:snapToGrid w:val="0"/>
                <w:color w:val="FF0000"/>
                <w:kern w:val="21"/>
                <w:sz w:val="21"/>
                <w:szCs w:val="21"/>
                <w:lang w:val="en-US" w:eastAsia="zh-CN"/>
              </w:rPr>
              <w:t>001t</w:t>
            </w:r>
            <w:r>
              <w:rPr>
                <w:rFonts w:hint="eastAsia"/>
                <w:color w:val="FF0000"/>
                <w:szCs w:val="21"/>
              </w:rPr>
              <w:t>/a</w:t>
            </w:r>
          </w:p>
        </w:tc>
      </w:tr>
      <w:tr w14:paraId="6DA51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278" w:type="pct"/>
            <w:gridSpan w:val="2"/>
            <w:shd w:val="clear" w:color="auto" w:fill="auto"/>
            <w:vAlign w:val="center"/>
          </w:tcPr>
          <w:p w14:paraId="6D3A2902">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生活垃圾</w:t>
            </w:r>
          </w:p>
        </w:tc>
        <w:tc>
          <w:tcPr>
            <w:tcW w:w="530" w:type="pct"/>
            <w:shd w:val="clear" w:color="auto" w:fill="auto"/>
            <w:vAlign w:val="center"/>
          </w:tcPr>
          <w:p w14:paraId="5D9A65CC">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10.95</w:t>
            </w:r>
            <w:r>
              <w:rPr>
                <w:rFonts w:hint="eastAsia" w:ascii="Times New Roman" w:hAnsi="Times New Roman" w:cs="Times New Roman"/>
                <w:color w:val="auto"/>
                <w:szCs w:val="21"/>
              </w:rPr>
              <w:t>t/a</w:t>
            </w:r>
          </w:p>
        </w:tc>
        <w:tc>
          <w:tcPr>
            <w:tcW w:w="462" w:type="pct"/>
            <w:shd w:val="clear" w:color="auto" w:fill="auto"/>
            <w:vAlign w:val="center"/>
          </w:tcPr>
          <w:p w14:paraId="3BC48126">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61DA2FC2">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18F440DF">
            <w:pPr>
              <w:adjustRightInd w:val="0"/>
              <w:snapToGrid w:val="0"/>
              <w:jc w:val="center"/>
              <w:rPr>
                <w:color w:val="auto"/>
                <w:sz w:val="21"/>
                <w:szCs w:val="21"/>
              </w:rPr>
            </w:pPr>
            <w:r>
              <w:rPr>
                <w:rFonts w:hint="eastAsia"/>
                <w:color w:val="auto"/>
                <w:sz w:val="21"/>
                <w:szCs w:val="21"/>
              </w:rPr>
              <w:t>10.95</w:t>
            </w:r>
            <w:r>
              <w:rPr>
                <w:rFonts w:hint="eastAsia"/>
                <w:color w:val="auto"/>
                <w:szCs w:val="21"/>
              </w:rPr>
              <w:t>t/a</w:t>
            </w:r>
          </w:p>
        </w:tc>
        <w:tc>
          <w:tcPr>
            <w:tcW w:w="545" w:type="pct"/>
            <w:shd w:val="clear" w:color="auto" w:fill="auto"/>
            <w:vAlign w:val="center"/>
          </w:tcPr>
          <w:p w14:paraId="515A1BF8">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10.95</w:t>
            </w:r>
            <w:r>
              <w:rPr>
                <w:rFonts w:hint="eastAsia" w:ascii="Times New Roman" w:hAnsi="Times New Roman" w:cs="Times New Roman"/>
                <w:color w:val="auto"/>
                <w:szCs w:val="21"/>
              </w:rPr>
              <w:t>t/a</w:t>
            </w:r>
          </w:p>
        </w:tc>
        <w:tc>
          <w:tcPr>
            <w:tcW w:w="562" w:type="pct"/>
            <w:shd w:val="clear" w:color="auto" w:fill="auto"/>
            <w:vAlign w:val="center"/>
          </w:tcPr>
          <w:p w14:paraId="72D75380">
            <w:pPr>
              <w:adjustRightInd w:val="0"/>
              <w:snapToGrid w:val="0"/>
              <w:jc w:val="center"/>
              <w:rPr>
                <w:snapToGrid w:val="0"/>
                <w:color w:val="auto"/>
                <w:kern w:val="21"/>
                <w:sz w:val="21"/>
                <w:szCs w:val="21"/>
              </w:rPr>
            </w:pPr>
            <w:r>
              <w:rPr>
                <w:rFonts w:hint="eastAsia"/>
                <w:snapToGrid w:val="0"/>
                <w:color w:val="auto"/>
                <w:kern w:val="21"/>
                <w:sz w:val="21"/>
                <w:szCs w:val="21"/>
              </w:rPr>
              <w:t>10.95</w:t>
            </w:r>
            <w:r>
              <w:rPr>
                <w:rFonts w:hint="eastAsia"/>
                <w:color w:val="auto"/>
                <w:szCs w:val="21"/>
              </w:rPr>
              <w:t>t/a</w:t>
            </w:r>
          </w:p>
        </w:tc>
        <w:tc>
          <w:tcPr>
            <w:tcW w:w="1464" w:type="dxa"/>
            <w:shd w:val="clear" w:color="auto" w:fill="auto"/>
            <w:vAlign w:val="center"/>
          </w:tcPr>
          <w:p w14:paraId="5FC39093">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10.95</w:t>
            </w:r>
            <w:r>
              <w:rPr>
                <w:rFonts w:hint="eastAsia"/>
                <w:color w:val="FF0000"/>
                <w:szCs w:val="21"/>
              </w:rPr>
              <w:t>t/a</w:t>
            </w:r>
          </w:p>
        </w:tc>
      </w:tr>
      <w:tr w14:paraId="51BC6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restart"/>
            <w:shd w:val="clear" w:color="auto" w:fill="auto"/>
            <w:vAlign w:val="center"/>
          </w:tcPr>
          <w:p w14:paraId="61D324F3">
            <w:pPr>
              <w:pStyle w:val="35"/>
              <w:spacing w:before="31" w:after="31" w:line="240" w:lineRule="auto"/>
              <w:rPr>
                <w:rFonts w:ascii="Times New Roman" w:hAnsi="Times New Roman" w:cs="Times New Roman"/>
                <w:snapToGrid w:val="0"/>
                <w:color w:val="auto"/>
                <w:kern w:val="21"/>
                <w:szCs w:val="21"/>
              </w:rPr>
            </w:pPr>
            <w:r>
              <w:rPr>
                <w:snapToGrid w:val="0"/>
                <w:color w:val="auto"/>
                <w:kern w:val="21"/>
                <w:szCs w:val="21"/>
              </w:rPr>
              <w:t>一般工业固体废物</w:t>
            </w:r>
          </w:p>
        </w:tc>
        <w:tc>
          <w:tcPr>
            <w:tcW w:w="888" w:type="pct"/>
            <w:shd w:val="clear" w:color="auto" w:fill="auto"/>
            <w:vAlign w:val="center"/>
          </w:tcPr>
          <w:p w14:paraId="3003210C">
            <w:pPr>
              <w:pStyle w:val="35"/>
              <w:spacing w:before="31" w:after="31" w:line="240" w:lineRule="auto"/>
              <w:rPr>
                <w:rFonts w:ascii="Times New Roman" w:hAnsi="Times New Roman" w:cs="Times New Roman"/>
                <w:color w:val="auto"/>
                <w:kern w:val="0"/>
                <w:szCs w:val="21"/>
                <w:lang w:bidi="ar"/>
              </w:rPr>
            </w:pPr>
            <w:r>
              <w:rPr>
                <w:rFonts w:ascii="Times New Roman" w:hAnsi="Times New Roman" w:cs="Times New Roman"/>
                <w:color w:val="auto"/>
                <w:szCs w:val="21"/>
              </w:rPr>
              <w:t>废</w:t>
            </w:r>
            <w:r>
              <w:rPr>
                <w:rFonts w:hint="eastAsia" w:ascii="Times New Roman" w:hAnsi="Times New Roman" w:cs="Times New Roman"/>
                <w:color w:val="auto"/>
                <w:szCs w:val="21"/>
              </w:rPr>
              <w:t>滤芯</w:t>
            </w:r>
          </w:p>
        </w:tc>
        <w:tc>
          <w:tcPr>
            <w:tcW w:w="530" w:type="pct"/>
            <w:shd w:val="clear" w:color="auto" w:fill="auto"/>
            <w:vAlign w:val="center"/>
          </w:tcPr>
          <w:p w14:paraId="7D2B0108">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0.02</w:t>
            </w:r>
            <w:r>
              <w:rPr>
                <w:rFonts w:hint="eastAsia" w:ascii="Times New Roman" w:hAnsi="Times New Roman" w:cs="Times New Roman"/>
                <w:color w:val="auto"/>
                <w:szCs w:val="21"/>
              </w:rPr>
              <w:t>t/a</w:t>
            </w:r>
          </w:p>
        </w:tc>
        <w:tc>
          <w:tcPr>
            <w:tcW w:w="462" w:type="pct"/>
            <w:shd w:val="clear" w:color="auto" w:fill="auto"/>
            <w:vAlign w:val="center"/>
          </w:tcPr>
          <w:p w14:paraId="324EF999">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0F8452C7">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54EDBEBF">
            <w:pPr>
              <w:adjustRightInd w:val="0"/>
              <w:snapToGrid w:val="0"/>
              <w:jc w:val="center"/>
              <w:rPr>
                <w:color w:val="auto"/>
                <w:sz w:val="21"/>
                <w:szCs w:val="21"/>
              </w:rPr>
            </w:pPr>
            <w:r>
              <w:rPr>
                <w:color w:val="auto"/>
                <w:kern w:val="0"/>
                <w:sz w:val="21"/>
                <w:szCs w:val="21"/>
              </w:rPr>
              <w:t>0.</w:t>
            </w:r>
            <w:r>
              <w:rPr>
                <w:rFonts w:hint="eastAsia"/>
                <w:color w:val="auto"/>
                <w:kern w:val="0"/>
                <w:sz w:val="21"/>
                <w:szCs w:val="21"/>
              </w:rPr>
              <w:t>02</w:t>
            </w:r>
            <w:r>
              <w:rPr>
                <w:rFonts w:hint="eastAsia"/>
                <w:color w:val="auto"/>
                <w:szCs w:val="21"/>
              </w:rPr>
              <w:t>t/a</w:t>
            </w:r>
          </w:p>
        </w:tc>
        <w:tc>
          <w:tcPr>
            <w:tcW w:w="545" w:type="pct"/>
            <w:shd w:val="clear" w:color="auto" w:fill="auto"/>
            <w:vAlign w:val="center"/>
          </w:tcPr>
          <w:p w14:paraId="41CA4D4B">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0.02</w:t>
            </w:r>
            <w:r>
              <w:rPr>
                <w:rFonts w:hint="eastAsia" w:ascii="Times New Roman" w:hAnsi="Times New Roman" w:cs="Times New Roman"/>
                <w:color w:val="auto"/>
                <w:szCs w:val="21"/>
              </w:rPr>
              <w:t>t/a</w:t>
            </w:r>
          </w:p>
        </w:tc>
        <w:tc>
          <w:tcPr>
            <w:tcW w:w="562" w:type="pct"/>
            <w:shd w:val="clear" w:color="auto" w:fill="auto"/>
            <w:vAlign w:val="center"/>
          </w:tcPr>
          <w:p w14:paraId="22CA4A87">
            <w:pPr>
              <w:adjustRightInd w:val="0"/>
              <w:snapToGrid w:val="0"/>
              <w:jc w:val="center"/>
              <w:rPr>
                <w:color w:val="auto"/>
                <w:sz w:val="21"/>
                <w:szCs w:val="21"/>
              </w:rPr>
            </w:pPr>
            <w:r>
              <w:rPr>
                <w:rFonts w:hint="eastAsia"/>
                <w:color w:val="auto"/>
                <w:sz w:val="21"/>
                <w:szCs w:val="21"/>
              </w:rPr>
              <w:t>0.02</w:t>
            </w:r>
            <w:r>
              <w:rPr>
                <w:rFonts w:hint="eastAsia"/>
                <w:color w:val="auto"/>
                <w:szCs w:val="21"/>
              </w:rPr>
              <w:t>t/a</w:t>
            </w:r>
          </w:p>
        </w:tc>
        <w:tc>
          <w:tcPr>
            <w:tcW w:w="1464" w:type="dxa"/>
            <w:shd w:val="clear" w:color="auto" w:fill="auto"/>
            <w:vAlign w:val="center"/>
          </w:tcPr>
          <w:p w14:paraId="60304FE6">
            <w:pPr>
              <w:adjustRightInd w:val="0"/>
              <w:snapToGrid w:val="0"/>
              <w:jc w:val="center"/>
              <w:rPr>
                <w:color w:val="FF0000"/>
                <w:sz w:val="21"/>
                <w:szCs w:val="21"/>
              </w:rPr>
            </w:pPr>
            <w:r>
              <w:rPr>
                <w:rFonts w:hint="eastAsia"/>
                <w:color w:val="FF0000"/>
                <w:sz w:val="21"/>
                <w:szCs w:val="21"/>
                <w:lang w:val="en-US" w:eastAsia="zh-CN"/>
              </w:rPr>
              <w:t>+</w:t>
            </w:r>
            <w:r>
              <w:rPr>
                <w:rFonts w:hint="eastAsia"/>
                <w:color w:val="FF0000"/>
                <w:sz w:val="21"/>
                <w:szCs w:val="21"/>
              </w:rPr>
              <w:t>0.02</w:t>
            </w:r>
            <w:r>
              <w:rPr>
                <w:rFonts w:hint="eastAsia"/>
                <w:color w:val="FF0000"/>
                <w:szCs w:val="21"/>
              </w:rPr>
              <w:t>t/a</w:t>
            </w:r>
          </w:p>
        </w:tc>
      </w:tr>
      <w:tr w14:paraId="1A9BA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495A1FC2">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0B75CC19">
            <w:pPr>
              <w:widowControl/>
              <w:jc w:val="center"/>
              <w:textAlignment w:val="center"/>
              <w:rPr>
                <w:color w:val="auto"/>
                <w:kern w:val="0"/>
                <w:sz w:val="21"/>
                <w:szCs w:val="21"/>
                <w:lang w:bidi="ar"/>
              </w:rPr>
            </w:pPr>
            <w:r>
              <w:rPr>
                <w:rFonts w:hint="eastAsia"/>
                <w:color w:val="auto"/>
                <w:sz w:val="21"/>
                <w:szCs w:val="21"/>
              </w:rPr>
              <w:t>废包装</w:t>
            </w:r>
          </w:p>
        </w:tc>
        <w:tc>
          <w:tcPr>
            <w:tcW w:w="530" w:type="pct"/>
            <w:shd w:val="clear" w:color="auto" w:fill="auto"/>
            <w:vAlign w:val="center"/>
          </w:tcPr>
          <w:p w14:paraId="0FEA6F45">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0.05</w:t>
            </w:r>
            <w:r>
              <w:rPr>
                <w:rFonts w:hint="eastAsia" w:ascii="Times New Roman" w:hAnsi="Times New Roman" w:cs="Times New Roman"/>
                <w:color w:val="auto"/>
                <w:szCs w:val="21"/>
              </w:rPr>
              <w:t>t/a</w:t>
            </w:r>
          </w:p>
        </w:tc>
        <w:tc>
          <w:tcPr>
            <w:tcW w:w="462" w:type="pct"/>
            <w:shd w:val="clear" w:color="auto" w:fill="auto"/>
            <w:vAlign w:val="center"/>
          </w:tcPr>
          <w:p w14:paraId="60499315">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1E24A690">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5D824262">
            <w:pPr>
              <w:adjustRightInd w:val="0"/>
              <w:snapToGrid w:val="0"/>
              <w:jc w:val="center"/>
              <w:rPr>
                <w:color w:val="auto"/>
                <w:sz w:val="21"/>
                <w:szCs w:val="21"/>
              </w:rPr>
            </w:pPr>
            <w:r>
              <w:rPr>
                <w:color w:val="auto"/>
                <w:kern w:val="0"/>
                <w:sz w:val="21"/>
                <w:szCs w:val="21"/>
              </w:rPr>
              <w:t>0.</w:t>
            </w:r>
            <w:r>
              <w:rPr>
                <w:rFonts w:hint="eastAsia"/>
                <w:color w:val="auto"/>
                <w:kern w:val="0"/>
                <w:sz w:val="21"/>
                <w:szCs w:val="21"/>
              </w:rPr>
              <w:t>05</w:t>
            </w:r>
            <w:r>
              <w:rPr>
                <w:rFonts w:hint="eastAsia"/>
                <w:color w:val="auto"/>
                <w:szCs w:val="21"/>
              </w:rPr>
              <w:t>t/a</w:t>
            </w:r>
          </w:p>
        </w:tc>
        <w:tc>
          <w:tcPr>
            <w:tcW w:w="545" w:type="pct"/>
            <w:shd w:val="clear" w:color="auto" w:fill="auto"/>
            <w:vAlign w:val="center"/>
          </w:tcPr>
          <w:p w14:paraId="0C299E7C">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0.05</w:t>
            </w:r>
            <w:r>
              <w:rPr>
                <w:rFonts w:hint="eastAsia" w:ascii="Times New Roman" w:hAnsi="Times New Roman" w:cs="Times New Roman"/>
                <w:color w:val="auto"/>
                <w:szCs w:val="21"/>
              </w:rPr>
              <w:t>t/a</w:t>
            </w:r>
          </w:p>
        </w:tc>
        <w:tc>
          <w:tcPr>
            <w:tcW w:w="562" w:type="pct"/>
            <w:shd w:val="clear" w:color="auto" w:fill="auto"/>
            <w:vAlign w:val="center"/>
          </w:tcPr>
          <w:p w14:paraId="6D823232">
            <w:pPr>
              <w:adjustRightInd w:val="0"/>
              <w:snapToGrid w:val="0"/>
              <w:jc w:val="center"/>
              <w:rPr>
                <w:color w:val="auto"/>
                <w:sz w:val="21"/>
                <w:szCs w:val="21"/>
              </w:rPr>
            </w:pPr>
            <w:r>
              <w:rPr>
                <w:rFonts w:hint="eastAsia"/>
                <w:color w:val="auto"/>
                <w:sz w:val="21"/>
                <w:szCs w:val="21"/>
              </w:rPr>
              <w:t>0.05</w:t>
            </w:r>
            <w:r>
              <w:rPr>
                <w:rFonts w:hint="eastAsia"/>
                <w:color w:val="auto"/>
                <w:szCs w:val="21"/>
              </w:rPr>
              <w:t>t/a</w:t>
            </w:r>
          </w:p>
        </w:tc>
        <w:tc>
          <w:tcPr>
            <w:tcW w:w="1464" w:type="dxa"/>
            <w:shd w:val="clear" w:color="auto" w:fill="auto"/>
            <w:vAlign w:val="center"/>
          </w:tcPr>
          <w:p w14:paraId="50F890BF">
            <w:pPr>
              <w:adjustRightInd w:val="0"/>
              <w:snapToGrid w:val="0"/>
              <w:jc w:val="center"/>
              <w:rPr>
                <w:color w:val="FF0000"/>
                <w:sz w:val="21"/>
                <w:szCs w:val="21"/>
              </w:rPr>
            </w:pPr>
            <w:r>
              <w:rPr>
                <w:rFonts w:hint="eastAsia"/>
                <w:color w:val="FF0000"/>
                <w:sz w:val="21"/>
                <w:szCs w:val="21"/>
                <w:lang w:val="en-US" w:eastAsia="zh-CN"/>
              </w:rPr>
              <w:t>+</w:t>
            </w:r>
            <w:r>
              <w:rPr>
                <w:rFonts w:hint="eastAsia"/>
                <w:color w:val="FF0000"/>
                <w:sz w:val="21"/>
                <w:szCs w:val="21"/>
              </w:rPr>
              <w:t>0.05</w:t>
            </w:r>
            <w:r>
              <w:rPr>
                <w:rFonts w:hint="eastAsia"/>
                <w:color w:val="FF0000"/>
                <w:szCs w:val="21"/>
              </w:rPr>
              <w:t>t/a</w:t>
            </w:r>
          </w:p>
        </w:tc>
      </w:tr>
      <w:tr w14:paraId="2032B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35C6B74F">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51C43F8E">
            <w:pPr>
              <w:widowControl/>
              <w:jc w:val="center"/>
              <w:textAlignment w:val="center"/>
              <w:rPr>
                <w:color w:val="auto"/>
                <w:sz w:val="21"/>
                <w:szCs w:val="21"/>
              </w:rPr>
            </w:pPr>
            <w:r>
              <w:rPr>
                <w:rFonts w:hint="eastAsia"/>
                <w:color w:val="auto"/>
                <w:sz w:val="21"/>
                <w:szCs w:val="21"/>
              </w:rPr>
              <w:t>剩余一般样品</w:t>
            </w:r>
          </w:p>
        </w:tc>
        <w:tc>
          <w:tcPr>
            <w:tcW w:w="530" w:type="pct"/>
            <w:shd w:val="clear" w:color="auto" w:fill="auto"/>
            <w:vAlign w:val="center"/>
          </w:tcPr>
          <w:p w14:paraId="02863B51">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0.2</w:t>
            </w:r>
            <w:r>
              <w:rPr>
                <w:rFonts w:hint="eastAsia" w:ascii="Times New Roman" w:hAnsi="Times New Roman" w:cs="Times New Roman"/>
                <w:color w:val="auto"/>
                <w:szCs w:val="21"/>
              </w:rPr>
              <w:t>t/a</w:t>
            </w:r>
          </w:p>
        </w:tc>
        <w:tc>
          <w:tcPr>
            <w:tcW w:w="462" w:type="pct"/>
            <w:shd w:val="clear" w:color="auto" w:fill="auto"/>
            <w:vAlign w:val="center"/>
          </w:tcPr>
          <w:p w14:paraId="0D3F2205">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79E5EDEE">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1ACD870E">
            <w:pPr>
              <w:adjustRightInd w:val="0"/>
              <w:snapToGrid w:val="0"/>
              <w:jc w:val="center"/>
              <w:rPr>
                <w:color w:val="auto"/>
                <w:kern w:val="0"/>
                <w:sz w:val="21"/>
                <w:szCs w:val="21"/>
              </w:rPr>
            </w:pPr>
            <w:r>
              <w:rPr>
                <w:rFonts w:hint="eastAsia"/>
                <w:color w:val="auto"/>
                <w:kern w:val="0"/>
                <w:sz w:val="21"/>
                <w:szCs w:val="21"/>
              </w:rPr>
              <w:t>0.2</w:t>
            </w:r>
            <w:r>
              <w:rPr>
                <w:rFonts w:hint="eastAsia"/>
                <w:color w:val="auto"/>
                <w:szCs w:val="21"/>
              </w:rPr>
              <w:t>t/a</w:t>
            </w:r>
          </w:p>
        </w:tc>
        <w:tc>
          <w:tcPr>
            <w:tcW w:w="545" w:type="pct"/>
            <w:shd w:val="clear" w:color="auto" w:fill="auto"/>
            <w:vAlign w:val="center"/>
          </w:tcPr>
          <w:p w14:paraId="2D38B1DE">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0.2</w:t>
            </w:r>
            <w:r>
              <w:rPr>
                <w:rFonts w:hint="eastAsia" w:ascii="Times New Roman" w:hAnsi="Times New Roman" w:cs="Times New Roman"/>
                <w:color w:val="auto"/>
                <w:szCs w:val="21"/>
              </w:rPr>
              <w:t>t/a</w:t>
            </w:r>
          </w:p>
        </w:tc>
        <w:tc>
          <w:tcPr>
            <w:tcW w:w="562" w:type="pct"/>
            <w:shd w:val="clear" w:color="auto" w:fill="auto"/>
            <w:vAlign w:val="center"/>
          </w:tcPr>
          <w:p w14:paraId="7B2A7505">
            <w:pPr>
              <w:adjustRightInd w:val="0"/>
              <w:snapToGrid w:val="0"/>
              <w:jc w:val="center"/>
              <w:rPr>
                <w:color w:val="auto"/>
                <w:sz w:val="21"/>
                <w:szCs w:val="21"/>
              </w:rPr>
            </w:pPr>
            <w:r>
              <w:rPr>
                <w:rFonts w:hint="eastAsia"/>
                <w:color w:val="auto"/>
                <w:kern w:val="0"/>
                <w:sz w:val="21"/>
                <w:szCs w:val="21"/>
              </w:rPr>
              <w:t>0.2</w:t>
            </w:r>
            <w:r>
              <w:rPr>
                <w:rFonts w:hint="eastAsia"/>
                <w:color w:val="auto"/>
                <w:szCs w:val="21"/>
              </w:rPr>
              <w:t>t/a</w:t>
            </w:r>
          </w:p>
        </w:tc>
        <w:tc>
          <w:tcPr>
            <w:tcW w:w="1464" w:type="dxa"/>
            <w:shd w:val="clear" w:color="auto" w:fill="auto"/>
            <w:vAlign w:val="center"/>
          </w:tcPr>
          <w:p w14:paraId="2993FD6D">
            <w:pPr>
              <w:adjustRightInd w:val="0"/>
              <w:snapToGrid w:val="0"/>
              <w:jc w:val="center"/>
              <w:rPr>
                <w:color w:val="FF0000"/>
                <w:kern w:val="0"/>
                <w:sz w:val="21"/>
                <w:szCs w:val="21"/>
              </w:rPr>
            </w:pPr>
            <w:r>
              <w:rPr>
                <w:rFonts w:hint="eastAsia"/>
                <w:color w:val="FF0000"/>
                <w:kern w:val="0"/>
                <w:sz w:val="21"/>
                <w:szCs w:val="21"/>
                <w:lang w:val="en-US" w:eastAsia="zh-CN"/>
              </w:rPr>
              <w:t>+</w:t>
            </w:r>
            <w:r>
              <w:rPr>
                <w:rFonts w:hint="eastAsia"/>
                <w:color w:val="FF0000"/>
                <w:kern w:val="0"/>
                <w:sz w:val="21"/>
                <w:szCs w:val="21"/>
              </w:rPr>
              <w:t>0.2</w:t>
            </w:r>
            <w:r>
              <w:rPr>
                <w:rFonts w:hint="eastAsia"/>
                <w:color w:val="FF0000"/>
                <w:szCs w:val="21"/>
              </w:rPr>
              <w:t>t/a</w:t>
            </w:r>
          </w:p>
        </w:tc>
      </w:tr>
      <w:tr w14:paraId="5966B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5475EA29">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63429427">
            <w:pPr>
              <w:widowControl/>
              <w:jc w:val="center"/>
              <w:textAlignment w:val="center"/>
              <w:rPr>
                <w:color w:val="auto"/>
                <w:sz w:val="21"/>
                <w:szCs w:val="21"/>
              </w:rPr>
            </w:pPr>
            <w:r>
              <w:rPr>
                <w:rFonts w:hint="eastAsia"/>
                <w:color w:val="auto"/>
                <w:sz w:val="21"/>
                <w:szCs w:val="21"/>
              </w:rPr>
              <w:t>剩余超标样品</w:t>
            </w:r>
          </w:p>
        </w:tc>
        <w:tc>
          <w:tcPr>
            <w:tcW w:w="530" w:type="pct"/>
            <w:shd w:val="clear" w:color="auto" w:fill="auto"/>
            <w:vAlign w:val="center"/>
          </w:tcPr>
          <w:p w14:paraId="05240502">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462" w:type="pct"/>
            <w:shd w:val="clear" w:color="auto" w:fill="auto"/>
            <w:vAlign w:val="center"/>
          </w:tcPr>
          <w:p w14:paraId="119F9DE1">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22A3AB6D">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0EE457DA">
            <w:pPr>
              <w:adjustRightInd w:val="0"/>
              <w:snapToGrid w:val="0"/>
              <w:jc w:val="center"/>
              <w:rPr>
                <w:snapToGrid w:val="0"/>
                <w:color w:val="auto"/>
                <w:kern w:val="21"/>
                <w:sz w:val="21"/>
                <w:szCs w:val="21"/>
              </w:rPr>
            </w:pPr>
            <w:r>
              <w:rPr>
                <w:rFonts w:hint="eastAsia"/>
                <w:snapToGrid w:val="0"/>
                <w:color w:val="auto"/>
                <w:kern w:val="21"/>
                <w:sz w:val="21"/>
                <w:szCs w:val="21"/>
              </w:rPr>
              <w:t>0.01</w:t>
            </w:r>
            <w:r>
              <w:rPr>
                <w:rFonts w:hint="eastAsia"/>
                <w:color w:val="auto"/>
                <w:szCs w:val="21"/>
              </w:rPr>
              <w:t>t/a</w:t>
            </w:r>
          </w:p>
        </w:tc>
        <w:tc>
          <w:tcPr>
            <w:tcW w:w="545" w:type="pct"/>
            <w:shd w:val="clear" w:color="auto" w:fill="auto"/>
            <w:vAlign w:val="center"/>
          </w:tcPr>
          <w:p w14:paraId="0DE642FF">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562" w:type="pct"/>
            <w:shd w:val="clear" w:color="auto" w:fill="auto"/>
            <w:vAlign w:val="center"/>
          </w:tcPr>
          <w:p w14:paraId="673B576D">
            <w:pPr>
              <w:adjustRightInd w:val="0"/>
              <w:snapToGrid w:val="0"/>
              <w:jc w:val="center"/>
              <w:rPr>
                <w:snapToGrid w:val="0"/>
                <w:color w:val="auto"/>
                <w:kern w:val="21"/>
                <w:sz w:val="21"/>
                <w:szCs w:val="21"/>
              </w:rPr>
            </w:pPr>
            <w:r>
              <w:rPr>
                <w:rFonts w:hint="eastAsia"/>
                <w:snapToGrid w:val="0"/>
                <w:color w:val="auto"/>
                <w:kern w:val="21"/>
                <w:sz w:val="21"/>
                <w:szCs w:val="21"/>
              </w:rPr>
              <w:t>0.01</w:t>
            </w:r>
            <w:r>
              <w:rPr>
                <w:rFonts w:hint="eastAsia"/>
                <w:color w:val="auto"/>
                <w:szCs w:val="21"/>
              </w:rPr>
              <w:t>t/a</w:t>
            </w:r>
          </w:p>
        </w:tc>
        <w:tc>
          <w:tcPr>
            <w:tcW w:w="1464" w:type="dxa"/>
            <w:shd w:val="clear" w:color="auto" w:fill="auto"/>
            <w:vAlign w:val="center"/>
          </w:tcPr>
          <w:p w14:paraId="69236F26">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0.01</w:t>
            </w:r>
            <w:r>
              <w:rPr>
                <w:rFonts w:hint="eastAsia"/>
                <w:color w:val="FF0000"/>
                <w:szCs w:val="21"/>
              </w:rPr>
              <w:t>t/a</w:t>
            </w:r>
          </w:p>
        </w:tc>
      </w:tr>
      <w:tr w14:paraId="24AA5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474FF541">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17D341AD">
            <w:pPr>
              <w:widowControl/>
              <w:jc w:val="center"/>
              <w:textAlignment w:val="center"/>
              <w:rPr>
                <w:color w:val="auto"/>
                <w:sz w:val="21"/>
                <w:szCs w:val="21"/>
              </w:rPr>
            </w:pPr>
            <w:r>
              <w:rPr>
                <w:rFonts w:hint="eastAsia"/>
                <w:color w:val="auto"/>
                <w:sz w:val="21"/>
                <w:szCs w:val="21"/>
              </w:rPr>
              <w:t>废培养基</w:t>
            </w:r>
          </w:p>
        </w:tc>
        <w:tc>
          <w:tcPr>
            <w:tcW w:w="530" w:type="pct"/>
            <w:shd w:val="clear" w:color="auto" w:fill="auto"/>
            <w:vAlign w:val="center"/>
          </w:tcPr>
          <w:p w14:paraId="02E15702">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0.05</w:t>
            </w:r>
            <w:r>
              <w:rPr>
                <w:rFonts w:hint="eastAsia" w:ascii="Times New Roman" w:hAnsi="Times New Roman" w:cs="Times New Roman"/>
                <w:color w:val="auto"/>
                <w:szCs w:val="21"/>
              </w:rPr>
              <w:t>t/a</w:t>
            </w:r>
          </w:p>
        </w:tc>
        <w:tc>
          <w:tcPr>
            <w:tcW w:w="462" w:type="pct"/>
            <w:shd w:val="clear" w:color="auto" w:fill="auto"/>
            <w:vAlign w:val="center"/>
          </w:tcPr>
          <w:p w14:paraId="2DD3B1F5">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78BF6B6F">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3B10C6B0">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0.05</w:t>
            </w:r>
            <w:r>
              <w:rPr>
                <w:rFonts w:hint="eastAsia" w:ascii="Times New Roman" w:hAnsi="Times New Roman" w:cs="Times New Roman"/>
                <w:color w:val="auto"/>
                <w:szCs w:val="21"/>
              </w:rPr>
              <w:t>t/a</w:t>
            </w:r>
          </w:p>
        </w:tc>
        <w:tc>
          <w:tcPr>
            <w:tcW w:w="545" w:type="pct"/>
            <w:shd w:val="clear" w:color="auto" w:fill="auto"/>
            <w:vAlign w:val="center"/>
          </w:tcPr>
          <w:p w14:paraId="6E3C0FAD">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0.05</w:t>
            </w:r>
            <w:r>
              <w:rPr>
                <w:rFonts w:hint="eastAsia" w:ascii="Times New Roman" w:hAnsi="Times New Roman" w:cs="Times New Roman"/>
                <w:color w:val="auto"/>
                <w:szCs w:val="21"/>
              </w:rPr>
              <w:t>t/a</w:t>
            </w:r>
          </w:p>
        </w:tc>
        <w:tc>
          <w:tcPr>
            <w:tcW w:w="562" w:type="pct"/>
            <w:shd w:val="clear" w:color="auto" w:fill="auto"/>
            <w:vAlign w:val="center"/>
          </w:tcPr>
          <w:p w14:paraId="33C7BFAB">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0.05</w:t>
            </w:r>
            <w:r>
              <w:rPr>
                <w:rFonts w:hint="eastAsia" w:ascii="Times New Roman" w:hAnsi="Times New Roman" w:cs="Times New Roman"/>
                <w:color w:val="auto"/>
                <w:szCs w:val="21"/>
              </w:rPr>
              <w:t>t/a</w:t>
            </w:r>
          </w:p>
        </w:tc>
        <w:tc>
          <w:tcPr>
            <w:tcW w:w="1464" w:type="dxa"/>
            <w:shd w:val="clear" w:color="auto" w:fill="auto"/>
            <w:vAlign w:val="center"/>
          </w:tcPr>
          <w:p w14:paraId="3B6E46FA">
            <w:pPr>
              <w:pStyle w:val="35"/>
              <w:spacing w:before="31" w:after="31" w:line="240" w:lineRule="auto"/>
              <w:rPr>
                <w:snapToGrid w:val="0"/>
                <w:color w:val="FF0000"/>
                <w:kern w:val="21"/>
                <w:sz w:val="21"/>
                <w:szCs w:val="21"/>
              </w:rPr>
            </w:pPr>
            <w:r>
              <w:rPr>
                <w:rFonts w:hint="eastAsia" w:ascii="Times New Roman" w:hAnsi="Times New Roman" w:cs="Times New Roman"/>
                <w:snapToGrid w:val="0"/>
                <w:color w:val="FF0000"/>
                <w:kern w:val="21"/>
                <w:szCs w:val="21"/>
                <w:lang w:val="en-US" w:eastAsia="zh-CN"/>
              </w:rPr>
              <w:t>+</w:t>
            </w:r>
            <w:r>
              <w:rPr>
                <w:rFonts w:hint="eastAsia" w:ascii="Times New Roman" w:hAnsi="Times New Roman" w:cs="Times New Roman"/>
                <w:snapToGrid w:val="0"/>
                <w:color w:val="FF0000"/>
                <w:kern w:val="21"/>
                <w:szCs w:val="21"/>
              </w:rPr>
              <w:t>0.05</w:t>
            </w:r>
            <w:r>
              <w:rPr>
                <w:rFonts w:hint="eastAsia" w:ascii="Times New Roman" w:hAnsi="Times New Roman" w:cs="Times New Roman"/>
                <w:color w:val="FF0000"/>
                <w:szCs w:val="21"/>
              </w:rPr>
              <w:t>t/a</w:t>
            </w:r>
          </w:p>
        </w:tc>
      </w:tr>
      <w:tr w14:paraId="1F4D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restart"/>
            <w:shd w:val="clear" w:color="auto" w:fill="auto"/>
            <w:vAlign w:val="center"/>
          </w:tcPr>
          <w:p w14:paraId="59161C8B">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危险废物</w:t>
            </w:r>
          </w:p>
        </w:tc>
        <w:tc>
          <w:tcPr>
            <w:tcW w:w="888" w:type="pct"/>
            <w:shd w:val="clear" w:color="auto" w:fill="auto"/>
            <w:vAlign w:val="center"/>
          </w:tcPr>
          <w:p w14:paraId="59701F88">
            <w:pPr>
              <w:widowControl/>
              <w:jc w:val="center"/>
              <w:textAlignment w:val="center"/>
              <w:rPr>
                <w:color w:val="auto"/>
                <w:sz w:val="21"/>
                <w:szCs w:val="21"/>
              </w:rPr>
            </w:pPr>
            <w:r>
              <w:rPr>
                <w:rFonts w:hint="eastAsia"/>
                <w:color w:val="auto"/>
                <w:kern w:val="0"/>
                <w:sz w:val="21"/>
                <w:szCs w:val="21"/>
                <w:lang w:bidi="ar"/>
              </w:rPr>
              <w:t>实验废液</w:t>
            </w:r>
          </w:p>
        </w:tc>
        <w:tc>
          <w:tcPr>
            <w:tcW w:w="530" w:type="pct"/>
            <w:shd w:val="clear" w:color="auto" w:fill="auto"/>
            <w:vAlign w:val="center"/>
          </w:tcPr>
          <w:p w14:paraId="3660E166">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0.8</w:t>
            </w:r>
            <w:r>
              <w:rPr>
                <w:rFonts w:hint="eastAsia" w:ascii="Times New Roman" w:hAnsi="Times New Roman" w:cs="Times New Roman"/>
                <w:color w:val="auto"/>
                <w:szCs w:val="21"/>
              </w:rPr>
              <w:t>t/a</w:t>
            </w:r>
          </w:p>
        </w:tc>
        <w:tc>
          <w:tcPr>
            <w:tcW w:w="462" w:type="pct"/>
            <w:shd w:val="clear" w:color="auto" w:fill="auto"/>
            <w:vAlign w:val="center"/>
          </w:tcPr>
          <w:p w14:paraId="21A85800">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387A082F">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02D2535A">
            <w:pPr>
              <w:adjustRightInd w:val="0"/>
              <w:snapToGrid w:val="0"/>
              <w:jc w:val="center"/>
              <w:rPr>
                <w:snapToGrid w:val="0"/>
                <w:color w:val="auto"/>
                <w:kern w:val="21"/>
                <w:sz w:val="21"/>
                <w:szCs w:val="21"/>
              </w:rPr>
            </w:pPr>
            <w:r>
              <w:rPr>
                <w:rFonts w:hint="eastAsia"/>
                <w:snapToGrid w:val="0"/>
                <w:color w:val="auto"/>
                <w:kern w:val="21"/>
                <w:sz w:val="21"/>
                <w:szCs w:val="21"/>
              </w:rPr>
              <w:t>0.8</w:t>
            </w:r>
            <w:r>
              <w:rPr>
                <w:rFonts w:hint="eastAsia"/>
                <w:color w:val="auto"/>
                <w:szCs w:val="21"/>
              </w:rPr>
              <w:t>t/a</w:t>
            </w:r>
          </w:p>
        </w:tc>
        <w:tc>
          <w:tcPr>
            <w:tcW w:w="545" w:type="pct"/>
            <w:shd w:val="clear" w:color="auto" w:fill="auto"/>
            <w:vAlign w:val="center"/>
          </w:tcPr>
          <w:p w14:paraId="3D16DCA6">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0.8</w:t>
            </w:r>
            <w:r>
              <w:rPr>
                <w:rFonts w:hint="eastAsia" w:ascii="Times New Roman" w:hAnsi="Times New Roman" w:cs="Times New Roman"/>
                <w:color w:val="auto"/>
                <w:szCs w:val="21"/>
              </w:rPr>
              <w:t>t/a</w:t>
            </w:r>
          </w:p>
        </w:tc>
        <w:tc>
          <w:tcPr>
            <w:tcW w:w="562" w:type="pct"/>
            <w:shd w:val="clear" w:color="auto" w:fill="auto"/>
            <w:vAlign w:val="center"/>
          </w:tcPr>
          <w:p w14:paraId="167A858D">
            <w:pPr>
              <w:adjustRightInd w:val="0"/>
              <w:snapToGrid w:val="0"/>
              <w:jc w:val="center"/>
              <w:rPr>
                <w:snapToGrid w:val="0"/>
                <w:color w:val="auto"/>
                <w:kern w:val="21"/>
                <w:sz w:val="21"/>
                <w:szCs w:val="21"/>
              </w:rPr>
            </w:pPr>
            <w:r>
              <w:rPr>
                <w:rFonts w:hint="eastAsia"/>
                <w:snapToGrid w:val="0"/>
                <w:color w:val="auto"/>
                <w:kern w:val="21"/>
                <w:sz w:val="21"/>
                <w:szCs w:val="21"/>
              </w:rPr>
              <w:t>0.8</w:t>
            </w:r>
            <w:r>
              <w:rPr>
                <w:rFonts w:hint="eastAsia"/>
                <w:color w:val="auto"/>
                <w:szCs w:val="21"/>
              </w:rPr>
              <w:t>t/a</w:t>
            </w:r>
          </w:p>
        </w:tc>
        <w:tc>
          <w:tcPr>
            <w:tcW w:w="1464" w:type="dxa"/>
            <w:shd w:val="clear" w:color="auto" w:fill="auto"/>
            <w:vAlign w:val="center"/>
          </w:tcPr>
          <w:p w14:paraId="0176AC1E">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0.8</w:t>
            </w:r>
            <w:r>
              <w:rPr>
                <w:rFonts w:hint="eastAsia"/>
                <w:color w:val="FF0000"/>
                <w:szCs w:val="21"/>
              </w:rPr>
              <w:t>t/a</w:t>
            </w:r>
          </w:p>
        </w:tc>
      </w:tr>
      <w:tr w14:paraId="18BB0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744B684E">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36E71EE8">
            <w:pPr>
              <w:widowControl/>
              <w:jc w:val="center"/>
              <w:textAlignment w:val="center"/>
              <w:rPr>
                <w:color w:val="auto"/>
                <w:kern w:val="0"/>
                <w:sz w:val="21"/>
                <w:szCs w:val="21"/>
                <w:lang w:bidi="ar"/>
              </w:rPr>
            </w:pPr>
            <w:r>
              <w:rPr>
                <w:rFonts w:hint="eastAsia"/>
                <w:color w:val="auto"/>
                <w:kern w:val="0"/>
                <w:sz w:val="21"/>
                <w:szCs w:val="21"/>
                <w:lang w:bidi="ar"/>
              </w:rPr>
              <w:t>一次清洗废水</w:t>
            </w:r>
          </w:p>
        </w:tc>
        <w:tc>
          <w:tcPr>
            <w:tcW w:w="530" w:type="pct"/>
            <w:shd w:val="clear" w:color="auto" w:fill="auto"/>
            <w:vAlign w:val="center"/>
          </w:tcPr>
          <w:p w14:paraId="021322DC">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0.12</w:t>
            </w:r>
            <w:r>
              <w:rPr>
                <w:rFonts w:hint="eastAsia" w:ascii="Times New Roman" w:hAnsi="Times New Roman" w:cs="Times New Roman"/>
                <w:color w:val="auto"/>
                <w:szCs w:val="21"/>
              </w:rPr>
              <w:t>t/a</w:t>
            </w:r>
          </w:p>
        </w:tc>
        <w:tc>
          <w:tcPr>
            <w:tcW w:w="462" w:type="pct"/>
            <w:shd w:val="clear" w:color="auto" w:fill="auto"/>
            <w:vAlign w:val="center"/>
          </w:tcPr>
          <w:p w14:paraId="1540E0AC">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1242B048">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3B7E8AF6">
            <w:pPr>
              <w:adjustRightInd w:val="0"/>
              <w:snapToGrid w:val="0"/>
              <w:jc w:val="center"/>
              <w:rPr>
                <w:snapToGrid w:val="0"/>
                <w:color w:val="auto"/>
                <w:kern w:val="21"/>
                <w:sz w:val="21"/>
                <w:szCs w:val="21"/>
              </w:rPr>
            </w:pPr>
            <w:r>
              <w:rPr>
                <w:rFonts w:hint="eastAsia"/>
                <w:snapToGrid w:val="0"/>
                <w:color w:val="auto"/>
                <w:kern w:val="21"/>
                <w:sz w:val="21"/>
                <w:szCs w:val="21"/>
              </w:rPr>
              <w:t>0.12</w:t>
            </w:r>
            <w:r>
              <w:rPr>
                <w:rFonts w:hint="eastAsia"/>
                <w:color w:val="auto"/>
                <w:szCs w:val="21"/>
              </w:rPr>
              <w:t>t/a</w:t>
            </w:r>
          </w:p>
        </w:tc>
        <w:tc>
          <w:tcPr>
            <w:tcW w:w="545" w:type="pct"/>
            <w:shd w:val="clear" w:color="auto" w:fill="auto"/>
            <w:vAlign w:val="center"/>
          </w:tcPr>
          <w:p w14:paraId="76DEE52F">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0.12</w:t>
            </w:r>
            <w:r>
              <w:rPr>
                <w:rFonts w:hint="eastAsia" w:ascii="Times New Roman" w:hAnsi="Times New Roman" w:cs="Times New Roman"/>
                <w:color w:val="auto"/>
                <w:szCs w:val="21"/>
              </w:rPr>
              <w:t>t/a</w:t>
            </w:r>
          </w:p>
        </w:tc>
        <w:tc>
          <w:tcPr>
            <w:tcW w:w="562" w:type="pct"/>
            <w:shd w:val="clear" w:color="auto" w:fill="auto"/>
            <w:vAlign w:val="center"/>
          </w:tcPr>
          <w:p w14:paraId="05622EBC">
            <w:pPr>
              <w:adjustRightInd w:val="0"/>
              <w:snapToGrid w:val="0"/>
              <w:jc w:val="center"/>
              <w:rPr>
                <w:snapToGrid w:val="0"/>
                <w:color w:val="auto"/>
                <w:kern w:val="21"/>
                <w:sz w:val="21"/>
                <w:szCs w:val="21"/>
              </w:rPr>
            </w:pPr>
            <w:r>
              <w:rPr>
                <w:rFonts w:hint="eastAsia"/>
                <w:snapToGrid w:val="0"/>
                <w:color w:val="auto"/>
                <w:kern w:val="21"/>
                <w:sz w:val="21"/>
                <w:szCs w:val="21"/>
              </w:rPr>
              <w:t>0.12</w:t>
            </w:r>
            <w:r>
              <w:rPr>
                <w:rFonts w:hint="eastAsia"/>
                <w:color w:val="auto"/>
                <w:szCs w:val="21"/>
              </w:rPr>
              <w:t>t/a</w:t>
            </w:r>
          </w:p>
        </w:tc>
        <w:tc>
          <w:tcPr>
            <w:tcW w:w="1464" w:type="dxa"/>
            <w:shd w:val="clear" w:color="auto" w:fill="auto"/>
            <w:vAlign w:val="center"/>
          </w:tcPr>
          <w:p w14:paraId="00A31C8C">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0.12</w:t>
            </w:r>
            <w:r>
              <w:rPr>
                <w:rFonts w:hint="eastAsia"/>
                <w:color w:val="FF0000"/>
                <w:szCs w:val="21"/>
              </w:rPr>
              <w:t>t/a</w:t>
            </w:r>
          </w:p>
        </w:tc>
      </w:tr>
      <w:tr w14:paraId="47D82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1A7DB138">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75111C70">
            <w:pPr>
              <w:widowControl/>
              <w:jc w:val="center"/>
              <w:textAlignment w:val="center"/>
              <w:rPr>
                <w:color w:val="auto"/>
                <w:kern w:val="0"/>
                <w:sz w:val="21"/>
                <w:szCs w:val="21"/>
                <w:lang w:bidi="ar"/>
              </w:rPr>
            </w:pPr>
            <w:r>
              <w:rPr>
                <w:rFonts w:hint="eastAsia"/>
                <w:color w:val="auto"/>
                <w:kern w:val="0"/>
                <w:sz w:val="21"/>
                <w:szCs w:val="21"/>
                <w:lang w:bidi="ar"/>
              </w:rPr>
              <w:t>废试剂瓶</w:t>
            </w:r>
          </w:p>
        </w:tc>
        <w:tc>
          <w:tcPr>
            <w:tcW w:w="530" w:type="pct"/>
            <w:shd w:val="clear" w:color="auto" w:fill="auto"/>
            <w:vAlign w:val="center"/>
          </w:tcPr>
          <w:p w14:paraId="14E84836">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0.03</w:t>
            </w:r>
            <w:r>
              <w:rPr>
                <w:rFonts w:hint="eastAsia" w:ascii="Times New Roman" w:hAnsi="Times New Roman" w:cs="Times New Roman"/>
                <w:color w:val="auto"/>
                <w:szCs w:val="21"/>
              </w:rPr>
              <w:t>t/a</w:t>
            </w:r>
          </w:p>
        </w:tc>
        <w:tc>
          <w:tcPr>
            <w:tcW w:w="462" w:type="pct"/>
            <w:shd w:val="clear" w:color="auto" w:fill="auto"/>
            <w:vAlign w:val="center"/>
          </w:tcPr>
          <w:p w14:paraId="6A40E914">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1BFB8312">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61268251">
            <w:pPr>
              <w:adjustRightInd w:val="0"/>
              <w:snapToGrid w:val="0"/>
              <w:jc w:val="center"/>
              <w:rPr>
                <w:snapToGrid w:val="0"/>
                <w:color w:val="auto"/>
                <w:kern w:val="21"/>
                <w:sz w:val="21"/>
                <w:szCs w:val="21"/>
              </w:rPr>
            </w:pPr>
            <w:r>
              <w:rPr>
                <w:rFonts w:hint="eastAsia"/>
                <w:snapToGrid w:val="0"/>
                <w:color w:val="auto"/>
                <w:kern w:val="21"/>
                <w:sz w:val="21"/>
                <w:szCs w:val="21"/>
              </w:rPr>
              <w:t>0.03</w:t>
            </w:r>
            <w:r>
              <w:rPr>
                <w:rFonts w:hint="eastAsia"/>
                <w:color w:val="auto"/>
                <w:szCs w:val="21"/>
              </w:rPr>
              <w:t>t/a</w:t>
            </w:r>
          </w:p>
        </w:tc>
        <w:tc>
          <w:tcPr>
            <w:tcW w:w="545" w:type="pct"/>
            <w:shd w:val="clear" w:color="auto" w:fill="auto"/>
            <w:vAlign w:val="center"/>
          </w:tcPr>
          <w:p w14:paraId="502598ED">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0.03</w:t>
            </w:r>
            <w:r>
              <w:rPr>
                <w:rFonts w:hint="eastAsia" w:ascii="Times New Roman" w:hAnsi="Times New Roman" w:cs="Times New Roman"/>
                <w:color w:val="auto"/>
                <w:szCs w:val="21"/>
              </w:rPr>
              <w:t>t/a</w:t>
            </w:r>
          </w:p>
        </w:tc>
        <w:tc>
          <w:tcPr>
            <w:tcW w:w="562" w:type="pct"/>
            <w:shd w:val="clear" w:color="auto" w:fill="auto"/>
            <w:vAlign w:val="center"/>
          </w:tcPr>
          <w:p w14:paraId="69098E91">
            <w:pPr>
              <w:adjustRightInd w:val="0"/>
              <w:snapToGrid w:val="0"/>
              <w:jc w:val="center"/>
              <w:rPr>
                <w:snapToGrid w:val="0"/>
                <w:color w:val="auto"/>
                <w:kern w:val="21"/>
                <w:sz w:val="21"/>
                <w:szCs w:val="21"/>
              </w:rPr>
            </w:pPr>
            <w:r>
              <w:rPr>
                <w:rFonts w:hint="eastAsia"/>
                <w:snapToGrid w:val="0"/>
                <w:color w:val="auto"/>
                <w:kern w:val="21"/>
                <w:sz w:val="21"/>
                <w:szCs w:val="21"/>
              </w:rPr>
              <w:t>0.03</w:t>
            </w:r>
            <w:r>
              <w:rPr>
                <w:rFonts w:hint="eastAsia"/>
                <w:color w:val="auto"/>
                <w:szCs w:val="21"/>
              </w:rPr>
              <w:t>t/a</w:t>
            </w:r>
          </w:p>
        </w:tc>
        <w:tc>
          <w:tcPr>
            <w:tcW w:w="1464" w:type="dxa"/>
            <w:shd w:val="clear" w:color="auto" w:fill="auto"/>
            <w:vAlign w:val="center"/>
          </w:tcPr>
          <w:p w14:paraId="07EEDFDD">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0.03</w:t>
            </w:r>
            <w:r>
              <w:rPr>
                <w:rFonts w:hint="eastAsia"/>
                <w:color w:val="FF0000"/>
                <w:szCs w:val="21"/>
              </w:rPr>
              <w:t>t/a</w:t>
            </w:r>
          </w:p>
        </w:tc>
      </w:tr>
      <w:tr w14:paraId="424B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6F06F3AF">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24BD96CD">
            <w:pPr>
              <w:widowControl/>
              <w:jc w:val="center"/>
              <w:textAlignment w:val="center"/>
              <w:rPr>
                <w:color w:val="auto"/>
                <w:sz w:val="21"/>
                <w:szCs w:val="21"/>
              </w:rPr>
            </w:pPr>
            <w:r>
              <w:rPr>
                <w:rFonts w:hint="eastAsia"/>
                <w:color w:val="auto"/>
                <w:sz w:val="21"/>
                <w:szCs w:val="21"/>
              </w:rPr>
              <w:t>过期试剂</w:t>
            </w:r>
          </w:p>
        </w:tc>
        <w:tc>
          <w:tcPr>
            <w:tcW w:w="530" w:type="pct"/>
            <w:shd w:val="clear" w:color="auto" w:fill="auto"/>
            <w:vAlign w:val="center"/>
          </w:tcPr>
          <w:p w14:paraId="066F4FE7">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462" w:type="pct"/>
            <w:shd w:val="clear" w:color="auto" w:fill="auto"/>
            <w:vAlign w:val="center"/>
          </w:tcPr>
          <w:p w14:paraId="1EBE8E04">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10F6FC7F">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743F941D">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545" w:type="pct"/>
            <w:shd w:val="clear" w:color="auto" w:fill="auto"/>
            <w:vAlign w:val="center"/>
          </w:tcPr>
          <w:p w14:paraId="49966526">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562" w:type="pct"/>
            <w:shd w:val="clear" w:color="auto" w:fill="auto"/>
            <w:vAlign w:val="center"/>
          </w:tcPr>
          <w:p w14:paraId="2BD4D6F7">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1464" w:type="dxa"/>
            <w:shd w:val="clear" w:color="auto" w:fill="auto"/>
            <w:vAlign w:val="center"/>
          </w:tcPr>
          <w:p w14:paraId="77763224">
            <w:pPr>
              <w:pStyle w:val="35"/>
              <w:spacing w:before="31" w:after="31" w:line="240" w:lineRule="auto"/>
              <w:rPr>
                <w:snapToGrid w:val="0"/>
                <w:color w:val="FF0000"/>
                <w:kern w:val="21"/>
                <w:sz w:val="21"/>
                <w:szCs w:val="21"/>
              </w:rPr>
            </w:pPr>
            <w:r>
              <w:rPr>
                <w:rFonts w:hint="eastAsia" w:ascii="Times New Roman" w:hAnsi="Times New Roman" w:cs="Times New Roman"/>
                <w:snapToGrid w:val="0"/>
                <w:color w:val="FF0000"/>
                <w:kern w:val="21"/>
                <w:szCs w:val="21"/>
                <w:lang w:val="en-US" w:eastAsia="zh-CN"/>
              </w:rPr>
              <w:t>+</w:t>
            </w:r>
            <w:r>
              <w:rPr>
                <w:rFonts w:hint="eastAsia" w:ascii="Times New Roman" w:hAnsi="Times New Roman" w:cs="Times New Roman"/>
                <w:snapToGrid w:val="0"/>
                <w:color w:val="FF0000"/>
                <w:kern w:val="21"/>
                <w:szCs w:val="21"/>
              </w:rPr>
              <w:t>0.01</w:t>
            </w:r>
            <w:r>
              <w:rPr>
                <w:rFonts w:hint="eastAsia" w:ascii="Times New Roman" w:hAnsi="Times New Roman" w:cs="Times New Roman"/>
                <w:color w:val="FF0000"/>
                <w:szCs w:val="21"/>
              </w:rPr>
              <w:t>t/a</w:t>
            </w:r>
          </w:p>
        </w:tc>
      </w:tr>
      <w:tr w14:paraId="4674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5639BA4C">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1B1D939E">
            <w:pPr>
              <w:widowControl/>
              <w:jc w:val="center"/>
              <w:textAlignment w:val="center"/>
              <w:rPr>
                <w:color w:val="auto"/>
                <w:kern w:val="0"/>
                <w:sz w:val="21"/>
                <w:szCs w:val="21"/>
                <w:lang w:bidi="ar"/>
              </w:rPr>
            </w:pPr>
            <w:r>
              <w:rPr>
                <w:rFonts w:hint="eastAsia"/>
                <w:color w:val="auto"/>
                <w:sz w:val="21"/>
                <w:szCs w:val="21"/>
              </w:rPr>
              <w:t>废紫外灯管</w:t>
            </w:r>
          </w:p>
        </w:tc>
        <w:tc>
          <w:tcPr>
            <w:tcW w:w="530" w:type="pct"/>
            <w:shd w:val="clear" w:color="auto" w:fill="auto"/>
            <w:vAlign w:val="center"/>
          </w:tcPr>
          <w:p w14:paraId="6BFF3F7E">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462" w:type="pct"/>
            <w:shd w:val="clear" w:color="auto" w:fill="auto"/>
            <w:vAlign w:val="center"/>
          </w:tcPr>
          <w:p w14:paraId="711928DB">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2D84DBC6">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3ED7A459">
            <w:pPr>
              <w:adjustRightInd w:val="0"/>
              <w:snapToGrid w:val="0"/>
              <w:jc w:val="center"/>
              <w:rPr>
                <w:snapToGrid w:val="0"/>
                <w:color w:val="auto"/>
                <w:kern w:val="21"/>
                <w:sz w:val="21"/>
                <w:szCs w:val="21"/>
              </w:rPr>
            </w:pPr>
            <w:r>
              <w:rPr>
                <w:rFonts w:hint="eastAsia"/>
                <w:snapToGrid w:val="0"/>
                <w:color w:val="auto"/>
                <w:kern w:val="21"/>
                <w:sz w:val="21"/>
                <w:szCs w:val="21"/>
              </w:rPr>
              <w:t>0.01</w:t>
            </w:r>
            <w:r>
              <w:rPr>
                <w:rFonts w:hint="eastAsia"/>
                <w:color w:val="auto"/>
                <w:szCs w:val="21"/>
              </w:rPr>
              <w:t>t/a</w:t>
            </w:r>
          </w:p>
        </w:tc>
        <w:tc>
          <w:tcPr>
            <w:tcW w:w="545" w:type="pct"/>
            <w:shd w:val="clear" w:color="auto" w:fill="auto"/>
            <w:vAlign w:val="center"/>
          </w:tcPr>
          <w:p w14:paraId="421A8CD2">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0.01</w:t>
            </w:r>
            <w:r>
              <w:rPr>
                <w:rFonts w:hint="eastAsia" w:ascii="Times New Roman" w:hAnsi="Times New Roman" w:cs="Times New Roman"/>
                <w:color w:val="auto"/>
                <w:szCs w:val="21"/>
              </w:rPr>
              <w:t>t/a</w:t>
            </w:r>
          </w:p>
        </w:tc>
        <w:tc>
          <w:tcPr>
            <w:tcW w:w="562" w:type="pct"/>
            <w:shd w:val="clear" w:color="auto" w:fill="auto"/>
            <w:vAlign w:val="center"/>
          </w:tcPr>
          <w:p w14:paraId="134D4C9C">
            <w:pPr>
              <w:adjustRightInd w:val="0"/>
              <w:snapToGrid w:val="0"/>
              <w:jc w:val="center"/>
              <w:rPr>
                <w:snapToGrid w:val="0"/>
                <w:color w:val="auto"/>
                <w:kern w:val="21"/>
                <w:sz w:val="21"/>
                <w:szCs w:val="21"/>
              </w:rPr>
            </w:pPr>
            <w:r>
              <w:rPr>
                <w:rFonts w:hint="eastAsia"/>
                <w:snapToGrid w:val="0"/>
                <w:color w:val="auto"/>
                <w:kern w:val="21"/>
                <w:sz w:val="21"/>
                <w:szCs w:val="21"/>
              </w:rPr>
              <w:t>0.01</w:t>
            </w:r>
            <w:r>
              <w:rPr>
                <w:rFonts w:hint="eastAsia"/>
                <w:color w:val="auto"/>
                <w:szCs w:val="21"/>
              </w:rPr>
              <w:t>t/a</w:t>
            </w:r>
          </w:p>
        </w:tc>
        <w:tc>
          <w:tcPr>
            <w:tcW w:w="1464" w:type="dxa"/>
            <w:shd w:val="clear" w:color="auto" w:fill="auto"/>
            <w:vAlign w:val="center"/>
          </w:tcPr>
          <w:p w14:paraId="60513B5D">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0.01</w:t>
            </w:r>
            <w:r>
              <w:rPr>
                <w:rFonts w:hint="eastAsia"/>
                <w:color w:val="FF0000"/>
                <w:szCs w:val="21"/>
              </w:rPr>
              <w:t>t/a</w:t>
            </w:r>
          </w:p>
        </w:tc>
      </w:tr>
      <w:tr w14:paraId="6BCB2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90" w:type="pct"/>
            <w:vMerge w:val="continue"/>
            <w:shd w:val="clear" w:color="auto" w:fill="auto"/>
            <w:vAlign w:val="center"/>
          </w:tcPr>
          <w:p w14:paraId="38B8F02E">
            <w:pPr>
              <w:pStyle w:val="35"/>
              <w:spacing w:before="31" w:after="31" w:line="240" w:lineRule="auto"/>
              <w:rPr>
                <w:rFonts w:ascii="Times New Roman" w:hAnsi="Times New Roman" w:cs="Times New Roman"/>
                <w:snapToGrid w:val="0"/>
                <w:color w:val="auto"/>
                <w:kern w:val="21"/>
                <w:szCs w:val="21"/>
              </w:rPr>
            </w:pPr>
          </w:p>
        </w:tc>
        <w:tc>
          <w:tcPr>
            <w:tcW w:w="888" w:type="pct"/>
            <w:shd w:val="clear" w:color="auto" w:fill="auto"/>
            <w:vAlign w:val="center"/>
          </w:tcPr>
          <w:p w14:paraId="0D983C5C">
            <w:pPr>
              <w:widowControl/>
              <w:jc w:val="center"/>
              <w:textAlignment w:val="center"/>
              <w:rPr>
                <w:color w:val="auto"/>
                <w:sz w:val="21"/>
                <w:szCs w:val="21"/>
              </w:rPr>
            </w:pPr>
            <w:r>
              <w:rPr>
                <w:rFonts w:hint="eastAsia"/>
                <w:color w:val="auto"/>
                <w:sz w:val="21"/>
                <w:szCs w:val="21"/>
              </w:rPr>
              <w:t>废活性炭</w:t>
            </w:r>
          </w:p>
        </w:tc>
        <w:tc>
          <w:tcPr>
            <w:tcW w:w="530" w:type="pct"/>
            <w:shd w:val="clear" w:color="auto" w:fill="auto"/>
            <w:vAlign w:val="center"/>
          </w:tcPr>
          <w:p w14:paraId="0F96755F">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0.1</w:t>
            </w:r>
            <w:r>
              <w:rPr>
                <w:rFonts w:hint="eastAsia" w:ascii="Times New Roman" w:hAnsi="Times New Roman" w:cs="Times New Roman"/>
                <w:color w:val="auto"/>
                <w:szCs w:val="21"/>
              </w:rPr>
              <w:t>t/a</w:t>
            </w:r>
          </w:p>
        </w:tc>
        <w:tc>
          <w:tcPr>
            <w:tcW w:w="462" w:type="pct"/>
            <w:shd w:val="clear" w:color="auto" w:fill="auto"/>
            <w:vAlign w:val="center"/>
          </w:tcPr>
          <w:p w14:paraId="206A1CB7">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58AC9D18">
            <w:pPr>
              <w:pStyle w:val="35"/>
              <w:spacing w:before="31" w:after="31" w:line="240" w:lineRule="auto"/>
              <w:rPr>
                <w:rFonts w:ascii="Times New Roman" w:hAnsi="Times New Roman" w:cs="Times New Roman"/>
                <w:snapToGrid w:val="0"/>
                <w:color w:val="auto"/>
                <w:kern w:val="21"/>
                <w:szCs w:val="21"/>
              </w:rPr>
            </w:pPr>
            <w:r>
              <w:rPr>
                <w:rFonts w:ascii="Times New Roman" w:hAnsi="Times New Roman" w:cs="Times New Roman"/>
                <w:snapToGrid w:val="0"/>
                <w:color w:val="auto"/>
                <w:kern w:val="21"/>
                <w:szCs w:val="21"/>
              </w:rPr>
              <w:t>/</w:t>
            </w:r>
          </w:p>
        </w:tc>
        <w:tc>
          <w:tcPr>
            <w:tcW w:w="545" w:type="pct"/>
            <w:shd w:val="clear" w:color="auto" w:fill="auto"/>
            <w:vAlign w:val="center"/>
          </w:tcPr>
          <w:p w14:paraId="12FD437F">
            <w:pPr>
              <w:adjustRightInd w:val="0"/>
              <w:snapToGrid w:val="0"/>
              <w:jc w:val="center"/>
              <w:rPr>
                <w:snapToGrid w:val="0"/>
                <w:color w:val="auto"/>
                <w:kern w:val="21"/>
                <w:sz w:val="21"/>
                <w:szCs w:val="21"/>
              </w:rPr>
            </w:pPr>
            <w:r>
              <w:rPr>
                <w:rFonts w:hint="eastAsia"/>
                <w:snapToGrid w:val="0"/>
                <w:color w:val="auto"/>
                <w:kern w:val="21"/>
                <w:sz w:val="21"/>
                <w:szCs w:val="21"/>
              </w:rPr>
              <w:t>2</w:t>
            </w:r>
            <w:r>
              <w:rPr>
                <w:rFonts w:hint="eastAsia"/>
                <w:color w:val="auto"/>
                <w:szCs w:val="21"/>
              </w:rPr>
              <w:t>t/a</w:t>
            </w:r>
          </w:p>
        </w:tc>
        <w:tc>
          <w:tcPr>
            <w:tcW w:w="545" w:type="pct"/>
            <w:shd w:val="clear" w:color="auto" w:fill="auto"/>
            <w:vAlign w:val="center"/>
          </w:tcPr>
          <w:p w14:paraId="540E5A04">
            <w:pPr>
              <w:pStyle w:val="35"/>
              <w:spacing w:before="31" w:after="31" w:line="240" w:lineRule="auto"/>
              <w:rPr>
                <w:rFonts w:ascii="Times New Roman" w:hAnsi="Times New Roman" w:cs="Times New Roman"/>
                <w:snapToGrid w:val="0"/>
                <w:color w:val="auto"/>
                <w:kern w:val="21"/>
                <w:szCs w:val="21"/>
              </w:rPr>
            </w:pPr>
            <w:r>
              <w:rPr>
                <w:rFonts w:hint="eastAsia" w:ascii="Times New Roman" w:hAnsi="Times New Roman" w:cs="Times New Roman"/>
                <w:snapToGrid w:val="0"/>
                <w:color w:val="auto"/>
                <w:kern w:val="21"/>
                <w:szCs w:val="21"/>
              </w:rPr>
              <w:t>0.1</w:t>
            </w:r>
            <w:r>
              <w:rPr>
                <w:rFonts w:hint="eastAsia" w:ascii="Times New Roman" w:hAnsi="Times New Roman" w:cs="Times New Roman"/>
                <w:color w:val="auto"/>
                <w:szCs w:val="21"/>
              </w:rPr>
              <w:t>t/a</w:t>
            </w:r>
          </w:p>
        </w:tc>
        <w:tc>
          <w:tcPr>
            <w:tcW w:w="562" w:type="pct"/>
            <w:shd w:val="clear" w:color="auto" w:fill="auto"/>
            <w:vAlign w:val="center"/>
          </w:tcPr>
          <w:p w14:paraId="5BED7469">
            <w:pPr>
              <w:adjustRightInd w:val="0"/>
              <w:snapToGrid w:val="0"/>
              <w:jc w:val="center"/>
              <w:rPr>
                <w:snapToGrid w:val="0"/>
                <w:color w:val="auto"/>
                <w:kern w:val="21"/>
                <w:sz w:val="21"/>
                <w:szCs w:val="21"/>
              </w:rPr>
            </w:pPr>
            <w:r>
              <w:rPr>
                <w:rFonts w:hint="eastAsia"/>
                <w:snapToGrid w:val="0"/>
                <w:color w:val="auto"/>
                <w:kern w:val="21"/>
                <w:sz w:val="21"/>
                <w:szCs w:val="21"/>
              </w:rPr>
              <w:t>2</w:t>
            </w:r>
            <w:r>
              <w:rPr>
                <w:rFonts w:hint="eastAsia"/>
                <w:color w:val="auto"/>
                <w:szCs w:val="21"/>
              </w:rPr>
              <w:t>t/a</w:t>
            </w:r>
          </w:p>
        </w:tc>
        <w:tc>
          <w:tcPr>
            <w:tcW w:w="1464" w:type="dxa"/>
            <w:shd w:val="clear" w:color="auto" w:fill="auto"/>
            <w:vAlign w:val="center"/>
          </w:tcPr>
          <w:p w14:paraId="075FB0E7">
            <w:pPr>
              <w:adjustRightInd w:val="0"/>
              <w:snapToGrid w:val="0"/>
              <w:jc w:val="center"/>
              <w:rPr>
                <w:snapToGrid w:val="0"/>
                <w:color w:val="FF0000"/>
                <w:kern w:val="21"/>
                <w:sz w:val="21"/>
                <w:szCs w:val="21"/>
              </w:rPr>
            </w:pPr>
            <w:r>
              <w:rPr>
                <w:rFonts w:hint="eastAsia"/>
                <w:snapToGrid w:val="0"/>
                <w:color w:val="FF0000"/>
                <w:kern w:val="21"/>
                <w:sz w:val="21"/>
                <w:szCs w:val="21"/>
                <w:lang w:val="en-US" w:eastAsia="zh-CN"/>
              </w:rPr>
              <w:t>+</w:t>
            </w:r>
            <w:r>
              <w:rPr>
                <w:rFonts w:hint="eastAsia"/>
                <w:snapToGrid w:val="0"/>
                <w:color w:val="FF0000"/>
                <w:kern w:val="21"/>
                <w:sz w:val="21"/>
                <w:szCs w:val="21"/>
              </w:rPr>
              <w:t>2</w:t>
            </w:r>
            <w:r>
              <w:rPr>
                <w:rFonts w:hint="eastAsia"/>
                <w:color w:val="FF0000"/>
                <w:szCs w:val="21"/>
              </w:rPr>
              <w:t>t/a</w:t>
            </w:r>
          </w:p>
        </w:tc>
      </w:tr>
    </w:tbl>
    <w:p w14:paraId="1510D23C">
      <w:pPr>
        <w:spacing w:line="360" w:lineRule="auto"/>
        <w:rPr>
          <w:rFonts w:ascii="仿宋" w:hAnsi="仿宋" w:eastAsia="仿宋" w:cs="仿宋"/>
          <w:snapToGrid w:val="0"/>
          <w:color w:val="auto"/>
          <w:spacing w:val="-6"/>
          <w:kern w:val="21"/>
          <w:sz w:val="21"/>
          <w:szCs w:val="21"/>
        </w:rPr>
      </w:pPr>
    </w:p>
    <w:sectPr>
      <w:pgSz w:w="16838" w:h="11906" w:orient="landscape"/>
      <w:pgMar w:top="1701" w:right="1531" w:bottom="1701" w:left="153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modern"/>
    <w:pitch w:val="default"/>
    <w:sig w:usb0="E00006FF" w:usb1="0000FCFF" w:usb2="00000001" w:usb3="00000000" w:csb0="6000019F" w:csb1="DFD7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E68BE">
    <w:pPr>
      <w:pStyle w:val="1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25DCCB">
                          <w:pPr>
                            <w:pStyle w:val="13"/>
                            <w:jc w:val="center"/>
                          </w:pPr>
                          <w:r>
                            <w:fldChar w:fldCharType="begin"/>
                          </w:r>
                          <w:r>
                            <w:instrText xml:space="preserve">PAGE   \* MERGEFORMAT</w:instrText>
                          </w:r>
                          <w:r>
                            <w:fldChar w:fldCharType="separate"/>
                          </w:r>
                          <w:r>
                            <w:rPr>
                              <w:lang w:val="zh-CN"/>
                            </w:rPr>
                            <w:t>95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4125DCCB">
                    <w:pPr>
                      <w:pStyle w:val="13"/>
                      <w:jc w:val="center"/>
                    </w:pPr>
                    <w:r>
                      <w:fldChar w:fldCharType="begin"/>
                    </w:r>
                    <w:r>
                      <w:instrText xml:space="preserve">PAGE   \* MERGEFORMAT</w:instrText>
                    </w:r>
                    <w:r>
                      <w:fldChar w:fldCharType="separate"/>
                    </w:r>
                    <w:r>
                      <w:rPr>
                        <w:lang w:val="zh-CN"/>
                      </w:rPr>
                      <w:t>95</w:t>
                    </w:r>
                    <w:r>
                      <w:fldChar w:fldCharType="end"/>
                    </w:r>
                  </w:p>
                </w:txbxContent>
              </v:textbox>
            </v:shape>
          </w:pict>
        </mc:Fallback>
      </mc:AlternateContent>
    </w:r>
  </w:p>
  <w:p w14:paraId="5F1E669F">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51D04C"/>
    <w:multiLevelType w:val="singleLevel"/>
    <w:tmpl w:val="D051D04C"/>
    <w:lvl w:ilvl="0" w:tentative="0">
      <w:start w:val="2"/>
      <w:numFmt w:val="decimal"/>
      <w:suff w:val="nothing"/>
      <w:lvlText w:val="%1、"/>
      <w:lvlJc w:val="left"/>
    </w:lvl>
  </w:abstractNum>
  <w:abstractNum w:abstractNumId="1">
    <w:nsid w:val="DB6C8DCB"/>
    <w:multiLevelType w:val="singleLevel"/>
    <w:tmpl w:val="DB6C8DCB"/>
    <w:lvl w:ilvl="0" w:tentative="0">
      <w:start w:val="1"/>
      <w:numFmt w:val="decimal"/>
      <w:suff w:val="nothing"/>
      <w:lvlText w:val="（%1）"/>
      <w:lvlJc w:val="left"/>
    </w:lvl>
  </w:abstractNum>
  <w:abstractNum w:abstractNumId="2">
    <w:nsid w:val="F866E1E6"/>
    <w:multiLevelType w:val="singleLevel"/>
    <w:tmpl w:val="F866E1E6"/>
    <w:lvl w:ilvl="0" w:tentative="0">
      <w:start w:val="1"/>
      <w:numFmt w:val="upperLetter"/>
      <w:suff w:val="space"/>
      <w:lvlText w:val="%1."/>
      <w:lvlJc w:val="left"/>
    </w:lvl>
  </w:abstractNum>
  <w:abstractNum w:abstractNumId="3">
    <w:nsid w:val="1F2A03B9"/>
    <w:multiLevelType w:val="singleLevel"/>
    <w:tmpl w:val="1F2A03B9"/>
    <w:lvl w:ilvl="0" w:tentative="0">
      <w:start w:val="2"/>
      <w:numFmt w:val="chineseCounting"/>
      <w:suff w:val="nothing"/>
      <w:lvlText w:val="%1、"/>
      <w:lvlJc w:val="left"/>
      <w:rPr>
        <w:rFonts w:hint="eastAsia"/>
      </w:rPr>
    </w:lvl>
  </w:abstractNum>
  <w:abstractNum w:abstractNumId="4">
    <w:nsid w:val="3E7EDE50"/>
    <w:multiLevelType w:val="singleLevel"/>
    <w:tmpl w:val="3E7EDE50"/>
    <w:lvl w:ilvl="0" w:tentative="0">
      <w:start w:val="1"/>
      <w:numFmt w:val="upperLetter"/>
      <w:suff w:val="space"/>
      <w:lvlText w:val="%1."/>
      <w:lvlJc w:val="left"/>
    </w:lvl>
  </w:abstractNum>
  <w:abstractNum w:abstractNumId="5">
    <w:nsid w:val="460566B8"/>
    <w:multiLevelType w:val="singleLevel"/>
    <w:tmpl w:val="460566B8"/>
    <w:lvl w:ilvl="0" w:tentative="0">
      <w:start w:val="1"/>
      <w:numFmt w:val="bullet"/>
      <w:pStyle w:val="7"/>
      <w:lvlText w:val=""/>
      <w:lvlJc w:val="left"/>
      <w:pPr>
        <w:tabs>
          <w:tab w:val="left" w:pos="2040"/>
        </w:tabs>
        <w:ind w:left="2040" w:hanging="360"/>
      </w:pPr>
      <w:rPr>
        <w:rFonts w:hint="default" w:ascii="Wingdings" w:hAnsi="Wingdings"/>
      </w:rPr>
    </w:lvl>
  </w:abstractNum>
  <w:abstractNum w:abstractNumId="6">
    <w:nsid w:val="5DB82B3E"/>
    <w:multiLevelType w:val="multilevel"/>
    <w:tmpl w:val="5DB82B3E"/>
    <w:lvl w:ilvl="0" w:tentative="0">
      <w:start w:val="1"/>
      <w:numFmt w:val="japaneseCounting"/>
      <w:pStyle w:val="37"/>
      <w:lvlText w:val="%1、"/>
      <w:lvlJc w:val="left"/>
      <w:pPr>
        <w:ind w:left="960" w:hanging="720"/>
      </w:pPr>
      <w:rPr>
        <w:rFonts w:hint="default" w:cs="Times New Roman"/>
      </w:rPr>
    </w:lvl>
    <w:lvl w:ilvl="1" w:tentative="0">
      <w:start w:val="1"/>
      <w:numFmt w:val="lowerLetter"/>
      <w:lvlText w:val="%2)"/>
      <w:lvlJc w:val="left"/>
      <w:pPr>
        <w:ind w:left="1080" w:hanging="420"/>
      </w:pPr>
      <w:rPr>
        <w:rFonts w:cs="Times New Roman"/>
      </w:rPr>
    </w:lvl>
    <w:lvl w:ilvl="2" w:tentative="0">
      <w:start w:val="1"/>
      <w:numFmt w:val="lowerRoman"/>
      <w:lvlText w:val="%3."/>
      <w:lvlJc w:val="right"/>
      <w:pPr>
        <w:ind w:left="1500" w:hanging="420"/>
      </w:pPr>
      <w:rPr>
        <w:rFonts w:cs="Times New Roman"/>
      </w:rPr>
    </w:lvl>
    <w:lvl w:ilvl="3" w:tentative="0">
      <w:start w:val="1"/>
      <w:numFmt w:val="decimal"/>
      <w:lvlText w:val="%4."/>
      <w:lvlJc w:val="left"/>
      <w:pPr>
        <w:ind w:left="1920" w:hanging="420"/>
      </w:pPr>
      <w:rPr>
        <w:rFonts w:cs="Times New Roman"/>
      </w:rPr>
    </w:lvl>
    <w:lvl w:ilvl="4" w:tentative="0">
      <w:start w:val="1"/>
      <w:numFmt w:val="lowerLetter"/>
      <w:lvlText w:val="%5)"/>
      <w:lvlJc w:val="left"/>
      <w:pPr>
        <w:ind w:left="2340" w:hanging="420"/>
      </w:pPr>
      <w:rPr>
        <w:rFonts w:cs="Times New Roman"/>
      </w:rPr>
    </w:lvl>
    <w:lvl w:ilvl="5" w:tentative="0">
      <w:start w:val="1"/>
      <w:numFmt w:val="lowerRoman"/>
      <w:lvlText w:val="%6."/>
      <w:lvlJc w:val="right"/>
      <w:pPr>
        <w:ind w:left="2760" w:hanging="420"/>
      </w:pPr>
      <w:rPr>
        <w:rFonts w:cs="Times New Roman"/>
      </w:rPr>
    </w:lvl>
    <w:lvl w:ilvl="6" w:tentative="0">
      <w:start w:val="1"/>
      <w:numFmt w:val="decimal"/>
      <w:lvlText w:val="%7."/>
      <w:lvlJc w:val="left"/>
      <w:pPr>
        <w:ind w:left="3180" w:hanging="420"/>
      </w:pPr>
      <w:rPr>
        <w:rFonts w:cs="Times New Roman"/>
      </w:rPr>
    </w:lvl>
    <w:lvl w:ilvl="7" w:tentative="0">
      <w:start w:val="1"/>
      <w:numFmt w:val="lowerLetter"/>
      <w:lvlText w:val="%8)"/>
      <w:lvlJc w:val="left"/>
      <w:pPr>
        <w:ind w:left="3600" w:hanging="420"/>
      </w:pPr>
      <w:rPr>
        <w:rFonts w:cs="Times New Roman"/>
      </w:rPr>
    </w:lvl>
    <w:lvl w:ilvl="8" w:tentative="0">
      <w:start w:val="1"/>
      <w:numFmt w:val="lowerRoman"/>
      <w:lvlText w:val="%9."/>
      <w:lvlJc w:val="right"/>
      <w:pPr>
        <w:ind w:left="4020" w:hanging="420"/>
      </w:pPr>
      <w:rPr>
        <w:rFonts w:cs="Times New Roman"/>
      </w:rPr>
    </w:lvl>
  </w:abstractNum>
  <w:abstractNum w:abstractNumId="7">
    <w:nsid w:val="6507B906"/>
    <w:multiLevelType w:val="singleLevel"/>
    <w:tmpl w:val="6507B906"/>
    <w:lvl w:ilvl="0" w:tentative="0">
      <w:start w:val="1"/>
      <w:numFmt w:val="upperLetter"/>
      <w:suff w:val="space"/>
      <w:lvlText w:val="%1."/>
      <w:lvlJc w:val="left"/>
    </w:lvl>
  </w:abstractNum>
  <w:abstractNum w:abstractNumId="8">
    <w:nsid w:val="787D5060"/>
    <w:multiLevelType w:val="singleLevel"/>
    <w:tmpl w:val="787D5060"/>
    <w:lvl w:ilvl="0" w:tentative="0">
      <w:start w:val="6"/>
      <w:numFmt w:val="chineseCounting"/>
      <w:suff w:val="nothing"/>
      <w:lvlText w:val="%1、"/>
      <w:lvlJc w:val="left"/>
      <w:rPr>
        <w:rFonts w:hint="eastAsia"/>
      </w:rPr>
    </w:lvl>
  </w:abstractNum>
  <w:num w:numId="1">
    <w:abstractNumId w:val="5"/>
  </w:num>
  <w:num w:numId="2">
    <w:abstractNumId w:val="6"/>
  </w:num>
  <w:num w:numId="3">
    <w:abstractNumId w:val="1"/>
  </w:num>
  <w:num w:numId="4">
    <w:abstractNumId w:val="3"/>
  </w:num>
  <w:num w:numId="5">
    <w:abstractNumId w:val="4"/>
  </w:num>
  <w:num w:numId="6">
    <w:abstractNumId w:val="7"/>
  </w:num>
  <w:num w:numId="7">
    <w:abstractNumId w:val="0"/>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kNmVkNmQzYjQxZWIzMDQyNjAxN2U4MGE0ZWJlOWQifQ=="/>
  </w:docVars>
  <w:rsids>
    <w:rsidRoot w:val="000D21F1"/>
    <w:rsid w:val="0000594F"/>
    <w:rsid w:val="000102F6"/>
    <w:rsid w:val="00011457"/>
    <w:rsid w:val="00015C13"/>
    <w:rsid w:val="0002054A"/>
    <w:rsid w:val="00022B25"/>
    <w:rsid w:val="0002320D"/>
    <w:rsid w:val="00023BE9"/>
    <w:rsid w:val="00025683"/>
    <w:rsid w:val="00030684"/>
    <w:rsid w:val="00030F9B"/>
    <w:rsid w:val="00032719"/>
    <w:rsid w:val="00034BAC"/>
    <w:rsid w:val="0003519B"/>
    <w:rsid w:val="00035452"/>
    <w:rsid w:val="00040371"/>
    <w:rsid w:val="00042A57"/>
    <w:rsid w:val="000433B7"/>
    <w:rsid w:val="000507BB"/>
    <w:rsid w:val="0005116E"/>
    <w:rsid w:val="00055FB9"/>
    <w:rsid w:val="000628AA"/>
    <w:rsid w:val="00062ED8"/>
    <w:rsid w:val="00067285"/>
    <w:rsid w:val="00070C01"/>
    <w:rsid w:val="0007715A"/>
    <w:rsid w:val="0007717A"/>
    <w:rsid w:val="0008097E"/>
    <w:rsid w:val="00090046"/>
    <w:rsid w:val="000969AD"/>
    <w:rsid w:val="000A14DB"/>
    <w:rsid w:val="000A7733"/>
    <w:rsid w:val="000B2966"/>
    <w:rsid w:val="000B3969"/>
    <w:rsid w:val="000B49E3"/>
    <w:rsid w:val="000D0A6E"/>
    <w:rsid w:val="000D21F1"/>
    <w:rsid w:val="000D4DCC"/>
    <w:rsid w:val="000E5507"/>
    <w:rsid w:val="000E5D71"/>
    <w:rsid w:val="00102794"/>
    <w:rsid w:val="00102EFB"/>
    <w:rsid w:val="00104D96"/>
    <w:rsid w:val="00111AE5"/>
    <w:rsid w:val="00114664"/>
    <w:rsid w:val="00124FB9"/>
    <w:rsid w:val="00137A03"/>
    <w:rsid w:val="001415E2"/>
    <w:rsid w:val="001455AD"/>
    <w:rsid w:val="00147E3C"/>
    <w:rsid w:val="00150592"/>
    <w:rsid w:val="00150EAD"/>
    <w:rsid w:val="001527A6"/>
    <w:rsid w:val="0015435B"/>
    <w:rsid w:val="00154879"/>
    <w:rsid w:val="00172A58"/>
    <w:rsid w:val="00173840"/>
    <w:rsid w:val="00177119"/>
    <w:rsid w:val="00182F72"/>
    <w:rsid w:val="001A0D29"/>
    <w:rsid w:val="001B2337"/>
    <w:rsid w:val="001B30F1"/>
    <w:rsid w:val="001C3C29"/>
    <w:rsid w:val="001D7D90"/>
    <w:rsid w:val="00202AAE"/>
    <w:rsid w:val="00211147"/>
    <w:rsid w:val="00212366"/>
    <w:rsid w:val="00216B0C"/>
    <w:rsid w:val="0022138D"/>
    <w:rsid w:val="00226B16"/>
    <w:rsid w:val="002371B4"/>
    <w:rsid w:val="00241CE9"/>
    <w:rsid w:val="00244FFE"/>
    <w:rsid w:val="00245969"/>
    <w:rsid w:val="00246A64"/>
    <w:rsid w:val="002477C8"/>
    <w:rsid w:val="00247DB8"/>
    <w:rsid w:val="00250C96"/>
    <w:rsid w:val="00256520"/>
    <w:rsid w:val="00262609"/>
    <w:rsid w:val="00267B4D"/>
    <w:rsid w:val="00277535"/>
    <w:rsid w:val="002842C0"/>
    <w:rsid w:val="0028484F"/>
    <w:rsid w:val="0029134F"/>
    <w:rsid w:val="00293F12"/>
    <w:rsid w:val="0029670B"/>
    <w:rsid w:val="002A57C8"/>
    <w:rsid w:val="002A5EBE"/>
    <w:rsid w:val="002B5AE7"/>
    <w:rsid w:val="002B76CC"/>
    <w:rsid w:val="002C4453"/>
    <w:rsid w:val="002C60D7"/>
    <w:rsid w:val="002E1E8A"/>
    <w:rsid w:val="002E3A03"/>
    <w:rsid w:val="002F06F1"/>
    <w:rsid w:val="002F3113"/>
    <w:rsid w:val="002F4AAD"/>
    <w:rsid w:val="002F5F9B"/>
    <w:rsid w:val="00314984"/>
    <w:rsid w:val="00321A53"/>
    <w:rsid w:val="00342A58"/>
    <w:rsid w:val="003472E6"/>
    <w:rsid w:val="00360EC2"/>
    <w:rsid w:val="00361ADD"/>
    <w:rsid w:val="00361B86"/>
    <w:rsid w:val="0036237B"/>
    <w:rsid w:val="00362F33"/>
    <w:rsid w:val="00365CF7"/>
    <w:rsid w:val="0037530C"/>
    <w:rsid w:val="00396876"/>
    <w:rsid w:val="003A7820"/>
    <w:rsid w:val="003B0765"/>
    <w:rsid w:val="003B2CAC"/>
    <w:rsid w:val="003B2FD8"/>
    <w:rsid w:val="003C22D4"/>
    <w:rsid w:val="003C3D61"/>
    <w:rsid w:val="003E07FD"/>
    <w:rsid w:val="003E0CFB"/>
    <w:rsid w:val="003E1531"/>
    <w:rsid w:val="003E2A9F"/>
    <w:rsid w:val="003F2240"/>
    <w:rsid w:val="003F7B41"/>
    <w:rsid w:val="00415972"/>
    <w:rsid w:val="0041730B"/>
    <w:rsid w:val="004200DD"/>
    <w:rsid w:val="00422B52"/>
    <w:rsid w:val="004300E0"/>
    <w:rsid w:val="00430E00"/>
    <w:rsid w:val="004333BD"/>
    <w:rsid w:val="004339AA"/>
    <w:rsid w:val="00434FA7"/>
    <w:rsid w:val="00441105"/>
    <w:rsid w:val="0045278A"/>
    <w:rsid w:val="0045508B"/>
    <w:rsid w:val="0046704B"/>
    <w:rsid w:val="00472A77"/>
    <w:rsid w:val="00473031"/>
    <w:rsid w:val="00481193"/>
    <w:rsid w:val="004824B6"/>
    <w:rsid w:val="004B0D73"/>
    <w:rsid w:val="004B405F"/>
    <w:rsid w:val="004B6271"/>
    <w:rsid w:val="004B647C"/>
    <w:rsid w:val="004B7EBC"/>
    <w:rsid w:val="004C3731"/>
    <w:rsid w:val="004C658A"/>
    <w:rsid w:val="004C6BF7"/>
    <w:rsid w:val="004C6D37"/>
    <w:rsid w:val="004D171C"/>
    <w:rsid w:val="004D307D"/>
    <w:rsid w:val="004E085C"/>
    <w:rsid w:val="004E7577"/>
    <w:rsid w:val="00516D75"/>
    <w:rsid w:val="0052050F"/>
    <w:rsid w:val="00531D09"/>
    <w:rsid w:val="0053760E"/>
    <w:rsid w:val="00542AA6"/>
    <w:rsid w:val="00545867"/>
    <w:rsid w:val="005479FC"/>
    <w:rsid w:val="0055274D"/>
    <w:rsid w:val="00570571"/>
    <w:rsid w:val="005748CB"/>
    <w:rsid w:val="00586833"/>
    <w:rsid w:val="00586CAE"/>
    <w:rsid w:val="00592D28"/>
    <w:rsid w:val="00593938"/>
    <w:rsid w:val="00594CD5"/>
    <w:rsid w:val="005952E7"/>
    <w:rsid w:val="005969BC"/>
    <w:rsid w:val="005A2655"/>
    <w:rsid w:val="005A44F4"/>
    <w:rsid w:val="005B0FA9"/>
    <w:rsid w:val="005B127B"/>
    <w:rsid w:val="005C2110"/>
    <w:rsid w:val="005D1474"/>
    <w:rsid w:val="005E123C"/>
    <w:rsid w:val="005E468C"/>
    <w:rsid w:val="005E5087"/>
    <w:rsid w:val="005E56AF"/>
    <w:rsid w:val="005E65E9"/>
    <w:rsid w:val="005E6617"/>
    <w:rsid w:val="005E7547"/>
    <w:rsid w:val="005F2E63"/>
    <w:rsid w:val="005F31B2"/>
    <w:rsid w:val="005F6899"/>
    <w:rsid w:val="00601665"/>
    <w:rsid w:val="0061595D"/>
    <w:rsid w:val="00615BFD"/>
    <w:rsid w:val="0062096B"/>
    <w:rsid w:val="00621317"/>
    <w:rsid w:val="00633F95"/>
    <w:rsid w:val="0064050E"/>
    <w:rsid w:val="00640D88"/>
    <w:rsid w:val="00641E9D"/>
    <w:rsid w:val="0067509C"/>
    <w:rsid w:val="006814F1"/>
    <w:rsid w:val="00686BE4"/>
    <w:rsid w:val="00686EB5"/>
    <w:rsid w:val="00693ED1"/>
    <w:rsid w:val="006970B5"/>
    <w:rsid w:val="006A30E2"/>
    <w:rsid w:val="006B0400"/>
    <w:rsid w:val="006C0F35"/>
    <w:rsid w:val="006D5633"/>
    <w:rsid w:val="006D5FD7"/>
    <w:rsid w:val="006E0B69"/>
    <w:rsid w:val="006E6B96"/>
    <w:rsid w:val="00701D58"/>
    <w:rsid w:val="00706C69"/>
    <w:rsid w:val="00715C30"/>
    <w:rsid w:val="00721F57"/>
    <w:rsid w:val="00726819"/>
    <w:rsid w:val="007314ED"/>
    <w:rsid w:val="0073179F"/>
    <w:rsid w:val="0074452D"/>
    <w:rsid w:val="007537BE"/>
    <w:rsid w:val="00753CC0"/>
    <w:rsid w:val="0075583D"/>
    <w:rsid w:val="00755DDA"/>
    <w:rsid w:val="007573B3"/>
    <w:rsid w:val="0078143C"/>
    <w:rsid w:val="007944D7"/>
    <w:rsid w:val="00795F00"/>
    <w:rsid w:val="007A396A"/>
    <w:rsid w:val="007B199D"/>
    <w:rsid w:val="007C7052"/>
    <w:rsid w:val="007C7D82"/>
    <w:rsid w:val="007D5927"/>
    <w:rsid w:val="00803CDC"/>
    <w:rsid w:val="00815409"/>
    <w:rsid w:val="008164C2"/>
    <w:rsid w:val="00820404"/>
    <w:rsid w:val="00823856"/>
    <w:rsid w:val="008373FE"/>
    <w:rsid w:val="00855720"/>
    <w:rsid w:val="008714D9"/>
    <w:rsid w:val="00871641"/>
    <w:rsid w:val="00873257"/>
    <w:rsid w:val="00877B35"/>
    <w:rsid w:val="0088592F"/>
    <w:rsid w:val="0088774C"/>
    <w:rsid w:val="00891D3E"/>
    <w:rsid w:val="008A3DF2"/>
    <w:rsid w:val="008A48F5"/>
    <w:rsid w:val="008A61D7"/>
    <w:rsid w:val="008B4ACF"/>
    <w:rsid w:val="008C5AAE"/>
    <w:rsid w:val="008C61B7"/>
    <w:rsid w:val="008D4E60"/>
    <w:rsid w:val="008D6DB9"/>
    <w:rsid w:val="008E31D5"/>
    <w:rsid w:val="008E5A2B"/>
    <w:rsid w:val="008F2447"/>
    <w:rsid w:val="008F286C"/>
    <w:rsid w:val="00907637"/>
    <w:rsid w:val="00913B98"/>
    <w:rsid w:val="009273D6"/>
    <w:rsid w:val="00931971"/>
    <w:rsid w:val="00933B22"/>
    <w:rsid w:val="00934718"/>
    <w:rsid w:val="009536FA"/>
    <w:rsid w:val="00962D06"/>
    <w:rsid w:val="00963D86"/>
    <w:rsid w:val="00965184"/>
    <w:rsid w:val="0097389F"/>
    <w:rsid w:val="0097450D"/>
    <w:rsid w:val="009767DD"/>
    <w:rsid w:val="00985042"/>
    <w:rsid w:val="00986BB4"/>
    <w:rsid w:val="00987444"/>
    <w:rsid w:val="0099118F"/>
    <w:rsid w:val="009919EB"/>
    <w:rsid w:val="00993C6F"/>
    <w:rsid w:val="009A3408"/>
    <w:rsid w:val="009A4CD3"/>
    <w:rsid w:val="009A7F76"/>
    <w:rsid w:val="009B29B1"/>
    <w:rsid w:val="009C240A"/>
    <w:rsid w:val="009D0075"/>
    <w:rsid w:val="009D02C5"/>
    <w:rsid w:val="009D2B0D"/>
    <w:rsid w:val="00A1165D"/>
    <w:rsid w:val="00A2209C"/>
    <w:rsid w:val="00A237EB"/>
    <w:rsid w:val="00A23CF2"/>
    <w:rsid w:val="00A261D9"/>
    <w:rsid w:val="00A26242"/>
    <w:rsid w:val="00A32415"/>
    <w:rsid w:val="00A36BB0"/>
    <w:rsid w:val="00A36E62"/>
    <w:rsid w:val="00A50C62"/>
    <w:rsid w:val="00A620D2"/>
    <w:rsid w:val="00A72628"/>
    <w:rsid w:val="00A75920"/>
    <w:rsid w:val="00A82A0A"/>
    <w:rsid w:val="00A82C92"/>
    <w:rsid w:val="00A84099"/>
    <w:rsid w:val="00A84679"/>
    <w:rsid w:val="00A933E2"/>
    <w:rsid w:val="00AA21D5"/>
    <w:rsid w:val="00AA42D2"/>
    <w:rsid w:val="00AA5978"/>
    <w:rsid w:val="00AB1965"/>
    <w:rsid w:val="00AB55A5"/>
    <w:rsid w:val="00AC4831"/>
    <w:rsid w:val="00AD7CAE"/>
    <w:rsid w:val="00AE23F5"/>
    <w:rsid w:val="00AE69EE"/>
    <w:rsid w:val="00B03F0E"/>
    <w:rsid w:val="00B03FF4"/>
    <w:rsid w:val="00B0426D"/>
    <w:rsid w:val="00B1367E"/>
    <w:rsid w:val="00B15573"/>
    <w:rsid w:val="00B204D0"/>
    <w:rsid w:val="00B218F7"/>
    <w:rsid w:val="00B24CEC"/>
    <w:rsid w:val="00B31910"/>
    <w:rsid w:val="00B3665A"/>
    <w:rsid w:val="00B432D0"/>
    <w:rsid w:val="00B468CD"/>
    <w:rsid w:val="00B505EA"/>
    <w:rsid w:val="00B734EB"/>
    <w:rsid w:val="00B74A4D"/>
    <w:rsid w:val="00B75DEC"/>
    <w:rsid w:val="00B823A0"/>
    <w:rsid w:val="00BA0513"/>
    <w:rsid w:val="00BA1F34"/>
    <w:rsid w:val="00BA7D54"/>
    <w:rsid w:val="00BC1B30"/>
    <w:rsid w:val="00BC65F1"/>
    <w:rsid w:val="00BD4043"/>
    <w:rsid w:val="00BD5790"/>
    <w:rsid w:val="00BE1D21"/>
    <w:rsid w:val="00BF1FAE"/>
    <w:rsid w:val="00BF3998"/>
    <w:rsid w:val="00BF65EB"/>
    <w:rsid w:val="00C00D8E"/>
    <w:rsid w:val="00C06885"/>
    <w:rsid w:val="00C14B91"/>
    <w:rsid w:val="00C22BD0"/>
    <w:rsid w:val="00C2663B"/>
    <w:rsid w:val="00C459EF"/>
    <w:rsid w:val="00C50E45"/>
    <w:rsid w:val="00C71C34"/>
    <w:rsid w:val="00C733EF"/>
    <w:rsid w:val="00C73B52"/>
    <w:rsid w:val="00C817A1"/>
    <w:rsid w:val="00C92B89"/>
    <w:rsid w:val="00C93106"/>
    <w:rsid w:val="00C975EE"/>
    <w:rsid w:val="00CA077C"/>
    <w:rsid w:val="00CA59E3"/>
    <w:rsid w:val="00CC1579"/>
    <w:rsid w:val="00CC543E"/>
    <w:rsid w:val="00CC5D9B"/>
    <w:rsid w:val="00CC6FA1"/>
    <w:rsid w:val="00CD1788"/>
    <w:rsid w:val="00CD61D2"/>
    <w:rsid w:val="00CE4648"/>
    <w:rsid w:val="00CF2250"/>
    <w:rsid w:val="00D07F4A"/>
    <w:rsid w:val="00D11CFF"/>
    <w:rsid w:val="00D14034"/>
    <w:rsid w:val="00D3551F"/>
    <w:rsid w:val="00D379E4"/>
    <w:rsid w:val="00D440D9"/>
    <w:rsid w:val="00D501BB"/>
    <w:rsid w:val="00D647E4"/>
    <w:rsid w:val="00D70590"/>
    <w:rsid w:val="00D70BB4"/>
    <w:rsid w:val="00D77D19"/>
    <w:rsid w:val="00D80803"/>
    <w:rsid w:val="00D9012D"/>
    <w:rsid w:val="00D91FCD"/>
    <w:rsid w:val="00DA2E15"/>
    <w:rsid w:val="00DA4710"/>
    <w:rsid w:val="00DA61A3"/>
    <w:rsid w:val="00DB114D"/>
    <w:rsid w:val="00DB4F51"/>
    <w:rsid w:val="00DC3FFB"/>
    <w:rsid w:val="00DD0AE9"/>
    <w:rsid w:val="00DD4E05"/>
    <w:rsid w:val="00DE1580"/>
    <w:rsid w:val="00DE7E42"/>
    <w:rsid w:val="00E01D44"/>
    <w:rsid w:val="00E1456B"/>
    <w:rsid w:val="00E17CC5"/>
    <w:rsid w:val="00E21259"/>
    <w:rsid w:val="00E2287B"/>
    <w:rsid w:val="00E26829"/>
    <w:rsid w:val="00E31DCB"/>
    <w:rsid w:val="00E3320B"/>
    <w:rsid w:val="00E4207B"/>
    <w:rsid w:val="00E4211C"/>
    <w:rsid w:val="00E4413D"/>
    <w:rsid w:val="00E845AE"/>
    <w:rsid w:val="00E92EF6"/>
    <w:rsid w:val="00EA0E4E"/>
    <w:rsid w:val="00EA22E8"/>
    <w:rsid w:val="00EB5BDA"/>
    <w:rsid w:val="00EC2E3F"/>
    <w:rsid w:val="00EC3474"/>
    <w:rsid w:val="00EC4F0C"/>
    <w:rsid w:val="00EC5799"/>
    <w:rsid w:val="00EC6358"/>
    <w:rsid w:val="00EC794A"/>
    <w:rsid w:val="00ED2843"/>
    <w:rsid w:val="00EF2B48"/>
    <w:rsid w:val="00EF2EAB"/>
    <w:rsid w:val="00EF3442"/>
    <w:rsid w:val="00EF5B3D"/>
    <w:rsid w:val="00EF7D62"/>
    <w:rsid w:val="00F03A0C"/>
    <w:rsid w:val="00F065CE"/>
    <w:rsid w:val="00F12993"/>
    <w:rsid w:val="00F1488B"/>
    <w:rsid w:val="00F1712C"/>
    <w:rsid w:val="00F20ABA"/>
    <w:rsid w:val="00F23A5F"/>
    <w:rsid w:val="00F26F5B"/>
    <w:rsid w:val="00F36C3F"/>
    <w:rsid w:val="00F422F6"/>
    <w:rsid w:val="00F458EE"/>
    <w:rsid w:val="00F4653E"/>
    <w:rsid w:val="00F47C0F"/>
    <w:rsid w:val="00F53AEB"/>
    <w:rsid w:val="00F5590F"/>
    <w:rsid w:val="00F617C5"/>
    <w:rsid w:val="00F61FE7"/>
    <w:rsid w:val="00F63CB8"/>
    <w:rsid w:val="00F66D35"/>
    <w:rsid w:val="00F67272"/>
    <w:rsid w:val="00F7248B"/>
    <w:rsid w:val="00F73807"/>
    <w:rsid w:val="00F810F7"/>
    <w:rsid w:val="00F81866"/>
    <w:rsid w:val="00F83D7F"/>
    <w:rsid w:val="00F93F7D"/>
    <w:rsid w:val="00FA1FC3"/>
    <w:rsid w:val="00FA5687"/>
    <w:rsid w:val="00FB06F6"/>
    <w:rsid w:val="00FC577D"/>
    <w:rsid w:val="00FD0CE7"/>
    <w:rsid w:val="00FD2E75"/>
    <w:rsid w:val="00FF4102"/>
    <w:rsid w:val="014C6B51"/>
    <w:rsid w:val="0150130C"/>
    <w:rsid w:val="01541EA9"/>
    <w:rsid w:val="01665E9C"/>
    <w:rsid w:val="018A1427"/>
    <w:rsid w:val="019C4253"/>
    <w:rsid w:val="01A47334"/>
    <w:rsid w:val="01A93FA3"/>
    <w:rsid w:val="01BC3DA3"/>
    <w:rsid w:val="01C2082B"/>
    <w:rsid w:val="01C7201B"/>
    <w:rsid w:val="01DB1CCE"/>
    <w:rsid w:val="01FE5971"/>
    <w:rsid w:val="023A109F"/>
    <w:rsid w:val="02441F1E"/>
    <w:rsid w:val="02482FCE"/>
    <w:rsid w:val="025657AD"/>
    <w:rsid w:val="025A34EF"/>
    <w:rsid w:val="02671BD1"/>
    <w:rsid w:val="026B3007"/>
    <w:rsid w:val="027F6AB2"/>
    <w:rsid w:val="029167E5"/>
    <w:rsid w:val="02A97FD3"/>
    <w:rsid w:val="02CD3E4D"/>
    <w:rsid w:val="02D1675B"/>
    <w:rsid w:val="02EC2BEA"/>
    <w:rsid w:val="03065425"/>
    <w:rsid w:val="03117972"/>
    <w:rsid w:val="031D144F"/>
    <w:rsid w:val="03455336"/>
    <w:rsid w:val="03697A39"/>
    <w:rsid w:val="038B134F"/>
    <w:rsid w:val="03925D37"/>
    <w:rsid w:val="03A81A58"/>
    <w:rsid w:val="03C350C4"/>
    <w:rsid w:val="03F040CD"/>
    <w:rsid w:val="03F82FC0"/>
    <w:rsid w:val="0405748B"/>
    <w:rsid w:val="040D6D41"/>
    <w:rsid w:val="042B2878"/>
    <w:rsid w:val="042C0EBC"/>
    <w:rsid w:val="043833BC"/>
    <w:rsid w:val="0449381C"/>
    <w:rsid w:val="044C6E68"/>
    <w:rsid w:val="04656E0D"/>
    <w:rsid w:val="048001EE"/>
    <w:rsid w:val="048B0849"/>
    <w:rsid w:val="049814B9"/>
    <w:rsid w:val="049F168E"/>
    <w:rsid w:val="04C44C50"/>
    <w:rsid w:val="04DE21DE"/>
    <w:rsid w:val="04EA2A52"/>
    <w:rsid w:val="05290F57"/>
    <w:rsid w:val="05377B18"/>
    <w:rsid w:val="053B310D"/>
    <w:rsid w:val="053F7359"/>
    <w:rsid w:val="05467715"/>
    <w:rsid w:val="056F2E0E"/>
    <w:rsid w:val="05922FA0"/>
    <w:rsid w:val="05A76C27"/>
    <w:rsid w:val="05B15303"/>
    <w:rsid w:val="05B20F4D"/>
    <w:rsid w:val="05B347E1"/>
    <w:rsid w:val="05B9677F"/>
    <w:rsid w:val="05C23B25"/>
    <w:rsid w:val="05C51E72"/>
    <w:rsid w:val="05DE3802"/>
    <w:rsid w:val="060A70A7"/>
    <w:rsid w:val="063063B7"/>
    <w:rsid w:val="06354BBA"/>
    <w:rsid w:val="06365F18"/>
    <w:rsid w:val="065B6539"/>
    <w:rsid w:val="06644B71"/>
    <w:rsid w:val="0670034A"/>
    <w:rsid w:val="06745C97"/>
    <w:rsid w:val="067A22AA"/>
    <w:rsid w:val="0680104B"/>
    <w:rsid w:val="069B6A3E"/>
    <w:rsid w:val="06AE3E0A"/>
    <w:rsid w:val="06D705E4"/>
    <w:rsid w:val="06D73361"/>
    <w:rsid w:val="06F3462A"/>
    <w:rsid w:val="07117714"/>
    <w:rsid w:val="0721638A"/>
    <w:rsid w:val="073707BF"/>
    <w:rsid w:val="073A5E11"/>
    <w:rsid w:val="075B412F"/>
    <w:rsid w:val="076562D9"/>
    <w:rsid w:val="077E1A2E"/>
    <w:rsid w:val="079A613C"/>
    <w:rsid w:val="07A11279"/>
    <w:rsid w:val="07A34FF1"/>
    <w:rsid w:val="07B8476E"/>
    <w:rsid w:val="07CA4C73"/>
    <w:rsid w:val="07D371FC"/>
    <w:rsid w:val="07D81972"/>
    <w:rsid w:val="07E660B8"/>
    <w:rsid w:val="07FB307F"/>
    <w:rsid w:val="08017F69"/>
    <w:rsid w:val="08030185"/>
    <w:rsid w:val="08463CBE"/>
    <w:rsid w:val="084F5B93"/>
    <w:rsid w:val="08672FD7"/>
    <w:rsid w:val="08695F83"/>
    <w:rsid w:val="086A1FB2"/>
    <w:rsid w:val="08716E9D"/>
    <w:rsid w:val="088272FC"/>
    <w:rsid w:val="08833439"/>
    <w:rsid w:val="088A5836"/>
    <w:rsid w:val="089A6EC6"/>
    <w:rsid w:val="08AE3DEF"/>
    <w:rsid w:val="08B374B6"/>
    <w:rsid w:val="08C9422C"/>
    <w:rsid w:val="08D21EBF"/>
    <w:rsid w:val="08DD2784"/>
    <w:rsid w:val="08F54FFF"/>
    <w:rsid w:val="0902542E"/>
    <w:rsid w:val="09060CCF"/>
    <w:rsid w:val="0938468E"/>
    <w:rsid w:val="09393010"/>
    <w:rsid w:val="09394033"/>
    <w:rsid w:val="094C5B48"/>
    <w:rsid w:val="095C57E5"/>
    <w:rsid w:val="097035F9"/>
    <w:rsid w:val="09864BCA"/>
    <w:rsid w:val="099D2F7B"/>
    <w:rsid w:val="09BA1F10"/>
    <w:rsid w:val="09C0632E"/>
    <w:rsid w:val="09C37878"/>
    <w:rsid w:val="09D7409F"/>
    <w:rsid w:val="09F14739"/>
    <w:rsid w:val="0A0855DF"/>
    <w:rsid w:val="0A107739"/>
    <w:rsid w:val="0A3E6C12"/>
    <w:rsid w:val="0A4958A2"/>
    <w:rsid w:val="0A555546"/>
    <w:rsid w:val="0A5C592B"/>
    <w:rsid w:val="0A726446"/>
    <w:rsid w:val="0A7669ED"/>
    <w:rsid w:val="0A791132"/>
    <w:rsid w:val="0AA03A6A"/>
    <w:rsid w:val="0AA063EB"/>
    <w:rsid w:val="0AA23C86"/>
    <w:rsid w:val="0ABA1880"/>
    <w:rsid w:val="0ABA3B8E"/>
    <w:rsid w:val="0AC1738F"/>
    <w:rsid w:val="0AD91F12"/>
    <w:rsid w:val="0AE75B3C"/>
    <w:rsid w:val="0AE96B24"/>
    <w:rsid w:val="0AEE0549"/>
    <w:rsid w:val="0AF557A5"/>
    <w:rsid w:val="0AF67B2D"/>
    <w:rsid w:val="0AF85654"/>
    <w:rsid w:val="0B0C55A3"/>
    <w:rsid w:val="0B3B3792"/>
    <w:rsid w:val="0B624D7B"/>
    <w:rsid w:val="0B6E2B05"/>
    <w:rsid w:val="0B701FB8"/>
    <w:rsid w:val="0B811142"/>
    <w:rsid w:val="0B8A4924"/>
    <w:rsid w:val="0B9C06D5"/>
    <w:rsid w:val="0B9C6927"/>
    <w:rsid w:val="0B9D61FB"/>
    <w:rsid w:val="0BCD2450"/>
    <w:rsid w:val="0BDC4F75"/>
    <w:rsid w:val="0BE300B2"/>
    <w:rsid w:val="0BE81B6C"/>
    <w:rsid w:val="0BEE30CD"/>
    <w:rsid w:val="0BEF5C9E"/>
    <w:rsid w:val="0C252478"/>
    <w:rsid w:val="0C346B5F"/>
    <w:rsid w:val="0C4072B2"/>
    <w:rsid w:val="0C67573A"/>
    <w:rsid w:val="0C68626A"/>
    <w:rsid w:val="0C6A323A"/>
    <w:rsid w:val="0C787292"/>
    <w:rsid w:val="0C852CE6"/>
    <w:rsid w:val="0C995996"/>
    <w:rsid w:val="0CA86033"/>
    <w:rsid w:val="0CB17E61"/>
    <w:rsid w:val="0CC16AB6"/>
    <w:rsid w:val="0CC7352F"/>
    <w:rsid w:val="0CCC323C"/>
    <w:rsid w:val="0CD44BA0"/>
    <w:rsid w:val="0CD56232"/>
    <w:rsid w:val="0CDD4428"/>
    <w:rsid w:val="0CF4031F"/>
    <w:rsid w:val="0D1129FD"/>
    <w:rsid w:val="0D202BC8"/>
    <w:rsid w:val="0D3D5EE8"/>
    <w:rsid w:val="0D510CCA"/>
    <w:rsid w:val="0D5A0AF5"/>
    <w:rsid w:val="0D8124EC"/>
    <w:rsid w:val="0DD8176C"/>
    <w:rsid w:val="0DEF392A"/>
    <w:rsid w:val="0DF93BBD"/>
    <w:rsid w:val="0E2F5830"/>
    <w:rsid w:val="0E39356A"/>
    <w:rsid w:val="0E3B2427"/>
    <w:rsid w:val="0E4B1F3E"/>
    <w:rsid w:val="0E595BF7"/>
    <w:rsid w:val="0E6F3E7F"/>
    <w:rsid w:val="0EC00B7E"/>
    <w:rsid w:val="0EC324AC"/>
    <w:rsid w:val="0ED24CA8"/>
    <w:rsid w:val="0ED40186"/>
    <w:rsid w:val="0EF83E74"/>
    <w:rsid w:val="0F3155D8"/>
    <w:rsid w:val="0F3375A2"/>
    <w:rsid w:val="0F355A09"/>
    <w:rsid w:val="0F770054"/>
    <w:rsid w:val="0F8B3D9D"/>
    <w:rsid w:val="0F941CD9"/>
    <w:rsid w:val="0FA1450C"/>
    <w:rsid w:val="0FA4224E"/>
    <w:rsid w:val="0FD06B9F"/>
    <w:rsid w:val="0FD3668F"/>
    <w:rsid w:val="101C3CD5"/>
    <w:rsid w:val="10366F7B"/>
    <w:rsid w:val="103709CC"/>
    <w:rsid w:val="104D6442"/>
    <w:rsid w:val="107C62BE"/>
    <w:rsid w:val="108A4C7B"/>
    <w:rsid w:val="108D7884"/>
    <w:rsid w:val="10991687"/>
    <w:rsid w:val="109C2F25"/>
    <w:rsid w:val="10A65B52"/>
    <w:rsid w:val="10A94301"/>
    <w:rsid w:val="10B13D47"/>
    <w:rsid w:val="10CC55B8"/>
    <w:rsid w:val="10D1683B"/>
    <w:rsid w:val="10DE79AF"/>
    <w:rsid w:val="10E5667A"/>
    <w:rsid w:val="10FA4E3E"/>
    <w:rsid w:val="11082369"/>
    <w:rsid w:val="11234C8D"/>
    <w:rsid w:val="1125375D"/>
    <w:rsid w:val="11674FE3"/>
    <w:rsid w:val="11730C33"/>
    <w:rsid w:val="118F4601"/>
    <w:rsid w:val="11951E4E"/>
    <w:rsid w:val="119D51A7"/>
    <w:rsid w:val="11A25AC2"/>
    <w:rsid w:val="11A46535"/>
    <w:rsid w:val="11B04EDA"/>
    <w:rsid w:val="11BD76CA"/>
    <w:rsid w:val="11E93F48"/>
    <w:rsid w:val="11EC514B"/>
    <w:rsid w:val="11ED0077"/>
    <w:rsid w:val="11F272A1"/>
    <w:rsid w:val="12061235"/>
    <w:rsid w:val="120E595B"/>
    <w:rsid w:val="12371157"/>
    <w:rsid w:val="123B15FA"/>
    <w:rsid w:val="123C49C0"/>
    <w:rsid w:val="12474BD6"/>
    <w:rsid w:val="124B4C03"/>
    <w:rsid w:val="124E024F"/>
    <w:rsid w:val="1259326C"/>
    <w:rsid w:val="125E4936"/>
    <w:rsid w:val="125F7A29"/>
    <w:rsid w:val="12695089"/>
    <w:rsid w:val="126A721A"/>
    <w:rsid w:val="127C6B6A"/>
    <w:rsid w:val="12804656"/>
    <w:rsid w:val="1283439D"/>
    <w:rsid w:val="12A12A75"/>
    <w:rsid w:val="12AC4134"/>
    <w:rsid w:val="12B21D7E"/>
    <w:rsid w:val="12B9122A"/>
    <w:rsid w:val="12F84F1C"/>
    <w:rsid w:val="12FA1825"/>
    <w:rsid w:val="132C0590"/>
    <w:rsid w:val="134662ED"/>
    <w:rsid w:val="13726DF1"/>
    <w:rsid w:val="139525D9"/>
    <w:rsid w:val="139542F2"/>
    <w:rsid w:val="13EF0447"/>
    <w:rsid w:val="13FD017F"/>
    <w:rsid w:val="13FD1F2D"/>
    <w:rsid w:val="14116D82"/>
    <w:rsid w:val="14315F5A"/>
    <w:rsid w:val="14440AD0"/>
    <w:rsid w:val="145210DA"/>
    <w:rsid w:val="146525E9"/>
    <w:rsid w:val="146F7331"/>
    <w:rsid w:val="14832432"/>
    <w:rsid w:val="148B12E6"/>
    <w:rsid w:val="14A151F9"/>
    <w:rsid w:val="14AF1EAC"/>
    <w:rsid w:val="14B275DB"/>
    <w:rsid w:val="14B908B5"/>
    <w:rsid w:val="14B95E54"/>
    <w:rsid w:val="14DD0DF1"/>
    <w:rsid w:val="14F52C04"/>
    <w:rsid w:val="150F7CC8"/>
    <w:rsid w:val="151E65FF"/>
    <w:rsid w:val="152A0AFF"/>
    <w:rsid w:val="15455939"/>
    <w:rsid w:val="155D7127"/>
    <w:rsid w:val="156264EB"/>
    <w:rsid w:val="15945CB1"/>
    <w:rsid w:val="15A81642"/>
    <w:rsid w:val="15C52A67"/>
    <w:rsid w:val="15C90318"/>
    <w:rsid w:val="15E30B21"/>
    <w:rsid w:val="15EE6606"/>
    <w:rsid w:val="15F359FE"/>
    <w:rsid w:val="15F50F5E"/>
    <w:rsid w:val="15FD4466"/>
    <w:rsid w:val="16222BA1"/>
    <w:rsid w:val="16232652"/>
    <w:rsid w:val="16251B17"/>
    <w:rsid w:val="164756E1"/>
    <w:rsid w:val="16491B42"/>
    <w:rsid w:val="164B155C"/>
    <w:rsid w:val="1675224E"/>
    <w:rsid w:val="16822FC9"/>
    <w:rsid w:val="16860033"/>
    <w:rsid w:val="1687033E"/>
    <w:rsid w:val="169477D0"/>
    <w:rsid w:val="16A668AC"/>
    <w:rsid w:val="16AD3796"/>
    <w:rsid w:val="16BF796D"/>
    <w:rsid w:val="16CD4379"/>
    <w:rsid w:val="16D064A5"/>
    <w:rsid w:val="16DA3295"/>
    <w:rsid w:val="16E439FD"/>
    <w:rsid w:val="16F81650"/>
    <w:rsid w:val="16F90F82"/>
    <w:rsid w:val="170512F9"/>
    <w:rsid w:val="170A4575"/>
    <w:rsid w:val="171922FB"/>
    <w:rsid w:val="171A491F"/>
    <w:rsid w:val="17507851"/>
    <w:rsid w:val="176E475F"/>
    <w:rsid w:val="178C5AA1"/>
    <w:rsid w:val="17946704"/>
    <w:rsid w:val="17950BEF"/>
    <w:rsid w:val="179E3386"/>
    <w:rsid w:val="17A0779F"/>
    <w:rsid w:val="17A451FC"/>
    <w:rsid w:val="17AC1CA0"/>
    <w:rsid w:val="17B323F9"/>
    <w:rsid w:val="17D6569C"/>
    <w:rsid w:val="17DC3CC8"/>
    <w:rsid w:val="17DD00AB"/>
    <w:rsid w:val="17FB2C27"/>
    <w:rsid w:val="18016BC3"/>
    <w:rsid w:val="180715CC"/>
    <w:rsid w:val="18155B7E"/>
    <w:rsid w:val="181D494B"/>
    <w:rsid w:val="183403CF"/>
    <w:rsid w:val="183A72AB"/>
    <w:rsid w:val="184647C0"/>
    <w:rsid w:val="18655807"/>
    <w:rsid w:val="18980476"/>
    <w:rsid w:val="18B3071E"/>
    <w:rsid w:val="18DE5A14"/>
    <w:rsid w:val="191A70DD"/>
    <w:rsid w:val="192D150C"/>
    <w:rsid w:val="19406B43"/>
    <w:rsid w:val="194556FE"/>
    <w:rsid w:val="196F3DDF"/>
    <w:rsid w:val="198A4742"/>
    <w:rsid w:val="198A5586"/>
    <w:rsid w:val="19C16B67"/>
    <w:rsid w:val="19E80F89"/>
    <w:rsid w:val="19E82D37"/>
    <w:rsid w:val="1A274C92"/>
    <w:rsid w:val="1ABD5F72"/>
    <w:rsid w:val="1AC9700C"/>
    <w:rsid w:val="1AF13273"/>
    <w:rsid w:val="1AF75928"/>
    <w:rsid w:val="1B084476"/>
    <w:rsid w:val="1B204569"/>
    <w:rsid w:val="1B253913"/>
    <w:rsid w:val="1B283D33"/>
    <w:rsid w:val="1B3A75C2"/>
    <w:rsid w:val="1B5B5A5C"/>
    <w:rsid w:val="1B5E127F"/>
    <w:rsid w:val="1BC03F6C"/>
    <w:rsid w:val="1BCC0B62"/>
    <w:rsid w:val="1BFD0D1C"/>
    <w:rsid w:val="1C314E69"/>
    <w:rsid w:val="1C444B9D"/>
    <w:rsid w:val="1C4579BB"/>
    <w:rsid w:val="1C58241C"/>
    <w:rsid w:val="1C5D484F"/>
    <w:rsid w:val="1C60776B"/>
    <w:rsid w:val="1C6E1C1A"/>
    <w:rsid w:val="1C957493"/>
    <w:rsid w:val="1CAA0881"/>
    <w:rsid w:val="1CB3587E"/>
    <w:rsid w:val="1CC63804"/>
    <w:rsid w:val="1CCD6AD3"/>
    <w:rsid w:val="1D070E4B"/>
    <w:rsid w:val="1D0F3B8F"/>
    <w:rsid w:val="1D2B351D"/>
    <w:rsid w:val="1D430F6E"/>
    <w:rsid w:val="1D496113"/>
    <w:rsid w:val="1D6B7F07"/>
    <w:rsid w:val="1D81260B"/>
    <w:rsid w:val="1D9456B0"/>
    <w:rsid w:val="1DA461C7"/>
    <w:rsid w:val="1DB96EC4"/>
    <w:rsid w:val="1DD7559C"/>
    <w:rsid w:val="1E1D6183"/>
    <w:rsid w:val="1E1E141D"/>
    <w:rsid w:val="1E1E766F"/>
    <w:rsid w:val="1E25455A"/>
    <w:rsid w:val="1E2F53D8"/>
    <w:rsid w:val="1E391C2B"/>
    <w:rsid w:val="1E495B9D"/>
    <w:rsid w:val="1E4A5D6E"/>
    <w:rsid w:val="1E4D4222"/>
    <w:rsid w:val="1E621D71"/>
    <w:rsid w:val="1E672DC4"/>
    <w:rsid w:val="1E82375A"/>
    <w:rsid w:val="1E8611E5"/>
    <w:rsid w:val="1E8B1C5D"/>
    <w:rsid w:val="1E973457"/>
    <w:rsid w:val="1EA30AC9"/>
    <w:rsid w:val="1ECF49D4"/>
    <w:rsid w:val="1EDA17E8"/>
    <w:rsid w:val="1F0423C1"/>
    <w:rsid w:val="1F0932DC"/>
    <w:rsid w:val="1F334A54"/>
    <w:rsid w:val="1F43738D"/>
    <w:rsid w:val="1F470500"/>
    <w:rsid w:val="1F51412B"/>
    <w:rsid w:val="1F69491A"/>
    <w:rsid w:val="1F777037"/>
    <w:rsid w:val="1F786DDD"/>
    <w:rsid w:val="1FA3607E"/>
    <w:rsid w:val="1FA63478"/>
    <w:rsid w:val="1FEB1DE0"/>
    <w:rsid w:val="1FEC7FEB"/>
    <w:rsid w:val="1FF3722A"/>
    <w:rsid w:val="200F7541"/>
    <w:rsid w:val="203A4024"/>
    <w:rsid w:val="204320BE"/>
    <w:rsid w:val="204809D3"/>
    <w:rsid w:val="205826F8"/>
    <w:rsid w:val="2061236C"/>
    <w:rsid w:val="207033FB"/>
    <w:rsid w:val="208732AA"/>
    <w:rsid w:val="20967991"/>
    <w:rsid w:val="20C77B4A"/>
    <w:rsid w:val="20CF270E"/>
    <w:rsid w:val="20CF69FF"/>
    <w:rsid w:val="20D45DA6"/>
    <w:rsid w:val="20D61B3B"/>
    <w:rsid w:val="20FA3A7C"/>
    <w:rsid w:val="210F3FE9"/>
    <w:rsid w:val="21191420"/>
    <w:rsid w:val="211D3C0E"/>
    <w:rsid w:val="21221225"/>
    <w:rsid w:val="213056EF"/>
    <w:rsid w:val="21366BD6"/>
    <w:rsid w:val="21374CD0"/>
    <w:rsid w:val="213C22E6"/>
    <w:rsid w:val="215745DD"/>
    <w:rsid w:val="21893052"/>
    <w:rsid w:val="21934EC8"/>
    <w:rsid w:val="21C86CF0"/>
    <w:rsid w:val="21C916A0"/>
    <w:rsid w:val="21D206A0"/>
    <w:rsid w:val="21D43A3B"/>
    <w:rsid w:val="2201219A"/>
    <w:rsid w:val="220B014C"/>
    <w:rsid w:val="221E379A"/>
    <w:rsid w:val="2239012F"/>
    <w:rsid w:val="2248703F"/>
    <w:rsid w:val="225464D8"/>
    <w:rsid w:val="227B664A"/>
    <w:rsid w:val="22BE4F7D"/>
    <w:rsid w:val="22F07B4B"/>
    <w:rsid w:val="22F23E66"/>
    <w:rsid w:val="22FF181D"/>
    <w:rsid w:val="230F7587"/>
    <w:rsid w:val="23344974"/>
    <w:rsid w:val="233A0AA7"/>
    <w:rsid w:val="236E0751"/>
    <w:rsid w:val="23734A1E"/>
    <w:rsid w:val="237A35FD"/>
    <w:rsid w:val="238D3B05"/>
    <w:rsid w:val="23955CDE"/>
    <w:rsid w:val="23A45619"/>
    <w:rsid w:val="23BD0842"/>
    <w:rsid w:val="23BE3486"/>
    <w:rsid w:val="23C44815"/>
    <w:rsid w:val="23C814E1"/>
    <w:rsid w:val="23C93BD9"/>
    <w:rsid w:val="23C96313"/>
    <w:rsid w:val="23CB0E26"/>
    <w:rsid w:val="23DC55BD"/>
    <w:rsid w:val="24280900"/>
    <w:rsid w:val="245E2F6D"/>
    <w:rsid w:val="247022A7"/>
    <w:rsid w:val="24831DDA"/>
    <w:rsid w:val="248842C0"/>
    <w:rsid w:val="249720B1"/>
    <w:rsid w:val="24995226"/>
    <w:rsid w:val="24B403E6"/>
    <w:rsid w:val="24C34ACD"/>
    <w:rsid w:val="24CF3471"/>
    <w:rsid w:val="24E757FC"/>
    <w:rsid w:val="24E93833"/>
    <w:rsid w:val="24F15FDD"/>
    <w:rsid w:val="25231335"/>
    <w:rsid w:val="2547125A"/>
    <w:rsid w:val="25653AF9"/>
    <w:rsid w:val="258A2395"/>
    <w:rsid w:val="2590376B"/>
    <w:rsid w:val="25BC57A4"/>
    <w:rsid w:val="25BD1FE8"/>
    <w:rsid w:val="2602467A"/>
    <w:rsid w:val="261453C4"/>
    <w:rsid w:val="26176E7E"/>
    <w:rsid w:val="26217CFD"/>
    <w:rsid w:val="26302EEA"/>
    <w:rsid w:val="263537A8"/>
    <w:rsid w:val="266100F9"/>
    <w:rsid w:val="266A6148"/>
    <w:rsid w:val="26881B2A"/>
    <w:rsid w:val="268B161A"/>
    <w:rsid w:val="26990E8F"/>
    <w:rsid w:val="26AF355A"/>
    <w:rsid w:val="26B8286D"/>
    <w:rsid w:val="26B96187"/>
    <w:rsid w:val="26E1123A"/>
    <w:rsid w:val="26ED1EEB"/>
    <w:rsid w:val="26FC46AD"/>
    <w:rsid w:val="270C03E2"/>
    <w:rsid w:val="271F764D"/>
    <w:rsid w:val="27361586"/>
    <w:rsid w:val="27666D09"/>
    <w:rsid w:val="27800A53"/>
    <w:rsid w:val="27920D72"/>
    <w:rsid w:val="27975683"/>
    <w:rsid w:val="27A50A15"/>
    <w:rsid w:val="27BF157B"/>
    <w:rsid w:val="27CB6172"/>
    <w:rsid w:val="27D73629"/>
    <w:rsid w:val="28036C4D"/>
    <w:rsid w:val="280E605F"/>
    <w:rsid w:val="283616EF"/>
    <w:rsid w:val="284558B9"/>
    <w:rsid w:val="284813A0"/>
    <w:rsid w:val="284952E9"/>
    <w:rsid w:val="28703633"/>
    <w:rsid w:val="287A1946"/>
    <w:rsid w:val="2897404A"/>
    <w:rsid w:val="289E0AB5"/>
    <w:rsid w:val="28AB1AFF"/>
    <w:rsid w:val="28C20383"/>
    <w:rsid w:val="28C4389E"/>
    <w:rsid w:val="28CC797B"/>
    <w:rsid w:val="29235B3A"/>
    <w:rsid w:val="29250673"/>
    <w:rsid w:val="294E0E09"/>
    <w:rsid w:val="296E14AB"/>
    <w:rsid w:val="29BA109E"/>
    <w:rsid w:val="29CC61D1"/>
    <w:rsid w:val="29CF14F4"/>
    <w:rsid w:val="29CF181E"/>
    <w:rsid w:val="29D0195B"/>
    <w:rsid w:val="29DF5F05"/>
    <w:rsid w:val="2A0308F9"/>
    <w:rsid w:val="2A1D4C7F"/>
    <w:rsid w:val="2A220A65"/>
    <w:rsid w:val="2A2224E5"/>
    <w:rsid w:val="2A3F69A3"/>
    <w:rsid w:val="2A6C2D90"/>
    <w:rsid w:val="2A7C7CFB"/>
    <w:rsid w:val="2A7D74CC"/>
    <w:rsid w:val="2A8F62DB"/>
    <w:rsid w:val="2A9A62D0"/>
    <w:rsid w:val="2A9C1B85"/>
    <w:rsid w:val="2A9D4435"/>
    <w:rsid w:val="2AA14558"/>
    <w:rsid w:val="2AB90504"/>
    <w:rsid w:val="2AE058A9"/>
    <w:rsid w:val="2AE13EFE"/>
    <w:rsid w:val="2AE17320"/>
    <w:rsid w:val="2AED2E8D"/>
    <w:rsid w:val="2B381D70"/>
    <w:rsid w:val="2B391645"/>
    <w:rsid w:val="2B3B53BD"/>
    <w:rsid w:val="2B42499D"/>
    <w:rsid w:val="2B4D2282"/>
    <w:rsid w:val="2B66245D"/>
    <w:rsid w:val="2B8E4F82"/>
    <w:rsid w:val="2B920D55"/>
    <w:rsid w:val="2BB85047"/>
    <w:rsid w:val="2BC419E8"/>
    <w:rsid w:val="2BCE7FDF"/>
    <w:rsid w:val="2BD82C0B"/>
    <w:rsid w:val="2BF37A45"/>
    <w:rsid w:val="2BF7662E"/>
    <w:rsid w:val="2C002162"/>
    <w:rsid w:val="2C257A64"/>
    <w:rsid w:val="2C2E4F21"/>
    <w:rsid w:val="2C545BC7"/>
    <w:rsid w:val="2C71687B"/>
    <w:rsid w:val="2C844B41"/>
    <w:rsid w:val="2C893ACE"/>
    <w:rsid w:val="2C9F7BCD"/>
    <w:rsid w:val="2CA45F0D"/>
    <w:rsid w:val="2CAB642E"/>
    <w:rsid w:val="2CEE05CA"/>
    <w:rsid w:val="2CF170E1"/>
    <w:rsid w:val="2CF33A75"/>
    <w:rsid w:val="2CFF008D"/>
    <w:rsid w:val="2D031489"/>
    <w:rsid w:val="2D212671"/>
    <w:rsid w:val="2D237421"/>
    <w:rsid w:val="2D4529E9"/>
    <w:rsid w:val="2D536CB5"/>
    <w:rsid w:val="2D56593C"/>
    <w:rsid w:val="2D5E35E4"/>
    <w:rsid w:val="2D7D450D"/>
    <w:rsid w:val="2D83129D"/>
    <w:rsid w:val="2D856DC3"/>
    <w:rsid w:val="2D9D235F"/>
    <w:rsid w:val="2DA76F18"/>
    <w:rsid w:val="2DB868BD"/>
    <w:rsid w:val="2DD357DE"/>
    <w:rsid w:val="2DF950BB"/>
    <w:rsid w:val="2E0159BD"/>
    <w:rsid w:val="2E0A0E72"/>
    <w:rsid w:val="2E100D83"/>
    <w:rsid w:val="2E2112E5"/>
    <w:rsid w:val="2E2C723F"/>
    <w:rsid w:val="2E532A1D"/>
    <w:rsid w:val="2E535D4B"/>
    <w:rsid w:val="2E56075F"/>
    <w:rsid w:val="2E8A6BB4"/>
    <w:rsid w:val="2E8C71C9"/>
    <w:rsid w:val="2E9C2616"/>
    <w:rsid w:val="2EAB0C4C"/>
    <w:rsid w:val="2EB21E3A"/>
    <w:rsid w:val="2EB86D24"/>
    <w:rsid w:val="2EDD7222"/>
    <w:rsid w:val="2EDF69A7"/>
    <w:rsid w:val="2EEF4086"/>
    <w:rsid w:val="2EF11FBA"/>
    <w:rsid w:val="2F111A56"/>
    <w:rsid w:val="2F1D0383"/>
    <w:rsid w:val="2F2D18C9"/>
    <w:rsid w:val="2F481D79"/>
    <w:rsid w:val="2F61560E"/>
    <w:rsid w:val="2F781CAE"/>
    <w:rsid w:val="2F974B8C"/>
    <w:rsid w:val="2FB1758B"/>
    <w:rsid w:val="2FBE480E"/>
    <w:rsid w:val="2FCC0CD9"/>
    <w:rsid w:val="2FDE51CA"/>
    <w:rsid w:val="30004E27"/>
    <w:rsid w:val="30427AA5"/>
    <w:rsid w:val="309061AB"/>
    <w:rsid w:val="30B04157"/>
    <w:rsid w:val="30B40786"/>
    <w:rsid w:val="30BF439A"/>
    <w:rsid w:val="30CB1EAF"/>
    <w:rsid w:val="30D77936"/>
    <w:rsid w:val="30F42A4E"/>
    <w:rsid w:val="31077AEF"/>
    <w:rsid w:val="310A276C"/>
    <w:rsid w:val="31107DF4"/>
    <w:rsid w:val="313D4E7B"/>
    <w:rsid w:val="317078BD"/>
    <w:rsid w:val="317F1D7B"/>
    <w:rsid w:val="31835ACF"/>
    <w:rsid w:val="31936812"/>
    <w:rsid w:val="319B75D1"/>
    <w:rsid w:val="319C0B7F"/>
    <w:rsid w:val="31AF08B2"/>
    <w:rsid w:val="31B22151"/>
    <w:rsid w:val="31DB4433"/>
    <w:rsid w:val="321B1AA4"/>
    <w:rsid w:val="32223817"/>
    <w:rsid w:val="322A618B"/>
    <w:rsid w:val="3249450F"/>
    <w:rsid w:val="32555606"/>
    <w:rsid w:val="3255723E"/>
    <w:rsid w:val="326E6078"/>
    <w:rsid w:val="32751BDF"/>
    <w:rsid w:val="329B2BE5"/>
    <w:rsid w:val="32BB384C"/>
    <w:rsid w:val="32C72E08"/>
    <w:rsid w:val="32D13EFA"/>
    <w:rsid w:val="32DD31FD"/>
    <w:rsid w:val="32F370D0"/>
    <w:rsid w:val="32F64B55"/>
    <w:rsid w:val="32F92672"/>
    <w:rsid w:val="32FA4B9F"/>
    <w:rsid w:val="33264BA4"/>
    <w:rsid w:val="333D4E09"/>
    <w:rsid w:val="334308A7"/>
    <w:rsid w:val="336D632F"/>
    <w:rsid w:val="337B7688"/>
    <w:rsid w:val="337E22EA"/>
    <w:rsid w:val="339E298D"/>
    <w:rsid w:val="33A45AC9"/>
    <w:rsid w:val="33BC1180"/>
    <w:rsid w:val="33C61EE3"/>
    <w:rsid w:val="33CC13C4"/>
    <w:rsid w:val="33D22226"/>
    <w:rsid w:val="33D91C17"/>
    <w:rsid w:val="33F46A50"/>
    <w:rsid w:val="3419302C"/>
    <w:rsid w:val="34411091"/>
    <w:rsid w:val="345474EF"/>
    <w:rsid w:val="345E211C"/>
    <w:rsid w:val="347436ED"/>
    <w:rsid w:val="347656B7"/>
    <w:rsid w:val="34780B0C"/>
    <w:rsid w:val="348129F6"/>
    <w:rsid w:val="34934894"/>
    <w:rsid w:val="349F0D00"/>
    <w:rsid w:val="34A044E2"/>
    <w:rsid w:val="34B744FF"/>
    <w:rsid w:val="34CE72A2"/>
    <w:rsid w:val="34D523DE"/>
    <w:rsid w:val="34E268A9"/>
    <w:rsid w:val="350E3B42"/>
    <w:rsid w:val="3513435D"/>
    <w:rsid w:val="351D5B33"/>
    <w:rsid w:val="352944D8"/>
    <w:rsid w:val="35536C42"/>
    <w:rsid w:val="355552CD"/>
    <w:rsid w:val="356E2833"/>
    <w:rsid w:val="35725EC3"/>
    <w:rsid w:val="358F3395"/>
    <w:rsid w:val="35972EC8"/>
    <w:rsid w:val="35990FBD"/>
    <w:rsid w:val="35AF70D3"/>
    <w:rsid w:val="35B0664A"/>
    <w:rsid w:val="35E13004"/>
    <w:rsid w:val="35EF127D"/>
    <w:rsid w:val="362D1DA6"/>
    <w:rsid w:val="363C023B"/>
    <w:rsid w:val="3656754F"/>
    <w:rsid w:val="36642E15"/>
    <w:rsid w:val="366B6938"/>
    <w:rsid w:val="368222B0"/>
    <w:rsid w:val="36A06A1C"/>
    <w:rsid w:val="36BB3856"/>
    <w:rsid w:val="36C3270A"/>
    <w:rsid w:val="36D451CC"/>
    <w:rsid w:val="36E8434B"/>
    <w:rsid w:val="36F905A6"/>
    <w:rsid w:val="371D1DFA"/>
    <w:rsid w:val="372B2789"/>
    <w:rsid w:val="37337890"/>
    <w:rsid w:val="373D24BC"/>
    <w:rsid w:val="375F382E"/>
    <w:rsid w:val="377E4FAF"/>
    <w:rsid w:val="378B5D2B"/>
    <w:rsid w:val="37BC1633"/>
    <w:rsid w:val="37C60704"/>
    <w:rsid w:val="37CA3C84"/>
    <w:rsid w:val="37D41C80"/>
    <w:rsid w:val="37D44BCF"/>
    <w:rsid w:val="38042C7A"/>
    <w:rsid w:val="3821593A"/>
    <w:rsid w:val="383438BF"/>
    <w:rsid w:val="383E029A"/>
    <w:rsid w:val="38523D46"/>
    <w:rsid w:val="385E62E8"/>
    <w:rsid w:val="38636054"/>
    <w:rsid w:val="386615A8"/>
    <w:rsid w:val="387243E8"/>
    <w:rsid w:val="3878666D"/>
    <w:rsid w:val="38845699"/>
    <w:rsid w:val="38BD37F2"/>
    <w:rsid w:val="38ED3A6E"/>
    <w:rsid w:val="38FF7B6A"/>
    <w:rsid w:val="390613FE"/>
    <w:rsid w:val="39273424"/>
    <w:rsid w:val="392A2FD2"/>
    <w:rsid w:val="393B0C7E"/>
    <w:rsid w:val="39416336"/>
    <w:rsid w:val="39437D0B"/>
    <w:rsid w:val="394924A4"/>
    <w:rsid w:val="394C0A93"/>
    <w:rsid w:val="39557F91"/>
    <w:rsid w:val="397E4E66"/>
    <w:rsid w:val="39921550"/>
    <w:rsid w:val="399B34CA"/>
    <w:rsid w:val="39CE564E"/>
    <w:rsid w:val="39D013C6"/>
    <w:rsid w:val="39D7459C"/>
    <w:rsid w:val="3A03792C"/>
    <w:rsid w:val="3A064DE8"/>
    <w:rsid w:val="3A0D6E45"/>
    <w:rsid w:val="3A0F6392"/>
    <w:rsid w:val="3A175247"/>
    <w:rsid w:val="3A1A0893"/>
    <w:rsid w:val="3A1B07F2"/>
    <w:rsid w:val="3A35391F"/>
    <w:rsid w:val="3A370748"/>
    <w:rsid w:val="3A3B7187"/>
    <w:rsid w:val="3A69012D"/>
    <w:rsid w:val="3A72247D"/>
    <w:rsid w:val="3A91727F"/>
    <w:rsid w:val="3A9F62D1"/>
    <w:rsid w:val="3AA36ADA"/>
    <w:rsid w:val="3AA656D9"/>
    <w:rsid w:val="3ABE3D18"/>
    <w:rsid w:val="3AD46C94"/>
    <w:rsid w:val="3ADE1BA2"/>
    <w:rsid w:val="3ADE5D64"/>
    <w:rsid w:val="3B1F0857"/>
    <w:rsid w:val="3B337E5E"/>
    <w:rsid w:val="3B5129DA"/>
    <w:rsid w:val="3B590718"/>
    <w:rsid w:val="3B760E9F"/>
    <w:rsid w:val="3B7E4D5D"/>
    <w:rsid w:val="3B893F22"/>
    <w:rsid w:val="3BC075F3"/>
    <w:rsid w:val="3BC62A80"/>
    <w:rsid w:val="3BCA367D"/>
    <w:rsid w:val="3BCB62E9"/>
    <w:rsid w:val="3BDF3480"/>
    <w:rsid w:val="3BF5780A"/>
    <w:rsid w:val="3C1245B3"/>
    <w:rsid w:val="3C145EE2"/>
    <w:rsid w:val="3C2E7BAC"/>
    <w:rsid w:val="3C306D0A"/>
    <w:rsid w:val="3C313939"/>
    <w:rsid w:val="3C597D99"/>
    <w:rsid w:val="3C7E15AD"/>
    <w:rsid w:val="3CFB4687"/>
    <w:rsid w:val="3D0575D8"/>
    <w:rsid w:val="3D112A47"/>
    <w:rsid w:val="3D127F47"/>
    <w:rsid w:val="3D203D10"/>
    <w:rsid w:val="3D403A5E"/>
    <w:rsid w:val="3D5B369C"/>
    <w:rsid w:val="3D5B46D2"/>
    <w:rsid w:val="3D5D5203"/>
    <w:rsid w:val="3D6B66C9"/>
    <w:rsid w:val="3D78255B"/>
    <w:rsid w:val="3D954E00"/>
    <w:rsid w:val="3D9C2405"/>
    <w:rsid w:val="3DBF00CF"/>
    <w:rsid w:val="3DCF1088"/>
    <w:rsid w:val="3DF007C4"/>
    <w:rsid w:val="3DF53AF1"/>
    <w:rsid w:val="3E4C4ED1"/>
    <w:rsid w:val="3E522CF1"/>
    <w:rsid w:val="3E5A1BA6"/>
    <w:rsid w:val="3E612F34"/>
    <w:rsid w:val="3E684B11"/>
    <w:rsid w:val="3E7C1B1C"/>
    <w:rsid w:val="3EA518F8"/>
    <w:rsid w:val="3EB5502E"/>
    <w:rsid w:val="3ED656D0"/>
    <w:rsid w:val="3EF618CF"/>
    <w:rsid w:val="3F253F62"/>
    <w:rsid w:val="3F5D1A20"/>
    <w:rsid w:val="3F661074"/>
    <w:rsid w:val="3F6E569E"/>
    <w:rsid w:val="3F7D4A4F"/>
    <w:rsid w:val="3F860FB2"/>
    <w:rsid w:val="3FA81E66"/>
    <w:rsid w:val="3FAA4467"/>
    <w:rsid w:val="3FB86B84"/>
    <w:rsid w:val="3FC017A7"/>
    <w:rsid w:val="3FDD483D"/>
    <w:rsid w:val="3FE77469"/>
    <w:rsid w:val="3FF81676"/>
    <w:rsid w:val="402A5491"/>
    <w:rsid w:val="40322DDA"/>
    <w:rsid w:val="40324B88"/>
    <w:rsid w:val="4037567F"/>
    <w:rsid w:val="403F1053"/>
    <w:rsid w:val="404C40AC"/>
    <w:rsid w:val="40572841"/>
    <w:rsid w:val="405745EF"/>
    <w:rsid w:val="40761E4A"/>
    <w:rsid w:val="409B6CE3"/>
    <w:rsid w:val="40A04C5B"/>
    <w:rsid w:val="40A610D2"/>
    <w:rsid w:val="40AB4AE7"/>
    <w:rsid w:val="40B40523"/>
    <w:rsid w:val="40D75730"/>
    <w:rsid w:val="40E666D6"/>
    <w:rsid w:val="410B306D"/>
    <w:rsid w:val="41265C6A"/>
    <w:rsid w:val="415648A7"/>
    <w:rsid w:val="418A4550"/>
    <w:rsid w:val="419A64F5"/>
    <w:rsid w:val="41BE2B85"/>
    <w:rsid w:val="41D43A1D"/>
    <w:rsid w:val="41D8176C"/>
    <w:rsid w:val="41EA080A"/>
    <w:rsid w:val="41EF5A72"/>
    <w:rsid w:val="41F23423"/>
    <w:rsid w:val="42051E29"/>
    <w:rsid w:val="421F4DB2"/>
    <w:rsid w:val="42206C63"/>
    <w:rsid w:val="4221631F"/>
    <w:rsid w:val="423B417B"/>
    <w:rsid w:val="425A3F23"/>
    <w:rsid w:val="427434C5"/>
    <w:rsid w:val="42757B32"/>
    <w:rsid w:val="427C0C6D"/>
    <w:rsid w:val="42BC6DBE"/>
    <w:rsid w:val="42BF7F49"/>
    <w:rsid w:val="42DA32B5"/>
    <w:rsid w:val="431E13F4"/>
    <w:rsid w:val="43326C4D"/>
    <w:rsid w:val="437B6846"/>
    <w:rsid w:val="439C056B"/>
    <w:rsid w:val="43D774B2"/>
    <w:rsid w:val="43E21F24"/>
    <w:rsid w:val="43EF1E19"/>
    <w:rsid w:val="43FF1225"/>
    <w:rsid w:val="441A605F"/>
    <w:rsid w:val="443864E5"/>
    <w:rsid w:val="443D163A"/>
    <w:rsid w:val="444177FD"/>
    <w:rsid w:val="44501A81"/>
    <w:rsid w:val="44643203"/>
    <w:rsid w:val="44873BD2"/>
    <w:rsid w:val="44890AEF"/>
    <w:rsid w:val="44C47D79"/>
    <w:rsid w:val="44E374C3"/>
    <w:rsid w:val="44F56185"/>
    <w:rsid w:val="44F71EFD"/>
    <w:rsid w:val="45097E82"/>
    <w:rsid w:val="450A37AA"/>
    <w:rsid w:val="45171F53"/>
    <w:rsid w:val="452B429C"/>
    <w:rsid w:val="454A7F6A"/>
    <w:rsid w:val="4550785F"/>
    <w:rsid w:val="45634BB1"/>
    <w:rsid w:val="456436FB"/>
    <w:rsid w:val="45D30D83"/>
    <w:rsid w:val="45FB3C6E"/>
    <w:rsid w:val="46034191"/>
    <w:rsid w:val="460F6FD5"/>
    <w:rsid w:val="46256946"/>
    <w:rsid w:val="4630422B"/>
    <w:rsid w:val="4654512D"/>
    <w:rsid w:val="46623CEE"/>
    <w:rsid w:val="46753A21"/>
    <w:rsid w:val="4677180E"/>
    <w:rsid w:val="4690085B"/>
    <w:rsid w:val="46A95479"/>
    <w:rsid w:val="46AA5D9C"/>
    <w:rsid w:val="46BB6641"/>
    <w:rsid w:val="46E44703"/>
    <w:rsid w:val="46E84133"/>
    <w:rsid w:val="46FB7DC6"/>
    <w:rsid w:val="46FD57C4"/>
    <w:rsid w:val="46FF71BE"/>
    <w:rsid w:val="4706344B"/>
    <w:rsid w:val="470703F1"/>
    <w:rsid w:val="471C20EE"/>
    <w:rsid w:val="47252C7F"/>
    <w:rsid w:val="47256E27"/>
    <w:rsid w:val="47515805"/>
    <w:rsid w:val="47615D53"/>
    <w:rsid w:val="47A53E92"/>
    <w:rsid w:val="47AB6FCE"/>
    <w:rsid w:val="47B47CF0"/>
    <w:rsid w:val="47BE73FC"/>
    <w:rsid w:val="47C00975"/>
    <w:rsid w:val="47C645F0"/>
    <w:rsid w:val="48137970"/>
    <w:rsid w:val="481B2BAB"/>
    <w:rsid w:val="481C0F8F"/>
    <w:rsid w:val="481D729A"/>
    <w:rsid w:val="483756D2"/>
    <w:rsid w:val="48691363"/>
    <w:rsid w:val="48811D34"/>
    <w:rsid w:val="48977410"/>
    <w:rsid w:val="48A4239B"/>
    <w:rsid w:val="48C742DC"/>
    <w:rsid w:val="48CD3476"/>
    <w:rsid w:val="48DE4BDA"/>
    <w:rsid w:val="49042FF5"/>
    <w:rsid w:val="490C7F41"/>
    <w:rsid w:val="4913561C"/>
    <w:rsid w:val="493F4C06"/>
    <w:rsid w:val="49994B8D"/>
    <w:rsid w:val="49AB3BCA"/>
    <w:rsid w:val="49AF724A"/>
    <w:rsid w:val="49B41AAD"/>
    <w:rsid w:val="49BE748D"/>
    <w:rsid w:val="4A01737A"/>
    <w:rsid w:val="4A0D03F4"/>
    <w:rsid w:val="4A1B668D"/>
    <w:rsid w:val="4A1E4A12"/>
    <w:rsid w:val="4A3A432A"/>
    <w:rsid w:val="4A4B4B66"/>
    <w:rsid w:val="4A5C2802"/>
    <w:rsid w:val="4A630B40"/>
    <w:rsid w:val="4A673681"/>
    <w:rsid w:val="4A7A027F"/>
    <w:rsid w:val="4A7F4E6E"/>
    <w:rsid w:val="4A881849"/>
    <w:rsid w:val="4A8E6E5F"/>
    <w:rsid w:val="4A9B4885"/>
    <w:rsid w:val="4ADF797C"/>
    <w:rsid w:val="4AE175C1"/>
    <w:rsid w:val="4AEA76CF"/>
    <w:rsid w:val="4AF45CD7"/>
    <w:rsid w:val="4AFD5FB8"/>
    <w:rsid w:val="4B176E04"/>
    <w:rsid w:val="4B2652EA"/>
    <w:rsid w:val="4B3D0885"/>
    <w:rsid w:val="4B3E3CC2"/>
    <w:rsid w:val="4B415D09"/>
    <w:rsid w:val="4B4439C2"/>
    <w:rsid w:val="4B457DE8"/>
    <w:rsid w:val="4B4E5D5E"/>
    <w:rsid w:val="4B7757EC"/>
    <w:rsid w:val="4B95302F"/>
    <w:rsid w:val="4BBD27C7"/>
    <w:rsid w:val="4BBD6412"/>
    <w:rsid w:val="4BBE3774"/>
    <w:rsid w:val="4BD00D03"/>
    <w:rsid w:val="4BD21BD6"/>
    <w:rsid w:val="4BD5286C"/>
    <w:rsid w:val="4C0F5D7E"/>
    <w:rsid w:val="4C1930A0"/>
    <w:rsid w:val="4C194E4E"/>
    <w:rsid w:val="4C2C4B82"/>
    <w:rsid w:val="4C3C0B3D"/>
    <w:rsid w:val="4C4243A5"/>
    <w:rsid w:val="4C524F0D"/>
    <w:rsid w:val="4C5A3A1A"/>
    <w:rsid w:val="4C5D3A49"/>
    <w:rsid w:val="4C8E2177"/>
    <w:rsid w:val="4C940979"/>
    <w:rsid w:val="4C96649F"/>
    <w:rsid w:val="4CB163A7"/>
    <w:rsid w:val="4CC21042"/>
    <w:rsid w:val="4CF15AA1"/>
    <w:rsid w:val="4CF270BF"/>
    <w:rsid w:val="4D03592D"/>
    <w:rsid w:val="4D047E1C"/>
    <w:rsid w:val="4D0F5D4C"/>
    <w:rsid w:val="4D1B4BF6"/>
    <w:rsid w:val="4D257B59"/>
    <w:rsid w:val="4D2B308B"/>
    <w:rsid w:val="4D481F3A"/>
    <w:rsid w:val="4D7B1809"/>
    <w:rsid w:val="4D8B58D8"/>
    <w:rsid w:val="4D92171C"/>
    <w:rsid w:val="4D9C5D37"/>
    <w:rsid w:val="4D9F75D5"/>
    <w:rsid w:val="4DAC3999"/>
    <w:rsid w:val="4DC67A0E"/>
    <w:rsid w:val="4DDF3E76"/>
    <w:rsid w:val="4DF80EC1"/>
    <w:rsid w:val="4DFB2A31"/>
    <w:rsid w:val="4E047438"/>
    <w:rsid w:val="4E173610"/>
    <w:rsid w:val="4E190CBC"/>
    <w:rsid w:val="4E1A6C5C"/>
    <w:rsid w:val="4E465E03"/>
    <w:rsid w:val="4E630603"/>
    <w:rsid w:val="4E6525CD"/>
    <w:rsid w:val="4E7520E4"/>
    <w:rsid w:val="4E802B91"/>
    <w:rsid w:val="4EA2737D"/>
    <w:rsid w:val="4EB946C7"/>
    <w:rsid w:val="4EC33BA0"/>
    <w:rsid w:val="4EE502D8"/>
    <w:rsid w:val="4EE7471F"/>
    <w:rsid w:val="4EF70D4B"/>
    <w:rsid w:val="4F1237BC"/>
    <w:rsid w:val="4F260972"/>
    <w:rsid w:val="4F552D33"/>
    <w:rsid w:val="4F6C0CE0"/>
    <w:rsid w:val="4F73766B"/>
    <w:rsid w:val="4F836FD1"/>
    <w:rsid w:val="4F9B4980"/>
    <w:rsid w:val="4FA72771"/>
    <w:rsid w:val="4FBA6948"/>
    <w:rsid w:val="4FBF2134"/>
    <w:rsid w:val="4FC82414"/>
    <w:rsid w:val="4FE6773D"/>
    <w:rsid w:val="4FF16B70"/>
    <w:rsid w:val="4FF77255"/>
    <w:rsid w:val="4FFC486B"/>
    <w:rsid w:val="50501C82"/>
    <w:rsid w:val="50546455"/>
    <w:rsid w:val="506422D2"/>
    <w:rsid w:val="506D7517"/>
    <w:rsid w:val="50783CCB"/>
    <w:rsid w:val="507D71F6"/>
    <w:rsid w:val="508D1967"/>
    <w:rsid w:val="50A867A1"/>
    <w:rsid w:val="50B272C7"/>
    <w:rsid w:val="50B62173"/>
    <w:rsid w:val="50DF1314"/>
    <w:rsid w:val="50FC163B"/>
    <w:rsid w:val="51013D9E"/>
    <w:rsid w:val="510510B4"/>
    <w:rsid w:val="510A120A"/>
    <w:rsid w:val="510D4856"/>
    <w:rsid w:val="512129DF"/>
    <w:rsid w:val="512804F9"/>
    <w:rsid w:val="51347986"/>
    <w:rsid w:val="51381C0D"/>
    <w:rsid w:val="51477D68"/>
    <w:rsid w:val="51521475"/>
    <w:rsid w:val="515B7CB7"/>
    <w:rsid w:val="51AC0513"/>
    <w:rsid w:val="51B624CD"/>
    <w:rsid w:val="51C55E6B"/>
    <w:rsid w:val="51F16466"/>
    <w:rsid w:val="51F30760"/>
    <w:rsid w:val="5209753A"/>
    <w:rsid w:val="520D4C63"/>
    <w:rsid w:val="52224E4B"/>
    <w:rsid w:val="5233653E"/>
    <w:rsid w:val="52491C87"/>
    <w:rsid w:val="524A3079"/>
    <w:rsid w:val="526133D5"/>
    <w:rsid w:val="528271A9"/>
    <w:rsid w:val="52972B82"/>
    <w:rsid w:val="52D5165C"/>
    <w:rsid w:val="52E837CD"/>
    <w:rsid w:val="52FC2DD4"/>
    <w:rsid w:val="52FC4B82"/>
    <w:rsid w:val="52FD6CEF"/>
    <w:rsid w:val="53301E1E"/>
    <w:rsid w:val="53426A39"/>
    <w:rsid w:val="534D1CBE"/>
    <w:rsid w:val="53BA0CC5"/>
    <w:rsid w:val="53C57773"/>
    <w:rsid w:val="53DB0F9E"/>
    <w:rsid w:val="53EC3BAC"/>
    <w:rsid w:val="5429268B"/>
    <w:rsid w:val="542D5B65"/>
    <w:rsid w:val="543065FD"/>
    <w:rsid w:val="544113E6"/>
    <w:rsid w:val="54596422"/>
    <w:rsid w:val="545C7A1F"/>
    <w:rsid w:val="54680721"/>
    <w:rsid w:val="54992125"/>
    <w:rsid w:val="54A45B4D"/>
    <w:rsid w:val="54A83213"/>
    <w:rsid w:val="54FB77E7"/>
    <w:rsid w:val="54FF3EA3"/>
    <w:rsid w:val="54FF50A0"/>
    <w:rsid w:val="55425416"/>
    <w:rsid w:val="55485398"/>
    <w:rsid w:val="554B6139"/>
    <w:rsid w:val="55686587"/>
    <w:rsid w:val="55710D0B"/>
    <w:rsid w:val="55A0213D"/>
    <w:rsid w:val="55CE3BAD"/>
    <w:rsid w:val="55CE5414"/>
    <w:rsid w:val="55D50038"/>
    <w:rsid w:val="55D774B5"/>
    <w:rsid w:val="55E33BF9"/>
    <w:rsid w:val="5664261B"/>
    <w:rsid w:val="567710EF"/>
    <w:rsid w:val="5684380C"/>
    <w:rsid w:val="56966750"/>
    <w:rsid w:val="56C854A7"/>
    <w:rsid w:val="56D1355A"/>
    <w:rsid w:val="56E32B00"/>
    <w:rsid w:val="56F61952"/>
    <w:rsid w:val="56FE711B"/>
    <w:rsid w:val="57032983"/>
    <w:rsid w:val="57120E18"/>
    <w:rsid w:val="571C3A45"/>
    <w:rsid w:val="57272B15"/>
    <w:rsid w:val="57554C19"/>
    <w:rsid w:val="575642B2"/>
    <w:rsid w:val="5798756F"/>
    <w:rsid w:val="579C7B30"/>
    <w:rsid w:val="57AE16DF"/>
    <w:rsid w:val="57B7551B"/>
    <w:rsid w:val="57B910D0"/>
    <w:rsid w:val="57C01DDA"/>
    <w:rsid w:val="57C33EC0"/>
    <w:rsid w:val="57CE38F4"/>
    <w:rsid w:val="57D408BC"/>
    <w:rsid w:val="57DE479A"/>
    <w:rsid w:val="580530E5"/>
    <w:rsid w:val="580B75BE"/>
    <w:rsid w:val="580C135D"/>
    <w:rsid w:val="5856692C"/>
    <w:rsid w:val="58B303D9"/>
    <w:rsid w:val="58BA4A5B"/>
    <w:rsid w:val="58BD4C72"/>
    <w:rsid w:val="58C425E6"/>
    <w:rsid w:val="58D75A0D"/>
    <w:rsid w:val="58FD56C7"/>
    <w:rsid w:val="5908115A"/>
    <w:rsid w:val="59335421"/>
    <w:rsid w:val="59502AF6"/>
    <w:rsid w:val="595B7C8E"/>
    <w:rsid w:val="5975743C"/>
    <w:rsid w:val="59BD5424"/>
    <w:rsid w:val="59C72B31"/>
    <w:rsid w:val="59CC5816"/>
    <w:rsid w:val="59CF0B59"/>
    <w:rsid w:val="59E051FD"/>
    <w:rsid w:val="59E479B3"/>
    <w:rsid w:val="59EA1BD8"/>
    <w:rsid w:val="5A032FC6"/>
    <w:rsid w:val="5A0D7DFD"/>
    <w:rsid w:val="5A1A3509"/>
    <w:rsid w:val="5A2A6479"/>
    <w:rsid w:val="5A336B2F"/>
    <w:rsid w:val="5A371CA1"/>
    <w:rsid w:val="5A380B96"/>
    <w:rsid w:val="5A3A490E"/>
    <w:rsid w:val="5A4D5741"/>
    <w:rsid w:val="5A6951F3"/>
    <w:rsid w:val="5A8B4402"/>
    <w:rsid w:val="5A9102A6"/>
    <w:rsid w:val="5A9F0C15"/>
    <w:rsid w:val="5A9F6E67"/>
    <w:rsid w:val="5AA66B59"/>
    <w:rsid w:val="5AA7034B"/>
    <w:rsid w:val="5AA73C2C"/>
    <w:rsid w:val="5ABF38D3"/>
    <w:rsid w:val="5AD25081"/>
    <w:rsid w:val="5AE25BB8"/>
    <w:rsid w:val="5AF32A82"/>
    <w:rsid w:val="5B0E18F6"/>
    <w:rsid w:val="5B2A5B4C"/>
    <w:rsid w:val="5B2E3D47"/>
    <w:rsid w:val="5B4C4A26"/>
    <w:rsid w:val="5B6360E6"/>
    <w:rsid w:val="5B644A23"/>
    <w:rsid w:val="5B710F66"/>
    <w:rsid w:val="5B7C4DA2"/>
    <w:rsid w:val="5B8B1D7F"/>
    <w:rsid w:val="5B94769B"/>
    <w:rsid w:val="5B962018"/>
    <w:rsid w:val="5BBC3F73"/>
    <w:rsid w:val="5BC32A48"/>
    <w:rsid w:val="5BDE576D"/>
    <w:rsid w:val="5BDE751B"/>
    <w:rsid w:val="5BE32D83"/>
    <w:rsid w:val="5C0C330E"/>
    <w:rsid w:val="5C205D85"/>
    <w:rsid w:val="5C3A0913"/>
    <w:rsid w:val="5C49708A"/>
    <w:rsid w:val="5C5123E2"/>
    <w:rsid w:val="5C630938"/>
    <w:rsid w:val="5C701370"/>
    <w:rsid w:val="5C9F2C4F"/>
    <w:rsid w:val="5CA72002"/>
    <w:rsid w:val="5CB04D5A"/>
    <w:rsid w:val="5CCB3F43"/>
    <w:rsid w:val="5CCC1A69"/>
    <w:rsid w:val="5CD963F5"/>
    <w:rsid w:val="5CDA23D8"/>
    <w:rsid w:val="5CF27DCE"/>
    <w:rsid w:val="5D05400C"/>
    <w:rsid w:val="5D08305E"/>
    <w:rsid w:val="5D0E2520"/>
    <w:rsid w:val="5D117B52"/>
    <w:rsid w:val="5D124B8D"/>
    <w:rsid w:val="5D276C9F"/>
    <w:rsid w:val="5D5F1D5C"/>
    <w:rsid w:val="5D641CA2"/>
    <w:rsid w:val="5D6A375C"/>
    <w:rsid w:val="5D83481E"/>
    <w:rsid w:val="5DA9139E"/>
    <w:rsid w:val="5DBB5566"/>
    <w:rsid w:val="5DC82230"/>
    <w:rsid w:val="5DD07337"/>
    <w:rsid w:val="5DD32F2D"/>
    <w:rsid w:val="5DD40BD5"/>
    <w:rsid w:val="5DEC4171"/>
    <w:rsid w:val="5DF72621"/>
    <w:rsid w:val="5E086AD1"/>
    <w:rsid w:val="5E21648D"/>
    <w:rsid w:val="5E343B72"/>
    <w:rsid w:val="5E372545"/>
    <w:rsid w:val="5E3735CA"/>
    <w:rsid w:val="5E792015"/>
    <w:rsid w:val="5E820631"/>
    <w:rsid w:val="5E893238"/>
    <w:rsid w:val="5E940365"/>
    <w:rsid w:val="5EA538BA"/>
    <w:rsid w:val="5F08322C"/>
    <w:rsid w:val="5F1A3805"/>
    <w:rsid w:val="5F1E0752"/>
    <w:rsid w:val="5F2142EE"/>
    <w:rsid w:val="5F494836"/>
    <w:rsid w:val="5F530220"/>
    <w:rsid w:val="5F545E48"/>
    <w:rsid w:val="5F5A335C"/>
    <w:rsid w:val="5F5C5620"/>
    <w:rsid w:val="5F6D308F"/>
    <w:rsid w:val="5F73441E"/>
    <w:rsid w:val="5F856747"/>
    <w:rsid w:val="5FB23744"/>
    <w:rsid w:val="5FB608FA"/>
    <w:rsid w:val="5FBE763C"/>
    <w:rsid w:val="5FBF2C92"/>
    <w:rsid w:val="5FE8677E"/>
    <w:rsid w:val="5FF15D1F"/>
    <w:rsid w:val="5FF85492"/>
    <w:rsid w:val="60000E7D"/>
    <w:rsid w:val="600B7B21"/>
    <w:rsid w:val="60177EB2"/>
    <w:rsid w:val="604C7149"/>
    <w:rsid w:val="605548E2"/>
    <w:rsid w:val="607760C5"/>
    <w:rsid w:val="607E5712"/>
    <w:rsid w:val="609D1752"/>
    <w:rsid w:val="60A32AE1"/>
    <w:rsid w:val="60B82FE3"/>
    <w:rsid w:val="60C5514D"/>
    <w:rsid w:val="60E02F3A"/>
    <w:rsid w:val="60EA6962"/>
    <w:rsid w:val="60FC22A0"/>
    <w:rsid w:val="61195EBD"/>
    <w:rsid w:val="61453B98"/>
    <w:rsid w:val="614B11AE"/>
    <w:rsid w:val="61574A6E"/>
    <w:rsid w:val="616925D5"/>
    <w:rsid w:val="617C5039"/>
    <w:rsid w:val="617D1968"/>
    <w:rsid w:val="618652AC"/>
    <w:rsid w:val="61A7763D"/>
    <w:rsid w:val="61B0467C"/>
    <w:rsid w:val="61F623AC"/>
    <w:rsid w:val="61F93300"/>
    <w:rsid w:val="62092E18"/>
    <w:rsid w:val="62350B41"/>
    <w:rsid w:val="623936FD"/>
    <w:rsid w:val="623B574A"/>
    <w:rsid w:val="62467BC8"/>
    <w:rsid w:val="624C1BD2"/>
    <w:rsid w:val="624F3454"/>
    <w:rsid w:val="627B3D15"/>
    <w:rsid w:val="627D50B1"/>
    <w:rsid w:val="62A55DE6"/>
    <w:rsid w:val="62B17737"/>
    <w:rsid w:val="62BC1453"/>
    <w:rsid w:val="62C17904"/>
    <w:rsid w:val="62DB47B4"/>
    <w:rsid w:val="62F438B8"/>
    <w:rsid w:val="630261E5"/>
    <w:rsid w:val="630B1766"/>
    <w:rsid w:val="630E2DDB"/>
    <w:rsid w:val="63164B60"/>
    <w:rsid w:val="631C1303"/>
    <w:rsid w:val="63251AE6"/>
    <w:rsid w:val="63320983"/>
    <w:rsid w:val="633F2F95"/>
    <w:rsid w:val="63506F50"/>
    <w:rsid w:val="63780255"/>
    <w:rsid w:val="637F15E3"/>
    <w:rsid w:val="638132F5"/>
    <w:rsid w:val="63980F53"/>
    <w:rsid w:val="63E077CC"/>
    <w:rsid w:val="63EB4ECB"/>
    <w:rsid w:val="64305CB5"/>
    <w:rsid w:val="644B45F9"/>
    <w:rsid w:val="64526F47"/>
    <w:rsid w:val="645C36D2"/>
    <w:rsid w:val="64833355"/>
    <w:rsid w:val="64857E47"/>
    <w:rsid w:val="64A5151D"/>
    <w:rsid w:val="64AD21E2"/>
    <w:rsid w:val="64FB113D"/>
    <w:rsid w:val="653E102A"/>
    <w:rsid w:val="654E0BCE"/>
    <w:rsid w:val="654F3026"/>
    <w:rsid w:val="656D50B9"/>
    <w:rsid w:val="6583120F"/>
    <w:rsid w:val="65A610A9"/>
    <w:rsid w:val="65A6554D"/>
    <w:rsid w:val="65AC2C8F"/>
    <w:rsid w:val="65C31C47"/>
    <w:rsid w:val="65C44333"/>
    <w:rsid w:val="65CB6D62"/>
    <w:rsid w:val="65D75707"/>
    <w:rsid w:val="65E971E8"/>
    <w:rsid w:val="65F938CF"/>
    <w:rsid w:val="661324B7"/>
    <w:rsid w:val="663D7D82"/>
    <w:rsid w:val="66551873"/>
    <w:rsid w:val="665705F5"/>
    <w:rsid w:val="66805DB2"/>
    <w:rsid w:val="669D6406"/>
    <w:rsid w:val="66AB26EF"/>
    <w:rsid w:val="66E31E89"/>
    <w:rsid w:val="66E755E8"/>
    <w:rsid w:val="66EA1E5D"/>
    <w:rsid w:val="66EF0083"/>
    <w:rsid w:val="670562A3"/>
    <w:rsid w:val="6707201B"/>
    <w:rsid w:val="670A59E7"/>
    <w:rsid w:val="67226E55"/>
    <w:rsid w:val="6723497B"/>
    <w:rsid w:val="67384054"/>
    <w:rsid w:val="674B6A9E"/>
    <w:rsid w:val="67717FF0"/>
    <w:rsid w:val="67AF308E"/>
    <w:rsid w:val="67CC0B6F"/>
    <w:rsid w:val="67D50EFF"/>
    <w:rsid w:val="67D90F23"/>
    <w:rsid w:val="67DB3598"/>
    <w:rsid w:val="67E26027"/>
    <w:rsid w:val="67E3200B"/>
    <w:rsid w:val="67E91721"/>
    <w:rsid w:val="67F73E3E"/>
    <w:rsid w:val="67FC12C5"/>
    <w:rsid w:val="680F6ADC"/>
    <w:rsid w:val="68324794"/>
    <w:rsid w:val="68582325"/>
    <w:rsid w:val="687A4A6F"/>
    <w:rsid w:val="687E00BB"/>
    <w:rsid w:val="68856443"/>
    <w:rsid w:val="688E447B"/>
    <w:rsid w:val="689C4889"/>
    <w:rsid w:val="68AA7102"/>
    <w:rsid w:val="68AF4E0D"/>
    <w:rsid w:val="68BE2BAE"/>
    <w:rsid w:val="68DE4FFE"/>
    <w:rsid w:val="691B0000"/>
    <w:rsid w:val="691E364C"/>
    <w:rsid w:val="69230C63"/>
    <w:rsid w:val="69246DB3"/>
    <w:rsid w:val="692B55E8"/>
    <w:rsid w:val="69320EA6"/>
    <w:rsid w:val="693328AC"/>
    <w:rsid w:val="69500988"/>
    <w:rsid w:val="696D1EDE"/>
    <w:rsid w:val="6988472A"/>
    <w:rsid w:val="699134AA"/>
    <w:rsid w:val="69BD2DE7"/>
    <w:rsid w:val="69DE49D7"/>
    <w:rsid w:val="69DF47A2"/>
    <w:rsid w:val="69E5554E"/>
    <w:rsid w:val="69E65FC7"/>
    <w:rsid w:val="69E77EE2"/>
    <w:rsid w:val="69FD0ADF"/>
    <w:rsid w:val="6A0D5B9B"/>
    <w:rsid w:val="6A132A85"/>
    <w:rsid w:val="6A1369FE"/>
    <w:rsid w:val="6A1A3E14"/>
    <w:rsid w:val="6A2235BC"/>
    <w:rsid w:val="6A234EB3"/>
    <w:rsid w:val="6A2353BE"/>
    <w:rsid w:val="6A4315BC"/>
    <w:rsid w:val="6A462E5B"/>
    <w:rsid w:val="6A5A4B58"/>
    <w:rsid w:val="6A73793E"/>
    <w:rsid w:val="6A795CC5"/>
    <w:rsid w:val="6A81158B"/>
    <w:rsid w:val="6A9C110F"/>
    <w:rsid w:val="6AC16985"/>
    <w:rsid w:val="6AE368FC"/>
    <w:rsid w:val="6AFB1E97"/>
    <w:rsid w:val="6AFC7919"/>
    <w:rsid w:val="6B033510"/>
    <w:rsid w:val="6B182A49"/>
    <w:rsid w:val="6B21724B"/>
    <w:rsid w:val="6B2474A9"/>
    <w:rsid w:val="6B2667E8"/>
    <w:rsid w:val="6B3B332A"/>
    <w:rsid w:val="6B561E68"/>
    <w:rsid w:val="6B572E46"/>
    <w:rsid w:val="6B5A0753"/>
    <w:rsid w:val="6B5B46E4"/>
    <w:rsid w:val="6B635BCE"/>
    <w:rsid w:val="6B721D7B"/>
    <w:rsid w:val="6B7E7B69"/>
    <w:rsid w:val="6B8977C0"/>
    <w:rsid w:val="6B8C0D41"/>
    <w:rsid w:val="6B9144EB"/>
    <w:rsid w:val="6B9419A4"/>
    <w:rsid w:val="6BA77929"/>
    <w:rsid w:val="6BBF1117"/>
    <w:rsid w:val="6BC524A5"/>
    <w:rsid w:val="6BD6352B"/>
    <w:rsid w:val="6BD63A05"/>
    <w:rsid w:val="6BE91CF0"/>
    <w:rsid w:val="6BF10177"/>
    <w:rsid w:val="6BF95CAB"/>
    <w:rsid w:val="6C0E5BFA"/>
    <w:rsid w:val="6C1633AA"/>
    <w:rsid w:val="6C16685D"/>
    <w:rsid w:val="6C1D7BEB"/>
    <w:rsid w:val="6C354F35"/>
    <w:rsid w:val="6C3D3BAD"/>
    <w:rsid w:val="6C47110C"/>
    <w:rsid w:val="6C7D7FE7"/>
    <w:rsid w:val="6CAE4CE7"/>
    <w:rsid w:val="6CCF2381"/>
    <w:rsid w:val="6CFB1D74"/>
    <w:rsid w:val="6CFC1697"/>
    <w:rsid w:val="6CFC1EF7"/>
    <w:rsid w:val="6D233E90"/>
    <w:rsid w:val="6D25144D"/>
    <w:rsid w:val="6D2D3681"/>
    <w:rsid w:val="6D2E2793"/>
    <w:rsid w:val="6D392803"/>
    <w:rsid w:val="6D4229C5"/>
    <w:rsid w:val="6D431D4B"/>
    <w:rsid w:val="6D5238C5"/>
    <w:rsid w:val="6D596AD5"/>
    <w:rsid w:val="6D5E6704"/>
    <w:rsid w:val="6D7D3037"/>
    <w:rsid w:val="6DA06784"/>
    <w:rsid w:val="6DA81247"/>
    <w:rsid w:val="6DAA3701"/>
    <w:rsid w:val="6DB34B09"/>
    <w:rsid w:val="6DE035C6"/>
    <w:rsid w:val="6DE974EA"/>
    <w:rsid w:val="6DEF5A10"/>
    <w:rsid w:val="6DFA4688"/>
    <w:rsid w:val="6E244EB1"/>
    <w:rsid w:val="6E3434C3"/>
    <w:rsid w:val="6E492EA5"/>
    <w:rsid w:val="6E533D98"/>
    <w:rsid w:val="6E5D4C17"/>
    <w:rsid w:val="6E600263"/>
    <w:rsid w:val="6E6E0BD2"/>
    <w:rsid w:val="6E7013ED"/>
    <w:rsid w:val="6E751F61"/>
    <w:rsid w:val="6E9C7634"/>
    <w:rsid w:val="6EC425A0"/>
    <w:rsid w:val="6EC72090"/>
    <w:rsid w:val="6EF530A1"/>
    <w:rsid w:val="6F58469F"/>
    <w:rsid w:val="6F5E79F6"/>
    <w:rsid w:val="6F6C4DAF"/>
    <w:rsid w:val="6F8F0E00"/>
    <w:rsid w:val="6F9772B8"/>
    <w:rsid w:val="6FB2689C"/>
    <w:rsid w:val="6FD34BE3"/>
    <w:rsid w:val="700B1F5D"/>
    <w:rsid w:val="701B2694"/>
    <w:rsid w:val="70311EB7"/>
    <w:rsid w:val="7049004D"/>
    <w:rsid w:val="706109EE"/>
    <w:rsid w:val="70626515"/>
    <w:rsid w:val="707341CC"/>
    <w:rsid w:val="70875F7B"/>
    <w:rsid w:val="708F51AC"/>
    <w:rsid w:val="70944952"/>
    <w:rsid w:val="709F1517"/>
    <w:rsid w:val="709F71D7"/>
    <w:rsid w:val="70B53F76"/>
    <w:rsid w:val="70B86DF1"/>
    <w:rsid w:val="70DD5B9B"/>
    <w:rsid w:val="70FC435B"/>
    <w:rsid w:val="71245578"/>
    <w:rsid w:val="71273C95"/>
    <w:rsid w:val="712B7827"/>
    <w:rsid w:val="7135313C"/>
    <w:rsid w:val="713E6AA6"/>
    <w:rsid w:val="714E1717"/>
    <w:rsid w:val="715272B8"/>
    <w:rsid w:val="715E01FF"/>
    <w:rsid w:val="71A4750F"/>
    <w:rsid w:val="71BC663C"/>
    <w:rsid w:val="71C8684B"/>
    <w:rsid w:val="71C9155B"/>
    <w:rsid w:val="71D05A85"/>
    <w:rsid w:val="71D73F2D"/>
    <w:rsid w:val="71D94FE7"/>
    <w:rsid w:val="71DB58C8"/>
    <w:rsid w:val="71F35EA7"/>
    <w:rsid w:val="720B74BE"/>
    <w:rsid w:val="721262AC"/>
    <w:rsid w:val="72211FE4"/>
    <w:rsid w:val="722D66AE"/>
    <w:rsid w:val="7244764E"/>
    <w:rsid w:val="724B307A"/>
    <w:rsid w:val="725D1936"/>
    <w:rsid w:val="728409C4"/>
    <w:rsid w:val="729D55E2"/>
    <w:rsid w:val="72A5093A"/>
    <w:rsid w:val="72B82377"/>
    <w:rsid w:val="72BB6610"/>
    <w:rsid w:val="72C25048"/>
    <w:rsid w:val="72F5541E"/>
    <w:rsid w:val="73217FC1"/>
    <w:rsid w:val="733046A8"/>
    <w:rsid w:val="73353A6C"/>
    <w:rsid w:val="733C129F"/>
    <w:rsid w:val="734819F2"/>
    <w:rsid w:val="73591E51"/>
    <w:rsid w:val="737451C1"/>
    <w:rsid w:val="738808F8"/>
    <w:rsid w:val="73A429A0"/>
    <w:rsid w:val="73A6496A"/>
    <w:rsid w:val="73BE7F06"/>
    <w:rsid w:val="73BF51D9"/>
    <w:rsid w:val="73DB2866"/>
    <w:rsid w:val="73FC6604"/>
    <w:rsid w:val="74095D65"/>
    <w:rsid w:val="74126AF4"/>
    <w:rsid w:val="743C7CD8"/>
    <w:rsid w:val="744964FD"/>
    <w:rsid w:val="744C72C0"/>
    <w:rsid w:val="74512B28"/>
    <w:rsid w:val="74513E69"/>
    <w:rsid w:val="74653EAD"/>
    <w:rsid w:val="74697976"/>
    <w:rsid w:val="74703710"/>
    <w:rsid w:val="747351D5"/>
    <w:rsid w:val="74791C70"/>
    <w:rsid w:val="74A378D7"/>
    <w:rsid w:val="74B11819"/>
    <w:rsid w:val="74EE7509"/>
    <w:rsid w:val="74F55BA9"/>
    <w:rsid w:val="750D68EF"/>
    <w:rsid w:val="751F6782"/>
    <w:rsid w:val="75232716"/>
    <w:rsid w:val="75267B11"/>
    <w:rsid w:val="752B4315"/>
    <w:rsid w:val="75504B8E"/>
    <w:rsid w:val="75556162"/>
    <w:rsid w:val="7557416E"/>
    <w:rsid w:val="757A1C0A"/>
    <w:rsid w:val="75D73501"/>
    <w:rsid w:val="75F13A47"/>
    <w:rsid w:val="76443671"/>
    <w:rsid w:val="764D731F"/>
    <w:rsid w:val="76522B87"/>
    <w:rsid w:val="76592168"/>
    <w:rsid w:val="7662726E"/>
    <w:rsid w:val="76636B42"/>
    <w:rsid w:val="767A4FF2"/>
    <w:rsid w:val="767E31C0"/>
    <w:rsid w:val="769767EC"/>
    <w:rsid w:val="76B949B4"/>
    <w:rsid w:val="76C60965"/>
    <w:rsid w:val="76D37824"/>
    <w:rsid w:val="76D92422"/>
    <w:rsid w:val="76F459ED"/>
    <w:rsid w:val="772B64A9"/>
    <w:rsid w:val="772F05CC"/>
    <w:rsid w:val="773C46EE"/>
    <w:rsid w:val="7771703D"/>
    <w:rsid w:val="77737D91"/>
    <w:rsid w:val="77A6123D"/>
    <w:rsid w:val="77AE203F"/>
    <w:rsid w:val="77D9530E"/>
    <w:rsid w:val="77DC095A"/>
    <w:rsid w:val="78054355"/>
    <w:rsid w:val="780F6F82"/>
    <w:rsid w:val="78175E36"/>
    <w:rsid w:val="78182DED"/>
    <w:rsid w:val="78236589"/>
    <w:rsid w:val="782642CC"/>
    <w:rsid w:val="782B1A87"/>
    <w:rsid w:val="7832197B"/>
    <w:rsid w:val="783D765C"/>
    <w:rsid w:val="785506C7"/>
    <w:rsid w:val="785D4310"/>
    <w:rsid w:val="78613C34"/>
    <w:rsid w:val="786C430B"/>
    <w:rsid w:val="786F17CF"/>
    <w:rsid w:val="7881239A"/>
    <w:rsid w:val="789C7D13"/>
    <w:rsid w:val="78A27A32"/>
    <w:rsid w:val="78AE679B"/>
    <w:rsid w:val="78B43685"/>
    <w:rsid w:val="78B4778F"/>
    <w:rsid w:val="78BE792F"/>
    <w:rsid w:val="78DE0702"/>
    <w:rsid w:val="78FB319A"/>
    <w:rsid w:val="7942728A"/>
    <w:rsid w:val="797424B3"/>
    <w:rsid w:val="797C3F3F"/>
    <w:rsid w:val="79A25BD4"/>
    <w:rsid w:val="79B80F53"/>
    <w:rsid w:val="79E46002"/>
    <w:rsid w:val="79EE0E19"/>
    <w:rsid w:val="79EF6ED0"/>
    <w:rsid w:val="7A0C6FD8"/>
    <w:rsid w:val="7A0F4F78"/>
    <w:rsid w:val="7A22574F"/>
    <w:rsid w:val="7A3E58FC"/>
    <w:rsid w:val="7A5051AA"/>
    <w:rsid w:val="7A61783D"/>
    <w:rsid w:val="7A7C01D3"/>
    <w:rsid w:val="7A970986"/>
    <w:rsid w:val="7A97500D"/>
    <w:rsid w:val="7AD31C7B"/>
    <w:rsid w:val="7AE07C8F"/>
    <w:rsid w:val="7AEF6BF7"/>
    <w:rsid w:val="7B010D43"/>
    <w:rsid w:val="7B077657"/>
    <w:rsid w:val="7B1E128A"/>
    <w:rsid w:val="7B3D2ED1"/>
    <w:rsid w:val="7B48397D"/>
    <w:rsid w:val="7B5B1310"/>
    <w:rsid w:val="7B6C0247"/>
    <w:rsid w:val="7B7517F2"/>
    <w:rsid w:val="7B774CB6"/>
    <w:rsid w:val="7B891876"/>
    <w:rsid w:val="7BAF676F"/>
    <w:rsid w:val="7BCD6162"/>
    <w:rsid w:val="7BDB7782"/>
    <w:rsid w:val="7BE424D4"/>
    <w:rsid w:val="7BE91898"/>
    <w:rsid w:val="7BFA63AD"/>
    <w:rsid w:val="7BFD556C"/>
    <w:rsid w:val="7C0F49D7"/>
    <w:rsid w:val="7C12462D"/>
    <w:rsid w:val="7C2D3E7B"/>
    <w:rsid w:val="7C4165F9"/>
    <w:rsid w:val="7C4A45EA"/>
    <w:rsid w:val="7C7F1785"/>
    <w:rsid w:val="7CB02175"/>
    <w:rsid w:val="7CBF07C6"/>
    <w:rsid w:val="7CCD289A"/>
    <w:rsid w:val="7CD92E4E"/>
    <w:rsid w:val="7CDC13FD"/>
    <w:rsid w:val="7D0317BA"/>
    <w:rsid w:val="7D291D1E"/>
    <w:rsid w:val="7D292894"/>
    <w:rsid w:val="7D641299"/>
    <w:rsid w:val="7D6531C9"/>
    <w:rsid w:val="7D7A39D5"/>
    <w:rsid w:val="7D7D0A36"/>
    <w:rsid w:val="7D8A2C07"/>
    <w:rsid w:val="7D9F4904"/>
    <w:rsid w:val="7DAE615B"/>
    <w:rsid w:val="7DB67EA0"/>
    <w:rsid w:val="7DBE1355"/>
    <w:rsid w:val="7DC9372F"/>
    <w:rsid w:val="7DCC76C3"/>
    <w:rsid w:val="7DE26849"/>
    <w:rsid w:val="7E05513D"/>
    <w:rsid w:val="7E074687"/>
    <w:rsid w:val="7E096221"/>
    <w:rsid w:val="7E3A4C4A"/>
    <w:rsid w:val="7E3B1EBD"/>
    <w:rsid w:val="7E3C65F7"/>
    <w:rsid w:val="7E867872"/>
    <w:rsid w:val="7EB548C5"/>
    <w:rsid w:val="7ED148FF"/>
    <w:rsid w:val="7F0558B5"/>
    <w:rsid w:val="7F22696C"/>
    <w:rsid w:val="7F3361BC"/>
    <w:rsid w:val="7F71432F"/>
    <w:rsid w:val="7F78365F"/>
    <w:rsid w:val="7F7973D7"/>
    <w:rsid w:val="7F7F2C3F"/>
    <w:rsid w:val="7F8F6BFA"/>
    <w:rsid w:val="7F9B4ADB"/>
    <w:rsid w:val="7F9F015C"/>
    <w:rsid w:val="7FB53EFD"/>
    <w:rsid w:val="7FBA5A25"/>
    <w:rsid w:val="7FD36AE7"/>
    <w:rsid w:val="7FE52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2"/>
    <w:basedOn w:val="1"/>
    <w:next w:val="1"/>
    <w:autoRedefine/>
    <w:semiHidden/>
    <w:unhideWhenUsed/>
    <w:qFormat/>
    <w:uiPriority w:val="9"/>
    <w:pPr>
      <w:spacing w:beforeAutospacing="1" w:afterAutospacing="1"/>
      <w:jc w:val="left"/>
      <w:outlineLvl w:val="1"/>
    </w:pPr>
    <w:rPr>
      <w:rFonts w:hint="eastAsia" w:ascii="宋体" w:hAnsi="宋体"/>
      <w:b/>
      <w:bCs/>
      <w:kern w:val="0"/>
      <w:sz w:val="36"/>
      <w:szCs w:val="36"/>
    </w:rPr>
  </w:style>
  <w:style w:type="paragraph" w:styleId="3">
    <w:name w:val="heading 4"/>
    <w:basedOn w:val="1"/>
    <w:next w:val="1"/>
    <w:autoRedefine/>
    <w:qFormat/>
    <w:uiPriority w:val="9"/>
    <w:pPr>
      <w:keepNext/>
      <w:keepLines/>
      <w:spacing w:before="280" w:after="290" w:line="372" w:lineRule="auto"/>
      <w:outlineLvl w:val="3"/>
    </w:pPr>
    <w:rPr>
      <w:rFonts w:ascii="Arial" w:hAnsi="Arial" w:eastAsia="黑体"/>
      <w:b/>
      <w:sz w:val="28"/>
    </w:rPr>
  </w:style>
  <w:style w:type="character" w:default="1" w:styleId="24">
    <w:name w:val="Default Paragraph Font"/>
    <w:semiHidden/>
    <w:unhideWhenUsed/>
    <w:qFormat/>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4">
    <w:name w:val="Normal Indent"/>
    <w:basedOn w:val="1"/>
    <w:autoRedefine/>
    <w:qFormat/>
    <w:uiPriority w:val="99"/>
    <w:pPr>
      <w:spacing w:line="360" w:lineRule="auto"/>
      <w:ind w:firstLine="420"/>
    </w:pPr>
    <w:rPr>
      <w:rFonts w:ascii="Calibri" w:hAnsi="Calibri"/>
      <w:sz w:val="28"/>
      <w:szCs w:val="20"/>
    </w:rPr>
  </w:style>
  <w:style w:type="paragraph" w:styleId="5">
    <w:name w:val="annotation text"/>
    <w:basedOn w:val="1"/>
    <w:link w:val="43"/>
    <w:autoRedefine/>
    <w:qFormat/>
    <w:uiPriority w:val="99"/>
    <w:pPr>
      <w:jc w:val="left"/>
    </w:pPr>
  </w:style>
  <w:style w:type="paragraph" w:styleId="6">
    <w:name w:val="Body Text"/>
    <w:basedOn w:val="1"/>
    <w:next w:val="7"/>
    <w:link w:val="46"/>
    <w:autoRedefine/>
    <w:unhideWhenUsed/>
    <w:qFormat/>
    <w:uiPriority w:val="0"/>
    <w:pPr>
      <w:widowControl/>
      <w:snapToGrid w:val="0"/>
      <w:spacing w:before="60" w:after="160" w:line="256" w:lineRule="auto"/>
      <w:ind w:right="113"/>
    </w:pPr>
    <w:rPr>
      <w:kern w:val="0"/>
      <w:sz w:val="18"/>
      <w:szCs w:val="20"/>
      <w:lang w:val="zh-CN"/>
    </w:rPr>
  </w:style>
  <w:style w:type="paragraph" w:styleId="7">
    <w:name w:val="List Bullet 5"/>
    <w:basedOn w:val="1"/>
    <w:autoRedefine/>
    <w:semiHidden/>
    <w:unhideWhenUsed/>
    <w:qFormat/>
    <w:uiPriority w:val="99"/>
    <w:pPr>
      <w:numPr>
        <w:ilvl w:val="0"/>
        <w:numId w:val="1"/>
      </w:numPr>
    </w:pPr>
  </w:style>
  <w:style w:type="paragraph" w:styleId="8">
    <w:name w:val="Body Text Indent"/>
    <w:basedOn w:val="1"/>
    <w:next w:val="9"/>
    <w:autoRedefine/>
    <w:qFormat/>
    <w:uiPriority w:val="0"/>
    <w:pPr>
      <w:ind w:firstLine="569" w:firstLineChars="237"/>
    </w:pPr>
    <w:rPr>
      <w:rFonts w:ascii="宋体" w:hAnsi="宋体"/>
    </w:rPr>
  </w:style>
  <w:style w:type="paragraph" w:styleId="9">
    <w:name w:val="Body Text Indent 2"/>
    <w:basedOn w:val="1"/>
    <w:next w:val="1"/>
    <w:qFormat/>
    <w:uiPriority w:val="0"/>
    <w:pPr>
      <w:spacing w:after="120" w:line="480" w:lineRule="auto"/>
      <w:ind w:left="420" w:leftChars="200"/>
    </w:pPr>
  </w:style>
  <w:style w:type="paragraph" w:styleId="10">
    <w:name w:val="Block Text"/>
    <w:basedOn w:val="1"/>
    <w:next w:val="1"/>
    <w:autoRedefine/>
    <w:qFormat/>
    <w:uiPriority w:val="0"/>
    <w:pPr>
      <w:adjustRightInd w:val="0"/>
      <w:spacing w:before="120" w:line="440" w:lineRule="exact"/>
      <w:ind w:left="284" w:right="284" w:firstLine="567"/>
      <w:textAlignment w:val="baseline"/>
    </w:pPr>
    <w:rPr>
      <w:rFonts w:ascii="楷体_GB2312" w:eastAsia="楷体_GB2312"/>
      <w:spacing w:val="-2"/>
      <w:kern w:val="0"/>
      <w:sz w:val="28"/>
      <w:szCs w:val="20"/>
    </w:rPr>
  </w:style>
  <w:style w:type="paragraph" w:styleId="11">
    <w:name w:val="Plain Text"/>
    <w:basedOn w:val="1"/>
    <w:autoRedefine/>
    <w:qFormat/>
    <w:uiPriority w:val="0"/>
    <w:rPr>
      <w:rFonts w:ascii="宋体" w:hAnsi="Courier New"/>
      <w:sz w:val="28"/>
    </w:rPr>
  </w:style>
  <w:style w:type="paragraph" w:styleId="12">
    <w:name w:val="Balloon Text"/>
    <w:basedOn w:val="1"/>
    <w:link w:val="81"/>
    <w:semiHidden/>
    <w:unhideWhenUsed/>
    <w:qFormat/>
    <w:uiPriority w:val="99"/>
    <w:rPr>
      <w:sz w:val="18"/>
      <w:szCs w:val="18"/>
    </w:rPr>
  </w:style>
  <w:style w:type="paragraph" w:styleId="13">
    <w:name w:val="footer"/>
    <w:basedOn w:val="1"/>
    <w:link w:val="39"/>
    <w:autoRedefine/>
    <w:qFormat/>
    <w:uiPriority w:val="99"/>
    <w:pPr>
      <w:tabs>
        <w:tab w:val="center" w:pos="4153"/>
        <w:tab w:val="right" w:pos="8306"/>
      </w:tabs>
      <w:snapToGrid w:val="0"/>
      <w:jc w:val="left"/>
    </w:pPr>
    <w:rPr>
      <w:sz w:val="18"/>
      <w:szCs w:val="18"/>
    </w:rPr>
  </w:style>
  <w:style w:type="paragraph" w:styleId="14">
    <w:name w:val="header"/>
    <w:basedOn w:val="1"/>
    <w:link w:val="38"/>
    <w:autoRedefine/>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semiHidden/>
    <w:unhideWhenUsed/>
    <w:qFormat/>
    <w:uiPriority w:val="39"/>
  </w:style>
  <w:style w:type="paragraph" w:styleId="16">
    <w:name w:val="table of figures"/>
    <w:basedOn w:val="1"/>
    <w:next w:val="1"/>
    <w:autoRedefine/>
    <w:qFormat/>
    <w:uiPriority w:val="0"/>
    <w:pPr>
      <w:ind w:left="200" w:leftChars="200" w:hanging="200" w:hangingChars="200"/>
    </w:pPr>
    <w:rPr>
      <w:kern w:val="0"/>
      <w:szCs w:val="20"/>
    </w:rPr>
  </w:style>
  <w:style w:type="paragraph" w:styleId="17">
    <w:name w:val="Body Text 2"/>
    <w:basedOn w:val="1"/>
    <w:autoRedefine/>
    <w:qFormat/>
    <w:uiPriority w:val="0"/>
    <w:pPr>
      <w:spacing w:after="120" w:line="480" w:lineRule="auto"/>
    </w:pPr>
  </w:style>
  <w:style w:type="paragraph" w:styleId="18">
    <w:name w:val="Normal (Web)"/>
    <w:basedOn w:val="1"/>
    <w:link w:val="42"/>
    <w:autoRedefine/>
    <w:qFormat/>
    <w:uiPriority w:val="99"/>
    <w:pPr>
      <w:widowControl/>
      <w:spacing w:before="100" w:beforeAutospacing="1" w:after="100" w:afterAutospacing="1"/>
      <w:jc w:val="left"/>
    </w:pPr>
    <w:rPr>
      <w:rFonts w:ascii="宋体" w:hAnsi="宋体" w:eastAsia="等线" w:cs="宋体"/>
      <w:szCs w:val="22"/>
    </w:rPr>
  </w:style>
  <w:style w:type="paragraph" w:styleId="19">
    <w:name w:val="annotation subject"/>
    <w:basedOn w:val="5"/>
    <w:next w:val="5"/>
    <w:link w:val="47"/>
    <w:autoRedefine/>
    <w:semiHidden/>
    <w:unhideWhenUsed/>
    <w:qFormat/>
    <w:uiPriority w:val="99"/>
    <w:rPr>
      <w:b/>
      <w:bCs/>
    </w:rPr>
  </w:style>
  <w:style w:type="paragraph" w:styleId="20">
    <w:name w:val="Body Text First Indent"/>
    <w:basedOn w:val="6"/>
    <w:next w:val="16"/>
    <w:autoRedefine/>
    <w:qFormat/>
    <w:uiPriority w:val="0"/>
    <w:pPr>
      <w:tabs>
        <w:tab w:val="left" w:pos="540"/>
        <w:tab w:val="left" w:pos="851"/>
        <w:tab w:val="left" w:pos="994"/>
        <w:tab w:val="left" w:pos="1260"/>
        <w:tab w:val="left" w:pos="3108"/>
        <w:tab w:val="left" w:pos="3150"/>
      </w:tabs>
      <w:adjustRightInd w:val="0"/>
      <w:spacing w:after="120"/>
      <w:ind w:firstLine="100" w:firstLineChars="100"/>
    </w:pPr>
    <w:rPr>
      <w:snapToGrid w:val="0"/>
      <w:color w:val="000000"/>
      <w:kern w:val="32"/>
      <w:szCs w:val="28"/>
    </w:rPr>
  </w:style>
  <w:style w:type="paragraph" w:styleId="21">
    <w:name w:val="Body Text First Indent 2"/>
    <w:basedOn w:val="8"/>
    <w:next w:val="1"/>
    <w:autoRedefine/>
    <w:qFormat/>
    <w:uiPriority w:val="0"/>
    <w:pPr>
      <w:adjustRightInd w:val="0"/>
      <w:snapToGrid w:val="0"/>
      <w:ind w:firstLine="394" w:firstLineChars="200"/>
    </w:pPr>
    <w:rPr>
      <w:b/>
      <w:spacing w:val="-7"/>
    </w:rPr>
  </w:style>
  <w:style w:type="table" w:styleId="23">
    <w:name w:val="Table Grid"/>
    <w:basedOn w:val="2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22"/>
    <w:rPr>
      <w:b/>
      <w:bCs/>
    </w:rPr>
  </w:style>
  <w:style w:type="character" w:styleId="26">
    <w:name w:val="FollowedHyperlink"/>
    <w:basedOn w:val="24"/>
    <w:semiHidden/>
    <w:unhideWhenUsed/>
    <w:qFormat/>
    <w:uiPriority w:val="99"/>
    <w:rPr>
      <w:color w:val="333333"/>
      <w:u w:val="none"/>
    </w:rPr>
  </w:style>
  <w:style w:type="character" w:styleId="27">
    <w:name w:val="Emphasis"/>
    <w:basedOn w:val="24"/>
    <w:autoRedefine/>
    <w:qFormat/>
    <w:uiPriority w:val="20"/>
    <w:rPr>
      <w:i/>
      <w:iCs/>
    </w:rPr>
  </w:style>
  <w:style w:type="character" w:styleId="28">
    <w:name w:val="HTML Definition"/>
    <w:basedOn w:val="24"/>
    <w:semiHidden/>
    <w:unhideWhenUsed/>
    <w:qFormat/>
    <w:uiPriority w:val="99"/>
    <w:rPr>
      <w:i/>
      <w:iCs/>
    </w:rPr>
  </w:style>
  <w:style w:type="character" w:styleId="29">
    <w:name w:val="Hyperlink"/>
    <w:basedOn w:val="24"/>
    <w:autoRedefine/>
    <w:qFormat/>
    <w:uiPriority w:val="99"/>
    <w:rPr>
      <w:color w:val="0000FF"/>
      <w:u w:val="single"/>
    </w:rPr>
  </w:style>
  <w:style w:type="character" w:styleId="30">
    <w:name w:val="HTML Code"/>
    <w:basedOn w:val="24"/>
    <w:semiHidden/>
    <w:unhideWhenUsed/>
    <w:qFormat/>
    <w:uiPriority w:val="99"/>
    <w:rPr>
      <w:rFonts w:hint="default" w:ascii="Consolas" w:hAnsi="Consolas" w:eastAsia="Consolas" w:cs="Consolas"/>
      <w:color w:val="C7254E"/>
      <w:sz w:val="21"/>
      <w:szCs w:val="21"/>
      <w:shd w:val="clear" w:color="auto" w:fill="F9F2F4"/>
    </w:rPr>
  </w:style>
  <w:style w:type="character" w:styleId="31">
    <w:name w:val="annotation reference"/>
    <w:basedOn w:val="24"/>
    <w:autoRedefine/>
    <w:qFormat/>
    <w:uiPriority w:val="99"/>
    <w:rPr>
      <w:sz w:val="21"/>
      <w:szCs w:val="21"/>
    </w:rPr>
  </w:style>
  <w:style w:type="character" w:styleId="32">
    <w:name w:val="HTML Keyboard"/>
    <w:basedOn w:val="24"/>
    <w:semiHidden/>
    <w:unhideWhenUsed/>
    <w:qFormat/>
    <w:uiPriority w:val="99"/>
    <w:rPr>
      <w:rFonts w:hint="default" w:ascii="Consolas" w:hAnsi="Consolas" w:eastAsia="Consolas" w:cs="Consolas"/>
      <w:color w:val="FFFFFF"/>
      <w:sz w:val="21"/>
      <w:szCs w:val="21"/>
      <w:shd w:val="clear" w:color="auto" w:fill="333333"/>
    </w:rPr>
  </w:style>
  <w:style w:type="character" w:styleId="33">
    <w:name w:val="HTML Sample"/>
    <w:basedOn w:val="24"/>
    <w:semiHidden/>
    <w:unhideWhenUsed/>
    <w:qFormat/>
    <w:uiPriority w:val="99"/>
    <w:rPr>
      <w:rFonts w:ascii="Consolas" w:hAnsi="Consolas" w:eastAsia="Consolas" w:cs="Consolas"/>
      <w:sz w:val="21"/>
      <w:szCs w:val="21"/>
    </w:rPr>
  </w:style>
  <w:style w:type="paragraph" w:customStyle="1" w:styleId="34">
    <w:name w:val="样式1"/>
    <w:basedOn w:val="1"/>
    <w:next w:val="19"/>
    <w:autoRedefine/>
    <w:qFormat/>
    <w:uiPriority w:val="0"/>
    <w:pPr>
      <w:ind w:firstLine="462" w:firstLineChars="200"/>
    </w:pPr>
    <w:rPr>
      <w:rFonts w:ascii="宋体" w:hAnsi="宋体"/>
      <w:color w:val="000000"/>
      <w:sz w:val="21"/>
      <w:szCs w:val="21"/>
    </w:rPr>
  </w:style>
  <w:style w:type="paragraph" w:customStyle="1" w:styleId="35">
    <w:name w:val="表格"/>
    <w:basedOn w:val="1"/>
    <w:next w:val="1"/>
    <w:link w:val="36"/>
    <w:autoRedefine/>
    <w:qFormat/>
    <w:uiPriority w:val="0"/>
    <w:pPr>
      <w:adjustRightInd w:val="0"/>
      <w:snapToGrid w:val="0"/>
      <w:spacing w:beforeLines="10" w:afterLines="10" w:line="256" w:lineRule="auto"/>
      <w:jc w:val="center"/>
    </w:pPr>
    <w:rPr>
      <w:rFonts w:ascii="宋体" w:hAnsi="宋体" w:cs="宋体"/>
      <w:sz w:val="21"/>
      <w:szCs w:val="22"/>
    </w:rPr>
  </w:style>
  <w:style w:type="character" w:customStyle="1" w:styleId="36">
    <w:name w:val="表格 Char"/>
    <w:link w:val="35"/>
    <w:autoRedefine/>
    <w:qFormat/>
    <w:uiPriority w:val="0"/>
    <w:rPr>
      <w:rFonts w:ascii="宋体" w:hAnsi="宋体" w:eastAsia="宋体"/>
    </w:rPr>
  </w:style>
  <w:style w:type="paragraph" w:customStyle="1" w:styleId="37">
    <w:name w:val="正文文本 21"/>
    <w:basedOn w:val="1"/>
    <w:autoRedefine/>
    <w:qFormat/>
    <w:uiPriority w:val="0"/>
    <w:pPr>
      <w:widowControl/>
      <w:numPr>
        <w:ilvl w:val="0"/>
        <w:numId w:val="2"/>
      </w:numPr>
      <w:tabs>
        <w:tab w:val="left" w:pos="1440"/>
      </w:tabs>
      <w:spacing w:beforeLines="50" w:line="336" w:lineRule="auto"/>
    </w:pPr>
    <w:rPr>
      <w:rFonts w:eastAsia="黑体"/>
      <w:sz w:val="21"/>
      <w:szCs w:val="20"/>
    </w:rPr>
  </w:style>
  <w:style w:type="character" w:customStyle="1" w:styleId="38">
    <w:name w:val="页眉 Char"/>
    <w:basedOn w:val="24"/>
    <w:link w:val="14"/>
    <w:autoRedefine/>
    <w:qFormat/>
    <w:uiPriority w:val="99"/>
    <w:rPr>
      <w:rFonts w:ascii="Times New Roman" w:hAnsi="Times New Roman" w:eastAsia="宋体"/>
      <w:sz w:val="18"/>
      <w:szCs w:val="18"/>
    </w:rPr>
  </w:style>
  <w:style w:type="character" w:customStyle="1" w:styleId="39">
    <w:name w:val="页脚 Char"/>
    <w:basedOn w:val="24"/>
    <w:link w:val="13"/>
    <w:autoRedefine/>
    <w:qFormat/>
    <w:uiPriority w:val="99"/>
    <w:rPr>
      <w:rFonts w:ascii="Times New Roman" w:hAnsi="Times New Roman" w:eastAsia="宋体"/>
      <w:sz w:val="18"/>
      <w:szCs w:val="18"/>
    </w:rPr>
  </w:style>
  <w:style w:type="paragraph" w:customStyle="1" w:styleId="40">
    <w:name w:val="Default"/>
    <w:basedOn w:val="41"/>
    <w:next w:val="1"/>
    <w:autoRedefine/>
    <w:qFormat/>
    <w:uiPriority w:val="0"/>
    <w:pPr>
      <w:autoSpaceDE w:val="0"/>
      <w:autoSpaceDN w:val="0"/>
    </w:pPr>
    <w:rPr>
      <w:rFonts w:ascii="Times New Roman" w:hAnsi="Times New Roman" w:cs="宋体"/>
      <w:color w:val="000000"/>
      <w:szCs w:val="24"/>
    </w:rPr>
  </w:style>
  <w:style w:type="paragraph" w:customStyle="1" w:styleId="41">
    <w:name w:val="纯文本1"/>
    <w:basedOn w:val="1"/>
    <w:autoRedefine/>
    <w:qFormat/>
    <w:uiPriority w:val="0"/>
    <w:pPr>
      <w:adjustRightInd w:val="0"/>
    </w:pPr>
    <w:rPr>
      <w:rFonts w:ascii="宋体" w:hAnsi="Courier New"/>
      <w:szCs w:val="20"/>
    </w:rPr>
  </w:style>
  <w:style w:type="character" w:customStyle="1" w:styleId="42">
    <w:name w:val="普通(网站) Char"/>
    <w:link w:val="18"/>
    <w:autoRedefine/>
    <w:qFormat/>
    <w:uiPriority w:val="0"/>
    <w:rPr>
      <w:rFonts w:ascii="宋体" w:hAnsi="宋体"/>
      <w:sz w:val="24"/>
    </w:rPr>
  </w:style>
  <w:style w:type="character" w:customStyle="1" w:styleId="43">
    <w:name w:val="批注文字 Char"/>
    <w:basedOn w:val="24"/>
    <w:link w:val="5"/>
    <w:autoRedefine/>
    <w:qFormat/>
    <w:uiPriority w:val="99"/>
    <w:rPr>
      <w:rFonts w:ascii="Times New Roman" w:hAnsi="Times New Roman" w:eastAsia="宋体" w:cs="Times New Roman"/>
      <w:sz w:val="24"/>
      <w:szCs w:val="24"/>
    </w:rPr>
  </w:style>
  <w:style w:type="paragraph" w:customStyle="1" w:styleId="44">
    <w:name w:val="Char Char Char Char"/>
    <w:basedOn w:val="1"/>
    <w:autoRedefine/>
    <w:qFormat/>
    <w:uiPriority w:val="0"/>
    <w:rPr>
      <w:sz w:val="21"/>
    </w:rPr>
  </w:style>
  <w:style w:type="character" w:customStyle="1" w:styleId="45">
    <w:name w:val="正文文本 字符"/>
    <w:basedOn w:val="24"/>
    <w:autoRedefine/>
    <w:semiHidden/>
    <w:qFormat/>
    <w:uiPriority w:val="99"/>
    <w:rPr>
      <w:rFonts w:ascii="Times New Roman" w:hAnsi="Times New Roman" w:eastAsia="宋体" w:cs="Times New Roman"/>
      <w:sz w:val="24"/>
      <w:szCs w:val="24"/>
    </w:rPr>
  </w:style>
  <w:style w:type="character" w:customStyle="1" w:styleId="46">
    <w:name w:val="正文文本 Char"/>
    <w:link w:val="6"/>
    <w:autoRedefine/>
    <w:semiHidden/>
    <w:qFormat/>
    <w:locked/>
    <w:uiPriority w:val="0"/>
    <w:rPr>
      <w:rFonts w:ascii="Times New Roman" w:hAnsi="Times New Roman" w:eastAsia="宋体" w:cs="Times New Roman"/>
      <w:kern w:val="0"/>
      <w:sz w:val="18"/>
      <w:szCs w:val="20"/>
      <w:lang w:val="zh-CN" w:eastAsia="zh-CN"/>
    </w:rPr>
  </w:style>
  <w:style w:type="character" w:customStyle="1" w:styleId="47">
    <w:name w:val="批注主题 Char"/>
    <w:basedOn w:val="43"/>
    <w:link w:val="19"/>
    <w:autoRedefine/>
    <w:semiHidden/>
    <w:qFormat/>
    <w:uiPriority w:val="99"/>
    <w:rPr>
      <w:rFonts w:ascii="Times New Roman" w:hAnsi="Times New Roman" w:eastAsia="宋体" w:cs="Times New Roman"/>
      <w:b/>
      <w:bCs/>
      <w:sz w:val="24"/>
      <w:szCs w:val="24"/>
    </w:rPr>
  </w:style>
  <w:style w:type="paragraph" w:styleId="48">
    <w:name w:val="List Paragraph"/>
    <w:basedOn w:val="1"/>
    <w:autoRedefine/>
    <w:qFormat/>
    <w:uiPriority w:val="34"/>
    <w:pPr>
      <w:ind w:firstLine="420" w:firstLineChars="200"/>
    </w:pPr>
  </w:style>
  <w:style w:type="character" w:customStyle="1" w:styleId="49">
    <w:name w:val="fontstyle01"/>
    <w:basedOn w:val="24"/>
    <w:autoRedefine/>
    <w:qFormat/>
    <w:uiPriority w:val="0"/>
    <w:rPr>
      <w:rFonts w:hint="eastAsia" w:ascii="宋体" w:hAnsi="宋体" w:eastAsia="宋体"/>
      <w:color w:val="000000"/>
      <w:sz w:val="24"/>
      <w:szCs w:val="24"/>
    </w:rPr>
  </w:style>
  <w:style w:type="character" w:customStyle="1" w:styleId="50">
    <w:name w:val="font11"/>
    <w:basedOn w:val="24"/>
    <w:autoRedefine/>
    <w:qFormat/>
    <w:uiPriority w:val="0"/>
    <w:rPr>
      <w:rFonts w:hint="eastAsia" w:ascii="宋体" w:hAnsi="宋体" w:eastAsia="宋体" w:cs="宋体"/>
      <w:color w:val="000000"/>
      <w:sz w:val="22"/>
      <w:szCs w:val="22"/>
      <w:u w:val="none"/>
    </w:rPr>
  </w:style>
  <w:style w:type="paragraph" w:customStyle="1" w:styleId="51">
    <w:name w:val="报告正文"/>
    <w:basedOn w:val="1"/>
    <w:autoRedefine/>
    <w:qFormat/>
    <w:uiPriority w:val="0"/>
    <w:pPr>
      <w:ind w:firstLine="480"/>
    </w:pPr>
    <w:rPr>
      <w:bCs/>
      <w:color w:val="000000"/>
    </w:rPr>
  </w:style>
  <w:style w:type="paragraph" w:customStyle="1" w:styleId="52">
    <w:name w:val="表头"/>
    <w:basedOn w:val="51"/>
    <w:next w:val="11"/>
    <w:autoRedefine/>
    <w:qFormat/>
    <w:uiPriority w:val="0"/>
    <w:pPr>
      <w:keepNext/>
      <w:ind w:firstLine="0"/>
      <w:jc w:val="center"/>
    </w:pPr>
    <w:rPr>
      <w:b/>
    </w:rPr>
  </w:style>
  <w:style w:type="paragraph" w:customStyle="1" w:styleId="53">
    <w:name w:val="报告表格"/>
    <w:basedOn w:val="1"/>
    <w:autoRedefine/>
    <w:qFormat/>
    <w:uiPriority w:val="0"/>
    <w:pPr>
      <w:autoSpaceDE w:val="0"/>
      <w:autoSpaceDN w:val="0"/>
      <w:adjustRightInd w:val="0"/>
      <w:jc w:val="center"/>
      <w:textAlignment w:val="baseline"/>
    </w:pPr>
    <w:rPr>
      <w:kern w:val="0"/>
      <w:sz w:val="21"/>
      <w:szCs w:val="20"/>
    </w:rPr>
  </w:style>
  <w:style w:type="paragraph" w:customStyle="1" w:styleId="54">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5">
    <w:name w:val="正文 New New New New New New New New New New New New New New New New New New New New New New New New New New New New New New New New New New New New New New New New New New New New New New New New New New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character" w:customStyle="1" w:styleId="56">
    <w:name w:val="font71"/>
    <w:basedOn w:val="24"/>
    <w:autoRedefine/>
    <w:qFormat/>
    <w:uiPriority w:val="0"/>
    <w:rPr>
      <w:rFonts w:hint="eastAsia" w:ascii="宋体" w:hAnsi="宋体" w:eastAsia="宋体" w:cs="宋体"/>
      <w:b/>
      <w:color w:val="000000"/>
      <w:sz w:val="21"/>
      <w:szCs w:val="21"/>
      <w:u w:val="none"/>
      <w:vertAlign w:val="subscript"/>
    </w:rPr>
  </w:style>
  <w:style w:type="character" w:customStyle="1" w:styleId="57">
    <w:name w:val="font41"/>
    <w:basedOn w:val="24"/>
    <w:autoRedefine/>
    <w:qFormat/>
    <w:uiPriority w:val="0"/>
    <w:rPr>
      <w:rFonts w:hint="eastAsia" w:ascii="宋体" w:hAnsi="宋体" w:eastAsia="宋体" w:cs="宋体"/>
      <w:b/>
      <w:color w:val="000000"/>
      <w:sz w:val="21"/>
      <w:szCs w:val="21"/>
      <w:u w:val="none"/>
    </w:rPr>
  </w:style>
  <w:style w:type="character" w:customStyle="1" w:styleId="58">
    <w:name w:val="font21"/>
    <w:basedOn w:val="24"/>
    <w:autoRedefine/>
    <w:qFormat/>
    <w:uiPriority w:val="0"/>
    <w:rPr>
      <w:rFonts w:hint="eastAsia" w:ascii="宋体" w:hAnsi="宋体" w:eastAsia="宋体" w:cs="宋体"/>
      <w:color w:val="000000"/>
      <w:sz w:val="21"/>
      <w:szCs w:val="21"/>
      <w:u w:val="none"/>
    </w:rPr>
  </w:style>
  <w:style w:type="character" w:customStyle="1" w:styleId="59">
    <w:name w:val="font31"/>
    <w:basedOn w:val="24"/>
    <w:autoRedefine/>
    <w:qFormat/>
    <w:uiPriority w:val="0"/>
    <w:rPr>
      <w:rFonts w:hint="default" w:ascii="Times New Roman" w:hAnsi="Times New Roman" w:cs="Times New Roman"/>
      <w:color w:val="000000"/>
      <w:sz w:val="21"/>
      <w:szCs w:val="21"/>
      <w:u w:val="none"/>
      <w:vertAlign w:val="superscript"/>
    </w:rPr>
  </w:style>
  <w:style w:type="paragraph" w:customStyle="1" w:styleId="60">
    <w:name w:val="Table Paragraph"/>
    <w:basedOn w:val="1"/>
    <w:autoRedefine/>
    <w:qFormat/>
    <w:uiPriority w:val="1"/>
    <w:rPr>
      <w:rFonts w:ascii="宋体" w:hAnsi="宋体" w:cs="宋体"/>
      <w:lang w:val="zh-CN" w:bidi="zh-CN"/>
    </w:rPr>
  </w:style>
  <w:style w:type="paragraph" w:customStyle="1" w:styleId="61">
    <w:name w:val="图表"/>
    <w:basedOn w:val="1"/>
    <w:autoRedefine/>
    <w:qFormat/>
    <w:uiPriority w:val="0"/>
    <w:pPr>
      <w:autoSpaceDE w:val="0"/>
      <w:autoSpaceDN w:val="0"/>
      <w:adjustRightInd w:val="0"/>
      <w:snapToGrid w:val="0"/>
      <w:jc w:val="center"/>
    </w:pPr>
  </w:style>
  <w:style w:type="paragraph" w:customStyle="1" w:styleId="62">
    <w:name w:val="WPSOffice手动目录 1"/>
    <w:autoRedefine/>
    <w:qFormat/>
    <w:uiPriority w:val="0"/>
    <w:rPr>
      <w:rFonts w:ascii="Times New Roman" w:hAnsi="Times New Roman" w:eastAsia="宋体" w:cs="Times New Roman"/>
      <w:lang w:val="en-US" w:eastAsia="zh-CN" w:bidi="ar-SA"/>
    </w:rPr>
  </w:style>
  <w:style w:type="paragraph" w:customStyle="1" w:styleId="63">
    <w:name w:val="Table text"/>
    <w:basedOn w:val="1"/>
    <w:autoRedefine/>
    <w:qFormat/>
    <w:uiPriority w:val="0"/>
    <w:pPr>
      <w:snapToGrid w:val="0"/>
      <w:jc w:val="center"/>
    </w:pPr>
    <w:rPr>
      <w:bCs/>
      <w:szCs w:val="30"/>
    </w:rPr>
  </w:style>
  <w:style w:type="table" w:customStyle="1" w:styleId="64">
    <w:name w:val="Table Normal"/>
    <w:autoRedefine/>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65">
    <w:name w:val="Text type"/>
    <w:basedOn w:val="1"/>
    <w:autoRedefine/>
    <w:qFormat/>
    <w:uiPriority w:val="0"/>
    <w:pPr>
      <w:widowControl/>
      <w:snapToGrid w:val="0"/>
      <w:spacing w:line="360" w:lineRule="auto"/>
      <w:ind w:firstLine="200" w:firstLineChars="200"/>
    </w:pPr>
    <w:rPr>
      <w:szCs w:val="32"/>
    </w:rPr>
  </w:style>
  <w:style w:type="paragraph" w:customStyle="1" w:styleId="66">
    <w:name w:val="表格文字"/>
    <w:autoRedefine/>
    <w:qFormat/>
    <w:uiPriority w:val="0"/>
    <w:pPr>
      <w:pBdr>
        <w:top w:val="none" w:color="auto" w:sz="0" w:space="1"/>
        <w:left w:val="none" w:color="auto" w:sz="0" w:space="4"/>
        <w:bottom w:val="none" w:color="auto" w:sz="0" w:space="1"/>
        <w:right w:val="none" w:color="auto" w:sz="0" w:space="4"/>
      </w:pBdr>
      <w:snapToGrid w:val="0"/>
      <w:spacing w:line="360" w:lineRule="exact"/>
    </w:pPr>
    <w:rPr>
      <w:rFonts w:ascii="Times New Roman" w:hAnsi="Times New Roman" w:eastAsia="宋体" w:cs="Times New Roman"/>
      <w:sz w:val="21"/>
      <w:szCs w:val="21"/>
      <w:lang w:val="en-US" w:eastAsia="zh-CN" w:bidi="ar-SA"/>
    </w:rPr>
  </w:style>
  <w:style w:type="paragraph" w:customStyle="1" w:styleId="67">
    <w:name w:val="列出段落1"/>
    <w:basedOn w:val="1"/>
    <w:autoRedefine/>
    <w:qFormat/>
    <w:uiPriority w:val="0"/>
    <w:pPr>
      <w:spacing w:line="360" w:lineRule="auto"/>
      <w:ind w:firstLine="420" w:firstLineChars="200"/>
    </w:pPr>
    <w:rPr>
      <w:szCs w:val="22"/>
    </w:rPr>
  </w:style>
  <w:style w:type="paragraph" w:customStyle="1" w:styleId="68">
    <w:name w:val="Text Type"/>
    <w:basedOn w:val="1"/>
    <w:autoRedefine/>
    <w:qFormat/>
    <w:uiPriority w:val="0"/>
    <w:pPr>
      <w:tabs>
        <w:tab w:val="left" w:pos="720"/>
      </w:tabs>
      <w:spacing w:line="360" w:lineRule="auto"/>
      <w:ind w:firstLine="200" w:firstLineChars="200"/>
    </w:pPr>
    <w:rPr>
      <w:color w:val="000000"/>
      <w:kern w:val="0"/>
      <w:szCs w:val="28"/>
    </w:rPr>
  </w:style>
  <w:style w:type="character" w:customStyle="1" w:styleId="69">
    <w:name w:val="a_p_3"/>
    <w:basedOn w:val="24"/>
    <w:qFormat/>
    <w:uiPriority w:val="0"/>
    <w:rPr>
      <w:sz w:val="21"/>
      <w:szCs w:val="21"/>
    </w:rPr>
  </w:style>
  <w:style w:type="character" w:customStyle="1" w:styleId="70">
    <w:name w:val="a_p_1"/>
    <w:basedOn w:val="24"/>
    <w:qFormat/>
    <w:uiPriority w:val="0"/>
    <w:rPr>
      <w:sz w:val="21"/>
      <w:szCs w:val="21"/>
    </w:rPr>
  </w:style>
  <w:style w:type="character" w:customStyle="1" w:styleId="71">
    <w:name w:val="a_p_2"/>
    <w:basedOn w:val="24"/>
    <w:qFormat/>
    <w:uiPriority w:val="0"/>
    <w:rPr>
      <w:sz w:val="21"/>
      <w:szCs w:val="21"/>
    </w:rPr>
  </w:style>
  <w:style w:type="character" w:customStyle="1" w:styleId="72">
    <w:name w:val="a_p_21"/>
    <w:basedOn w:val="24"/>
    <w:qFormat/>
    <w:uiPriority w:val="0"/>
  </w:style>
  <w:style w:type="character" w:customStyle="1" w:styleId="73">
    <w:name w:val="font"/>
    <w:basedOn w:val="24"/>
    <w:qFormat/>
    <w:uiPriority w:val="0"/>
  </w:style>
  <w:style w:type="character" w:customStyle="1" w:styleId="74">
    <w:name w:val="dc_on"/>
    <w:basedOn w:val="24"/>
    <w:qFormat/>
    <w:uiPriority w:val="0"/>
    <w:rPr>
      <w:color w:val="FFFFFF"/>
      <w:sz w:val="14"/>
      <w:szCs w:val="14"/>
      <w:shd w:val="clear" w:color="auto" w:fill="94070A"/>
    </w:rPr>
  </w:style>
  <w:style w:type="character" w:customStyle="1" w:styleId="75">
    <w:name w:val="dc_off"/>
    <w:basedOn w:val="24"/>
    <w:qFormat/>
    <w:uiPriority w:val="0"/>
    <w:rPr>
      <w:color w:val="FFFFFF"/>
      <w:sz w:val="14"/>
      <w:szCs w:val="14"/>
      <w:shd w:val="clear" w:color="auto" w:fill="999999"/>
    </w:rPr>
  </w:style>
  <w:style w:type="character" w:customStyle="1" w:styleId="76">
    <w:name w:val="ul_li_a_1"/>
    <w:basedOn w:val="24"/>
    <w:qFormat/>
    <w:uiPriority w:val="0"/>
    <w:rPr>
      <w:b/>
      <w:bCs/>
      <w:color w:val="FFFFFF"/>
    </w:rPr>
  </w:style>
  <w:style w:type="character" w:customStyle="1" w:styleId="77">
    <w:name w:val="exap"/>
    <w:basedOn w:val="24"/>
    <w:qFormat/>
    <w:uiPriority w:val="0"/>
    <w:rPr>
      <w:sz w:val="21"/>
      <w:szCs w:val="21"/>
    </w:rPr>
  </w:style>
  <w:style w:type="character" w:customStyle="1" w:styleId="78">
    <w:name w:val="font1"/>
    <w:basedOn w:val="24"/>
    <w:qFormat/>
    <w:uiPriority w:val="0"/>
  </w:style>
  <w:style w:type="paragraph" w:customStyle="1" w:styleId="79">
    <w:name w:val="表格文字（内）"/>
    <w:basedOn w:val="80"/>
    <w:qFormat/>
    <w:uiPriority w:val="0"/>
    <w:rPr>
      <w:snapToGrid w:val="0"/>
      <w:sz w:val="21"/>
    </w:rPr>
  </w:style>
  <w:style w:type="paragraph" w:customStyle="1" w:styleId="80">
    <w:name w:val="表格文字（外）"/>
    <w:basedOn w:val="1"/>
    <w:qFormat/>
    <w:uiPriority w:val="0"/>
    <w:pPr>
      <w:adjustRightInd w:val="0"/>
      <w:snapToGrid w:val="0"/>
      <w:jc w:val="center"/>
    </w:pPr>
    <w:rPr>
      <w:szCs w:val="21"/>
    </w:rPr>
  </w:style>
  <w:style w:type="character" w:customStyle="1" w:styleId="81">
    <w:name w:val="批注框文本 Char"/>
    <w:basedOn w:val="24"/>
    <w:link w:val="1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17.wmf"/><Relationship Id="rId28" Type="http://schemas.openxmlformats.org/officeDocument/2006/relationships/oleObject" Target="embeddings/oleObject8.bin"/><Relationship Id="rId27" Type="http://schemas.openxmlformats.org/officeDocument/2006/relationships/image" Target="media/image16.wmf"/><Relationship Id="rId26" Type="http://schemas.openxmlformats.org/officeDocument/2006/relationships/oleObject" Target="embeddings/oleObject7.bin"/><Relationship Id="rId25" Type="http://schemas.openxmlformats.org/officeDocument/2006/relationships/image" Target="media/image15.wmf"/><Relationship Id="rId24" Type="http://schemas.openxmlformats.org/officeDocument/2006/relationships/oleObject" Target="embeddings/oleObject6.bin"/><Relationship Id="rId23" Type="http://schemas.openxmlformats.org/officeDocument/2006/relationships/image" Target="media/image14.wmf"/><Relationship Id="rId22" Type="http://schemas.openxmlformats.org/officeDocument/2006/relationships/oleObject" Target="embeddings/oleObject5.bin"/><Relationship Id="rId21" Type="http://schemas.openxmlformats.org/officeDocument/2006/relationships/image" Target="media/image13.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12.wmf"/><Relationship Id="rId18" Type="http://schemas.openxmlformats.org/officeDocument/2006/relationships/oleObject" Target="embeddings/oleObject3.bin"/><Relationship Id="rId17" Type="http://schemas.openxmlformats.org/officeDocument/2006/relationships/image" Target="media/image11.wmf"/><Relationship Id="rId16" Type="http://schemas.openxmlformats.org/officeDocument/2006/relationships/oleObject" Target="embeddings/oleObject2.bin"/><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wmf"/><Relationship Id="rId12" Type="http://schemas.openxmlformats.org/officeDocument/2006/relationships/oleObject" Target="embeddings/oleObject1.bin"/><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5DE5E8-94C2-451E-97A7-D3F4C8FB139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100</Pages>
  <Words>57489</Words>
  <Characters>67737</Characters>
  <Lines>533</Lines>
  <Paragraphs>150</Paragraphs>
  <TotalTime>6</TotalTime>
  <ScaleCrop>false</ScaleCrop>
  <LinksUpToDate>false</LinksUpToDate>
  <CharactersWithSpaces>68050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2024-05-31T06:12:00Z</dcterms:created>
  <dc:creator>xu</dc:creator>
  <cp:lastModifiedBy>唐晨</cp:lastModifiedBy>
  <cp:lastPrinted>2024-07-25T14:06:00Z</cp:lastPrinted>
  <dcterms:modified xsi:type="dcterms:W3CDTF">2024-08-15T07:36:01Z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BE878F20F4E544B4BE9A64B5CB412254_13</vt:lpwstr>
  </property>
  <property fmtid="{D5CDD505-2E9C-101B-9397-08002B2CF9AE}" pid="3" name="KSOProductBuildVer">
    <vt:lpwstr>2052-12.1.0.17827</vt:lpwstr>
  </property>
</Properties>
</file>