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8C528">
      <w:pPr>
        <w:rPr>
          <w:rFonts w:hint="default" w:ascii="Times New Roman" w:hAnsi="Times New Roman" w:eastAsia="宋体" w:cs="Times New Roman"/>
          <w:color w:val="auto"/>
          <w:sz w:val="36"/>
          <w:szCs w:val="36"/>
        </w:rPr>
      </w:pPr>
    </w:p>
    <w:p w14:paraId="6E6DAFB6">
      <w:pPr>
        <w:rPr>
          <w:rFonts w:hint="default" w:ascii="Times New Roman" w:hAnsi="Times New Roman" w:eastAsia="宋体" w:cs="Times New Roman"/>
          <w:color w:val="auto"/>
          <w:sz w:val="36"/>
          <w:szCs w:val="36"/>
        </w:rPr>
      </w:pPr>
    </w:p>
    <w:p w14:paraId="01AD509D">
      <w:pPr>
        <w:rPr>
          <w:rFonts w:hint="default" w:ascii="Times New Roman" w:hAnsi="Times New Roman" w:eastAsia="宋体" w:cs="Times New Roman"/>
          <w:color w:val="auto"/>
          <w:sz w:val="36"/>
          <w:szCs w:val="36"/>
        </w:rPr>
      </w:pPr>
    </w:p>
    <w:p w14:paraId="61017057">
      <w:pPr>
        <w:adjustRightInd w:val="0"/>
        <w:snapToGrid w:val="0"/>
        <w:jc w:val="center"/>
        <w:outlineLvl w:val="0"/>
        <w:rPr>
          <w:rFonts w:hint="default" w:ascii="Times New Roman" w:hAnsi="Times New Roman" w:eastAsia="宋体" w:cs="Times New Roman"/>
          <w:bCs/>
          <w:color w:val="auto"/>
          <w:sz w:val="72"/>
          <w:szCs w:val="72"/>
        </w:rPr>
      </w:pPr>
      <w:r>
        <w:rPr>
          <w:rFonts w:hint="default" w:ascii="Times New Roman" w:hAnsi="Times New Roman" w:eastAsia="宋体" w:cs="Times New Roman"/>
          <w:bCs/>
          <w:color w:val="auto"/>
          <w:sz w:val="72"/>
          <w:szCs w:val="72"/>
        </w:rPr>
        <w:t>建设项目环境影响报告表</w:t>
      </w:r>
    </w:p>
    <w:p w14:paraId="52AE48EE">
      <w:pPr>
        <w:adjustRightInd w:val="0"/>
        <w:snapToGrid w:val="0"/>
        <w:spacing w:line="288" w:lineRule="auto"/>
        <w:jc w:val="center"/>
        <w:rPr>
          <w:rFonts w:hint="default" w:ascii="Times New Roman" w:hAnsi="Times New Roman" w:eastAsia="宋体" w:cs="Times New Roman"/>
          <w:color w:val="auto"/>
          <w:kern w:val="44"/>
          <w:sz w:val="44"/>
          <w:szCs w:val="44"/>
        </w:rPr>
      </w:pPr>
      <w:r>
        <w:rPr>
          <w:rFonts w:hint="default" w:ascii="Times New Roman" w:hAnsi="Times New Roman" w:eastAsia="宋体" w:cs="Times New Roman"/>
          <w:color w:val="auto"/>
          <w:kern w:val="44"/>
          <w:sz w:val="44"/>
          <w:szCs w:val="44"/>
        </w:rPr>
        <w:t>（污染影响类）</w:t>
      </w:r>
    </w:p>
    <w:p w14:paraId="0E73DE74">
      <w:pPr>
        <w:jc w:val="center"/>
        <w:rPr>
          <w:rFonts w:hint="default" w:ascii="Times New Roman" w:hAnsi="Times New Roman" w:eastAsia="宋体" w:cs="Times New Roman"/>
          <w:color w:val="auto"/>
          <w:sz w:val="52"/>
          <w:szCs w:val="52"/>
        </w:rPr>
      </w:pPr>
    </w:p>
    <w:p w14:paraId="62561A5F">
      <w:pPr>
        <w:ind w:firstLine="1040"/>
        <w:rPr>
          <w:rFonts w:hint="default" w:ascii="Times New Roman" w:hAnsi="Times New Roman" w:eastAsia="宋体" w:cs="Times New Roman"/>
          <w:color w:val="auto"/>
          <w:sz w:val="44"/>
          <w:szCs w:val="44"/>
        </w:rPr>
      </w:pPr>
    </w:p>
    <w:p w14:paraId="59D24999">
      <w:pPr>
        <w:ind w:firstLine="1040"/>
        <w:rPr>
          <w:rFonts w:hint="default" w:ascii="Times New Roman" w:hAnsi="Times New Roman" w:eastAsia="宋体" w:cs="Times New Roman"/>
          <w:color w:val="auto"/>
          <w:sz w:val="44"/>
          <w:szCs w:val="44"/>
        </w:rPr>
      </w:pPr>
    </w:p>
    <w:p w14:paraId="612896CE">
      <w:pPr>
        <w:ind w:firstLine="1040"/>
        <w:rPr>
          <w:rFonts w:hint="default" w:ascii="Times New Roman" w:hAnsi="Times New Roman" w:eastAsia="宋体" w:cs="Times New Roman"/>
          <w:color w:val="auto"/>
          <w:sz w:val="44"/>
          <w:szCs w:val="44"/>
        </w:rPr>
      </w:pPr>
    </w:p>
    <w:p w14:paraId="33625DD9">
      <w:pPr>
        <w:ind w:firstLine="1040"/>
        <w:rPr>
          <w:rFonts w:hint="default" w:ascii="Times New Roman" w:hAnsi="Times New Roman" w:eastAsia="宋体" w:cs="Times New Roman"/>
          <w:color w:val="auto"/>
          <w:sz w:val="44"/>
          <w:szCs w:val="44"/>
        </w:rPr>
      </w:pPr>
    </w:p>
    <w:p w14:paraId="2B72496C">
      <w:pPr>
        <w:adjustRightInd w:val="0"/>
        <w:snapToGrid w:val="0"/>
        <w:spacing w:line="360" w:lineRule="auto"/>
        <w:ind w:left="1440" w:hanging="1440" w:hangingChars="400"/>
        <w:rPr>
          <w:rFonts w:hint="default" w:ascii="Times New Roman" w:hAnsi="Times New Roman" w:eastAsia="宋体" w:cs="Times New Roman"/>
          <w:color w:val="auto"/>
          <w:sz w:val="36"/>
          <w:szCs w:val="36"/>
          <w:u w:val="single"/>
          <w:lang w:val="en-US" w:eastAsia="zh-CN"/>
        </w:rPr>
      </w:pPr>
      <w:r>
        <w:rPr>
          <w:rFonts w:hint="default" w:ascii="Times New Roman" w:hAnsi="Times New Roman" w:eastAsia="宋体" w:cs="Times New Roman"/>
          <w:color w:val="auto"/>
          <w:sz w:val="36"/>
          <w:szCs w:val="36"/>
        </w:rPr>
        <w:t>项目名称：</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val="en-US" w:eastAsia="zh-CN"/>
        </w:rPr>
        <w:t xml:space="preserve">  </w:t>
      </w:r>
      <w:r>
        <w:rPr>
          <w:rFonts w:hint="default" w:ascii="Times New Roman" w:hAnsi="Times New Roman" w:eastAsia="宋体" w:cs="Times New Roman"/>
          <w:color w:val="auto"/>
          <w:sz w:val="36"/>
          <w:szCs w:val="36"/>
          <w:u w:val="single"/>
        </w:rPr>
        <w:t xml:space="preserve"> TRP洗浆机设备生产线投资项目</w:t>
      </w:r>
      <w:r>
        <w:rPr>
          <w:rFonts w:hint="default" w:ascii="Times New Roman" w:hAnsi="Times New Roman" w:eastAsia="宋体" w:cs="Times New Roman"/>
          <w:color w:val="auto"/>
          <w:sz w:val="36"/>
          <w:szCs w:val="36"/>
          <w:u w:val="single"/>
          <w:lang w:val="en-US" w:eastAsia="zh-CN"/>
        </w:rPr>
        <w:t xml:space="preserve">    </w:t>
      </w:r>
    </w:p>
    <w:p w14:paraId="078789FE">
      <w:pPr>
        <w:adjustRightInd w:val="0"/>
        <w:snapToGrid w:val="0"/>
        <w:spacing w:line="360" w:lineRule="auto"/>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rPr>
        <w:t>建设单位（盖章）</w:t>
      </w:r>
      <w:r>
        <w:rPr>
          <w:rFonts w:hint="default" w:ascii="Times New Roman" w:hAnsi="Times New Roman" w:eastAsia="宋体" w:cs="Times New Roman"/>
          <w:color w:val="auto"/>
          <w:sz w:val="36"/>
          <w:szCs w:val="36"/>
          <w:u w:val="single"/>
        </w:rPr>
        <w:t>维美德造纸机械技术(西安)有限公司</w:t>
      </w:r>
    </w:p>
    <w:p w14:paraId="3E471DDD">
      <w:pPr>
        <w:adjustRightInd w:val="0"/>
        <w:snapToGrid w:val="0"/>
        <w:spacing w:line="360" w:lineRule="auto"/>
        <w:rPr>
          <w:rFonts w:hint="default" w:ascii="Times New Roman" w:hAnsi="Times New Roman" w:eastAsia="宋体" w:cs="Times New Roman"/>
          <w:color w:val="auto"/>
          <w:sz w:val="36"/>
          <w:szCs w:val="36"/>
          <w:u w:val="single"/>
          <w:lang w:val="en-US" w:eastAsia="zh-CN"/>
        </w:rPr>
      </w:pPr>
      <w:r>
        <w:rPr>
          <w:rFonts w:hint="default" w:ascii="Times New Roman" w:hAnsi="Times New Roman" w:eastAsia="宋体" w:cs="Times New Roman"/>
          <w:color w:val="auto"/>
          <w:sz w:val="36"/>
          <w:szCs w:val="36"/>
        </w:rPr>
        <w:t>编制日期：</w:t>
      </w:r>
      <w:r>
        <w:rPr>
          <w:rFonts w:hint="default" w:ascii="Times New Roman" w:hAnsi="Times New Roman" w:eastAsia="宋体" w:cs="Times New Roman"/>
          <w:color w:val="auto"/>
          <w:sz w:val="36"/>
          <w:szCs w:val="36"/>
          <w:u w:val="single"/>
          <w:lang w:val="en-US" w:eastAsia="zh-CN"/>
        </w:rPr>
        <w:t xml:space="preserve">           二零二四</w:t>
      </w:r>
      <w:r>
        <w:rPr>
          <w:rFonts w:hint="default" w:ascii="Times New Roman" w:hAnsi="Times New Roman" w:eastAsia="宋体" w:cs="Times New Roman"/>
          <w:color w:val="auto"/>
          <w:sz w:val="36"/>
          <w:szCs w:val="36"/>
          <w:u w:val="single"/>
        </w:rPr>
        <w:t>年</w:t>
      </w:r>
      <w:r>
        <w:rPr>
          <w:rFonts w:hint="eastAsia" w:cs="Times New Roman"/>
          <w:color w:val="auto"/>
          <w:sz w:val="36"/>
          <w:szCs w:val="36"/>
          <w:u w:val="single"/>
          <w:lang w:val="en-US" w:eastAsia="zh-CN"/>
        </w:rPr>
        <w:t>九</w:t>
      </w:r>
      <w:r>
        <w:rPr>
          <w:rFonts w:hint="default" w:ascii="Times New Roman" w:hAnsi="Times New Roman" w:eastAsia="宋体" w:cs="Times New Roman"/>
          <w:color w:val="auto"/>
          <w:sz w:val="36"/>
          <w:szCs w:val="36"/>
          <w:u w:val="single"/>
        </w:rPr>
        <w:t>月</w:t>
      </w:r>
      <w:r>
        <w:rPr>
          <w:rFonts w:hint="default" w:ascii="Times New Roman" w:hAnsi="Times New Roman" w:eastAsia="宋体" w:cs="Times New Roman"/>
          <w:color w:val="auto"/>
          <w:sz w:val="36"/>
          <w:szCs w:val="36"/>
          <w:u w:val="single"/>
          <w:lang w:val="en-US" w:eastAsia="zh-CN"/>
        </w:rPr>
        <w:t xml:space="preserve">             </w:t>
      </w:r>
    </w:p>
    <w:p w14:paraId="6D57F13B">
      <w:pPr>
        <w:adjustRightInd w:val="0"/>
        <w:snapToGrid w:val="0"/>
        <w:spacing w:line="288" w:lineRule="auto"/>
        <w:ind w:firstLine="1040"/>
        <w:rPr>
          <w:rFonts w:hint="default" w:ascii="Times New Roman" w:hAnsi="Times New Roman" w:eastAsia="宋体" w:cs="Times New Roman"/>
          <w:color w:val="auto"/>
          <w:sz w:val="36"/>
          <w:szCs w:val="36"/>
          <w:u w:val="single"/>
        </w:rPr>
      </w:pPr>
      <w:bookmarkStart w:id="0" w:name="_Hlk57884087"/>
    </w:p>
    <w:p w14:paraId="1FC60AEB">
      <w:pPr>
        <w:adjustRightInd w:val="0"/>
        <w:snapToGrid w:val="0"/>
        <w:spacing w:line="288" w:lineRule="auto"/>
        <w:ind w:firstLine="1040"/>
        <w:rPr>
          <w:rFonts w:hint="default" w:ascii="Times New Roman" w:hAnsi="Times New Roman" w:eastAsia="宋体" w:cs="Times New Roman"/>
          <w:color w:val="auto"/>
          <w:sz w:val="36"/>
          <w:szCs w:val="36"/>
        </w:rPr>
      </w:pPr>
    </w:p>
    <w:p w14:paraId="633AD9D5">
      <w:pPr>
        <w:pStyle w:val="10"/>
        <w:ind w:firstLine="480"/>
        <w:rPr>
          <w:rFonts w:hint="default" w:ascii="Times New Roman" w:hAnsi="Times New Roman" w:eastAsia="宋体" w:cs="Times New Roman"/>
          <w:color w:val="auto"/>
        </w:rPr>
      </w:pPr>
    </w:p>
    <w:p w14:paraId="580725C4">
      <w:pPr>
        <w:adjustRightInd w:val="0"/>
        <w:snapToGrid w:val="0"/>
        <w:spacing w:line="288" w:lineRule="auto"/>
        <w:rPr>
          <w:rFonts w:hint="default" w:ascii="Times New Roman" w:hAnsi="Times New Roman" w:eastAsia="宋体" w:cs="Times New Roman"/>
          <w:color w:val="auto"/>
          <w:sz w:val="36"/>
          <w:szCs w:val="36"/>
        </w:rPr>
      </w:pPr>
    </w:p>
    <w:bookmarkEnd w:id="0"/>
    <w:p w14:paraId="56E67754">
      <w:pPr>
        <w:adjustRightInd w:val="0"/>
        <w:snapToGrid w:val="0"/>
        <w:spacing w:line="288" w:lineRule="auto"/>
        <w:jc w:val="center"/>
        <w:rPr>
          <w:rFonts w:hint="default" w:ascii="Times New Roman" w:hAnsi="Times New Roman" w:eastAsia="宋体" w:cs="Times New Roman"/>
          <w:color w:val="auto"/>
          <w:sz w:val="36"/>
          <w:szCs w:val="36"/>
        </w:rPr>
      </w:pPr>
      <w:r>
        <w:rPr>
          <w:rFonts w:hint="default" w:ascii="Times New Roman" w:hAnsi="Times New Roman" w:eastAsia="宋体" w:cs="Times New Roman"/>
          <w:color w:val="auto"/>
          <w:sz w:val="36"/>
          <w:szCs w:val="36"/>
        </w:rPr>
        <w:t>中华人民共和国生态环境部制</w:t>
      </w:r>
    </w:p>
    <w:p w14:paraId="5BE64A90">
      <w:pPr>
        <w:pStyle w:val="16"/>
        <w:jc w:val="center"/>
        <w:outlineLvl w:val="0"/>
        <w:rPr>
          <w:rFonts w:hint="default" w:ascii="Times New Roman" w:hAnsi="Times New Roman" w:eastAsia="宋体" w:cs="Times New Roman"/>
          <w:snapToGrid w:val="0"/>
          <w:color w:val="auto"/>
          <w:sz w:val="30"/>
          <w:szCs w:val="30"/>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0C9ADEA3">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outlineLvl w:val="0"/>
        <w:rPr>
          <w:rFonts w:hint="default" w:ascii="Times New Roman" w:hAnsi="Times New Roman" w:eastAsia="宋体" w:cs="Times New Roman"/>
          <w:snapToGrid w:val="0"/>
          <w:color w:val="auto"/>
          <w:kern w:val="0"/>
          <w:sz w:val="30"/>
          <w:szCs w:val="30"/>
        </w:rPr>
      </w:pPr>
      <w:r>
        <w:rPr>
          <w:rFonts w:hint="default" w:ascii="Times New Roman" w:hAnsi="Times New Roman" w:eastAsia="宋体" w:cs="Times New Roman"/>
          <w:snapToGrid w:val="0"/>
          <w:color w:val="auto"/>
          <w:kern w:val="0"/>
          <w:sz w:val="30"/>
          <w:szCs w:val="30"/>
        </w:rPr>
        <w:t>一、建设项目基本情况</w:t>
      </w:r>
    </w:p>
    <w:tbl>
      <w:tblPr>
        <w:tblStyle w:val="19"/>
        <w:tblW w:w="893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07"/>
        <w:gridCol w:w="1751"/>
        <w:gridCol w:w="2081"/>
        <w:gridCol w:w="3193"/>
      </w:tblGrid>
      <w:tr w14:paraId="20D9DB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54" w:hRule="atLeast"/>
        </w:trPr>
        <w:tc>
          <w:tcPr>
            <w:tcW w:w="1907" w:type="dxa"/>
            <w:tcMar>
              <w:top w:w="16" w:type="dxa"/>
              <w:left w:w="16" w:type="dxa"/>
              <w:right w:w="16" w:type="dxa"/>
            </w:tcMar>
            <w:vAlign w:val="center"/>
          </w:tcPr>
          <w:p w14:paraId="7616C291">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建设项目名称</w:t>
            </w:r>
          </w:p>
        </w:tc>
        <w:tc>
          <w:tcPr>
            <w:tcW w:w="7025" w:type="dxa"/>
            <w:gridSpan w:val="3"/>
            <w:vAlign w:val="center"/>
          </w:tcPr>
          <w:p w14:paraId="6A0AEEB5">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TRP洗浆机设备生产线投资项目</w:t>
            </w:r>
          </w:p>
        </w:tc>
      </w:tr>
      <w:tr w14:paraId="2B49D5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1907" w:type="dxa"/>
            <w:tcMar>
              <w:top w:w="16" w:type="dxa"/>
              <w:left w:w="16" w:type="dxa"/>
              <w:right w:w="16" w:type="dxa"/>
            </w:tcMar>
            <w:vAlign w:val="center"/>
          </w:tcPr>
          <w:p w14:paraId="5F59F1F1">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项目代码</w:t>
            </w:r>
          </w:p>
        </w:tc>
        <w:tc>
          <w:tcPr>
            <w:tcW w:w="7025" w:type="dxa"/>
            <w:gridSpan w:val="3"/>
            <w:vAlign w:val="center"/>
          </w:tcPr>
          <w:p w14:paraId="39F6458E">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2404-611203-04-02-438593</w:t>
            </w:r>
          </w:p>
        </w:tc>
      </w:tr>
      <w:tr w14:paraId="67B3C6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6" w:hRule="atLeast"/>
        </w:trPr>
        <w:tc>
          <w:tcPr>
            <w:tcW w:w="1907" w:type="dxa"/>
            <w:tcMar>
              <w:top w:w="16" w:type="dxa"/>
              <w:left w:w="16" w:type="dxa"/>
              <w:right w:w="16" w:type="dxa"/>
            </w:tcMar>
            <w:vAlign w:val="center"/>
          </w:tcPr>
          <w:p w14:paraId="084BDD55">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建设单位联系人</w:t>
            </w:r>
          </w:p>
        </w:tc>
        <w:tc>
          <w:tcPr>
            <w:tcW w:w="1751" w:type="dxa"/>
            <w:vAlign w:val="center"/>
          </w:tcPr>
          <w:p w14:paraId="67C8870F">
            <w:pPr>
              <w:spacing w:line="360" w:lineRule="exact"/>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黄仅瑜</w:t>
            </w:r>
          </w:p>
        </w:tc>
        <w:tc>
          <w:tcPr>
            <w:tcW w:w="2081" w:type="dxa"/>
            <w:vAlign w:val="center"/>
          </w:tcPr>
          <w:p w14:paraId="2AF6F25A">
            <w:pPr>
              <w:spacing w:line="360" w:lineRule="exact"/>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联系电话</w:t>
            </w:r>
          </w:p>
        </w:tc>
        <w:tc>
          <w:tcPr>
            <w:tcW w:w="3193" w:type="dxa"/>
            <w:vAlign w:val="center"/>
          </w:tcPr>
          <w:p w14:paraId="0BF05D3E">
            <w:pPr>
              <w:spacing w:line="360" w:lineRule="exact"/>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13572445951</w:t>
            </w:r>
          </w:p>
        </w:tc>
      </w:tr>
      <w:tr w14:paraId="36D19E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2" w:hRule="atLeast"/>
        </w:trPr>
        <w:tc>
          <w:tcPr>
            <w:tcW w:w="1907" w:type="dxa"/>
            <w:tcMar>
              <w:top w:w="16" w:type="dxa"/>
              <w:left w:w="16" w:type="dxa"/>
              <w:right w:w="16" w:type="dxa"/>
            </w:tcMar>
            <w:vAlign w:val="center"/>
          </w:tcPr>
          <w:p w14:paraId="43DA20C5">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建设地点</w:t>
            </w:r>
          </w:p>
        </w:tc>
        <w:tc>
          <w:tcPr>
            <w:tcW w:w="7025" w:type="dxa"/>
            <w:gridSpan w:val="3"/>
            <w:vAlign w:val="center"/>
          </w:tcPr>
          <w:p w14:paraId="695DBD05">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西咸新区沣东新城阿房四路4号维美德造纸机械技术(西安)有限公司厂内</w:t>
            </w:r>
          </w:p>
        </w:tc>
      </w:tr>
      <w:tr w14:paraId="07C7D6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7" w:hRule="atLeast"/>
        </w:trPr>
        <w:tc>
          <w:tcPr>
            <w:tcW w:w="1907" w:type="dxa"/>
            <w:tcMar>
              <w:top w:w="16" w:type="dxa"/>
              <w:left w:w="16" w:type="dxa"/>
              <w:right w:w="16" w:type="dxa"/>
            </w:tcMar>
            <w:vAlign w:val="center"/>
          </w:tcPr>
          <w:p w14:paraId="66E8975F">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地理坐标</w:t>
            </w:r>
          </w:p>
        </w:tc>
        <w:tc>
          <w:tcPr>
            <w:tcW w:w="7025" w:type="dxa"/>
            <w:gridSpan w:val="3"/>
            <w:vAlign w:val="center"/>
          </w:tcPr>
          <w:p w14:paraId="41E7A0A2">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（E</w:t>
            </w:r>
            <w:r>
              <w:rPr>
                <w:rFonts w:hint="default" w:ascii="Times New Roman" w:hAnsi="Times New Roman" w:eastAsia="宋体" w:cs="Times New Roman"/>
                <w:color w:val="auto"/>
                <w:sz w:val="24"/>
                <w:u w:val="single"/>
                <w:lang w:val="en-US" w:eastAsia="zh-CN"/>
              </w:rPr>
              <w:t>108</w:t>
            </w:r>
            <w:r>
              <w:rPr>
                <w:rFonts w:hint="default" w:ascii="Times New Roman" w:hAnsi="Times New Roman" w:eastAsia="宋体" w:cs="Times New Roman"/>
                <w:color w:val="auto"/>
                <w:sz w:val="24"/>
              </w:rPr>
              <w:t>度</w:t>
            </w:r>
            <w:r>
              <w:rPr>
                <w:rFonts w:hint="default" w:ascii="Times New Roman" w:hAnsi="Times New Roman" w:eastAsia="宋体" w:cs="Times New Roman"/>
                <w:color w:val="auto"/>
                <w:sz w:val="24"/>
                <w:u w:val="single"/>
                <w:lang w:val="en-US" w:eastAsia="zh-CN"/>
              </w:rPr>
              <w:t>51</w:t>
            </w:r>
            <w:r>
              <w:rPr>
                <w:rFonts w:hint="default" w:ascii="Times New Roman" w:hAnsi="Times New Roman" w:eastAsia="宋体" w:cs="Times New Roman"/>
                <w:color w:val="auto"/>
                <w:sz w:val="24"/>
              </w:rPr>
              <w:t>分</w:t>
            </w:r>
            <w:r>
              <w:rPr>
                <w:rFonts w:hint="default" w:ascii="Times New Roman" w:hAnsi="Times New Roman" w:eastAsia="宋体" w:cs="Times New Roman"/>
                <w:color w:val="auto"/>
                <w:sz w:val="24"/>
                <w:u w:val="single"/>
                <w:lang w:val="en-US" w:eastAsia="zh-CN"/>
              </w:rPr>
              <w:t>0.030</w:t>
            </w:r>
            <w:r>
              <w:rPr>
                <w:rFonts w:hint="default" w:ascii="Times New Roman" w:hAnsi="Times New Roman" w:eastAsia="宋体" w:cs="Times New Roman"/>
                <w:color w:val="auto"/>
                <w:sz w:val="24"/>
              </w:rPr>
              <w:t>秒，N</w:t>
            </w:r>
            <w:r>
              <w:rPr>
                <w:rFonts w:hint="default" w:ascii="Times New Roman" w:hAnsi="Times New Roman" w:eastAsia="宋体" w:cs="Times New Roman"/>
                <w:color w:val="auto"/>
                <w:sz w:val="24"/>
                <w:u w:val="single"/>
              </w:rPr>
              <w:t>34</w:t>
            </w:r>
            <w:r>
              <w:rPr>
                <w:rFonts w:hint="default" w:ascii="Times New Roman" w:hAnsi="Times New Roman" w:eastAsia="宋体" w:cs="Times New Roman"/>
                <w:color w:val="auto"/>
                <w:sz w:val="24"/>
              </w:rPr>
              <w:t>度</w:t>
            </w:r>
            <w:r>
              <w:rPr>
                <w:rFonts w:hint="default" w:ascii="Times New Roman" w:hAnsi="Times New Roman" w:eastAsia="宋体" w:cs="Times New Roman"/>
                <w:color w:val="auto"/>
                <w:sz w:val="24"/>
                <w:u w:val="single"/>
                <w:lang w:val="en-US" w:eastAsia="zh-CN"/>
              </w:rPr>
              <w:t>16</w:t>
            </w:r>
            <w:r>
              <w:rPr>
                <w:rFonts w:hint="default" w:ascii="Times New Roman" w:hAnsi="Times New Roman" w:eastAsia="宋体" w:cs="Times New Roman"/>
                <w:color w:val="auto"/>
                <w:sz w:val="24"/>
              </w:rPr>
              <w:t>分</w:t>
            </w:r>
            <w:r>
              <w:rPr>
                <w:rFonts w:hint="default" w:ascii="Times New Roman" w:hAnsi="Times New Roman" w:eastAsia="宋体" w:cs="Times New Roman"/>
                <w:color w:val="auto"/>
                <w:sz w:val="24"/>
                <w:u w:val="single"/>
                <w:lang w:val="en-US" w:eastAsia="zh-CN"/>
              </w:rPr>
              <w:t>51.720</w:t>
            </w:r>
            <w:r>
              <w:rPr>
                <w:rFonts w:hint="default" w:ascii="Times New Roman" w:hAnsi="Times New Roman" w:eastAsia="宋体" w:cs="Times New Roman"/>
                <w:color w:val="auto"/>
                <w:sz w:val="24"/>
              </w:rPr>
              <w:t>秒）</w:t>
            </w:r>
          </w:p>
        </w:tc>
      </w:tr>
      <w:tr w14:paraId="53080A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907" w:type="dxa"/>
            <w:tcMar>
              <w:top w:w="16" w:type="dxa"/>
              <w:left w:w="16" w:type="dxa"/>
              <w:right w:w="16" w:type="dxa"/>
            </w:tcMar>
            <w:vAlign w:val="center"/>
          </w:tcPr>
          <w:p w14:paraId="736295C2">
            <w:pPr>
              <w:widowControl/>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国民经济</w:t>
            </w:r>
          </w:p>
          <w:p w14:paraId="3F29F9DB">
            <w:pPr>
              <w:widowControl/>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行业类别</w:t>
            </w:r>
          </w:p>
        </w:tc>
        <w:tc>
          <w:tcPr>
            <w:tcW w:w="1751" w:type="dxa"/>
            <w:vAlign w:val="center"/>
          </w:tcPr>
          <w:p w14:paraId="671E4EAE">
            <w:pPr>
              <w:adjustRightInd w:val="0"/>
              <w:snapToGrid w:val="0"/>
              <w:jc w:val="center"/>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color w:val="auto"/>
                <w:sz w:val="24"/>
              </w:rPr>
              <w:t>C</w:t>
            </w:r>
            <w:r>
              <w:rPr>
                <w:rFonts w:hint="default" w:ascii="Times New Roman" w:hAnsi="Times New Roman" w:eastAsia="宋体" w:cs="Times New Roman"/>
                <w:color w:val="auto"/>
                <w:sz w:val="24"/>
                <w:lang w:val="en-US" w:eastAsia="zh-CN"/>
              </w:rPr>
              <w:t>3541 制浆和造纸专用设备制造</w:t>
            </w:r>
          </w:p>
        </w:tc>
        <w:tc>
          <w:tcPr>
            <w:tcW w:w="2081" w:type="dxa"/>
            <w:vAlign w:val="center"/>
          </w:tcPr>
          <w:p w14:paraId="5ED98880">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w:t>
            </w:r>
          </w:p>
          <w:p w14:paraId="59003E4F">
            <w:pPr>
              <w:adjustRightInd w:val="0"/>
              <w:snapToGrid w:val="0"/>
              <w:jc w:val="center"/>
              <w:rPr>
                <w:rFonts w:hint="default" w:ascii="Times New Roman" w:hAnsi="Times New Roman" w:eastAsia="宋体" w:cs="Times New Roman"/>
                <w:bCs/>
                <w:color w:val="auto"/>
                <w:sz w:val="24"/>
                <w:lang w:val="en-GB"/>
              </w:rPr>
            </w:pPr>
            <w:r>
              <w:rPr>
                <w:rFonts w:hint="default" w:ascii="Times New Roman" w:hAnsi="Times New Roman" w:eastAsia="宋体" w:cs="Times New Roman"/>
                <w:color w:val="auto"/>
                <w:sz w:val="24"/>
              </w:rPr>
              <w:t>行业类别</w:t>
            </w:r>
          </w:p>
        </w:tc>
        <w:tc>
          <w:tcPr>
            <w:tcW w:w="3193" w:type="dxa"/>
            <w:vAlign w:val="center"/>
          </w:tcPr>
          <w:p w14:paraId="6E7D684E">
            <w:pPr>
              <w:pStyle w:val="10"/>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三十二、专用设备制造业 35</w:t>
            </w:r>
          </w:p>
          <w:p w14:paraId="01165F99">
            <w:pPr>
              <w:pStyle w:val="10"/>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7印刷、制药、日化及日用品生产专用设备制造 354</w:t>
            </w:r>
          </w:p>
          <w:p w14:paraId="39FAD17F">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kern w:val="2"/>
                <w:sz w:val="24"/>
                <w:szCs w:val="24"/>
                <w:lang w:val="en-US" w:eastAsia="zh-CN" w:bidi="ar-SA"/>
              </w:rPr>
              <w:t>其他（仅分割、焊接、组装的除外；年用非溶剂型低VOCs含量涂料10吨以下的除外）</w:t>
            </w:r>
          </w:p>
        </w:tc>
      </w:tr>
      <w:tr w14:paraId="75118F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78" w:hRule="atLeast"/>
        </w:trPr>
        <w:tc>
          <w:tcPr>
            <w:tcW w:w="1907" w:type="dxa"/>
            <w:tcMar>
              <w:top w:w="16" w:type="dxa"/>
              <w:left w:w="16" w:type="dxa"/>
              <w:right w:w="16" w:type="dxa"/>
            </w:tcMar>
            <w:vAlign w:val="center"/>
          </w:tcPr>
          <w:p w14:paraId="4608B559">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建设性质</w:t>
            </w:r>
          </w:p>
        </w:tc>
        <w:tc>
          <w:tcPr>
            <w:tcW w:w="1751" w:type="dxa"/>
            <w:vAlign w:val="center"/>
          </w:tcPr>
          <w:p w14:paraId="08BCE81B">
            <w:pPr>
              <w:jc w:val="left"/>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新建</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迁建</w:t>
            </w:r>
            <w:r>
              <w:rPr>
                <w:rFonts w:hint="default" w:ascii="Times New Roman" w:hAnsi="Times New Roman" w:eastAsia="宋体" w:cs="Times New Roman"/>
                <w:color w:val="auto"/>
                <w:sz w:val="24"/>
                <w:lang w:eastAsia="zh-CN"/>
              </w:rPr>
              <w:t>）</w:t>
            </w:r>
          </w:p>
          <w:p w14:paraId="05F5682E">
            <w:pPr>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改建</w:t>
            </w:r>
          </w:p>
          <w:p w14:paraId="09FB46F0">
            <w:pPr>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扩建</w:t>
            </w:r>
          </w:p>
          <w:p w14:paraId="609FAD11">
            <w:pPr>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技术改造</w:t>
            </w:r>
          </w:p>
        </w:tc>
        <w:tc>
          <w:tcPr>
            <w:tcW w:w="2081" w:type="dxa"/>
            <w:vAlign w:val="center"/>
          </w:tcPr>
          <w:p w14:paraId="4111F0F9">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w:t>
            </w:r>
          </w:p>
          <w:p w14:paraId="6DFC3E7C">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申报情形</w:t>
            </w:r>
          </w:p>
        </w:tc>
        <w:tc>
          <w:tcPr>
            <w:tcW w:w="3193" w:type="dxa"/>
            <w:vAlign w:val="center"/>
          </w:tcPr>
          <w:p w14:paraId="5DB037CE">
            <w:pPr>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☑首次申报项目</w:t>
            </w:r>
          </w:p>
          <w:p w14:paraId="20A5DD08">
            <w:pPr>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□不予批准后再次申报项目</w:t>
            </w:r>
          </w:p>
          <w:p w14:paraId="1A06DF2B">
            <w:pPr>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□超五年重新审核项目</w:t>
            </w:r>
          </w:p>
          <w:p w14:paraId="106C23E6">
            <w:pPr>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□重大变动重新报批项目</w:t>
            </w:r>
          </w:p>
        </w:tc>
      </w:tr>
      <w:tr w14:paraId="4411E5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48" w:hRule="atLeast"/>
        </w:trPr>
        <w:tc>
          <w:tcPr>
            <w:tcW w:w="1907" w:type="dxa"/>
            <w:tcMar>
              <w:top w:w="16" w:type="dxa"/>
              <w:left w:w="16" w:type="dxa"/>
              <w:right w:w="16" w:type="dxa"/>
            </w:tcMar>
            <w:vAlign w:val="center"/>
          </w:tcPr>
          <w:p w14:paraId="574A5085">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项目审批（核准/备案）部门（选填）</w:t>
            </w:r>
          </w:p>
        </w:tc>
        <w:tc>
          <w:tcPr>
            <w:tcW w:w="1751" w:type="dxa"/>
            <w:vAlign w:val="center"/>
          </w:tcPr>
          <w:p w14:paraId="118D37EE">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陕西省西咸新区沣东新城管理委员会</w:t>
            </w:r>
          </w:p>
        </w:tc>
        <w:tc>
          <w:tcPr>
            <w:tcW w:w="2081" w:type="dxa"/>
            <w:vAlign w:val="center"/>
          </w:tcPr>
          <w:p w14:paraId="3EE7846C">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项目审批（核准/</w:t>
            </w:r>
          </w:p>
          <w:p w14:paraId="736D2979">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备案）文号（选填）</w:t>
            </w:r>
          </w:p>
        </w:tc>
        <w:tc>
          <w:tcPr>
            <w:tcW w:w="3193" w:type="dxa"/>
            <w:vAlign w:val="center"/>
          </w:tcPr>
          <w:p w14:paraId="24B772F3">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w:t>
            </w:r>
          </w:p>
        </w:tc>
      </w:tr>
      <w:tr w14:paraId="5E367C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907" w:type="dxa"/>
            <w:tcMar>
              <w:top w:w="16" w:type="dxa"/>
              <w:left w:w="16" w:type="dxa"/>
              <w:right w:w="16" w:type="dxa"/>
            </w:tcMar>
            <w:vAlign w:val="center"/>
          </w:tcPr>
          <w:p w14:paraId="689701BE">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总投资（万元）</w:t>
            </w:r>
          </w:p>
        </w:tc>
        <w:tc>
          <w:tcPr>
            <w:tcW w:w="1751" w:type="dxa"/>
            <w:vAlign w:val="center"/>
          </w:tcPr>
          <w:p w14:paraId="1139B4EB">
            <w:pPr>
              <w:adjustRightInd w:val="0"/>
              <w:snapToGrid w:val="0"/>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2500</w:t>
            </w:r>
          </w:p>
        </w:tc>
        <w:tc>
          <w:tcPr>
            <w:tcW w:w="2081" w:type="dxa"/>
            <w:tcMar>
              <w:top w:w="16" w:type="dxa"/>
              <w:left w:w="16" w:type="dxa"/>
              <w:right w:w="16" w:type="dxa"/>
            </w:tcMar>
            <w:vAlign w:val="center"/>
          </w:tcPr>
          <w:p w14:paraId="0AD31DCF">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环保投资（万元）</w:t>
            </w:r>
          </w:p>
        </w:tc>
        <w:tc>
          <w:tcPr>
            <w:tcW w:w="3193" w:type="dxa"/>
            <w:vAlign w:val="center"/>
          </w:tcPr>
          <w:p w14:paraId="243DE357">
            <w:pPr>
              <w:adjustRightInd w:val="0"/>
              <w:snapToGrid w:val="0"/>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253</w:t>
            </w:r>
          </w:p>
        </w:tc>
      </w:tr>
      <w:tr w14:paraId="52D04B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907" w:type="dxa"/>
            <w:tcMar>
              <w:top w:w="16" w:type="dxa"/>
              <w:left w:w="16" w:type="dxa"/>
              <w:right w:w="16" w:type="dxa"/>
            </w:tcMar>
            <w:vAlign w:val="center"/>
          </w:tcPr>
          <w:p w14:paraId="571FB719">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环保投资占比（%）</w:t>
            </w:r>
          </w:p>
        </w:tc>
        <w:tc>
          <w:tcPr>
            <w:tcW w:w="1751" w:type="dxa"/>
            <w:vAlign w:val="center"/>
          </w:tcPr>
          <w:p w14:paraId="628A5930">
            <w:pPr>
              <w:adjustRightInd w:val="0"/>
              <w:snapToGrid w:val="0"/>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10.12%</w:t>
            </w:r>
          </w:p>
        </w:tc>
        <w:tc>
          <w:tcPr>
            <w:tcW w:w="2081" w:type="dxa"/>
            <w:tcMar>
              <w:top w:w="16" w:type="dxa"/>
              <w:left w:w="16" w:type="dxa"/>
              <w:right w:w="16" w:type="dxa"/>
            </w:tcMar>
            <w:vAlign w:val="center"/>
          </w:tcPr>
          <w:p w14:paraId="59A555DF">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施工工期</w:t>
            </w:r>
          </w:p>
        </w:tc>
        <w:tc>
          <w:tcPr>
            <w:tcW w:w="3193" w:type="dxa"/>
            <w:vAlign w:val="center"/>
          </w:tcPr>
          <w:p w14:paraId="25D4746E">
            <w:pPr>
              <w:adjustRightInd w:val="0"/>
              <w:snapToGrid w:val="0"/>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12个月</w:t>
            </w:r>
          </w:p>
        </w:tc>
      </w:tr>
      <w:tr w14:paraId="67BB7E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907" w:type="dxa"/>
            <w:tcMar>
              <w:top w:w="16" w:type="dxa"/>
              <w:left w:w="16" w:type="dxa"/>
              <w:right w:w="16" w:type="dxa"/>
            </w:tcMar>
            <w:vAlign w:val="center"/>
          </w:tcPr>
          <w:p w14:paraId="3FBA3995">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是否开工建设</w:t>
            </w:r>
          </w:p>
        </w:tc>
        <w:tc>
          <w:tcPr>
            <w:tcW w:w="1751" w:type="dxa"/>
            <w:vAlign w:val="center"/>
          </w:tcPr>
          <w:p w14:paraId="0FC5E898">
            <w:pPr>
              <w:adjustRightInd w:val="0"/>
              <w:snapToGrid w:val="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☑否</w:t>
            </w:r>
          </w:p>
          <w:p w14:paraId="094796D6">
            <w:pPr>
              <w:adjustRightInd w:val="0"/>
              <w:snapToGrid w:val="0"/>
              <w:rPr>
                <w:rFonts w:hint="default" w:ascii="Times New Roman" w:hAnsi="Times New Roman" w:eastAsia="宋体" w:cs="Times New Roman"/>
                <w:color w:val="auto"/>
                <w:sz w:val="24"/>
                <w:u w:val="single"/>
              </w:rPr>
            </w:pPr>
            <w:r>
              <w:rPr>
                <w:rFonts w:hint="default" w:ascii="Times New Roman" w:hAnsi="Times New Roman" w:eastAsia="宋体" w:cs="Times New Roman"/>
                <w:color w:val="auto"/>
                <w:sz w:val="24"/>
              </w:rPr>
              <w:t>□是：</w:t>
            </w:r>
            <w:r>
              <w:rPr>
                <w:rFonts w:hint="default" w:ascii="Times New Roman" w:hAnsi="Times New Roman" w:eastAsia="宋体" w:cs="Times New Roman"/>
                <w:color w:val="auto"/>
                <w:sz w:val="24"/>
                <w:u w:val="single"/>
              </w:rPr>
              <w:t xml:space="preserve">          </w:t>
            </w:r>
          </w:p>
        </w:tc>
        <w:tc>
          <w:tcPr>
            <w:tcW w:w="2081" w:type="dxa"/>
            <w:tcMar>
              <w:top w:w="16" w:type="dxa"/>
              <w:left w:w="16" w:type="dxa"/>
              <w:right w:w="16" w:type="dxa"/>
            </w:tcMar>
            <w:vAlign w:val="center"/>
          </w:tcPr>
          <w:p w14:paraId="37C77AD9">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6"/>
                <w:sz w:val="24"/>
              </w:rPr>
              <w:t>用地面积（m</w:t>
            </w:r>
            <w:r>
              <w:rPr>
                <w:rFonts w:hint="default" w:ascii="Times New Roman" w:hAnsi="Times New Roman" w:eastAsia="宋体" w:cs="Times New Roman"/>
                <w:color w:val="auto"/>
                <w:spacing w:val="-6"/>
                <w:sz w:val="24"/>
                <w:vertAlign w:val="superscript"/>
              </w:rPr>
              <w:t>2</w:t>
            </w:r>
            <w:r>
              <w:rPr>
                <w:rFonts w:hint="default" w:ascii="Times New Roman" w:hAnsi="Times New Roman" w:eastAsia="宋体" w:cs="Times New Roman"/>
                <w:color w:val="auto"/>
                <w:spacing w:val="-6"/>
                <w:sz w:val="24"/>
              </w:rPr>
              <w:t>）</w:t>
            </w:r>
          </w:p>
        </w:tc>
        <w:tc>
          <w:tcPr>
            <w:tcW w:w="3193" w:type="dxa"/>
            <w:vAlign w:val="center"/>
          </w:tcPr>
          <w:p w14:paraId="15731EEA">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128587.33</w:t>
            </w:r>
          </w:p>
        </w:tc>
      </w:tr>
      <w:tr w14:paraId="6BEFE1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07" w:type="dxa"/>
            <w:vAlign w:val="center"/>
          </w:tcPr>
          <w:p w14:paraId="7CD7E1FB">
            <w:pPr>
              <w:autoSpaceDE w:val="0"/>
              <w:autoSpaceDN w:val="0"/>
              <w:adjustRightInd w:val="0"/>
              <w:snapToGrid w:val="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专项评价设置情况</w:t>
            </w:r>
          </w:p>
        </w:tc>
        <w:tc>
          <w:tcPr>
            <w:tcW w:w="7025" w:type="dxa"/>
            <w:gridSpan w:val="3"/>
            <w:vAlign w:val="center"/>
          </w:tcPr>
          <w:p w14:paraId="359195E4">
            <w:pPr>
              <w:autoSpaceDE w:val="0"/>
              <w:autoSpaceDN w:val="0"/>
              <w:adjustRightInd w:val="0"/>
              <w:snapToGrid w:val="0"/>
              <w:jc w:val="center"/>
              <w:rPr>
                <w:rFonts w:hint="default" w:ascii="Times New Roman" w:hAnsi="Times New Roman" w:eastAsia="宋体" w:cs="Times New Roman"/>
                <w:color w:val="auto"/>
                <w:sz w:val="24"/>
              </w:rPr>
            </w:pPr>
          </w:p>
          <w:p w14:paraId="3AA632D5">
            <w:pPr>
              <w:autoSpaceDE w:val="0"/>
              <w:autoSpaceDN w:val="0"/>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无</w:t>
            </w:r>
          </w:p>
          <w:p w14:paraId="04421267">
            <w:pPr>
              <w:autoSpaceDE w:val="0"/>
              <w:autoSpaceDN w:val="0"/>
              <w:adjustRightInd w:val="0"/>
              <w:snapToGrid w:val="0"/>
              <w:jc w:val="center"/>
              <w:rPr>
                <w:rFonts w:hint="default" w:ascii="Times New Roman" w:hAnsi="Times New Roman" w:eastAsia="宋体" w:cs="Times New Roman"/>
                <w:color w:val="auto"/>
                <w:kern w:val="0"/>
                <w:sz w:val="24"/>
                <w:lang w:eastAsia="zh-CN"/>
              </w:rPr>
            </w:pPr>
          </w:p>
        </w:tc>
      </w:tr>
      <w:tr w14:paraId="3B1B09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907" w:type="dxa"/>
            <w:vAlign w:val="center"/>
          </w:tcPr>
          <w:p w14:paraId="7C374CE2">
            <w:pPr>
              <w:autoSpaceDE w:val="0"/>
              <w:autoSpaceDN w:val="0"/>
              <w:adjustRightInd w:val="0"/>
              <w:snapToGrid w:val="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sz w:val="24"/>
              </w:rPr>
              <w:t>规划情况</w:t>
            </w:r>
          </w:p>
        </w:tc>
        <w:tc>
          <w:tcPr>
            <w:tcW w:w="7025" w:type="dxa"/>
            <w:gridSpan w:val="3"/>
            <w:vAlign w:val="center"/>
          </w:tcPr>
          <w:p w14:paraId="11937D6E">
            <w:pPr>
              <w:autoSpaceDE w:val="0"/>
              <w:autoSpaceDN w:val="0"/>
              <w:adjustRightInd w:val="0"/>
              <w:snapToGrid w:val="0"/>
              <w:jc w:val="center"/>
              <w:rPr>
                <w:rFonts w:hint="default" w:ascii="Times New Roman" w:hAnsi="Times New Roman" w:eastAsia="宋体" w:cs="Times New Roman"/>
                <w:color w:val="auto"/>
                <w:sz w:val="24"/>
              </w:rPr>
            </w:pPr>
          </w:p>
          <w:p w14:paraId="085F4EEE">
            <w:pPr>
              <w:autoSpaceDE w:val="0"/>
              <w:autoSpaceDN w:val="0"/>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《西咸新区-沣东新城分区规划（2010-2020）》</w:t>
            </w:r>
          </w:p>
          <w:p w14:paraId="2EB29739">
            <w:pPr>
              <w:autoSpaceDE w:val="0"/>
              <w:autoSpaceDN w:val="0"/>
              <w:adjustRightInd w:val="0"/>
              <w:snapToGrid w:val="0"/>
              <w:jc w:val="center"/>
              <w:rPr>
                <w:rFonts w:hint="default" w:ascii="Times New Roman" w:hAnsi="Times New Roman" w:eastAsia="宋体" w:cs="Times New Roman"/>
                <w:color w:val="auto"/>
                <w:kern w:val="0"/>
                <w:sz w:val="24"/>
                <w:lang w:eastAsia="zh-CN"/>
              </w:rPr>
            </w:pPr>
          </w:p>
        </w:tc>
      </w:tr>
      <w:tr w14:paraId="7C622D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907" w:type="dxa"/>
            <w:vAlign w:val="center"/>
          </w:tcPr>
          <w:p w14:paraId="27DBBECE">
            <w:pPr>
              <w:adjustRightInd w:val="0"/>
              <w:snapToGrid w:val="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sz w:val="24"/>
              </w:rPr>
              <w:t>规划环境影响评价情况</w:t>
            </w:r>
          </w:p>
        </w:tc>
        <w:tc>
          <w:tcPr>
            <w:tcW w:w="7025" w:type="dxa"/>
            <w:gridSpan w:val="3"/>
            <w:vAlign w:val="center"/>
          </w:tcPr>
          <w:p w14:paraId="571FB262">
            <w:pPr>
              <w:autoSpaceDE w:val="0"/>
              <w:autoSpaceDN w:val="0"/>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《西咸新区-沣东新城分区规划(2010-2020)环境影响报告书》</w:t>
            </w:r>
          </w:p>
          <w:p w14:paraId="1A0B0660">
            <w:pPr>
              <w:autoSpaceDE w:val="0"/>
              <w:autoSpaceDN w:val="0"/>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规划审查机关：西安市环境保护局</w:t>
            </w:r>
          </w:p>
          <w:p w14:paraId="1FDD2A98">
            <w:pPr>
              <w:autoSpaceDE w:val="0"/>
              <w:autoSpaceDN w:val="0"/>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lang w:val="en-US" w:eastAsia="zh-CN"/>
              </w:rPr>
              <w:t>审查意见：关于《西咸新区-沣东新城分区规划(2010-2020)环境影响报告书》的审查意见（市环函[2014]20号）</w:t>
            </w:r>
          </w:p>
        </w:tc>
      </w:tr>
      <w:tr w14:paraId="6CBB0A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907" w:type="dxa"/>
            <w:vAlign w:val="center"/>
          </w:tcPr>
          <w:p w14:paraId="5BE72D19">
            <w:pPr>
              <w:autoSpaceDE w:val="0"/>
              <w:autoSpaceDN w:val="0"/>
              <w:adjustRightInd w:val="0"/>
              <w:snapToGrid w:val="0"/>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规划及规划环境影响评价符合性分析</w:t>
            </w:r>
          </w:p>
        </w:tc>
        <w:tc>
          <w:tcPr>
            <w:tcW w:w="7025" w:type="dxa"/>
            <w:gridSpan w:val="3"/>
            <w:vAlign w:val="center"/>
          </w:tcPr>
          <w:p w14:paraId="77E6786C">
            <w:pPr>
              <w:autoSpaceDE w:val="0"/>
              <w:autoSpaceDN w:val="0"/>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表1-1 本项目与沣东新城规划环评审查意见的符合性分析</w:t>
            </w:r>
          </w:p>
          <w:tbl>
            <w:tblPr>
              <w:tblStyle w:val="20"/>
              <w:tblW w:w="68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2747"/>
              <w:gridCol w:w="2453"/>
              <w:gridCol w:w="952"/>
            </w:tblGrid>
            <w:tr w14:paraId="3EFF9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vAlign w:val="center"/>
                </w:tcPr>
                <w:p w14:paraId="774A85C1">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序号</w:t>
                  </w:r>
                </w:p>
              </w:tc>
              <w:tc>
                <w:tcPr>
                  <w:tcW w:w="2747" w:type="dxa"/>
                  <w:vAlign w:val="center"/>
                </w:tcPr>
                <w:p w14:paraId="3B71EB7E">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规划环评及审查意见要求</w:t>
                  </w:r>
                </w:p>
              </w:tc>
              <w:tc>
                <w:tcPr>
                  <w:tcW w:w="2453" w:type="dxa"/>
                  <w:vAlign w:val="center"/>
                </w:tcPr>
                <w:p w14:paraId="300330EC">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本项目情况</w:t>
                  </w:r>
                </w:p>
              </w:tc>
              <w:tc>
                <w:tcPr>
                  <w:tcW w:w="952" w:type="dxa"/>
                  <w:vAlign w:val="center"/>
                </w:tcPr>
                <w:p w14:paraId="5FFB0245">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相符性</w:t>
                  </w:r>
                </w:p>
              </w:tc>
            </w:tr>
            <w:tr w14:paraId="1B58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vAlign w:val="center"/>
                </w:tcPr>
                <w:p w14:paraId="132DA469">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w:t>
                  </w:r>
                </w:p>
              </w:tc>
              <w:tc>
                <w:tcPr>
                  <w:tcW w:w="2747" w:type="dxa"/>
                  <w:vAlign w:val="center"/>
                </w:tcPr>
                <w:p w14:paraId="669BF66A">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（一）做好规划区项目的环境保护准入工作，限值规划定位的产业以外项目进入，并依法对具体建设项目进行环境影响评价。规划区内不得建设电镀生产线及涉重金属排放企业。</w:t>
                  </w:r>
                </w:p>
              </w:tc>
              <w:tc>
                <w:tcPr>
                  <w:tcW w:w="2453" w:type="dxa"/>
                  <w:vAlign w:val="center"/>
                </w:tcPr>
                <w:p w14:paraId="3C67ACD4">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企业符合西咸新区-沣东新城分区规划（2010-2020），为规划期末保留的企业，本项目仅在现有厂区内进行扩建，不涉及电镀生产线及重金属排放。</w:t>
                  </w:r>
                </w:p>
              </w:tc>
              <w:tc>
                <w:tcPr>
                  <w:tcW w:w="952" w:type="dxa"/>
                  <w:vAlign w:val="center"/>
                </w:tcPr>
                <w:p w14:paraId="013D41AD">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符合</w:t>
                  </w:r>
                </w:p>
              </w:tc>
            </w:tr>
            <w:tr w14:paraId="63686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vAlign w:val="center"/>
                </w:tcPr>
                <w:p w14:paraId="30D2D4AD">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w:t>
                  </w:r>
                </w:p>
              </w:tc>
              <w:tc>
                <w:tcPr>
                  <w:tcW w:w="2747" w:type="dxa"/>
                  <w:vAlign w:val="center"/>
                </w:tcPr>
                <w:p w14:paraId="37084EA5">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二）进一步优化热电站、供热站选址及布局，规划区域应考虑提高地源热泵的普及和使用，污水处理厂周边可考虑水源热泵的推广与使用，加大清洁能源的使用比重，减少区域燃煤量，已达到即可节能、节约土地资源，又可有效的控制烟尘、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vertAlign w:val="baseline"/>
                      <w:lang w:val="en-US" w:eastAsia="zh-CN"/>
                    </w:rPr>
                    <w:t>和NOx的排放</w:t>
                  </w:r>
                </w:p>
              </w:tc>
              <w:tc>
                <w:tcPr>
                  <w:tcW w:w="2453" w:type="dxa"/>
                  <w:vAlign w:val="center"/>
                </w:tcPr>
                <w:p w14:paraId="34F9C3DB">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本项目供暖设施依托现有工程，本次技改不涉及燃料消耗。</w:t>
                  </w:r>
                </w:p>
              </w:tc>
              <w:tc>
                <w:tcPr>
                  <w:tcW w:w="952" w:type="dxa"/>
                  <w:vAlign w:val="center"/>
                </w:tcPr>
                <w:p w14:paraId="55032D1F">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符合</w:t>
                  </w:r>
                </w:p>
              </w:tc>
            </w:tr>
            <w:tr w14:paraId="40F99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vAlign w:val="center"/>
                </w:tcPr>
                <w:p w14:paraId="1BC12907">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w:t>
                  </w:r>
                </w:p>
              </w:tc>
              <w:tc>
                <w:tcPr>
                  <w:tcW w:w="2747" w:type="dxa"/>
                  <w:vAlign w:val="center"/>
                </w:tcPr>
                <w:p w14:paraId="0748C5D0">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三）加快规划区环保基础设施建设。规划区内应按“清污分流、雨污分流、一水多用”的原则设计和建设给排水管网，实行污水集中处理，生产废水和生活污水必须经处理达到污水处理厂接纳标准后汇入污水管道，排入污水处理厂集中处理。</w:t>
                  </w:r>
                </w:p>
              </w:tc>
              <w:tc>
                <w:tcPr>
                  <w:tcW w:w="2453" w:type="dxa"/>
                  <w:vAlign w:val="center"/>
                </w:tcPr>
                <w:p w14:paraId="3A2695E3">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本项目不涉及废水排放。</w:t>
                  </w:r>
                </w:p>
              </w:tc>
              <w:tc>
                <w:tcPr>
                  <w:tcW w:w="952" w:type="dxa"/>
                  <w:vAlign w:val="center"/>
                </w:tcPr>
                <w:p w14:paraId="167D7010">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符合</w:t>
                  </w:r>
                </w:p>
              </w:tc>
            </w:tr>
            <w:tr w14:paraId="4F513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7" w:type="dxa"/>
                  <w:vAlign w:val="center"/>
                </w:tcPr>
                <w:p w14:paraId="250EC193">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w:t>
                  </w:r>
                </w:p>
              </w:tc>
              <w:tc>
                <w:tcPr>
                  <w:tcW w:w="2747" w:type="dxa"/>
                  <w:vAlign w:val="center"/>
                </w:tcPr>
                <w:p w14:paraId="4CDE8777">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（四）规划区内工业固废应分类收集处理、综合利用，危险废物由企业委托有资质的固体废物安全处置中心安全处置</w:t>
                  </w:r>
                </w:p>
              </w:tc>
              <w:tc>
                <w:tcPr>
                  <w:tcW w:w="2453" w:type="dxa"/>
                  <w:vAlign w:val="center"/>
                </w:tcPr>
                <w:p w14:paraId="2FC0D47F">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本项目员工生活垃圾收集后交环卫部门处置，废边角料、废金属屑、废焊渣、废焊丝、废包装材料等一般固废集中收集后作为一般固废处置，危险废物收集后在危废暂存库暂存，最终交由有资质单位处置。</w:t>
                  </w:r>
                </w:p>
              </w:tc>
              <w:tc>
                <w:tcPr>
                  <w:tcW w:w="952" w:type="dxa"/>
                  <w:vAlign w:val="center"/>
                </w:tcPr>
                <w:p w14:paraId="5BBACB67">
                  <w:pPr>
                    <w:autoSpaceDE w:val="0"/>
                    <w:autoSpaceDN w:val="0"/>
                    <w:adjustRightInd w:val="0"/>
                    <w:snapToGrid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符合</w:t>
                  </w:r>
                </w:p>
              </w:tc>
            </w:tr>
          </w:tbl>
          <w:p w14:paraId="693744BB">
            <w:pPr>
              <w:autoSpaceDE w:val="0"/>
              <w:autoSpaceDN w:val="0"/>
              <w:adjustRightInd w:val="0"/>
              <w:snapToGrid w:val="0"/>
              <w:jc w:val="both"/>
              <w:rPr>
                <w:rFonts w:hint="default" w:ascii="Times New Roman" w:hAnsi="Times New Roman" w:eastAsia="宋体" w:cs="Times New Roman"/>
                <w:color w:val="auto"/>
                <w:kern w:val="0"/>
                <w:sz w:val="24"/>
                <w:lang w:val="en-US" w:eastAsia="zh-CN"/>
              </w:rPr>
            </w:pPr>
          </w:p>
        </w:tc>
      </w:tr>
      <w:tr w14:paraId="1A63E6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07" w:type="dxa"/>
            <w:vAlign w:val="center"/>
          </w:tcPr>
          <w:p w14:paraId="5FEB1A74">
            <w:pPr>
              <w:autoSpaceDE w:val="0"/>
              <w:autoSpaceDN w:val="0"/>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rPr>
              <w:t>其他符合性分析</w:t>
            </w:r>
          </w:p>
        </w:tc>
        <w:tc>
          <w:tcPr>
            <w:tcW w:w="7025" w:type="dxa"/>
            <w:gridSpan w:val="3"/>
            <w:vAlign w:val="center"/>
          </w:tcPr>
          <w:p w14:paraId="2501D9E4">
            <w:pPr>
              <w:spacing w:line="360" w:lineRule="auto"/>
              <w:ind w:firstLine="482" w:firstLineChars="200"/>
              <w:rPr>
                <w:rFonts w:hint="default" w:ascii="Times New Roman" w:hAnsi="Times New Roman" w:eastAsia="宋体" w:cs="Times New Roman"/>
                <w:b/>
                <w:bCs/>
                <w:color w:val="auto"/>
                <w:kern w:val="0"/>
                <w:sz w:val="24"/>
                <w:szCs w:val="20"/>
              </w:rPr>
            </w:pPr>
            <w:r>
              <w:rPr>
                <w:rFonts w:hint="default" w:ascii="Times New Roman" w:hAnsi="Times New Roman" w:eastAsia="宋体" w:cs="Times New Roman"/>
                <w:b/>
                <w:bCs/>
                <w:color w:val="auto"/>
                <w:kern w:val="0"/>
                <w:sz w:val="24"/>
                <w:szCs w:val="20"/>
              </w:rPr>
              <w:t>1、产业政策相符性分析</w:t>
            </w:r>
          </w:p>
          <w:p w14:paraId="1B3734EB">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根据《产业结构调整指导目录（20</w:t>
            </w:r>
            <w:r>
              <w:rPr>
                <w:rFonts w:hint="default" w:ascii="Times New Roman" w:hAnsi="Times New Roman" w:eastAsia="宋体" w:cs="Times New Roman"/>
                <w:color w:val="auto"/>
                <w:sz w:val="24"/>
                <w:lang w:val="en-US" w:eastAsia="zh-CN"/>
              </w:rPr>
              <w:t>24</w:t>
            </w:r>
            <w:r>
              <w:rPr>
                <w:rFonts w:hint="default" w:ascii="Times New Roman" w:hAnsi="Times New Roman" w:eastAsia="宋体" w:cs="Times New Roman"/>
                <w:color w:val="auto"/>
                <w:sz w:val="24"/>
              </w:rPr>
              <w:t>年本）》，经查阅本项目不属于其中规定的</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鼓励类</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限制类</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和</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淘汰类</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项目。</w:t>
            </w:r>
          </w:p>
          <w:p w14:paraId="11C802BD">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经查阅，</w:t>
            </w:r>
            <w:r>
              <w:rPr>
                <w:rFonts w:hint="default" w:ascii="Times New Roman" w:hAnsi="Times New Roman" w:eastAsia="宋体" w:cs="Times New Roman"/>
                <w:color w:val="auto"/>
                <w:kern w:val="0"/>
                <w:sz w:val="24"/>
                <w:szCs w:val="20"/>
              </w:rPr>
              <w:t>本项目不属于《市场准入负面清单（2022年版）》</w:t>
            </w:r>
            <w:r>
              <w:rPr>
                <w:rFonts w:hint="default" w:ascii="Times New Roman" w:hAnsi="Times New Roman" w:eastAsia="宋体" w:cs="Times New Roman"/>
                <w:color w:val="auto"/>
                <w:sz w:val="24"/>
              </w:rPr>
              <w:t>中禁止或许可准入类；本项目已取得</w:t>
            </w:r>
            <w:r>
              <w:rPr>
                <w:rFonts w:hint="default" w:ascii="Times New Roman" w:hAnsi="Times New Roman" w:eastAsia="宋体" w:cs="Times New Roman"/>
                <w:color w:val="auto"/>
                <w:sz w:val="24"/>
                <w:lang w:val="en-US" w:eastAsia="zh-CN"/>
              </w:rPr>
              <w:t>陕西省西咸新区沣东新城管理委员会</w:t>
            </w:r>
            <w:r>
              <w:rPr>
                <w:rFonts w:hint="default" w:ascii="Times New Roman" w:hAnsi="Times New Roman" w:eastAsia="宋体" w:cs="Times New Roman"/>
                <w:color w:val="auto"/>
                <w:sz w:val="24"/>
              </w:rPr>
              <w:t>关于本项目下发的陕西省</w:t>
            </w:r>
            <w:r>
              <w:rPr>
                <w:rFonts w:hint="default" w:ascii="Times New Roman" w:hAnsi="Times New Roman" w:eastAsia="宋体" w:cs="Times New Roman"/>
                <w:color w:val="auto"/>
                <w:sz w:val="24"/>
                <w:lang w:val="en-US" w:eastAsia="zh-CN"/>
              </w:rPr>
              <w:t>企业</w:t>
            </w:r>
            <w:r>
              <w:rPr>
                <w:rFonts w:hint="default" w:ascii="Times New Roman" w:hAnsi="Times New Roman" w:eastAsia="宋体" w:cs="Times New Roman"/>
                <w:color w:val="auto"/>
                <w:sz w:val="24"/>
              </w:rPr>
              <w:t>投资项目备案确认书，项目代码为</w:t>
            </w:r>
            <w:r>
              <w:rPr>
                <w:rFonts w:hint="default" w:ascii="Times New Roman" w:hAnsi="Times New Roman" w:eastAsia="宋体" w:cs="Times New Roman"/>
                <w:color w:val="auto"/>
                <w:sz w:val="24"/>
                <w:lang w:eastAsia="zh-CN"/>
              </w:rPr>
              <w:t>2404-611203-04-02-438593</w:t>
            </w:r>
            <w:r>
              <w:rPr>
                <w:rFonts w:hint="default" w:ascii="Times New Roman" w:hAnsi="Times New Roman" w:eastAsia="宋体" w:cs="Times New Roman"/>
                <w:color w:val="auto"/>
                <w:sz w:val="24"/>
              </w:rPr>
              <w:t>。</w:t>
            </w:r>
          </w:p>
          <w:p w14:paraId="2F3EC075">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综上，本项目符合相关产业政策。</w:t>
            </w:r>
          </w:p>
          <w:p w14:paraId="66D98145">
            <w:pPr>
              <w:spacing w:line="360" w:lineRule="auto"/>
              <w:ind w:firstLine="482" w:firstLineChars="200"/>
              <w:rPr>
                <w:rFonts w:hint="default" w:ascii="Times New Roman" w:hAnsi="Times New Roman" w:eastAsia="宋体" w:cs="Times New Roman"/>
                <w:b/>
                <w:bCs w:val="0"/>
                <w:color w:val="auto"/>
                <w:kern w:val="0"/>
                <w:sz w:val="24"/>
                <w:lang w:val="en-GB" w:eastAsia="zh-TW"/>
              </w:rPr>
            </w:pPr>
            <w:r>
              <w:rPr>
                <w:rFonts w:hint="default" w:ascii="Times New Roman" w:hAnsi="Times New Roman" w:eastAsia="宋体" w:cs="Times New Roman"/>
                <w:b/>
                <w:bCs w:val="0"/>
                <w:color w:val="auto"/>
                <w:kern w:val="0"/>
                <w:sz w:val="24"/>
              </w:rPr>
              <w:t>2、</w:t>
            </w:r>
            <w:r>
              <w:rPr>
                <w:rFonts w:hint="default" w:ascii="Times New Roman" w:hAnsi="Times New Roman" w:eastAsia="宋体" w:cs="Times New Roman"/>
                <w:b/>
                <w:bCs w:val="0"/>
                <w:color w:val="auto"/>
                <w:kern w:val="0"/>
                <w:sz w:val="24"/>
                <w:lang w:val="en-GB"/>
              </w:rPr>
              <w:t>“</w:t>
            </w:r>
            <w:r>
              <w:rPr>
                <w:rFonts w:hint="default" w:ascii="Times New Roman" w:hAnsi="Times New Roman" w:eastAsia="宋体" w:cs="Times New Roman"/>
                <w:b/>
                <w:bCs w:val="0"/>
                <w:color w:val="auto"/>
                <w:kern w:val="0"/>
                <w:sz w:val="24"/>
                <w:lang w:val="en-GB" w:eastAsia="zh-TW"/>
              </w:rPr>
              <w:t>三线一单</w:t>
            </w:r>
            <w:r>
              <w:rPr>
                <w:rFonts w:hint="default" w:ascii="Times New Roman" w:hAnsi="Times New Roman" w:eastAsia="宋体" w:cs="Times New Roman"/>
                <w:b/>
                <w:bCs w:val="0"/>
                <w:color w:val="auto"/>
                <w:kern w:val="0"/>
                <w:sz w:val="24"/>
                <w:lang w:val="en-GB"/>
              </w:rPr>
              <w:t>”</w:t>
            </w:r>
            <w:r>
              <w:rPr>
                <w:rFonts w:hint="default" w:ascii="Times New Roman" w:hAnsi="Times New Roman" w:eastAsia="宋体" w:cs="Times New Roman"/>
                <w:b/>
                <w:bCs w:val="0"/>
                <w:color w:val="auto"/>
                <w:kern w:val="0"/>
                <w:sz w:val="24"/>
                <w:lang w:val="en-GB" w:eastAsia="zh-TW"/>
              </w:rPr>
              <w:t>符合性分析</w:t>
            </w:r>
          </w:p>
          <w:p w14:paraId="54D1BAA8">
            <w:pPr>
              <w:spacing w:line="360" w:lineRule="auto"/>
              <w:ind w:firstLine="480" w:firstLineChars="200"/>
              <w:jc w:val="both"/>
              <w:rPr>
                <w:rFonts w:hint="default" w:ascii="Times New Roman" w:hAnsi="Times New Roman" w:eastAsia="宋体" w:cs="Times New Roman"/>
                <w:color w:val="auto"/>
                <w:sz w:val="24"/>
                <w:szCs w:val="32"/>
                <w:lang w:val="en-US" w:eastAsia="zh-CN"/>
              </w:rPr>
            </w:pPr>
            <w:r>
              <w:rPr>
                <w:rFonts w:hint="default" w:ascii="Times New Roman" w:hAnsi="Times New Roman" w:eastAsia="宋体" w:cs="Times New Roman"/>
                <w:color w:val="auto"/>
                <w:sz w:val="24"/>
                <w:szCs w:val="32"/>
                <w:lang w:val="en-US" w:eastAsia="zh-CN"/>
              </w:rPr>
              <w:t>根据</w:t>
            </w:r>
            <w:r>
              <w:rPr>
                <w:rFonts w:hint="default" w:ascii="Times New Roman" w:hAnsi="Times New Roman" w:eastAsia="宋体" w:cs="Times New Roman"/>
                <w:color w:val="auto"/>
                <w:sz w:val="24"/>
                <w:szCs w:val="32"/>
                <w:lang w:val="en-GB" w:eastAsia="zh-TW"/>
              </w:rPr>
              <w:t>《西安市“三线一单”生态环境分区管控方案》</w:t>
            </w:r>
            <w:r>
              <w:rPr>
                <w:rFonts w:hint="default" w:ascii="Times New Roman" w:hAnsi="Times New Roman" w:eastAsia="宋体" w:cs="Times New Roman"/>
                <w:color w:val="auto"/>
                <w:sz w:val="24"/>
                <w:szCs w:val="32"/>
                <w:lang w:val="en-US" w:eastAsia="zh-CN"/>
              </w:rPr>
              <w:t>及本项目在陕西省“三线一单”数据应用管理平台对比分析报告，本项目位于西安市生态环境管控单元中的重点管控单元。</w:t>
            </w:r>
          </w:p>
          <w:p w14:paraId="651656F6">
            <w:pPr>
              <w:spacing w:line="360" w:lineRule="auto"/>
              <w:ind w:firstLine="482"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一图：</w:t>
            </w:r>
            <w:r>
              <w:rPr>
                <w:rFonts w:hint="default" w:ascii="Times New Roman" w:hAnsi="Times New Roman" w:eastAsia="宋体" w:cs="Times New Roman"/>
                <w:b w:val="0"/>
                <w:bCs w:val="0"/>
                <w:color w:val="auto"/>
                <w:kern w:val="0"/>
                <w:sz w:val="24"/>
                <w:szCs w:val="24"/>
                <w:lang w:val="en-US" w:eastAsia="zh-CN" w:bidi="ar"/>
              </w:rPr>
              <w:t>本</w:t>
            </w:r>
            <w:r>
              <w:rPr>
                <w:rFonts w:hint="default" w:ascii="Times New Roman" w:hAnsi="Times New Roman" w:eastAsia="宋体" w:cs="Times New Roman"/>
                <w:color w:val="auto"/>
                <w:kern w:val="0"/>
                <w:sz w:val="24"/>
                <w:szCs w:val="24"/>
                <w:lang w:val="en-US" w:eastAsia="zh-CN" w:bidi="ar"/>
              </w:rPr>
              <w:t>项目在西咸新区“三线一单”管控单元中空间冲突分析见图1-1。</w:t>
            </w:r>
          </w:p>
          <w:p w14:paraId="40706375">
            <w:pPr>
              <w:spacing w:line="360" w:lineRule="auto"/>
              <w:ind w:firstLine="420" w:firstLineChars="200"/>
              <w:jc w:val="both"/>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rPr>
              <w:drawing>
                <wp:inline distT="0" distB="0" distL="114300" distR="114300">
                  <wp:extent cx="4000500" cy="6353175"/>
                  <wp:effectExtent l="0" t="0" r="0" b="9525"/>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8"/>
                          <a:stretch>
                            <a:fillRect/>
                          </a:stretch>
                        </pic:blipFill>
                        <pic:spPr>
                          <a:xfrm>
                            <a:off x="0" y="0"/>
                            <a:ext cx="4000500" cy="6353175"/>
                          </a:xfrm>
                          <a:prstGeom prst="rect">
                            <a:avLst/>
                          </a:prstGeom>
                          <a:noFill/>
                          <a:ln>
                            <a:noFill/>
                          </a:ln>
                        </pic:spPr>
                      </pic:pic>
                    </a:graphicData>
                  </a:graphic>
                </wp:inline>
              </w:drawing>
            </w:r>
          </w:p>
          <w:p w14:paraId="549D4DE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图1-1 项目与西咸新区“三线一单”管控单元中空间冲突分析图</w:t>
            </w:r>
          </w:p>
          <w:p w14:paraId="647910D1">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一表：</w:t>
            </w:r>
            <w:r>
              <w:rPr>
                <w:rFonts w:hint="default" w:ascii="Times New Roman" w:hAnsi="Times New Roman" w:eastAsia="宋体" w:cs="Times New Roman"/>
                <w:b w:val="0"/>
                <w:bCs w:val="0"/>
                <w:color w:val="auto"/>
                <w:kern w:val="0"/>
                <w:sz w:val="24"/>
                <w:szCs w:val="24"/>
                <w:highlight w:val="none"/>
                <w:lang w:val="en-US" w:eastAsia="zh-CN" w:bidi="ar"/>
              </w:rPr>
              <w:t>本</w:t>
            </w:r>
            <w:r>
              <w:rPr>
                <w:rFonts w:hint="default" w:ascii="Times New Roman" w:hAnsi="Times New Roman" w:eastAsia="宋体" w:cs="Times New Roman"/>
                <w:color w:val="auto"/>
                <w:kern w:val="0"/>
                <w:sz w:val="24"/>
                <w:szCs w:val="24"/>
                <w:highlight w:val="none"/>
                <w:lang w:val="en-US" w:eastAsia="zh-CN" w:bidi="ar"/>
              </w:rPr>
              <w:t>项目对照《西安市人民政府关于印发“三线一单”生态环境分区管控方案的通知》（市政发〔2021〕22号）中附件3“西安市生态环境分区管控准入清单”，本项目与西安市“三线一单”生态环境分区管控符合性分析见表1-1。</w:t>
            </w:r>
          </w:p>
          <w:p w14:paraId="59BFF978">
            <w:pPr>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表1-</w:t>
            </w:r>
            <w:r>
              <w:rPr>
                <w:rFonts w:hint="default" w:ascii="Times New Roman" w:hAnsi="Times New Roman" w:eastAsia="宋体" w:cs="Times New Roman"/>
                <w:b/>
                <w:bCs/>
                <w:color w:val="auto"/>
                <w:kern w:val="0"/>
                <w:szCs w:val="21"/>
                <w:highlight w:val="none"/>
                <w:lang w:val="en-US" w:eastAsia="zh-CN"/>
              </w:rPr>
              <w:t>1</w:t>
            </w:r>
            <w:r>
              <w:rPr>
                <w:rFonts w:hint="default" w:ascii="Times New Roman" w:hAnsi="Times New Roman" w:eastAsia="宋体" w:cs="Times New Roman"/>
                <w:b/>
                <w:bCs/>
                <w:color w:val="auto"/>
                <w:kern w:val="0"/>
                <w:szCs w:val="21"/>
                <w:highlight w:val="none"/>
              </w:rPr>
              <w:t xml:space="preserve">   本项目范围涉及的生态环境管控单元准入清单</w:t>
            </w:r>
          </w:p>
          <w:tbl>
            <w:tblPr>
              <w:tblStyle w:val="20"/>
              <w:tblW w:w="50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79"/>
              <w:gridCol w:w="306"/>
              <w:gridCol w:w="270"/>
              <w:gridCol w:w="712"/>
              <w:gridCol w:w="564"/>
              <w:gridCol w:w="2581"/>
              <w:gridCol w:w="551"/>
              <w:gridCol w:w="1035"/>
              <w:gridCol w:w="240"/>
            </w:tblGrid>
            <w:tr w14:paraId="2A58A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Align w:val="center"/>
                </w:tcPr>
                <w:p w14:paraId="757D018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环境管控单元名称</w:t>
                  </w:r>
                </w:p>
              </w:tc>
              <w:tc>
                <w:tcPr>
                  <w:tcW w:w="223" w:type="pct"/>
                  <w:vAlign w:val="center"/>
                </w:tcPr>
                <w:p w14:paraId="0FC0BE9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市</w:t>
                  </w:r>
                </w:p>
              </w:tc>
              <w:tc>
                <w:tcPr>
                  <w:tcW w:w="197" w:type="pct"/>
                  <w:vAlign w:val="center"/>
                </w:tcPr>
                <w:p w14:paraId="56001C8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区县</w:t>
                  </w:r>
                </w:p>
              </w:tc>
              <w:tc>
                <w:tcPr>
                  <w:tcW w:w="520" w:type="pct"/>
                  <w:vAlign w:val="center"/>
                </w:tcPr>
                <w:p w14:paraId="7A13270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单元要素属性</w:t>
                  </w:r>
                </w:p>
              </w:tc>
              <w:tc>
                <w:tcPr>
                  <w:tcW w:w="412" w:type="pct"/>
                  <w:vAlign w:val="center"/>
                </w:tcPr>
                <w:p w14:paraId="5975EB5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管控要求分类</w:t>
                  </w:r>
                </w:p>
              </w:tc>
              <w:tc>
                <w:tcPr>
                  <w:tcW w:w="1887" w:type="pct"/>
                  <w:vAlign w:val="center"/>
                </w:tcPr>
                <w:p w14:paraId="570BFE9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管控要求</w:t>
                  </w:r>
                </w:p>
              </w:tc>
              <w:tc>
                <w:tcPr>
                  <w:tcW w:w="402" w:type="pct"/>
                  <w:vAlign w:val="center"/>
                </w:tcPr>
                <w:p w14:paraId="7795C7B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面积/长度</w:t>
                  </w:r>
                </w:p>
              </w:tc>
              <w:tc>
                <w:tcPr>
                  <w:tcW w:w="756" w:type="pct"/>
                  <w:vAlign w:val="center"/>
                </w:tcPr>
                <w:p w14:paraId="2FD0B05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本项目情况说明</w:t>
                  </w:r>
                </w:p>
              </w:tc>
              <w:tc>
                <w:tcPr>
                  <w:tcW w:w="175" w:type="pct"/>
                  <w:vAlign w:val="center"/>
                </w:tcPr>
                <w:p w14:paraId="662221B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相符性</w:t>
                  </w:r>
                </w:p>
              </w:tc>
            </w:tr>
            <w:tr w14:paraId="7DBEB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23" w:type="pct"/>
                  <w:vMerge w:val="restart"/>
                  <w:vAlign w:val="center"/>
                </w:tcPr>
                <w:p w14:paraId="2FE6757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陕西省西安市未央区重点管控单元2</w:t>
                  </w:r>
                </w:p>
              </w:tc>
              <w:tc>
                <w:tcPr>
                  <w:tcW w:w="223" w:type="pct"/>
                  <w:vMerge w:val="restart"/>
                  <w:vAlign w:val="center"/>
                </w:tcPr>
                <w:p w14:paraId="740E3E1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西安市</w:t>
                  </w:r>
                </w:p>
              </w:tc>
              <w:tc>
                <w:tcPr>
                  <w:tcW w:w="197" w:type="pct"/>
                  <w:vMerge w:val="restart"/>
                  <w:vAlign w:val="center"/>
                </w:tcPr>
                <w:p w14:paraId="0E03BDB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未央区</w:t>
                  </w:r>
                </w:p>
              </w:tc>
              <w:tc>
                <w:tcPr>
                  <w:tcW w:w="520" w:type="pct"/>
                  <w:vAlign w:val="center"/>
                </w:tcPr>
                <w:p w14:paraId="52590B1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GB" w:eastAsia="zh-TW"/>
                    </w:rPr>
                    <w:t>大气环境布局敏感重点管控区、</w:t>
                  </w:r>
                  <w:r>
                    <w:rPr>
                      <w:rFonts w:hint="default" w:ascii="Times New Roman" w:hAnsi="Times New Roman" w:eastAsia="宋体" w:cs="Times New Roman"/>
                      <w:color w:val="auto"/>
                      <w:kern w:val="0"/>
                      <w:szCs w:val="21"/>
                      <w:highlight w:val="none"/>
                      <w:lang w:val="en-US" w:eastAsia="zh-CN"/>
                    </w:rPr>
                    <w:t>水环境城镇生活污染重点管控区、高污染燃料禁燃区</w:t>
                  </w:r>
                </w:p>
              </w:tc>
              <w:tc>
                <w:tcPr>
                  <w:tcW w:w="412" w:type="pct"/>
                  <w:vAlign w:val="center"/>
                </w:tcPr>
                <w:p w14:paraId="35EC73E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空间</w:t>
                  </w:r>
                </w:p>
                <w:p w14:paraId="0C42600F">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布局</w:t>
                  </w:r>
                </w:p>
                <w:p w14:paraId="3DD17AB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lang w:val="en-GB" w:eastAsia="zh-TW"/>
                    </w:rPr>
                  </w:pPr>
                  <w:r>
                    <w:rPr>
                      <w:rFonts w:hint="default" w:ascii="Times New Roman" w:hAnsi="Times New Roman" w:eastAsia="宋体" w:cs="Times New Roman"/>
                      <w:color w:val="auto"/>
                      <w:szCs w:val="21"/>
                      <w:highlight w:val="none"/>
                    </w:rPr>
                    <w:t>约束</w:t>
                  </w:r>
                </w:p>
              </w:tc>
              <w:tc>
                <w:tcPr>
                  <w:tcW w:w="1887" w:type="pct"/>
                  <w:vAlign w:val="center"/>
                </w:tcPr>
                <w:p w14:paraId="49C7C9F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zCs w:val="21"/>
                      <w:highlight w:val="none"/>
                      <w:lang w:val="en-GB" w:eastAsia="zh-TW"/>
                    </w:rPr>
                  </w:pPr>
                  <w:r>
                    <w:rPr>
                      <w:rFonts w:hint="default" w:ascii="Times New Roman" w:hAnsi="Times New Roman" w:eastAsia="宋体" w:cs="Times New Roman"/>
                      <w:color w:val="auto"/>
                      <w:szCs w:val="21"/>
                      <w:highlight w:val="none"/>
                      <w:lang w:val="en-GB" w:eastAsia="zh-TW"/>
                    </w:rPr>
                    <w:t>大气环境受体敏感重点管控区：1.严格控制新增《陕西省“两高”项目管理暂行目录》行业项目（民生等项目除外，后续对“两高”范围国家如有新规定的，从其规定）。2.严禁新增钢铁、焦化、水泥熟料、平板玻璃、电解铝、氧化铝、煤化工产能。3.推动重污染企业搬迁入园或依法关闭。</w:t>
                  </w:r>
                </w:p>
                <w:p w14:paraId="561B458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zCs w:val="21"/>
                      <w:highlight w:val="none"/>
                      <w:lang w:val="en-GB" w:eastAsia="zh-TW"/>
                    </w:rPr>
                  </w:pPr>
                  <w:r>
                    <w:rPr>
                      <w:rFonts w:hint="default" w:ascii="Times New Roman" w:hAnsi="Times New Roman" w:eastAsia="宋体" w:cs="Times New Roman"/>
                      <w:color w:val="auto"/>
                      <w:szCs w:val="21"/>
                      <w:highlight w:val="none"/>
                      <w:lang w:val="en-GB" w:eastAsia="zh-TW"/>
                    </w:rPr>
                    <w:t>水环境城镇生活污染重点管控区：1.持续推进城中村、老旧城区、城乡、结合部污水截流、收集和城市雨污管道新建、改建。</w:t>
                  </w:r>
                </w:p>
              </w:tc>
              <w:tc>
                <w:tcPr>
                  <w:tcW w:w="402" w:type="pct"/>
                  <w:vMerge w:val="restart"/>
                  <w:vAlign w:val="center"/>
                </w:tcPr>
                <w:p w14:paraId="234E61B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128587.33m</w:t>
                  </w:r>
                  <w:r>
                    <w:rPr>
                      <w:rFonts w:hint="default" w:ascii="Times New Roman" w:hAnsi="Times New Roman" w:eastAsia="宋体" w:cs="Times New Roman"/>
                      <w:color w:val="auto"/>
                      <w:szCs w:val="21"/>
                      <w:highlight w:val="none"/>
                      <w:vertAlign w:val="superscript"/>
                    </w:rPr>
                    <w:t>2</w:t>
                  </w:r>
                </w:p>
              </w:tc>
              <w:tc>
                <w:tcPr>
                  <w:tcW w:w="756" w:type="pct"/>
                  <w:vAlign w:val="center"/>
                </w:tcPr>
                <w:p w14:paraId="40EB567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1、</w:t>
                  </w:r>
                  <w:r>
                    <w:rPr>
                      <w:rFonts w:hint="default" w:ascii="Times New Roman" w:hAnsi="Times New Roman" w:eastAsia="宋体" w:cs="Times New Roman"/>
                      <w:color w:val="auto"/>
                      <w:kern w:val="0"/>
                      <w:szCs w:val="21"/>
                      <w:highlight w:val="none"/>
                    </w:rPr>
                    <w:t>本项目不属于</w:t>
                  </w:r>
                  <w:r>
                    <w:rPr>
                      <w:rFonts w:hint="default" w:ascii="Times New Roman" w:hAnsi="Times New Roman" w:eastAsia="宋体" w:cs="Times New Roman"/>
                      <w:color w:val="auto"/>
                      <w:kern w:val="0"/>
                      <w:szCs w:val="21"/>
                      <w:highlight w:val="none"/>
                      <w:lang w:eastAsia="zh-CN"/>
                    </w:rPr>
                    <w:t>“</w:t>
                  </w:r>
                  <w:r>
                    <w:rPr>
                      <w:rFonts w:hint="default" w:ascii="Times New Roman" w:hAnsi="Times New Roman" w:eastAsia="宋体" w:cs="Times New Roman"/>
                      <w:color w:val="auto"/>
                      <w:kern w:val="0"/>
                      <w:szCs w:val="21"/>
                      <w:highlight w:val="none"/>
                      <w:lang w:val="en-US" w:eastAsia="zh-CN"/>
                    </w:rPr>
                    <w:t>两高</w:t>
                  </w:r>
                  <w:r>
                    <w:rPr>
                      <w:rFonts w:hint="default" w:ascii="Times New Roman" w:hAnsi="Times New Roman" w:eastAsia="宋体" w:cs="Times New Roman"/>
                      <w:color w:val="auto"/>
                      <w:kern w:val="0"/>
                      <w:szCs w:val="21"/>
                      <w:highlight w:val="none"/>
                      <w:lang w:eastAsia="zh-CN"/>
                    </w:rPr>
                    <w:t>”</w:t>
                  </w:r>
                  <w:r>
                    <w:rPr>
                      <w:rFonts w:hint="default" w:ascii="Times New Roman" w:hAnsi="Times New Roman" w:eastAsia="宋体" w:cs="Times New Roman"/>
                      <w:color w:val="auto"/>
                      <w:kern w:val="0"/>
                      <w:szCs w:val="21"/>
                      <w:highlight w:val="none"/>
                    </w:rPr>
                    <w:t>类项目。</w:t>
                  </w:r>
                </w:p>
                <w:p w14:paraId="0EF6E4C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w:t>
                  </w:r>
                  <w:r>
                    <w:rPr>
                      <w:rFonts w:hint="default" w:ascii="Times New Roman" w:hAnsi="Times New Roman" w:eastAsia="宋体" w:cs="Times New Roman"/>
                      <w:color w:val="auto"/>
                      <w:kern w:val="0"/>
                      <w:szCs w:val="21"/>
                      <w:highlight w:val="none"/>
                    </w:rPr>
                    <w:t>本项目不属于禁止类项目</w:t>
                  </w:r>
                  <w:r>
                    <w:rPr>
                      <w:rFonts w:hint="default" w:ascii="Times New Roman" w:hAnsi="Times New Roman" w:eastAsia="宋体" w:cs="Times New Roman"/>
                      <w:color w:val="auto"/>
                      <w:kern w:val="0"/>
                      <w:szCs w:val="21"/>
                      <w:highlight w:val="none"/>
                      <w:lang w:val="en-US" w:eastAsia="zh-CN"/>
                    </w:rPr>
                    <w:t>3、本项目不属于重污染企业。</w:t>
                  </w:r>
                </w:p>
              </w:tc>
              <w:tc>
                <w:tcPr>
                  <w:tcW w:w="175" w:type="pct"/>
                  <w:vAlign w:val="center"/>
                </w:tcPr>
                <w:p w14:paraId="2E29745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符合</w:t>
                  </w:r>
                </w:p>
              </w:tc>
            </w:tr>
            <w:tr w14:paraId="4282A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7401130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yellow"/>
                    </w:rPr>
                  </w:pPr>
                </w:p>
              </w:tc>
              <w:tc>
                <w:tcPr>
                  <w:tcW w:w="223" w:type="pct"/>
                  <w:vMerge w:val="continue"/>
                  <w:vAlign w:val="center"/>
                </w:tcPr>
                <w:p w14:paraId="432D370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yellow"/>
                    </w:rPr>
                  </w:pPr>
                </w:p>
              </w:tc>
              <w:tc>
                <w:tcPr>
                  <w:tcW w:w="197" w:type="pct"/>
                  <w:vMerge w:val="continue"/>
                  <w:vAlign w:val="center"/>
                </w:tcPr>
                <w:p w14:paraId="3612776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yellow"/>
                    </w:rPr>
                  </w:pPr>
                </w:p>
              </w:tc>
              <w:tc>
                <w:tcPr>
                  <w:tcW w:w="520" w:type="pct"/>
                  <w:vAlign w:val="center"/>
                </w:tcPr>
                <w:p w14:paraId="2D97A55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w:t>
                  </w:r>
                </w:p>
              </w:tc>
              <w:tc>
                <w:tcPr>
                  <w:tcW w:w="412" w:type="pct"/>
                  <w:vAlign w:val="center"/>
                </w:tcPr>
                <w:p w14:paraId="2D07DE6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污染</w:t>
                  </w:r>
                </w:p>
                <w:p w14:paraId="43106C3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物排</w:t>
                  </w:r>
                </w:p>
                <w:p w14:paraId="0B4D452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放管</w:t>
                  </w:r>
                </w:p>
                <w:p w14:paraId="05C7B2C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lang w:val="en-GB" w:eastAsia="zh-TW"/>
                    </w:rPr>
                  </w:pPr>
                  <w:r>
                    <w:rPr>
                      <w:rFonts w:hint="default" w:ascii="Times New Roman" w:hAnsi="Times New Roman" w:eastAsia="宋体" w:cs="Times New Roman"/>
                      <w:color w:val="auto"/>
                      <w:szCs w:val="21"/>
                      <w:highlight w:val="none"/>
                    </w:rPr>
                    <w:t>控</w:t>
                  </w:r>
                </w:p>
              </w:tc>
              <w:tc>
                <w:tcPr>
                  <w:tcW w:w="1887" w:type="pct"/>
                  <w:vAlign w:val="center"/>
                </w:tcPr>
                <w:p w14:paraId="300E1F5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zCs w:val="21"/>
                      <w:highlight w:val="none"/>
                      <w:lang w:val="en-GB" w:eastAsia="zh-TW"/>
                    </w:rPr>
                  </w:pPr>
                  <w:r>
                    <w:rPr>
                      <w:rFonts w:hint="default" w:ascii="Times New Roman" w:hAnsi="Times New Roman" w:eastAsia="宋体" w:cs="Times New Roman"/>
                      <w:color w:val="auto"/>
                      <w:szCs w:val="21"/>
                      <w:highlight w:val="none"/>
                      <w:lang w:val="en-GB" w:eastAsia="zh-TW"/>
                    </w:rPr>
                    <w:t>大气环境受体敏感重点管控区：1.城市建成区产生油烟的餐饮服务单位全部安装油烟净化装置并保持正常运行和定期维护。2.持续因地制宜实施“煤改气”、“油改气”、电能、地热、生物质等清洁能源取暖措施。3.鼓励将老旧车辆和非道路移动机械替换为清洁能源车辆。推进新能源或清洁能源汽车使用。</w:t>
                  </w:r>
                </w:p>
                <w:p w14:paraId="5B8D2BF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default" w:ascii="Times New Roman" w:hAnsi="Times New Roman" w:eastAsia="宋体" w:cs="Times New Roman"/>
                      <w:color w:val="auto"/>
                      <w:szCs w:val="21"/>
                      <w:highlight w:val="none"/>
                      <w:lang w:val="en-GB" w:eastAsia="zh-TW"/>
                    </w:rPr>
                  </w:pPr>
                  <w:r>
                    <w:rPr>
                      <w:rFonts w:hint="default" w:ascii="Times New Roman" w:hAnsi="Times New Roman" w:eastAsia="宋体" w:cs="Times New Roman"/>
                      <w:color w:val="auto"/>
                      <w:szCs w:val="21"/>
                      <w:highlight w:val="none"/>
                      <w:lang w:val="en-GB" w:eastAsia="zh-TW"/>
                    </w:rPr>
                    <w:t>水环境城镇生活污染重点管控区：1.加强城镇污水收集处理设施建设与提标改造。城镇生活污水处理达到《陕西省黄河流域污水综合排放标准》（DB61/224-2018）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w:t>
                  </w:r>
                </w:p>
              </w:tc>
              <w:tc>
                <w:tcPr>
                  <w:tcW w:w="402" w:type="pct"/>
                  <w:vMerge w:val="continue"/>
                  <w:vAlign w:val="center"/>
                </w:tcPr>
                <w:p w14:paraId="63774B8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p>
              </w:tc>
              <w:tc>
                <w:tcPr>
                  <w:tcW w:w="756" w:type="pct"/>
                  <w:vAlign w:val="center"/>
                </w:tcPr>
                <w:p w14:paraId="0E08C8B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本项目不涉及餐饮油烟、燃料消耗。本项目不产生废水。</w:t>
                  </w:r>
                </w:p>
              </w:tc>
              <w:tc>
                <w:tcPr>
                  <w:tcW w:w="175" w:type="pct"/>
                  <w:vAlign w:val="center"/>
                </w:tcPr>
                <w:p w14:paraId="5F7CB4E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rPr>
                    <w:t>符合</w:t>
                  </w:r>
                </w:p>
              </w:tc>
            </w:tr>
            <w:tr w14:paraId="1831C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4FE939C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yellow"/>
                    </w:rPr>
                  </w:pPr>
                </w:p>
              </w:tc>
              <w:tc>
                <w:tcPr>
                  <w:tcW w:w="223" w:type="pct"/>
                  <w:vMerge w:val="continue"/>
                  <w:vAlign w:val="center"/>
                </w:tcPr>
                <w:p w14:paraId="524E414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yellow"/>
                    </w:rPr>
                  </w:pPr>
                </w:p>
              </w:tc>
              <w:tc>
                <w:tcPr>
                  <w:tcW w:w="197" w:type="pct"/>
                  <w:vMerge w:val="continue"/>
                  <w:vAlign w:val="center"/>
                </w:tcPr>
                <w:p w14:paraId="016D20C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yellow"/>
                    </w:rPr>
                  </w:pPr>
                </w:p>
              </w:tc>
              <w:tc>
                <w:tcPr>
                  <w:tcW w:w="520" w:type="pct"/>
                  <w:vAlign w:val="center"/>
                </w:tcPr>
                <w:p w14:paraId="52DA7D9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412" w:type="pct"/>
                  <w:vAlign w:val="center"/>
                </w:tcPr>
                <w:p w14:paraId="15B1E13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环境风险防控</w:t>
                  </w:r>
                </w:p>
              </w:tc>
              <w:tc>
                <w:tcPr>
                  <w:tcW w:w="1887" w:type="pct"/>
                  <w:vAlign w:val="center"/>
                </w:tcPr>
                <w:p w14:paraId="1AAAA80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402" w:type="pct"/>
                  <w:vMerge w:val="continue"/>
                  <w:vAlign w:val="center"/>
                </w:tcPr>
                <w:p w14:paraId="700D0C3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eastAsia="宋体" w:cs="Times New Roman"/>
                      <w:color w:val="auto"/>
                      <w:szCs w:val="21"/>
                      <w:highlight w:val="yellow"/>
                    </w:rPr>
                  </w:pPr>
                </w:p>
              </w:tc>
              <w:tc>
                <w:tcPr>
                  <w:tcW w:w="756" w:type="pct"/>
                  <w:vAlign w:val="center"/>
                </w:tcPr>
                <w:p w14:paraId="2345627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w:t>
                  </w:r>
                </w:p>
              </w:tc>
              <w:tc>
                <w:tcPr>
                  <w:tcW w:w="175" w:type="pct"/>
                  <w:vAlign w:val="center"/>
                </w:tcPr>
                <w:p w14:paraId="26032FC1">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w:t>
                  </w:r>
                </w:p>
              </w:tc>
            </w:tr>
            <w:tr w14:paraId="3DC49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23" w:type="pct"/>
                  <w:vMerge w:val="continue"/>
                  <w:vAlign w:val="center"/>
                </w:tcPr>
                <w:p w14:paraId="0FE722C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p>
              </w:tc>
              <w:tc>
                <w:tcPr>
                  <w:tcW w:w="223" w:type="pct"/>
                  <w:vMerge w:val="continue"/>
                  <w:vAlign w:val="center"/>
                </w:tcPr>
                <w:p w14:paraId="32E4415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p>
              </w:tc>
              <w:tc>
                <w:tcPr>
                  <w:tcW w:w="197" w:type="pct"/>
                  <w:vMerge w:val="continue"/>
                  <w:vAlign w:val="center"/>
                </w:tcPr>
                <w:p w14:paraId="71499195">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rPr>
                  </w:pPr>
                </w:p>
              </w:tc>
              <w:tc>
                <w:tcPr>
                  <w:tcW w:w="520" w:type="pct"/>
                  <w:vAlign w:val="center"/>
                </w:tcPr>
                <w:p w14:paraId="557CA8D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412" w:type="pct"/>
                  <w:vAlign w:val="center"/>
                </w:tcPr>
                <w:p w14:paraId="0286821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资源开发效率要求</w:t>
                  </w:r>
                </w:p>
              </w:tc>
              <w:tc>
                <w:tcPr>
                  <w:tcW w:w="1887" w:type="pct"/>
                  <w:vAlign w:val="center"/>
                </w:tcPr>
                <w:p w14:paraId="0C436E0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高污染燃料禁燃区：1.禁止销售、使用高污染燃料。禁止新建、扩建燃用高污染燃料的设施。已建成的，应当在市人民政府规定的期限内停止使用或者改用天然气、页岩气、煤层气、液化石油气、干热岩、电、太阳能或者其他清洁能源。2.禁止燃放烟花爆竹。</w:t>
                  </w:r>
                </w:p>
              </w:tc>
              <w:tc>
                <w:tcPr>
                  <w:tcW w:w="402" w:type="pct"/>
                  <w:vMerge w:val="continue"/>
                  <w:vAlign w:val="center"/>
                </w:tcPr>
                <w:p w14:paraId="289F415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eastAsia="宋体" w:cs="Times New Roman"/>
                      <w:color w:val="auto"/>
                      <w:szCs w:val="21"/>
                      <w:highlight w:val="none"/>
                    </w:rPr>
                  </w:pPr>
                </w:p>
              </w:tc>
              <w:tc>
                <w:tcPr>
                  <w:tcW w:w="756" w:type="pct"/>
                  <w:shd w:val="clear" w:color="auto" w:fill="auto"/>
                  <w:vAlign w:val="center"/>
                </w:tcPr>
                <w:p w14:paraId="78A7D7D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本项目不涉及。</w:t>
                  </w:r>
                </w:p>
              </w:tc>
              <w:tc>
                <w:tcPr>
                  <w:tcW w:w="175" w:type="pct"/>
                  <w:shd w:val="clear" w:color="auto" w:fill="auto"/>
                  <w:vAlign w:val="center"/>
                </w:tcPr>
                <w:p w14:paraId="46448D4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Cs w:val="21"/>
                      <w:highlight w:val="none"/>
                    </w:rPr>
                    <w:t>符合</w:t>
                  </w:r>
                </w:p>
              </w:tc>
            </w:tr>
          </w:tbl>
          <w:p w14:paraId="18A971CA">
            <w:pPr>
              <w:spacing w:line="360" w:lineRule="auto"/>
              <w:ind w:firstLine="482" w:firstLineChars="200"/>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b/>
                <w:bCs w:val="0"/>
                <w:color w:val="auto"/>
                <w:kern w:val="0"/>
                <w:sz w:val="24"/>
                <w:highlight w:val="none"/>
                <w:lang w:val="en-US" w:eastAsia="zh-CN"/>
              </w:rPr>
              <w:t>一说明：</w:t>
            </w:r>
            <w:r>
              <w:rPr>
                <w:rFonts w:hint="default" w:ascii="Times New Roman" w:hAnsi="Times New Roman" w:eastAsia="宋体" w:cs="Times New Roman"/>
                <w:bCs/>
                <w:color w:val="auto"/>
                <w:kern w:val="0"/>
                <w:sz w:val="24"/>
                <w:highlight w:val="none"/>
                <w:lang w:val="en-US" w:eastAsia="zh-CN"/>
              </w:rPr>
              <w:t>根据上表及本项目</w:t>
            </w:r>
            <w:r>
              <w:rPr>
                <w:rFonts w:hint="default" w:ascii="Times New Roman" w:hAnsi="Times New Roman" w:eastAsia="宋体" w:cs="Times New Roman"/>
                <w:bCs/>
                <w:color w:val="auto"/>
                <w:kern w:val="0"/>
                <w:sz w:val="24"/>
                <w:highlight w:val="none"/>
              </w:rPr>
              <w:t>在</w:t>
            </w:r>
            <w:r>
              <w:rPr>
                <w:rFonts w:hint="default" w:ascii="Times New Roman" w:hAnsi="Times New Roman" w:eastAsia="宋体" w:cs="Times New Roman"/>
                <w:bCs/>
                <w:color w:val="auto"/>
                <w:kern w:val="0"/>
                <w:sz w:val="24"/>
                <w:highlight w:val="none"/>
                <w:lang w:val="en-US" w:eastAsia="zh-CN"/>
              </w:rPr>
              <w:t>陕西省“三线一单”生态环境管控单元对照分析报告</w:t>
            </w:r>
            <w:r>
              <w:rPr>
                <w:rFonts w:hint="default" w:ascii="Times New Roman" w:hAnsi="Times New Roman" w:eastAsia="宋体" w:cs="Times New Roman"/>
                <w:bCs/>
                <w:color w:val="auto"/>
                <w:kern w:val="0"/>
                <w:sz w:val="24"/>
                <w:highlight w:val="none"/>
              </w:rPr>
              <w:t>图</w:t>
            </w:r>
            <w:r>
              <w:rPr>
                <w:rFonts w:hint="default" w:ascii="Times New Roman" w:hAnsi="Times New Roman" w:eastAsia="宋体" w:cs="Times New Roman"/>
                <w:bCs/>
                <w:color w:val="auto"/>
                <w:kern w:val="0"/>
                <w:sz w:val="24"/>
                <w:highlight w:val="none"/>
                <w:lang w:val="en-US" w:eastAsia="zh-CN"/>
              </w:rPr>
              <w:t>，本项目位于陕西省西安市未央区重点管控单元2内，符合“三线一单”重点管控分区的各项要求。本项目“三线一单”生态环境管控单元对照分析报告详见附件5。</w:t>
            </w:r>
          </w:p>
          <w:p w14:paraId="095FB005">
            <w:pPr>
              <w:spacing w:line="360" w:lineRule="auto"/>
              <w:ind w:firstLine="482"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b/>
                <w:bCs/>
                <w:color w:val="auto"/>
                <w:sz w:val="24"/>
                <w:highlight w:val="none"/>
              </w:rPr>
              <w:t>3、与相关环保政策符合性分析</w:t>
            </w:r>
          </w:p>
          <w:p w14:paraId="1EAB46C6">
            <w:pPr>
              <w:spacing w:line="360" w:lineRule="auto"/>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本项目与相关规划、政策的相符性分析见表1-</w:t>
            </w: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w:t>
            </w:r>
          </w:p>
          <w:p w14:paraId="45E27639">
            <w:pPr>
              <w:autoSpaceDE w:val="0"/>
              <w:autoSpaceDN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w:t>
            </w:r>
            <w:r>
              <w:rPr>
                <w:rFonts w:hint="default" w:ascii="Times New Roman" w:hAnsi="Times New Roman" w:eastAsia="宋体" w:cs="Times New Roman"/>
                <w:b/>
                <w:color w:val="auto"/>
                <w:szCs w:val="21"/>
                <w:lang w:val="en-US" w:eastAsia="zh-CN"/>
              </w:rPr>
              <w:t>2</w:t>
            </w:r>
            <w:r>
              <w:rPr>
                <w:rFonts w:hint="default" w:ascii="Times New Roman" w:hAnsi="Times New Roman" w:eastAsia="宋体" w:cs="Times New Roman"/>
                <w:b/>
                <w:color w:val="auto"/>
                <w:szCs w:val="21"/>
              </w:rPr>
              <w:t xml:space="preserve">   本项目与相关规划、政策符合性分析</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2913"/>
              <w:gridCol w:w="1910"/>
              <w:gridCol w:w="560"/>
            </w:tblGrid>
            <w:tr w14:paraId="7CF91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16" w:type="dxa"/>
                  <w:noWrap w:val="0"/>
                  <w:vAlign w:val="center"/>
                </w:tcPr>
                <w:p w14:paraId="4BDCD3CF">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名称</w:t>
                  </w:r>
                </w:p>
              </w:tc>
              <w:tc>
                <w:tcPr>
                  <w:tcW w:w="2913" w:type="dxa"/>
                  <w:noWrap w:val="0"/>
                  <w:vAlign w:val="center"/>
                </w:tcPr>
                <w:p w14:paraId="2B415145">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规划内容</w:t>
                  </w:r>
                </w:p>
              </w:tc>
              <w:tc>
                <w:tcPr>
                  <w:tcW w:w="1910" w:type="dxa"/>
                  <w:noWrap w:val="0"/>
                  <w:vAlign w:val="center"/>
                </w:tcPr>
                <w:p w14:paraId="1A42DF09">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本项目情况</w:t>
                  </w:r>
                </w:p>
              </w:tc>
              <w:tc>
                <w:tcPr>
                  <w:tcW w:w="560" w:type="dxa"/>
                  <w:noWrap w:val="0"/>
                  <w:vAlign w:val="center"/>
                </w:tcPr>
                <w:p w14:paraId="217CC8A2">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相符性</w:t>
                  </w:r>
                </w:p>
              </w:tc>
            </w:tr>
            <w:tr w14:paraId="2639C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noWrap w:val="0"/>
                  <w:vAlign w:val="center"/>
                </w:tcPr>
                <w:p w14:paraId="1D026B0D">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《陕西省“十四五”生态环境保护规划》（陕政发[2021]25号）</w:t>
                  </w:r>
                </w:p>
              </w:tc>
              <w:tc>
                <w:tcPr>
                  <w:tcW w:w="2913" w:type="dxa"/>
                  <w:noWrap w:val="0"/>
                  <w:vAlign w:val="center"/>
                </w:tcPr>
                <w:p w14:paraId="36FC2E5D">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持续推进重点污染源治理推进重点行业挥发性有机物综合整治。建立石化、化工、工业涂装、包装印刷、家具、电子制造、工程机械制造等重点行业源头、过程和末端全过程控制体系，实施挥发性有机物总量控制。</w:t>
                  </w:r>
                </w:p>
              </w:tc>
              <w:tc>
                <w:tcPr>
                  <w:tcW w:w="1910" w:type="dxa"/>
                  <w:noWrap w:val="0"/>
                  <w:vAlign w:val="center"/>
                </w:tcPr>
                <w:p w14:paraId="7BA0CE26">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本项目使用低挥发性有机物含量原料从源头对挥发性有机物产生量进行削减。喷漆废气依托现有工程“干式过滤+活性炭吸附浓缩+催化燃烧”的工艺进行处理。</w:t>
                  </w:r>
                </w:p>
              </w:tc>
              <w:tc>
                <w:tcPr>
                  <w:tcW w:w="560" w:type="dxa"/>
                  <w:noWrap w:val="0"/>
                  <w:vAlign w:val="center"/>
                </w:tcPr>
                <w:p w14:paraId="50D9937D">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34194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restart"/>
                  <w:noWrap w:val="0"/>
                  <w:vAlign w:val="center"/>
                </w:tcPr>
                <w:p w14:paraId="6583D173">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《重点行业挥发性有机物综合治理方案》（环大气[2019]53号）</w:t>
                  </w:r>
                </w:p>
              </w:tc>
              <w:tc>
                <w:tcPr>
                  <w:tcW w:w="2913" w:type="dxa"/>
                  <w:noWrap w:val="0"/>
                  <w:vAlign w:val="center"/>
                </w:tcPr>
                <w:p w14:paraId="5500C102">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加快推广紧凑式涂装工艺、先进涂装技术和设备。</w:t>
                  </w:r>
                </w:p>
              </w:tc>
              <w:tc>
                <w:tcPr>
                  <w:tcW w:w="1910" w:type="dxa"/>
                  <w:noWrap w:val="0"/>
                  <w:vAlign w:val="center"/>
                </w:tcPr>
                <w:p w14:paraId="53DF0E6F">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本项目采用高压无气喷涂技术。</w:t>
                  </w:r>
                </w:p>
              </w:tc>
              <w:tc>
                <w:tcPr>
                  <w:tcW w:w="560" w:type="dxa"/>
                  <w:noWrap w:val="0"/>
                  <w:vAlign w:val="center"/>
                </w:tcPr>
                <w:p w14:paraId="3FD8F354">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4EE28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continue"/>
                  <w:noWrap w:val="0"/>
                  <w:vAlign w:val="center"/>
                </w:tcPr>
                <w:p w14:paraId="02FA57F3">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913" w:type="dxa"/>
                  <w:noWrap w:val="0"/>
                  <w:vAlign w:val="center"/>
                </w:tcPr>
                <w:p w14:paraId="6BD83E39">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强化源头控制，加快使用粉末、水性、高固体分、辐射固化等低VOCs含量的涂料替代溶剂型涂料。</w:t>
                  </w:r>
                </w:p>
              </w:tc>
              <w:tc>
                <w:tcPr>
                  <w:tcW w:w="1910" w:type="dxa"/>
                  <w:noWrap w:val="0"/>
                  <w:vAlign w:val="center"/>
                </w:tcPr>
                <w:p w14:paraId="7F9F6999">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本项目使用的底漆面漆、稀释剂、固化剂均为低VOCs含量的涂料。</w:t>
                  </w:r>
                </w:p>
              </w:tc>
              <w:tc>
                <w:tcPr>
                  <w:tcW w:w="560" w:type="dxa"/>
                  <w:noWrap w:val="0"/>
                  <w:vAlign w:val="center"/>
                </w:tcPr>
                <w:p w14:paraId="1CF9B19F">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2FA7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continue"/>
                  <w:noWrap w:val="0"/>
                  <w:vAlign w:val="center"/>
                </w:tcPr>
                <w:p w14:paraId="6D0EC28D">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913" w:type="dxa"/>
                  <w:noWrap w:val="0"/>
                  <w:vAlign w:val="center"/>
                </w:tcPr>
                <w:p w14:paraId="6E35E8C9">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有效控制无组织排放。涂料、稀释剂、清洗剂等原辅材料应密闭存储，调配、使用、回收等过程应采用密闭设备或在密闭空间内操作，采用密闭管道或密闭容器等输送。除大型工件外，禁止敞开式喷涂、晾（风）</w:t>
                  </w:r>
                </w:p>
                <w:p w14:paraId="15FE3710">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干作业。除工艺限制外，原则上实行集中调配。调配、喷涂和干燥等VOCs排放工序应配备有效的废气收</w:t>
                  </w:r>
                </w:p>
                <w:p w14:paraId="00333664">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集系统。</w:t>
                  </w:r>
                </w:p>
              </w:tc>
              <w:tc>
                <w:tcPr>
                  <w:tcW w:w="1910" w:type="dxa"/>
                  <w:noWrap w:val="0"/>
                  <w:vAlign w:val="center"/>
                </w:tcPr>
                <w:p w14:paraId="008CA66C">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本项目底漆面漆、稀释剂、固化剂均与化学品库内密闭储存。调配工段位于喷漆房调漆间内，调漆间内有机废气通过密闭负压收集后，与喷漆废气一同处理。</w:t>
                  </w:r>
                </w:p>
              </w:tc>
              <w:tc>
                <w:tcPr>
                  <w:tcW w:w="560" w:type="dxa"/>
                  <w:noWrap w:val="0"/>
                  <w:vAlign w:val="center"/>
                </w:tcPr>
                <w:p w14:paraId="2680D44A">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15121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continue"/>
                  <w:noWrap w:val="0"/>
                  <w:vAlign w:val="center"/>
                </w:tcPr>
                <w:p w14:paraId="06CC4784">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913" w:type="dxa"/>
                  <w:noWrap w:val="0"/>
                  <w:vAlign w:val="center"/>
                </w:tcPr>
                <w:p w14:paraId="0E76A6E4">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4"/>
                    </w:rPr>
                    <w:t>推进建设适宜高效的治污设施。喷涂废气应设置高效漆雾处理装置</w:t>
                  </w:r>
                  <w:r>
                    <w:rPr>
                      <w:rFonts w:hint="default" w:ascii="Times New Roman" w:hAnsi="Times New Roman" w:eastAsia="宋体" w:cs="Times New Roman"/>
                      <w:color w:val="auto"/>
                      <w:sz w:val="21"/>
                      <w:szCs w:val="24"/>
                      <w:lang w:eastAsia="zh-CN"/>
                    </w:rPr>
                    <w:t>。</w:t>
                  </w:r>
                </w:p>
              </w:tc>
              <w:tc>
                <w:tcPr>
                  <w:tcW w:w="1910" w:type="dxa"/>
                  <w:noWrap w:val="0"/>
                  <w:vAlign w:val="center"/>
                </w:tcPr>
                <w:p w14:paraId="41BD4EF8">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本项目喷漆废气依托现有工程“干式过滤+活性炭吸附浓缩+催化燃烧”的工艺进行处理。。</w:t>
                  </w:r>
                </w:p>
              </w:tc>
              <w:tc>
                <w:tcPr>
                  <w:tcW w:w="560" w:type="dxa"/>
                  <w:noWrap w:val="0"/>
                  <w:vAlign w:val="center"/>
                </w:tcPr>
                <w:p w14:paraId="443F7B35">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09144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noWrap w:val="0"/>
                  <w:vAlign w:val="center"/>
                </w:tcPr>
                <w:p w14:paraId="396427F2">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4"/>
                      <w:lang w:eastAsia="zh-CN"/>
                    </w:rPr>
                    <w:t>《</w:t>
                  </w:r>
                  <w:r>
                    <w:rPr>
                      <w:rFonts w:hint="default" w:ascii="Times New Roman" w:hAnsi="Times New Roman" w:eastAsia="宋体" w:cs="Times New Roman"/>
                      <w:color w:val="auto"/>
                      <w:sz w:val="21"/>
                      <w:szCs w:val="24"/>
                    </w:rPr>
                    <w:t>挥发性有机物（VOCs）污染防治技术政策</w:t>
                  </w:r>
                  <w:r>
                    <w:rPr>
                      <w:rFonts w:hint="default" w:ascii="Times New Roman" w:hAnsi="Times New Roman" w:eastAsia="宋体" w:cs="Times New Roman"/>
                      <w:color w:val="auto"/>
                      <w:sz w:val="21"/>
                      <w:szCs w:val="24"/>
                      <w:lang w:eastAsia="zh-CN"/>
                    </w:rPr>
                    <w:t>》（公告2013年第31号）</w:t>
                  </w:r>
                </w:p>
              </w:tc>
              <w:tc>
                <w:tcPr>
                  <w:tcW w:w="2913" w:type="dxa"/>
                  <w:noWrap w:val="0"/>
                  <w:vAlign w:val="center"/>
                </w:tcPr>
                <w:p w14:paraId="3E8DD82D">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含VOCs产品的使用过程中，应采取废气收集措施，提高废气收集效率，减少废气的无组织排放与逸散，并对收集后的废气进行回收或处理后达标排放。</w:t>
                  </w:r>
                </w:p>
              </w:tc>
              <w:tc>
                <w:tcPr>
                  <w:tcW w:w="1910" w:type="dxa"/>
                  <w:noWrap w:val="0"/>
                  <w:vAlign w:val="center"/>
                </w:tcPr>
                <w:p w14:paraId="5D6F639E">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本项目喷漆房为密闭负压设施，有机废气依托现有工程“干式过滤+活性炭吸附浓缩+催化燃烧”的工艺进行处理。</w:t>
                  </w:r>
                </w:p>
              </w:tc>
              <w:tc>
                <w:tcPr>
                  <w:tcW w:w="560" w:type="dxa"/>
                  <w:noWrap w:val="0"/>
                  <w:vAlign w:val="center"/>
                </w:tcPr>
                <w:p w14:paraId="384921BE">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1F046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noWrap w:val="0"/>
                  <w:vAlign w:val="center"/>
                </w:tcPr>
                <w:p w14:paraId="47DE2A35">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4"/>
                      <w:lang w:eastAsia="zh-CN"/>
                    </w:rPr>
                  </w:pPr>
                  <w:r>
                    <w:rPr>
                      <w:rFonts w:hint="default" w:ascii="Times New Roman" w:hAnsi="Times New Roman" w:eastAsia="宋体" w:cs="Times New Roman"/>
                      <w:color w:val="auto"/>
                      <w:sz w:val="21"/>
                      <w:szCs w:val="24"/>
                      <w:lang w:eastAsia="zh-CN"/>
                    </w:rPr>
                    <w:t>《关于进一步加强重点地区涉VOCs项目环境影响评价管理工作的通知》（陕环环评函</w:t>
                  </w:r>
                  <w:r>
                    <w:rPr>
                      <w:rFonts w:hint="default" w:ascii="Times New Roman" w:hAnsi="Times New Roman" w:eastAsia="宋体" w:cs="Times New Roman"/>
                      <w:color w:val="auto"/>
                      <w:sz w:val="21"/>
                      <w:szCs w:val="24"/>
                      <w:lang w:val="en-US" w:eastAsia="zh-CN"/>
                    </w:rPr>
                    <w:t>[</w:t>
                  </w:r>
                  <w:r>
                    <w:rPr>
                      <w:rFonts w:hint="default" w:ascii="Times New Roman" w:hAnsi="Times New Roman" w:eastAsia="宋体" w:cs="Times New Roman"/>
                      <w:color w:val="auto"/>
                      <w:sz w:val="21"/>
                      <w:szCs w:val="24"/>
                      <w:lang w:eastAsia="zh-CN"/>
                    </w:rPr>
                    <w:t>2020</w:t>
                  </w:r>
                  <w:r>
                    <w:rPr>
                      <w:rFonts w:hint="default" w:ascii="Times New Roman" w:hAnsi="Times New Roman" w:eastAsia="宋体" w:cs="Times New Roman"/>
                      <w:color w:val="auto"/>
                      <w:sz w:val="21"/>
                      <w:szCs w:val="24"/>
                      <w:lang w:val="en-US" w:eastAsia="zh-CN"/>
                    </w:rPr>
                    <w:t>]</w:t>
                  </w:r>
                  <w:r>
                    <w:rPr>
                      <w:rFonts w:hint="default" w:ascii="Times New Roman" w:hAnsi="Times New Roman" w:eastAsia="宋体" w:cs="Times New Roman"/>
                      <w:color w:val="auto"/>
                      <w:sz w:val="21"/>
                      <w:szCs w:val="24"/>
                      <w:lang w:eastAsia="zh-CN"/>
                    </w:rPr>
                    <w:t>61号）</w:t>
                  </w:r>
                </w:p>
              </w:tc>
              <w:tc>
                <w:tcPr>
                  <w:tcW w:w="2913" w:type="dxa"/>
                  <w:noWrap w:val="0"/>
                  <w:vAlign w:val="center"/>
                </w:tcPr>
                <w:p w14:paraId="1858E987">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4"/>
                    </w:rPr>
                    <w:t>严格涉VOCs建设项目环境影响评价，涉VOCs建设项目特别是石化、化工、包装印刷、工业涂装等新增VOC</w:t>
                  </w:r>
                  <w:r>
                    <w:rPr>
                      <w:rFonts w:hint="default" w:ascii="Times New Roman" w:hAnsi="Times New Roman" w:eastAsia="宋体" w:cs="Times New Roman"/>
                      <w:color w:val="auto"/>
                      <w:sz w:val="21"/>
                      <w:szCs w:val="24"/>
                      <w:lang w:val="en-US" w:eastAsia="zh-CN"/>
                    </w:rPr>
                    <w:t>s</w:t>
                  </w:r>
                  <w:r>
                    <w:rPr>
                      <w:rFonts w:hint="default" w:ascii="Times New Roman" w:hAnsi="Times New Roman" w:eastAsia="宋体" w:cs="Times New Roman"/>
                      <w:color w:val="auto"/>
                      <w:sz w:val="21"/>
                      <w:szCs w:val="24"/>
                    </w:rPr>
                    <w:t>排放量的建设项目，环评文件应明确VOCs污染防治设施措施并预测排放量，按照国家和我省具体规定实行区域内VOCs排放等量或倍量削减替代。</w:t>
                  </w:r>
                </w:p>
              </w:tc>
              <w:tc>
                <w:tcPr>
                  <w:tcW w:w="1910" w:type="dxa"/>
                  <w:noWrap w:val="0"/>
                  <w:vAlign w:val="center"/>
                </w:tcPr>
                <w:p w14:paraId="119F8047">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本项目喷漆房为密闭负压设施，有机废气依托现有工程“干式过滤+活性炭吸附浓缩+催化燃烧”的工艺进行处理。目前陕西省尚未发布VOCs总量购买平台。</w:t>
                  </w:r>
                </w:p>
              </w:tc>
              <w:tc>
                <w:tcPr>
                  <w:tcW w:w="560" w:type="dxa"/>
                  <w:noWrap w:val="0"/>
                  <w:vAlign w:val="center"/>
                </w:tcPr>
                <w:p w14:paraId="51B1E365">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0589F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noWrap w:val="0"/>
                  <w:vAlign w:val="center"/>
                </w:tcPr>
                <w:p w14:paraId="7C2A5345">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4"/>
                      <w:lang w:eastAsia="zh-CN"/>
                    </w:rPr>
                  </w:pPr>
                  <w:r>
                    <w:rPr>
                      <w:rFonts w:hint="default" w:ascii="Times New Roman" w:hAnsi="Times New Roman" w:eastAsia="宋体" w:cs="Times New Roman"/>
                      <w:color w:val="auto"/>
                      <w:sz w:val="21"/>
                      <w:szCs w:val="24"/>
                      <w:lang w:eastAsia="zh-CN"/>
                    </w:rPr>
                    <w:t>《陕西省大气污染治理专项行动方案（2023-2027年）》</w:t>
                  </w:r>
                </w:p>
              </w:tc>
              <w:tc>
                <w:tcPr>
                  <w:tcW w:w="2913" w:type="dxa"/>
                  <w:noWrap w:val="0"/>
                  <w:vAlign w:val="center"/>
                </w:tcPr>
                <w:p w14:paraId="5D4860BE">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4"/>
                    </w:rPr>
                    <w:t>关中地区市辖区及开发区范围内新、改、扩建涉气重点行业企业应达到环保绩效A级、绩效引领性水平，西安市、咸阳市、渭南市的其他区域应达到环保绩效B级及以上水平</w:t>
                  </w:r>
                </w:p>
              </w:tc>
              <w:tc>
                <w:tcPr>
                  <w:tcW w:w="1910" w:type="dxa"/>
                  <w:noWrap w:val="0"/>
                  <w:vAlign w:val="center"/>
                </w:tcPr>
                <w:p w14:paraId="4EAEE42E">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本项目从原辅材料、无组织排放、VOCs治污设施、排放限值、监测监控水平、环境管理水平、运输方式、运输监管进行分析，符合工业涂装绩效分级指标体系中A级企业的要求。企业绩效评级手续正在办理中。</w:t>
                  </w:r>
                </w:p>
              </w:tc>
              <w:tc>
                <w:tcPr>
                  <w:tcW w:w="560" w:type="dxa"/>
                  <w:noWrap w:val="0"/>
                  <w:vAlign w:val="center"/>
                </w:tcPr>
                <w:p w14:paraId="050DD005">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5DB53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restart"/>
                  <w:noWrap w:val="0"/>
                  <w:vAlign w:val="center"/>
                </w:tcPr>
                <w:p w14:paraId="4AFE7B75">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4"/>
                      <w:lang w:eastAsia="zh-CN"/>
                    </w:rPr>
                  </w:pPr>
                  <w:r>
                    <w:rPr>
                      <w:rFonts w:hint="default" w:ascii="Times New Roman" w:hAnsi="Times New Roman" w:eastAsia="宋体" w:cs="Times New Roman"/>
                      <w:color w:val="auto"/>
                      <w:sz w:val="21"/>
                      <w:szCs w:val="24"/>
                      <w:lang w:eastAsia="zh-CN"/>
                    </w:rPr>
                    <w:t>《沣东新城大气污染治理专项行动方案（2023—2027年）》（西咸沣东党发〔2023〕29号）</w:t>
                  </w:r>
                </w:p>
              </w:tc>
              <w:tc>
                <w:tcPr>
                  <w:tcW w:w="2913" w:type="dxa"/>
                  <w:noWrap w:val="0"/>
                  <w:vAlign w:val="center"/>
                </w:tcPr>
                <w:p w14:paraId="5692E380">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严格新改扩建涉气重点行业绩效评级限制条件。各区、开发区范围内新改扩建涉气重点行业企业应达到环保绩效A级、绩效引领性水平。</w:t>
                  </w:r>
                </w:p>
              </w:tc>
              <w:tc>
                <w:tcPr>
                  <w:tcW w:w="1910" w:type="dxa"/>
                  <w:noWrap w:val="0"/>
                  <w:vAlign w:val="center"/>
                </w:tcPr>
                <w:p w14:paraId="23881712">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本项目从原辅材料、无组织排放、VOCs治污设施、排放限值、监测监控水平、环境管理水平、运输方式、运输监管进行分析，符合工业涂装绩效分级指标体系中A级企业的要求。企业绩效评级手续正在办理中。</w:t>
                  </w:r>
                </w:p>
              </w:tc>
              <w:tc>
                <w:tcPr>
                  <w:tcW w:w="560" w:type="dxa"/>
                  <w:noWrap w:val="0"/>
                  <w:vAlign w:val="center"/>
                </w:tcPr>
                <w:p w14:paraId="471546DF">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3756F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continue"/>
                  <w:noWrap w:val="0"/>
                  <w:vAlign w:val="center"/>
                </w:tcPr>
                <w:p w14:paraId="2AC9237D">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4"/>
                      <w:lang w:eastAsia="zh-CN"/>
                    </w:rPr>
                  </w:pPr>
                </w:p>
              </w:tc>
              <w:tc>
                <w:tcPr>
                  <w:tcW w:w="2913" w:type="dxa"/>
                  <w:noWrap w:val="0"/>
                  <w:vAlign w:val="center"/>
                </w:tcPr>
                <w:p w14:paraId="1D10AEE6">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推进涉气企业废气深度治理，完成维美德造纸机械技术（西安）有限公司废气治理设施升级改造。</w:t>
                  </w:r>
                </w:p>
              </w:tc>
              <w:tc>
                <w:tcPr>
                  <w:tcW w:w="1910" w:type="dxa"/>
                  <w:noWrap w:val="0"/>
                  <w:vAlign w:val="center"/>
                </w:tcPr>
                <w:p w14:paraId="21F50704">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现有工程有机废气已由“UV+活性炭”处理措施升级改造为“干式过滤+活性炭吸附浓缩+催化燃烧”的工艺，本项目依托现有工程有机废气处理措施。</w:t>
                  </w:r>
                </w:p>
              </w:tc>
              <w:tc>
                <w:tcPr>
                  <w:tcW w:w="560" w:type="dxa"/>
                  <w:noWrap w:val="0"/>
                  <w:vAlign w:val="center"/>
                </w:tcPr>
                <w:p w14:paraId="0C28FA36">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0250B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continue"/>
                  <w:noWrap w:val="0"/>
                  <w:vAlign w:val="center"/>
                </w:tcPr>
                <w:p w14:paraId="01481FAE">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4"/>
                      <w:lang w:eastAsia="zh-CN"/>
                    </w:rPr>
                  </w:pPr>
                </w:p>
              </w:tc>
              <w:tc>
                <w:tcPr>
                  <w:tcW w:w="2913" w:type="dxa"/>
                  <w:noWrap w:val="0"/>
                  <w:vAlign w:val="center"/>
                </w:tcPr>
                <w:p w14:paraId="499405D4">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强化 VOCs 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 VOCs 废气不再采用喷淋吸收方式处理。</w:t>
                  </w:r>
                </w:p>
              </w:tc>
              <w:tc>
                <w:tcPr>
                  <w:tcW w:w="1910" w:type="dxa"/>
                  <w:noWrap w:val="0"/>
                  <w:vAlign w:val="center"/>
                </w:tcPr>
                <w:p w14:paraId="70A0B18B">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现有工程有机废气设置“干式过滤+活性炭吸附浓缩+催化燃烧”的高效处理工艺，本项目依托现有工程有机废气处理措施。</w:t>
                  </w:r>
                </w:p>
              </w:tc>
              <w:tc>
                <w:tcPr>
                  <w:tcW w:w="560" w:type="dxa"/>
                  <w:noWrap w:val="0"/>
                  <w:vAlign w:val="center"/>
                </w:tcPr>
                <w:p w14:paraId="6E292CD0">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42EA4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continue"/>
                  <w:noWrap w:val="0"/>
                  <w:vAlign w:val="center"/>
                </w:tcPr>
                <w:p w14:paraId="3893C832">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4"/>
                      <w:lang w:eastAsia="zh-CN"/>
                    </w:rPr>
                  </w:pPr>
                </w:p>
              </w:tc>
              <w:tc>
                <w:tcPr>
                  <w:tcW w:w="2913" w:type="dxa"/>
                  <w:noWrap w:val="0"/>
                  <w:vAlign w:val="center"/>
                </w:tcPr>
                <w:p w14:paraId="35A3C57A">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涉 VOCs 排放企业低挥发性原辅材料替代。督导石化有机化工、电子、装备制造、表面涂装、包装印刷等行业依法使用低 VOCs 含量涂料或溶剂，建立完善相关台账记录，因工艺等原因无法使用的，应组织专家进行论证，并出具论证意见。工业涂装企业应使用低挥发性有机物含量的涂料，2023年技术可行的工业涂装企业全部使用低挥发性涂料，2025 年工业涂装企业完成清洁生产审核。</w:t>
                  </w:r>
                </w:p>
              </w:tc>
              <w:tc>
                <w:tcPr>
                  <w:tcW w:w="1910" w:type="dxa"/>
                  <w:noWrap w:val="0"/>
                  <w:vAlign w:val="center"/>
                </w:tcPr>
                <w:p w14:paraId="1612193D">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本项目使用的底漆面漆、稀释剂、固化剂均为低VOCs含量的涂料。企业拟开展清洁生产审核。</w:t>
                  </w:r>
                </w:p>
              </w:tc>
              <w:tc>
                <w:tcPr>
                  <w:tcW w:w="560" w:type="dxa"/>
                  <w:noWrap w:val="0"/>
                  <w:vAlign w:val="center"/>
                </w:tcPr>
                <w:p w14:paraId="22A2DDFE">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86D9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restart"/>
                  <w:shd w:val="clear" w:color="auto" w:fill="auto"/>
                  <w:noWrap w:val="0"/>
                  <w:vAlign w:val="center"/>
                </w:tcPr>
                <w:p w14:paraId="36355D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1"/>
                      <w:szCs w:val="24"/>
                      <w:lang w:val="en-US" w:eastAsia="zh-CN"/>
                    </w:rPr>
                    <w:t>《陕西省噪声污染防治行动计划》（2023-2025年）</w:t>
                  </w:r>
                </w:p>
              </w:tc>
              <w:tc>
                <w:tcPr>
                  <w:tcW w:w="2913" w:type="dxa"/>
                  <w:shd w:val="clear" w:color="auto" w:fill="auto"/>
                  <w:noWrap w:val="0"/>
                  <w:vAlign w:val="center"/>
                </w:tcPr>
                <w:p w14:paraId="74C800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1"/>
                      <w:szCs w:val="24"/>
                      <w:lang w:val="en-US" w:eastAsia="zh-CN"/>
                    </w:rPr>
                    <w:t>严格落实噪声污染防治要求。切实加强规划环评工作，充分考虑区域开发等规划内容产生的噪声对声环境质量的影响。可能产生噪声污染的新改扩建项目应当依法开展环评，符合相关规划环评管控要求。建设项目的噪声污染防治设施应当与主体工程同时设计、同时施工、同时投产使用。督促建设单位依法开展竣工环境保护验收，加大事中事后监管力度，确保各项措施落地见效。以项目环评审批、排污许可管理、竣工环保验收等为抓手，严格落实噪声污染防治措施，加大重点行业建设项目环评文件和“三同时”验收噪声部分的核查抽查力度。</w:t>
                  </w:r>
                </w:p>
              </w:tc>
              <w:tc>
                <w:tcPr>
                  <w:tcW w:w="1910" w:type="dxa"/>
                  <w:shd w:val="clear" w:color="auto" w:fill="auto"/>
                  <w:noWrap w:val="0"/>
                  <w:vAlign w:val="center"/>
                </w:tcPr>
                <w:p w14:paraId="1F1D21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1"/>
                      <w:szCs w:val="24"/>
                      <w:lang w:val="en-US" w:eastAsia="zh-CN"/>
                    </w:rPr>
                    <w:t>本项目为扩建项目，正在开展环评。</w:t>
                  </w:r>
                </w:p>
              </w:tc>
              <w:tc>
                <w:tcPr>
                  <w:tcW w:w="560" w:type="dxa"/>
                  <w:shd w:val="clear" w:color="auto" w:fill="auto"/>
                  <w:noWrap w:val="0"/>
                  <w:vAlign w:val="center"/>
                </w:tcPr>
                <w:p w14:paraId="2F97B2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1"/>
                      <w:szCs w:val="24"/>
                      <w:lang w:val="en-US" w:eastAsia="zh-CN"/>
                    </w:rPr>
                    <w:t>符合</w:t>
                  </w:r>
                </w:p>
              </w:tc>
            </w:tr>
            <w:tr w14:paraId="58899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16" w:type="dxa"/>
                  <w:vMerge w:val="continue"/>
                  <w:noWrap w:val="0"/>
                  <w:vAlign w:val="center"/>
                </w:tcPr>
                <w:p w14:paraId="3C8F12DC">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2913" w:type="dxa"/>
                  <w:shd w:val="clear" w:color="auto" w:fill="auto"/>
                  <w:noWrap w:val="0"/>
                  <w:vAlign w:val="center"/>
                </w:tcPr>
                <w:p w14:paraId="7F8198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1"/>
                      <w:szCs w:val="24"/>
                      <w:lang w:val="en-US" w:eastAsia="zh-CN"/>
                    </w:rPr>
                    <w:t>落实工业噪声过程控制。噪声排放工业企业切实落实噪声污染防治措施，开展工业噪声达标专项整治，严肃查处工业企业噪声超标排放行为，加强厂区内固定设备、运输工具、货物装卸和试车线等声源噪声管理，避免突发噪声扰民。</w:t>
                  </w:r>
                </w:p>
              </w:tc>
              <w:tc>
                <w:tcPr>
                  <w:tcW w:w="1910" w:type="dxa"/>
                  <w:shd w:val="clear" w:color="auto" w:fill="auto"/>
                  <w:noWrap w:val="0"/>
                  <w:vAlign w:val="center"/>
                </w:tcPr>
                <w:p w14:paraId="7AB6CF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1"/>
                      <w:szCs w:val="24"/>
                      <w:lang w:val="en-US" w:eastAsia="zh-CN"/>
                    </w:rPr>
                    <w:t>本项目选用低噪声设备，采取基础减振、合理布局、厂房隔声，风机等高噪声设备增加软连接，以避免对周边敏感点产生影响。</w:t>
                  </w:r>
                </w:p>
              </w:tc>
              <w:tc>
                <w:tcPr>
                  <w:tcW w:w="560" w:type="dxa"/>
                  <w:shd w:val="clear" w:color="auto" w:fill="auto"/>
                  <w:noWrap w:val="0"/>
                  <w:vAlign w:val="center"/>
                </w:tcPr>
                <w:p w14:paraId="0B377F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1"/>
                      <w:szCs w:val="24"/>
                      <w:lang w:val="en-US" w:eastAsia="zh-CN"/>
                    </w:rPr>
                    <w:t>符合</w:t>
                  </w:r>
                </w:p>
              </w:tc>
            </w:tr>
          </w:tbl>
          <w:p w14:paraId="1C1B518E">
            <w:pPr>
              <w:spacing w:line="360" w:lineRule="auto"/>
              <w:ind w:firstLine="482" w:firstLineChars="200"/>
              <w:rPr>
                <w:rFonts w:hint="default" w:ascii="Times New Roman" w:hAnsi="Times New Roman" w:eastAsia="宋体" w:cs="Times New Roman"/>
                <w:b/>
                <w:bCs/>
                <w:color w:val="auto"/>
                <w:kern w:val="0"/>
                <w:sz w:val="24"/>
                <w:szCs w:val="20"/>
              </w:rPr>
            </w:pPr>
            <w:r>
              <w:rPr>
                <w:rFonts w:hint="default" w:ascii="Times New Roman" w:hAnsi="Times New Roman" w:eastAsia="宋体" w:cs="Times New Roman"/>
                <w:b/>
                <w:bCs/>
                <w:color w:val="auto"/>
                <w:kern w:val="0"/>
                <w:sz w:val="24"/>
                <w:szCs w:val="20"/>
                <w:lang w:val="en-US" w:eastAsia="zh-CN"/>
              </w:rPr>
              <w:t>4、</w:t>
            </w:r>
            <w:r>
              <w:rPr>
                <w:rFonts w:hint="default" w:ascii="Times New Roman" w:hAnsi="Times New Roman" w:eastAsia="宋体" w:cs="Times New Roman"/>
                <w:b/>
                <w:bCs/>
                <w:color w:val="auto"/>
                <w:kern w:val="0"/>
                <w:sz w:val="24"/>
                <w:szCs w:val="20"/>
              </w:rPr>
              <w:t>选址合理性分析</w:t>
            </w:r>
          </w:p>
          <w:p w14:paraId="53787577">
            <w:pPr>
              <w:spacing w:line="360" w:lineRule="auto"/>
              <w:ind w:firstLine="480" w:firstLineChars="200"/>
              <w:rPr>
                <w:rFonts w:hint="default" w:ascii="Times New Roman" w:hAnsi="Times New Roman" w:eastAsia="宋体" w:cs="Times New Roman"/>
                <w:color w:val="auto"/>
                <w:kern w:val="0"/>
                <w:sz w:val="24"/>
                <w:szCs w:val="20"/>
                <w:lang w:val="en-US"/>
              </w:rPr>
            </w:pPr>
            <w:r>
              <w:rPr>
                <w:rFonts w:hint="default" w:ascii="Times New Roman" w:hAnsi="Times New Roman" w:eastAsia="宋体" w:cs="Times New Roman"/>
                <w:color w:val="auto"/>
                <w:kern w:val="0"/>
                <w:sz w:val="24"/>
                <w:szCs w:val="20"/>
              </w:rPr>
              <w:t>①</w:t>
            </w:r>
            <w:r>
              <w:rPr>
                <w:rFonts w:hint="default" w:ascii="Times New Roman" w:hAnsi="Times New Roman" w:eastAsia="宋体" w:cs="Times New Roman"/>
                <w:color w:val="auto"/>
                <w:kern w:val="0"/>
                <w:sz w:val="24"/>
                <w:szCs w:val="20"/>
                <w:lang w:val="en-US" w:eastAsia="zh-CN"/>
              </w:rPr>
              <w:t>用地分析：</w:t>
            </w:r>
            <w:r>
              <w:rPr>
                <w:rFonts w:hint="default" w:ascii="Times New Roman" w:hAnsi="Times New Roman" w:eastAsia="宋体" w:cs="Times New Roman"/>
                <w:color w:val="auto"/>
                <w:kern w:val="0"/>
                <w:sz w:val="24"/>
                <w:szCs w:val="20"/>
              </w:rPr>
              <w:t>本项目位于</w:t>
            </w:r>
            <w:r>
              <w:rPr>
                <w:rFonts w:hint="default" w:ascii="Times New Roman" w:hAnsi="Times New Roman" w:eastAsia="宋体" w:cs="Times New Roman"/>
                <w:color w:val="auto"/>
                <w:sz w:val="24"/>
                <w:lang w:eastAsia="zh-CN"/>
              </w:rPr>
              <w:t>西咸新区沣东新城阿房四路4号维美德造纸机械技术(西安)有限公司厂内，</w:t>
            </w:r>
            <w:r>
              <w:rPr>
                <w:rFonts w:hint="default" w:ascii="Times New Roman" w:hAnsi="Times New Roman" w:eastAsia="宋体" w:cs="Times New Roman"/>
                <w:color w:val="auto"/>
                <w:sz w:val="24"/>
                <w:lang w:val="en-US" w:eastAsia="zh-CN"/>
              </w:rPr>
              <w:t>根据</w:t>
            </w:r>
            <w:r>
              <w:rPr>
                <w:rFonts w:hint="default" w:ascii="Times New Roman" w:hAnsi="Times New Roman" w:eastAsia="宋体" w:cs="Times New Roman"/>
                <w:color w:val="auto"/>
                <w:sz w:val="24"/>
                <w:lang w:eastAsia="zh-CN"/>
              </w:rPr>
              <w:t>国有土地使用证（西沣国用[2016 出]第009 号），土地用途类型为工业用地。</w:t>
            </w:r>
            <w:r>
              <w:rPr>
                <w:rFonts w:hint="default" w:ascii="Times New Roman" w:hAnsi="Times New Roman" w:eastAsia="宋体" w:cs="Times New Roman"/>
                <w:color w:val="auto"/>
                <w:sz w:val="24"/>
                <w:lang w:val="en-US" w:eastAsia="zh-CN"/>
              </w:rPr>
              <w:t>本项目利用现有闲置厂房进行扩建，不新增占地。</w:t>
            </w:r>
          </w:p>
          <w:p w14:paraId="6440A9E2">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sz w:val="24"/>
                <w:lang w:eastAsia="zh-CN"/>
              </w:rPr>
              <w:t>维美德造纸机械技术(西安)有限公司</w:t>
            </w:r>
            <w:r>
              <w:rPr>
                <w:rFonts w:hint="default" w:ascii="Times New Roman" w:hAnsi="Times New Roman" w:eastAsia="宋体" w:cs="Times New Roman"/>
                <w:color w:val="auto"/>
                <w:sz w:val="24"/>
                <w:szCs w:val="24"/>
              </w:rPr>
              <w:t>东侧为不锈钢公司、家具城等，西侧为阿房幼儿园、轻工业西安机械设计研究院、西安造纸机械厂等，南侧为</w:t>
            </w:r>
            <w:r>
              <w:rPr>
                <w:rFonts w:hint="default" w:ascii="Times New Roman" w:hAnsi="Times New Roman" w:eastAsia="宋体" w:cs="Times New Roman"/>
                <w:color w:val="auto"/>
                <w:sz w:val="24"/>
                <w:szCs w:val="24"/>
                <w:lang w:eastAsia="zh-CN"/>
              </w:rPr>
              <w:t>杨河村</w:t>
            </w:r>
            <w:r>
              <w:rPr>
                <w:rFonts w:hint="default" w:ascii="Times New Roman" w:hAnsi="Times New Roman" w:eastAsia="宋体" w:cs="Times New Roman"/>
                <w:color w:val="auto"/>
                <w:sz w:val="24"/>
                <w:szCs w:val="24"/>
              </w:rPr>
              <w:t>、西安市开鑫设备搬运有限公司、东越机电设备包装有限公司等，北侧紧邻阿房四路为西咸国际家具城</w:t>
            </w:r>
            <w:r>
              <w:rPr>
                <w:rFonts w:hint="default" w:ascii="Times New Roman" w:hAnsi="Times New Roman" w:eastAsia="宋体" w:cs="Times New Roman"/>
                <w:color w:val="auto"/>
                <w:kern w:val="0"/>
                <w:sz w:val="24"/>
                <w:szCs w:val="20"/>
                <w:lang w:val="en-US" w:eastAsia="zh-CN"/>
              </w:rPr>
              <w:t>，</w:t>
            </w:r>
            <w:r>
              <w:rPr>
                <w:rFonts w:hint="default" w:ascii="Times New Roman" w:hAnsi="Times New Roman" w:eastAsia="宋体" w:cs="Times New Roman"/>
                <w:color w:val="auto"/>
                <w:sz w:val="24"/>
              </w:rPr>
              <w:t>交通便利，便于原材料及产品的运输</w:t>
            </w:r>
            <w:r>
              <w:rPr>
                <w:rFonts w:hint="default" w:ascii="Times New Roman" w:hAnsi="Times New Roman" w:eastAsia="宋体" w:cs="Times New Roman"/>
                <w:color w:val="auto"/>
                <w:kern w:val="0"/>
                <w:sz w:val="24"/>
                <w:szCs w:val="20"/>
              </w:rPr>
              <w:t>。</w:t>
            </w:r>
          </w:p>
          <w:p w14:paraId="170373A5">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②公辅设施分析：本项目</w:t>
            </w:r>
            <w:r>
              <w:rPr>
                <w:rFonts w:hint="default" w:ascii="Times New Roman" w:hAnsi="Times New Roman" w:eastAsia="宋体" w:cs="Times New Roman"/>
                <w:color w:val="auto"/>
                <w:kern w:val="0"/>
                <w:sz w:val="24"/>
                <w:szCs w:val="20"/>
                <w:lang w:val="en-US" w:eastAsia="zh-CN"/>
              </w:rPr>
              <w:t>位</w:t>
            </w:r>
            <w:r>
              <w:rPr>
                <w:rFonts w:hint="default" w:ascii="Times New Roman" w:hAnsi="Times New Roman" w:eastAsia="宋体" w:cs="Times New Roman"/>
                <w:color w:val="auto"/>
                <w:kern w:val="0"/>
                <w:sz w:val="24"/>
                <w:szCs w:val="20"/>
              </w:rPr>
              <w:t>于</w:t>
            </w:r>
            <w:r>
              <w:rPr>
                <w:rFonts w:hint="default" w:ascii="Times New Roman" w:hAnsi="Times New Roman" w:eastAsia="宋体" w:cs="Times New Roman"/>
                <w:color w:val="auto"/>
                <w:sz w:val="24"/>
                <w:lang w:eastAsia="zh-CN"/>
              </w:rPr>
              <w:t>西咸新区沣东新城阿房四路4号维美德造纸机械技术(西安)有限公司厂内</w:t>
            </w:r>
            <w:r>
              <w:rPr>
                <w:rFonts w:hint="default" w:ascii="Times New Roman" w:hAnsi="Times New Roman" w:eastAsia="宋体" w:cs="Times New Roman"/>
                <w:color w:val="auto"/>
                <w:sz w:val="24"/>
              </w:rPr>
              <w:t>，用电均依托</w:t>
            </w:r>
            <w:r>
              <w:rPr>
                <w:rFonts w:hint="default" w:ascii="Times New Roman" w:hAnsi="Times New Roman" w:eastAsia="宋体" w:cs="Times New Roman"/>
                <w:color w:val="auto"/>
                <w:kern w:val="0"/>
                <w:sz w:val="24"/>
                <w:szCs w:val="20"/>
                <w:lang w:val="en-US" w:eastAsia="zh-CN"/>
              </w:rPr>
              <w:t>现有厂区设施供给</w:t>
            </w:r>
            <w:r>
              <w:rPr>
                <w:rFonts w:hint="default" w:ascii="Times New Roman" w:hAnsi="Times New Roman" w:eastAsia="宋体" w:cs="Times New Roman"/>
                <w:color w:val="auto"/>
                <w:sz w:val="24"/>
              </w:rPr>
              <w:t>。</w:t>
            </w:r>
            <w:r>
              <w:rPr>
                <w:rFonts w:hint="default" w:ascii="Times New Roman" w:hAnsi="Times New Roman" w:eastAsia="宋体" w:cs="Times New Roman"/>
                <w:color w:val="auto"/>
                <w:kern w:val="0"/>
                <w:sz w:val="24"/>
                <w:szCs w:val="20"/>
              </w:rPr>
              <w:t>本项目公用工程均依托可行，满足生产需要。</w:t>
            </w:r>
          </w:p>
          <w:p w14:paraId="7240A47E">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③污染物</w:t>
            </w:r>
            <w:r>
              <w:rPr>
                <w:rFonts w:hint="default" w:ascii="Times New Roman" w:hAnsi="Times New Roman" w:eastAsia="宋体" w:cs="Times New Roman"/>
                <w:color w:val="auto"/>
                <w:kern w:val="0"/>
                <w:sz w:val="24"/>
              </w:rPr>
              <w:t>影响分析：</w:t>
            </w:r>
            <w:r>
              <w:rPr>
                <w:rFonts w:hint="default" w:ascii="Times New Roman" w:hAnsi="Times New Roman" w:eastAsia="宋体" w:cs="Times New Roman"/>
                <w:color w:val="auto"/>
                <w:kern w:val="0"/>
                <w:sz w:val="24"/>
                <w:szCs w:val="22"/>
              </w:rPr>
              <w:t>项目</w:t>
            </w:r>
            <w:r>
              <w:rPr>
                <w:rFonts w:hint="default" w:ascii="Times New Roman" w:hAnsi="Times New Roman" w:eastAsia="宋体" w:cs="Times New Roman"/>
                <w:color w:val="auto"/>
                <w:kern w:val="0"/>
                <w:sz w:val="24"/>
                <w:szCs w:val="22"/>
                <w:lang w:val="en-US" w:eastAsia="zh-CN"/>
              </w:rPr>
              <w:t>废气均采取有效的治理措施并达标排放，高噪声</w:t>
            </w:r>
            <w:r>
              <w:rPr>
                <w:rFonts w:hint="default" w:ascii="Times New Roman" w:hAnsi="Times New Roman" w:eastAsia="宋体" w:cs="Times New Roman"/>
                <w:color w:val="auto"/>
                <w:kern w:val="0"/>
                <w:sz w:val="24"/>
                <w:szCs w:val="22"/>
              </w:rPr>
              <w:t>设备</w:t>
            </w:r>
            <w:r>
              <w:rPr>
                <w:rFonts w:hint="default" w:ascii="Times New Roman" w:hAnsi="Times New Roman" w:eastAsia="宋体" w:cs="Times New Roman"/>
                <w:color w:val="auto"/>
                <w:kern w:val="0"/>
                <w:sz w:val="24"/>
                <w:szCs w:val="22"/>
                <w:lang w:val="en-US" w:eastAsia="zh-CN"/>
              </w:rPr>
              <w:t>均</w:t>
            </w:r>
            <w:r>
              <w:rPr>
                <w:rFonts w:hint="default" w:ascii="Times New Roman" w:hAnsi="Times New Roman" w:eastAsia="宋体" w:cs="Times New Roman"/>
                <w:color w:val="auto"/>
                <w:kern w:val="0"/>
                <w:sz w:val="24"/>
                <w:szCs w:val="22"/>
              </w:rPr>
              <w:t>安装在车间内，</w:t>
            </w:r>
            <w:r>
              <w:rPr>
                <w:rFonts w:hint="default" w:ascii="Times New Roman" w:hAnsi="Times New Roman" w:eastAsia="宋体" w:cs="Times New Roman"/>
                <w:color w:val="auto"/>
                <w:kern w:val="0"/>
                <w:sz w:val="24"/>
                <w:szCs w:val="22"/>
                <w:lang w:val="en-US" w:eastAsia="zh-CN"/>
              </w:rPr>
              <w:t>采用</w:t>
            </w:r>
            <w:r>
              <w:rPr>
                <w:rFonts w:hint="default" w:ascii="Times New Roman" w:hAnsi="Times New Roman" w:eastAsia="宋体" w:cs="Times New Roman"/>
                <w:color w:val="auto"/>
                <w:kern w:val="0"/>
                <w:sz w:val="24"/>
                <w:szCs w:val="20"/>
              </w:rPr>
              <w:t>基础减震、隔声降噪等措施；危险废物</w:t>
            </w:r>
            <w:r>
              <w:rPr>
                <w:rFonts w:hint="default" w:ascii="Times New Roman" w:hAnsi="Times New Roman" w:eastAsia="宋体" w:cs="Times New Roman"/>
                <w:color w:val="auto"/>
                <w:kern w:val="0"/>
                <w:sz w:val="24"/>
                <w:szCs w:val="20"/>
                <w:lang w:val="en-US" w:eastAsia="zh-CN"/>
              </w:rPr>
              <w:t>暂存于</w:t>
            </w:r>
            <w:r>
              <w:rPr>
                <w:rFonts w:hint="default" w:ascii="Times New Roman" w:hAnsi="Times New Roman" w:eastAsia="宋体" w:cs="Times New Roman"/>
                <w:color w:val="auto"/>
                <w:kern w:val="0"/>
                <w:sz w:val="24"/>
                <w:szCs w:val="20"/>
                <w:lang w:eastAsia="zh-CN"/>
              </w:rPr>
              <w:t>危废</w:t>
            </w:r>
            <w:r>
              <w:rPr>
                <w:rFonts w:hint="default" w:ascii="Times New Roman" w:hAnsi="Times New Roman" w:eastAsia="宋体" w:cs="Times New Roman"/>
                <w:color w:val="auto"/>
                <w:kern w:val="0"/>
                <w:sz w:val="24"/>
                <w:szCs w:val="20"/>
                <w:lang w:val="en-US" w:eastAsia="zh-CN"/>
              </w:rPr>
              <w:t>贮存库</w:t>
            </w:r>
            <w:r>
              <w:rPr>
                <w:rFonts w:hint="default" w:ascii="Times New Roman" w:hAnsi="Times New Roman" w:eastAsia="宋体" w:cs="Times New Roman"/>
                <w:color w:val="auto"/>
                <w:kern w:val="0"/>
                <w:sz w:val="24"/>
                <w:szCs w:val="20"/>
              </w:rPr>
              <w:t>，</w:t>
            </w:r>
            <w:r>
              <w:rPr>
                <w:rFonts w:hint="default" w:ascii="Times New Roman" w:hAnsi="Times New Roman" w:eastAsia="宋体" w:cs="Times New Roman"/>
                <w:color w:val="auto"/>
                <w:kern w:val="0"/>
                <w:sz w:val="24"/>
                <w:szCs w:val="20"/>
                <w:lang w:val="en-US" w:eastAsia="zh-CN"/>
              </w:rPr>
              <w:t>分类收集后定期</w:t>
            </w:r>
            <w:r>
              <w:rPr>
                <w:rFonts w:hint="default" w:ascii="Times New Roman" w:hAnsi="Times New Roman" w:eastAsia="宋体" w:cs="Times New Roman"/>
                <w:color w:val="auto"/>
                <w:kern w:val="0"/>
                <w:sz w:val="24"/>
                <w:szCs w:val="20"/>
              </w:rPr>
              <w:t>交由有资质单位统一收集处理。采取以上措施后，项目</w:t>
            </w:r>
            <w:r>
              <w:rPr>
                <w:rFonts w:hint="default" w:ascii="Times New Roman" w:hAnsi="Times New Roman" w:eastAsia="宋体" w:cs="Times New Roman"/>
                <w:bCs/>
                <w:color w:val="auto"/>
                <w:kern w:val="0"/>
                <w:sz w:val="24"/>
                <w:szCs w:val="20"/>
              </w:rPr>
              <w:t>产生的</w:t>
            </w:r>
            <w:r>
              <w:rPr>
                <w:rFonts w:hint="default" w:ascii="Times New Roman" w:hAnsi="Times New Roman" w:eastAsia="宋体" w:cs="Times New Roman"/>
                <w:bCs/>
                <w:color w:val="auto"/>
                <w:kern w:val="0"/>
                <w:sz w:val="24"/>
                <w:szCs w:val="20"/>
                <w:lang w:val="en-US" w:eastAsia="zh-CN"/>
              </w:rPr>
              <w:t>废气</w:t>
            </w:r>
            <w:r>
              <w:rPr>
                <w:rFonts w:hint="default" w:ascii="Times New Roman" w:hAnsi="Times New Roman" w:eastAsia="宋体" w:cs="Times New Roman"/>
                <w:bCs/>
                <w:color w:val="auto"/>
                <w:kern w:val="0"/>
                <w:sz w:val="24"/>
                <w:szCs w:val="20"/>
              </w:rPr>
              <w:t>、噪声和固体废物等方面环境影响，均能实现达标排放和合理处置。</w:t>
            </w:r>
          </w:p>
          <w:p w14:paraId="5D4D8C22">
            <w:pPr>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szCs w:val="20"/>
              </w:rPr>
              <w:t>④周围制约因素分析：项目建成后</w:t>
            </w:r>
            <w:r>
              <w:rPr>
                <w:rFonts w:hint="default" w:ascii="Times New Roman" w:hAnsi="Times New Roman" w:eastAsia="宋体" w:cs="Times New Roman"/>
                <w:color w:val="auto"/>
                <w:kern w:val="0"/>
                <w:sz w:val="24"/>
                <w:szCs w:val="20"/>
                <w:lang w:val="en-US" w:eastAsia="zh-CN"/>
              </w:rPr>
              <w:t>废气、</w:t>
            </w:r>
            <w:r>
              <w:rPr>
                <w:rFonts w:hint="default" w:ascii="Times New Roman" w:hAnsi="Times New Roman" w:eastAsia="宋体" w:cs="Times New Roman"/>
                <w:bCs/>
                <w:color w:val="auto"/>
                <w:kern w:val="0"/>
                <w:sz w:val="24"/>
                <w:szCs w:val="20"/>
              </w:rPr>
              <w:t>噪声和固体废物在采用相应的污染防治措施后，均能实现达标排放和合理处置</w:t>
            </w:r>
            <w:r>
              <w:rPr>
                <w:rFonts w:hint="default" w:ascii="Times New Roman" w:hAnsi="Times New Roman" w:eastAsia="宋体" w:cs="Times New Roman"/>
                <w:color w:val="auto"/>
                <w:kern w:val="0"/>
                <w:sz w:val="24"/>
                <w:szCs w:val="20"/>
              </w:rPr>
              <w:t>，项目周边无500m范围内无饮用水源保护区、自然保护区和重要渔业水域等环境</w:t>
            </w:r>
            <w:r>
              <w:rPr>
                <w:rFonts w:hint="default" w:ascii="Times New Roman" w:hAnsi="Times New Roman" w:eastAsia="宋体" w:cs="Times New Roman"/>
                <w:color w:val="auto"/>
                <w:kern w:val="0"/>
                <w:sz w:val="24"/>
              </w:rPr>
              <w:t>，</w:t>
            </w:r>
            <w:r>
              <w:rPr>
                <w:rFonts w:hint="default" w:ascii="Times New Roman" w:hAnsi="Times New Roman" w:eastAsia="宋体" w:cs="Times New Roman"/>
                <w:color w:val="auto"/>
                <w:kern w:val="0"/>
                <w:sz w:val="24"/>
                <w:szCs w:val="20"/>
              </w:rPr>
              <w:t>故本项目的建设不存在制约因素。</w:t>
            </w:r>
          </w:p>
          <w:p w14:paraId="7331F2DF">
            <w:pPr>
              <w:keepNext w:val="0"/>
              <w:keepLines w:val="0"/>
              <w:pageBreakBefore w:val="0"/>
              <w:widowControl w:val="0"/>
              <w:kinsoku/>
              <w:wordWrap/>
              <w:overflowPunct/>
              <w:topLinePunct w:val="0"/>
              <w:bidi w:val="0"/>
              <w:adjustRightInd w:val="0"/>
              <w:snapToGrid/>
              <w:spacing w:line="360" w:lineRule="auto"/>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kern w:val="0"/>
                <w:sz w:val="24"/>
                <w:szCs w:val="22"/>
              </w:rPr>
              <w:t>因此，从环境保护角度分析，本项目选址合理。</w:t>
            </w:r>
          </w:p>
          <w:p w14:paraId="36771DBA">
            <w:pPr>
              <w:pStyle w:val="26"/>
              <w:spacing w:line="360" w:lineRule="auto"/>
              <w:rPr>
                <w:rFonts w:hint="default" w:ascii="Times New Roman" w:hAnsi="Times New Roman" w:eastAsia="宋体" w:cs="Times New Roman"/>
                <w:color w:val="auto"/>
              </w:rPr>
            </w:pPr>
          </w:p>
          <w:p w14:paraId="1CF3071B">
            <w:pPr>
              <w:pStyle w:val="26"/>
              <w:spacing w:line="360" w:lineRule="auto"/>
              <w:rPr>
                <w:rFonts w:hint="default" w:ascii="Times New Roman" w:hAnsi="Times New Roman" w:eastAsia="宋体" w:cs="Times New Roman"/>
                <w:color w:val="auto"/>
              </w:rPr>
            </w:pPr>
          </w:p>
          <w:p w14:paraId="23F26B65">
            <w:pPr>
              <w:pStyle w:val="26"/>
              <w:spacing w:line="360" w:lineRule="auto"/>
              <w:rPr>
                <w:rFonts w:hint="default" w:ascii="Times New Roman" w:hAnsi="Times New Roman" w:eastAsia="宋体" w:cs="Times New Roman"/>
                <w:color w:val="auto"/>
              </w:rPr>
            </w:pPr>
          </w:p>
          <w:p w14:paraId="411E22B3">
            <w:pPr>
              <w:pStyle w:val="26"/>
              <w:spacing w:line="360" w:lineRule="auto"/>
              <w:rPr>
                <w:rFonts w:hint="default" w:ascii="Times New Roman" w:hAnsi="Times New Roman" w:eastAsia="宋体" w:cs="Times New Roman"/>
                <w:color w:val="auto"/>
              </w:rPr>
            </w:pPr>
          </w:p>
          <w:p w14:paraId="38D3464C">
            <w:pPr>
              <w:pStyle w:val="26"/>
              <w:spacing w:line="360" w:lineRule="auto"/>
              <w:rPr>
                <w:rFonts w:hint="default" w:ascii="Times New Roman" w:hAnsi="Times New Roman" w:eastAsia="宋体" w:cs="Times New Roman"/>
                <w:color w:val="auto"/>
              </w:rPr>
            </w:pPr>
          </w:p>
          <w:p w14:paraId="26A7F4B2">
            <w:pPr>
              <w:pStyle w:val="26"/>
              <w:spacing w:line="360" w:lineRule="auto"/>
              <w:rPr>
                <w:rFonts w:hint="default" w:ascii="Times New Roman" w:hAnsi="Times New Roman" w:eastAsia="宋体" w:cs="Times New Roman"/>
                <w:color w:val="auto"/>
              </w:rPr>
            </w:pPr>
          </w:p>
          <w:p w14:paraId="7202933B">
            <w:pPr>
              <w:pStyle w:val="26"/>
              <w:spacing w:line="360" w:lineRule="auto"/>
              <w:rPr>
                <w:rFonts w:hint="default" w:ascii="Times New Roman" w:hAnsi="Times New Roman" w:eastAsia="宋体" w:cs="Times New Roman"/>
                <w:color w:val="auto"/>
                <w:lang w:eastAsia="zh-CN"/>
              </w:rPr>
            </w:pPr>
          </w:p>
          <w:p w14:paraId="2E332090">
            <w:pPr>
              <w:pStyle w:val="26"/>
              <w:spacing w:line="360" w:lineRule="auto"/>
              <w:rPr>
                <w:rFonts w:hint="default" w:ascii="Times New Roman" w:hAnsi="Times New Roman" w:eastAsia="宋体" w:cs="Times New Roman"/>
                <w:color w:val="auto"/>
                <w:lang w:eastAsia="zh-CN"/>
              </w:rPr>
            </w:pPr>
          </w:p>
          <w:p w14:paraId="0DCB7E2F">
            <w:pPr>
              <w:pStyle w:val="26"/>
              <w:spacing w:line="360" w:lineRule="auto"/>
              <w:rPr>
                <w:rFonts w:hint="default" w:ascii="Times New Roman" w:hAnsi="Times New Roman" w:eastAsia="宋体" w:cs="Times New Roman"/>
                <w:color w:val="auto"/>
                <w:lang w:eastAsia="zh-CN"/>
              </w:rPr>
            </w:pPr>
          </w:p>
          <w:p w14:paraId="3389EDE5">
            <w:pPr>
              <w:pStyle w:val="26"/>
              <w:spacing w:line="360" w:lineRule="auto"/>
              <w:rPr>
                <w:rFonts w:hint="default" w:ascii="Times New Roman" w:hAnsi="Times New Roman" w:eastAsia="宋体" w:cs="Times New Roman"/>
                <w:color w:val="auto"/>
                <w:lang w:eastAsia="zh-CN"/>
              </w:rPr>
            </w:pPr>
          </w:p>
          <w:p w14:paraId="13658727">
            <w:pPr>
              <w:pStyle w:val="26"/>
              <w:rPr>
                <w:rFonts w:hint="default" w:ascii="Times New Roman" w:hAnsi="Times New Roman" w:eastAsia="宋体" w:cs="Times New Roman"/>
                <w:color w:val="auto"/>
                <w:szCs w:val="21"/>
                <w:lang w:eastAsia="zh-CN"/>
              </w:rPr>
            </w:pPr>
          </w:p>
          <w:p w14:paraId="5B7DEE95">
            <w:pPr>
              <w:pStyle w:val="26"/>
              <w:rPr>
                <w:rFonts w:hint="default" w:ascii="Times New Roman" w:hAnsi="Times New Roman" w:eastAsia="宋体" w:cs="Times New Roman"/>
                <w:color w:val="auto"/>
                <w:szCs w:val="21"/>
                <w:lang w:eastAsia="zh-CN"/>
              </w:rPr>
            </w:pPr>
          </w:p>
          <w:p w14:paraId="1FC88F19">
            <w:pPr>
              <w:pStyle w:val="26"/>
              <w:rPr>
                <w:rFonts w:hint="default" w:ascii="Times New Roman" w:hAnsi="Times New Roman" w:eastAsia="宋体" w:cs="Times New Roman"/>
                <w:color w:val="auto"/>
                <w:szCs w:val="21"/>
                <w:lang w:eastAsia="zh-CN"/>
              </w:rPr>
            </w:pPr>
          </w:p>
          <w:p w14:paraId="698B1C89">
            <w:pPr>
              <w:pStyle w:val="26"/>
              <w:rPr>
                <w:rFonts w:hint="default" w:ascii="Times New Roman" w:hAnsi="Times New Roman" w:eastAsia="宋体" w:cs="Times New Roman"/>
                <w:color w:val="auto"/>
                <w:szCs w:val="21"/>
                <w:lang w:eastAsia="zh-CN"/>
              </w:rPr>
            </w:pPr>
          </w:p>
          <w:p w14:paraId="3ABAD82B">
            <w:pPr>
              <w:pStyle w:val="26"/>
              <w:rPr>
                <w:rFonts w:hint="default" w:ascii="Times New Roman" w:hAnsi="Times New Roman" w:eastAsia="宋体" w:cs="Times New Roman"/>
                <w:color w:val="auto"/>
                <w:szCs w:val="21"/>
                <w:lang w:eastAsia="zh-CN"/>
              </w:rPr>
            </w:pPr>
          </w:p>
          <w:p w14:paraId="2B5E649F">
            <w:pPr>
              <w:pStyle w:val="26"/>
              <w:rPr>
                <w:rFonts w:hint="default" w:ascii="Times New Roman" w:hAnsi="Times New Roman" w:eastAsia="宋体" w:cs="Times New Roman"/>
                <w:color w:val="auto"/>
                <w:szCs w:val="21"/>
                <w:lang w:eastAsia="zh-CN"/>
              </w:rPr>
            </w:pPr>
          </w:p>
          <w:p w14:paraId="501BF792">
            <w:pPr>
              <w:pStyle w:val="26"/>
              <w:rPr>
                <w:rFonts w:hint="default" w:ascii="Times New Roman" w:hAnsi="Times New Roman" w:eastAsia="宋体" w:cs="Times New Roman"/>
                <w:color w:val="auto"/>
                <w:szCs w:val="21"/>
                <w:lang w:eastAsia="zh-CN"/>
              </w:rPr>
            </w:pPr>
          </w:p>
          <w:p w14:paraId="3B9A0E07">
            <w:pPr>
              <w:pStyle w:val="26"/>
              <w:rPr>
                <w:rFonts w:hint="default" w:ascii="Times New Roman" w:hAnsi="Times New Roman" w:eastAsia="宋体" w:cs="Times New Roman"/>
                <w:color w:val="auto"/>
                <w:szCs w:val="21"/>
                <w:lang w:eastAsia="zh-CN"/>
              </w:rPr>
            </w:pPr>
          </w:p>
          <w:p w14:paraId="02070DBB">
            <w:pPr>
              <w:pStyle w:val="26"/>
              <w:rPr>
                <w:rFonts w:hint="default" w:ascii="Times New Roman" w:hAnsi="Times New Roman" w:eastAsia="宋体" w:cs="Times New Roman"/>
                <w:color w:val="auto"/>
                <w:szCs w:val="21"/>
                <w:lang w:eastAsia="zh-CN"/>
              </w:rPr>
            </w:pPr>
          </w:p>
          <w:p w14:paraId="0B43C8AC">
            <w:pPr>
              <w:pStyle w:val="26"/>
              <w:rPr>
                <w:rFonts w:hint="default" w:ascii="Times New Roman" w:hAnsi="Times New Roman" w:eastAsia="宋体" w:cs="Times New Roman"/>
                <w:color w:val="auto"/>
                <w:szCs w:val="21"/>
                <w:lang w:eastAsia="zh-CN"/>
              </w:rPr>
            </w:pPr>
          </w:p>
          <w:p w14:paraId="47D9F09A">
            <w:pPr>
              <w:pStyle w:val="26"/>
              <w:rPr>
                <w:rFonts w:hint="default" w:ascii="Times New Roman" w:hAnsi="Times New Roman" w:eastAsia="宋体" w:cs="Times New Roman"/>
                <w:color w:val="auto"/>
                <w:szCs w:val="21"/>
                <w:lang w:eastAsia="zh-CN"/>
              </w:rPr>
            </w:pPr>
          </w:p>
        </w:tc>
      </w:tr>
    </w:tbl>
    <w:p w14:paraId="0F4699DB">
      <w:pPr>
        <w:spacing w:line="360" w:lineRule="auto"/>
        <w:outlineLvl w:val="0"/>
        <w:rPr>
          <w:rFonts w:hint="default" w:ascii="Times New Roman" w:hAnsi="Times New Roman" w:eastAsia="宋体" w:cs="Times New Roman"/>
          <w:color w:val="auto"/>
          <w:sz w:val="30"/>
        </w:rPr>
        <w:sectPr>
          <w:footerReference r:id="rId4" w:type="default"/>
          <w:pgSz w:w="11906" w:h="16838"/>
          <w:pgMar w:top="1701" w:right="1531" w:bottom="1701"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4FCFEBD3">
      <w:pPr>
        <w:widowControl/>
        <w:spacing w:before="100" w:beforeAutospacing="1" w:after="100" w:afterAutospacing="1"/>
        <w:jc w:val="center"/>
        <w:outlineLvl w:val="0"/>
        <w:rPr>
          <w:rFonts w:hint="default" w:ascii="Times New Roman" w:hAnsi="Times New Roman" w:eastAsia="宋体" w:cs="Times New Roman"/>
          <w:snapToGrid w:val="0"/>
          <w:color w:val="auto"/>
          <w:kern w:val="0"/>
          <w:sz w:val="30"/>
          <w:szCs w:val="30"/>
        </w:rPr>
      </w:pPr>
      <w:r>
        <w:rPr>
          <w:rFonts w:hint="default" w:ascii="Times New Roman" w:hAnsi="Times New Roman" w:eastAsia="宋体" w:cs="Times New Roman"/>
          <w:snapToGrid w:val="0"/>
          <w:color w:val="auto"/>
          <w:kern w:val="0"/>
          <w:sz w:val="30"/>
          <w:szCs w:val="30"/>
        </w:rPr>
        <w:t>二、建设项目工程分析</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3"/>
        <w:gridCol w:w="8587"/>
      </w:tblGrid>
      <w:tr w14:paraId="3D4C86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2" w:hRule="atLeast"/>
          <w:jc w:val="center"/>
        </w:trPr>
        <w:tc>
          <w:tcPr>
            <w:tcW w:w="473" w:type="dxa"/>
            <w:vAlign w:val="center"/>
          </w:tcPr>
          <w:p w14:paraId="009D151B">
            <w:pPr>
              <w:widowControl/>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rPr>
              <w:t>建设内容</w:t>
            </w:r>
          </w:p>
        </w:tc>
        <w:tc>
          <w:tcPr>
            <w:tcW w:w="8587" w:type="dxa"/>
          </w:tcPr>
          <w:p w14:paraId="2A4CE7A5">
            <w:pPr>
              <w:spacing w:line="360" w:lineRule="auto"/>
              <w:ind w:firstLine="482" w:firstLineChars="200"/>
              <w:rPr>
                <w:rFonts w:hint="default" w:ascii="Times New Roman" w:hAnsi="Times New Roman" w:eastAsia="宋体" w:cs="Times New Roman"/>
                <w:b/>
                <w:color w:val="auto"/>
                <w:kern w:val="0"/>
                <w:sz w:val="24"/>
                <w:szCs w:val="20"/>
              </w:rPr>
            </w:pPr>
            <w:r>
              <w:rPr>
                <w:rFonts w:hint="default" w:ascii="Times New Roman" w:hAnsi="Times New Roman" w:eastAsia="宋体" w:cs="Times New Roman"/>
                <w:b/>
                <w:color w:val="auto"/>
                <w:kern w:val="0"/>
                <w:sz w:val="24"/>
                <w:szCs w:val="20"/>
              </w:rPr>
              <w:t>1</w:t>
            </w:r>
            <w:r>
              <w:rPr>
                <w:rFonts w:hint="default" w:ascii="Times New Roman" w:hAnsi="Times New Roman" w:eastAsia="宋体" w:cs="Times New Roman"/>
                <w:b/>
                <w:color w:val="auto"/>
                <w:kern w:val="0"/>
                <w:sz w:val="24"/>
                <w:szCs w:val="20"/>
                <w:lang w:eastAsia="zh-CN"/>
              </w:rPr>
              <w:t>、</w:t>
            </w:r>
            <w:r>
              <w:rPr>
                <w:rFonts w:hint="default" w:ascii="Times New Roman" w:hAnsi="Times New Roman" w:eastAsia="宋体" w:cs="Times New Roman"/>
                <w:b/>
                <w:color w:val="auto"/>
                <w:kern w:val="0"/>
                <w:sz w:val="24"/>
                <w:szCs w:val="20"/>
              </w:rPr>
              <w:t>工程内容及规模</w:t>
            </w:r>
          </w:p>
          <w:p w14:paraId="38103F50">
            <w:pPr>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szCs w:val="20"/>
              </w:rPr>
              <w:t>项目名</w:t>
            </w:r>
            <w:r>
              <w:rPr>
                <w:rFonts w:hint="default" w:ascii="Times New Roman" w:hAnsi="Times New Roman" w:eastAsia="宋体" w:cs="Times New Roman"/>
                <w:color w:val="auto"/>
                <w:kern w:val="0"/>
                <w:sz w:val="24"/>
              </w:rPr>
              <w:t>称：</w:t>
            </w:r>
            <w:r>
              <w:rPr>
                <w:rFonts w:hint="default" w:ascii="Times New Roman" w:hAnsi="Times New Roman" w:eastAsia="宋体" w:cs="Times New Roman"/>
                <w:color w:val="auto"/>
                <w:sz w:val="24"/>
                <w:lang w:eastAsia="zh-CN"/>
              </w:rPr>
              <w:t>TRP洗浆机设备生产线投资项目</w:t>
            </w:r>
          </w:p>
          <w:p w14:paraId="78B71C85">
            <w:pPr>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建设地点：</w:t>
            </w:r>
            <w:r>
              <w:rPr>
                <w:rFonts w:hint="default" w:ascii="Times New Roman" w:hAnsi="Times New Roman" w:eastAsia="宋体" w:cs="Times New Roman"/>
                <w:color w:val="auto"/>
                <w:sz w:val="24"/>
                <w:lang w:eastAsia="zh-CN"/>
              </w:rPr>
              <w:t>西咸新区沣东新城阿房四路4号维美德造纸机械技术(西安)有限公司厂内</w:t>
            </w:r>
          </w:p>
          <w:p w14:paraId="2C8017BD">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rPr>
              <w:t>建设性质：</w:t>
            </w:r>
            <w:r>
              <w:rPr>
                <w:rFonts w:hint="default" w:ascii="Times New Roman" w:hAnsi="Times New Roman" w:eastAsia="宋体" w:cs="Times New Roman"/>
                <w:color w:val="auto"/>
                <w:kern w:val="0"/>
                <w:sz w:val="24"/>
                <w:lang w:val="en-US" w:eastAsia="zh-CN"/>
              </w:rPr>
              <w:t>扩建</w:t>
            </w:r>
          </w:p>
          <w:p w14:paraId="38024D55">
            <w:pPr>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建设单位：维美德造纸机械技术(西安)有限公司</w:t>
            </w:r>
          </w:p>
          <w:p w14:paraId="7704104B">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总投资：</w:t>
            </w:r>
            <w:r>
              <w:rPr>
                <w:rFonts w:hint="default" w:ascii="Times New Roman" w:hAnsi="Times New Roman" w:eastAsia="宋体" w:cs="Times New Roman"/>
                <w:color w:val="auto"/>
                <w:kern w:val="0"/>
                <w:sz w:val="24"/>
                <w:lang w:val="en-US" w:eastAsia="zh-CN"/>
              </w:rPr>
              <w:t>2500</w:t>
            </w:r>
            <w:r>
              <w:rPr>
                <w:rFonts w:hint="default" w:ascii="Times New Roman" w:hAnsi="Times New Roman" w:eastAsia="宋体" w:cs="Times New Roman"/>
                <w:color w:val="auto"/>
                <w:kern w:val="0"/>
                <w:sz w:val="24"/>
              </w:rPr>
              <w:t>万元。</w:t>
            </w:r>
          </w:p>
          <w:p w14:paraId="02308D66">
            <w:pPr>
              <w:spacing w:line="360" w:lineRule="auto"/>
              <w:ind w:firstLine="480" w:firstLineChars="200"/>
              <w:contextualSpacing/>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（1）地理位置</w:t>
            </w:r>
          </w:p>
          <w:p w14:paraId="16A9CE8F">
            <w:pPr>
              <w:spacing w:line="360" w:lineRule="auto"/>
              <w:ind w:firstLine="480" w:firstLineChars="200"/>
              <w:contextualSpacing/>
              <w:rPr>
                <w:rFonts w:hint="default" w:ascii="Times New Roman" w:hAnsi="Times New Roman" w:eastAsia="宋体" w:cs="Times New Roman"/>
                <w:b/>
                <w:color w:val="auto"/>
                <w:kern w:val="0"/>
                <w:sz w:val="24"/>
                <w:szCs w:val="20"/>
                <w:lang w:eastAsia="zh-TW"/>
              </w:rPr>
            </w:pPr>
            <w:r>
              <w:rPr>
                <w:rFonts w:hint="default" w:ascii="Times New Roman" w:hAnsi="Times New Roman" w:eastAsia="宋体" w:cs="Times New Roman"/>
                <w:color w:val="auto"/>
                <w:kern w:val="0"/>
                <w:sz w:val="24"/>
                <w:szCs w:val="20"/>
              </w:rPr>
              <w:t>本项目位于</w:t>
            </w:r>
            <w:r>
              <w:rPr>
                <w:rFonts w:hint="default" w:ascii="Times New Roman" w:hAnsi="Times New Roman" w:eastAsia="宋体" w:cs="Times New Roman"/>
                <w:color w:val="auto"/>
                <w:sz w:val="24"/>
                <w:lang w:eastAsia="zh-CN"/>
              </w:rPr>
              <w:t>西咸新区沣东新城阿房四路4号维美德造纸机械技术(西安)有限公司厂内</w:t>
            </w:r>
            <w:r>
              <w:rPr>
                <w:rFonts w:hint="default" w:ascii="Times New Roman" w:hAnsi="Times New Roman" w:eastAsia="宋体" w:cs="Times New Roman"/>
                <w:color w:val="auto"/>
                <w:kern w:val="0"/>
                <w:sz w:val="24"/>
                <w:szCs w:val="20"/>
              </w:rPr>
              <w:t>，厂房所在地中心坐标为E</w:t>
            </w:r>
            <w:r>
              <w:rPr>
                <w:rFonts w:hint="default" w:ascii="Times New Roman" w:hAnsi="Times New Roman" w:eastAsia="宋体" w:cs="Times New Roman"/>
                <w:color w:val="auto"/>
                <w:kern w:val="0"/>
                <w:sz w:val="24"/>
                <w:szCs w:val="20"/>
                <w:lang w:val="en-US" w:eastAsia="zh-CN"/>
              </w:rPr>
              <w:t>108</w:t>
            </w:r>
            <w:r>
              <w:rPr>
                <w:rFonts w:hint="default" w:ascii="Times New Roman" w:hAnsi="Times New Roman" w:eastAsia="宋体" w:cs="Times New Roman"/>
                <w:color w:val="auto"/>
                <w:kern w:val="0"/>
                <w:sz w:val="24"/>
                <w:szCs w:val="20"/>
              </w:rPr>
              <w:t>°</w:t>
            </w:r>
            <w:r>
              <w:rPr>
                <w:rFonts w:hint="default" w:ascii="Times New Roman" w:hAnsi="Times New Roman" w:eastAsia="宋体" w:cs="Times New Roman"/>
                <w:color w:val="auto"/>
                <w:kern w:val="0"/>
                <w:sz w:val="24"/>
                <w:szCs w:val="20"/>
                <w:lang w:val="en-US" w:eastAsia="zh-CN"/>
              </w:rPr>
              <w:t>51</w:t>
            </w:r>
            <w:r>
              <w:rPr>
                <w:rFonts w:hint="default" w:ascii="Times New Roman" w:hAnsi="Times New Roman" w:eastAsia="宋体" w:cs="Times New Roman"/>
                <w:color w:val="auto"/>
                <w:kern w:val="0"/>
                <w:sz w:val="24"/>
                <w:szCs w:val="20"/>
              </w:rPr>
              <w:t>′</w:t>
            </w:r>
            <w:r>
              <w:rPr>
                <w:rFonts w:hint="default" w:ascii="Times New Roman" w:hAnsi="Times New Roman" w:eastAsia="宋体" w:cs="Times New Roman"/>
                <w:color w:val="auto"/>
                <w:kern w:val="0"/>
                <w:sz w:val="24"/>
                <w:szCs w:val="20"/>
                <w:lang w:val="en-US" w:eastAsia="zh-CN"/>
              </w:rPr>
              <w:t>0.030</w:t>
            </w:r>
            <w:r>
              <w:rPr>
                <w:rFonts w:hint="default" w:ascii="Times New Roman" w:hAnsi="Times New Roman" w:eastAsia="宋体" w:cs="Times New Roman"/>
                <w:color w:val="auto"/>
                <w:kern w:val="0"/>
                <w:sz w:val="24"/>
                <w:szCs w:val="20"/>
              </w:rPr>
              <w:t>″，N34°</w:t>
            </w:r>
            <w:r>
              <w:rPr>
                <w:rFonts w:hint="default" w:ascii="Times New Roman" w:hAnsi="Times New Roman" w:eastAsia="宋体" w:cs="Times New Roman"/>
                <w:color w:val="auto"/>
                <w:kern w:val="0"/>
                <w:sz w:val="24"/>
                <w:szCs w:val="20"/>
                <w:lang w:val="en-US" w:eastAsia="zh-CN"/>
              </w:rPr>
              <w:t>16</w:t>
            </w:r>
            <w:r>
              <w:rPr>
                <w:rFonts w:hint="default" w:ascii="Times New Roman" w:hAnsi="Times New Roman" w:eastAsia="宋体" w:cs="Times New Roman"/>
                <w:color w:val="auto"/>
                <w:kern w:val="0"/>
                <w:sz w:val="24"/>
                <w:szCs w:val="20"/>
              </w:rPr>
              <w:t>′</w:t>
            </w:r>
            <w:r>
              <w:rPr>
                <w:rFonts w:hint="default" w:ascii="Times New Roman" w:hAnsi="Times New Roman" w:eastAsia="宋体" w:cs="Times New Roman"/>
                <w:color w:val="auto"/>
                <w:kern w:val="0"/>
                <w:sz w:val="24"/>
                <w:szCs w:val="20"/>
                <w:lang w:val="en-US" w:eastAsia="zh-CN"/>
              </w:rPr>
              <w:t>51.720</w:t>
            </w:r>
            <w:r>
              <w:rPr>
                <w:rFonts w:hint="default" w:ascii="Times New Roman" w:hAnsi="Times New Roman" w:eastAsia="宋体" w:cs="Times New Roman"/>
                <w:color w:val="auto"/>
                <w:kern w:val="0"/>
                <w:sz w:val="24"/>
                <w:szCs w:val="20"/>
              </w:rPr>
              <w:t>″，具体地理位置见附图1。</w:t>
            </w:r>
            <w:r>
              <w:rPr>
                <w:rFonts w:hint="default" w:ascii="Times New Roman" w:hAnsi="Times New Roman" w:eastAsia="宋体" w:cs="Times New Roman"/>
                <w:color w:val="auto"/>
                <w:sz w:val="24"/>
                <w:szCs w:val="24"/>
              </w:rPr>
              <w:t>西侧为阿房幼儿园、</w:t>
            </w:r>
            <w:r>
              <w:rPr>
                <w:rFonts w:hint="default" w:ascii="Times New Roman" w:hAnsi="Times New Roman" w:eastAsia="宋体" w:cs="Times New Roman"/>
                <w:color w:val="auto"/>
                <w:sz w:val="24"/>
                <w:szCs w:val="24"/>
                <w:lang w:val="en-US" w:eastAsia="zh-CN"/>
              </w:rPr>
              <w:t>维美德家属楼、</w:t>
            </w:r>
            <w:r>
              <w:rPr>
                <w:rFonts w:hint="default" w:ascii="Times New Roman" w:hAnsi="Times New Roman" w:eastAsia="宋体" w:cs="Times New Roman"/>
                <w:color w:val="auto"/>
                <w:sz w:val="24"/>
                <w:szCs w:val="24"/>
              </w:rPr>
              <w:t>轻工业西安机械设计研究院、西安造纸机械厂等，南侧为</w:t>
            </w:r>
            <w:r>
              <w:rPr>
                <w:rFonts w:hint="default" w:ascii="Times New Roman" w:hAnsi="Times New Roman" w:eastAsia="宋体" w:cs="Times New Roman"/>
                <w:color w:val="auto"/>
                <w:sz w:val="24"/>
                <w:szCs w:val="24"/>
                <w:lang w:eastAsia="zh-CN"/>
              </w:rPr>
              <w:t>杨河村</w:t>
            </w:r>
            <w:r>
              <w:rPr>
                <w:rFonts w:hint="default" w:ascii="Times New Roman" w:hAnsi="Times New Roman" w:eastAsia="宋体" w:cs="Times New Roman"/>
                <w:color w:val="auto"/>
                <w:sz w:val="24"/>
                <w:szCs w:val="24"/>
              </w:rPr>
              <w:t>等，北侧</w:t>
            </w:r>
            <w:r>
              <w:rPr>
                <w:rFonts w:hint="default" w:ascii="Times New Roman" w:hAnsi="Times New Roman" w:eastAsia="宋体" w:cs="Times New Roman"/>
                <w:color w:val="auto"/>
                <w:sz w:val="24"/>
                <w:szCs w:val="24"/>
                <w:lang w:val="en-US" w:eastAsia="zh-CN"/>
              </w:rPr>
              <w:t>为</w:t>
            </w:r>
            <w:r>
              <w:rPr>
                <w:rFonts w:hint="default" w:ascii="Times New Roman" w:hAnsi="Times New Roman" w:eastAsia="宋体" w:cs="Times New Roman"/>
                <w:color w:val="auto"/>
                <w:sz w:val="24"/>
                <w:szCs w:val="24"/>
              </w:rPr>
              <w:t>阿房四路</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东侧为新西北家具城</w:t>
            </w:r>
            <w:r>
              <w:rPr>
                <w:rFonts w:hint="default" w:ascii="Times New Roman" w:hAnsi="Times New Roman" w:eastAsia="宋体" w:cs="Times New Roman"/>
                <w:color w:val="auto"/>
                <w:kern w:val="0"/>
                <w:sz w:val="24"/>
                <w:szCs w:val="20"/>
                <w:lang w:eastAsia="zh-CN"/>
              </w:rPr>
              <w:t>。</w:t>
            </w:r>
            <w:r>
              <w:rPr>
                <w:rFonts w:hint="default" w:ascii="Times New Roman" w:hAnsi="Times New Roman" w:eastAsia="宋体" w:cs="Times New Roman"/>
                <w:color w:val="auto"/>
                <w:kern w:val="0"/>
                <w:sz w:val="24"/>
                <w:szCs w:val="20"/>
              </w:rPr>
              <w:t>具体四邻关系见附图2。</w:t>
            </w:r>
          </w:p>
          <w:p w14:paraId="59334FBF">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（2）工程内容</w:t>
            </w:r>
          </w:p>
          <w:p w14:paraId="228D9FB7">
            <w:pPr>
              <w:spacing w:line="360" w:lineRule="auto"/>
              <w:ind w:firstLine="480" w:firstLineChars="200"/>
              <w:rPr>
                <w:rFonts w:hint="default" w:ascii="Times New Roman" w:hAnsi="Times New Roman" w:eastAsia="宋体" w:cs="Times New Roman"/>
                <w:b/>
                <w:color w:val="auto"/>
                <w:kern w:val="0"/>
                <w:sz w:val="24"/>
                <w:szCs w:val="21"/>
              </w:rPr>
            </w:pPr>
            <w:r>
              <w:rPr>
                <w:rFonts w:hint="default" w:ascii="Times New Roman" w:hAnsi="Times New Roman" w:eastAsia="宋体" w:cs="Times New Roman"/>
                <w:bCs/>
                <w:color w:val="auto"/>
                <w:kern w:val="0"/>
                <w:sz w:val="24"/>
                <w:szCs w:val="20"/>
              </w:rPr>
              <w:t>本项目位于</w:t>
            </w:r>
            <w:r>
              <w:rPr>
                <w:rFonts w:hint="default" w:ascii="Times New Roman" w:hAnsi="Times New Roman" w:eastAsia="宋体" w:cs="Times New Roman"/>
                <w:color w:val="auto"/>
                <w:sz w:val="24"/>
                <w:lang w:eastAsia="zh-CN"/>
              </w:rPr>
              <w:t>西咸新区沣东新城阿房四路4号维美德造纸机械技术(西安)有限公司厂内</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利用现有闲置厂房，建设1一条TRP洗浆机设备生产线，1条装配线，对现有工程喷砂房、喷漆房、危废暂存库进行升级改造。</w:t>
            </w:r>
            <w:r>
              <w:rPr>
                <w:rFonts w:hint="default" w:ascii="Times New Roman" w:hAnsi="Times New Roman" w:eastAsia="宋体" w:cs="Times New Roman"/>
                <w:bCs/>
                <w:color w:val="auto"/>
                <w:kern w:val="0"/>
                <w:sz w:val="24"/>
                <w:szCs w:val="20"/>
              </w:rPr>
              <w:t>项</w:t>
            </w:r>
            <w:r>
              <w:rPr>
                <w:rFonts w:hint="default" w:ascii="Times New Roman" w:hAnsi="Times New Roman" w:eastAsia="宋体" w:cs="Times New Roman"/>
                <w:color w:val="auto"/>
                <w:kern w:val="0"/>
                <w:sz w:val="24"/>
                <w:szCs w:val="20"/>
              </w:rPr>
              <w:t>目建设内容</w:t>
            </w:r>
            <w:r>
              <w:rPr>
                <w:rFonts w:hint="default" w:ascii="Times New Roman" w:hAnsi="Times New Roman" w:eastAsia="宋体" w:cs="Times New Roman"/>
                <w:bCs/>
                <w:color w:val="auto"/>
                <w:kern w:val="0"/>
                <w:sz w:val="24"/>
                <w:szCs w:val="20"/>
              </w:rPr>
              <w:t>详见表2-1。</w:t>
            </w:r>
          </w:p>
          <w:p w14:paraId="2DCEE5E4">
            <w:pPr>
              <w:autoSpaceDE w:val="0"/>
              <w:autoSpaceDN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表2-1   建设项目组成</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80"/>
              <w:gridCol w:w="1043"/>
              <w:gridCol w:w="5779"/>
              <w:gridCol w:w="956"/>
            </w:tblGrid>
            <w:tr w14:paraId="40E8E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tcBorders>
                    <w:top w:val="single" w:color="auto" w:sz="4" w:space="0"/>
                    <w:left w:val="single" w:color="auto" w:sz="4" w:space="0"/>
                    <w:bottom w:val="single" w:color="auto" w:sz="4" w:space="0"/>
                    <w:right w:val="single" w:color="auto" w:sz="4" w:space="0"/>
                  </w:tcBorders>
                  <w:vAlign w:val="center"/>
                </w:tcPr>
                <w:p w14:paraId="49775A8D">
                  <w:pPr>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工程类别</w:t>
                  </w:r>
                </w:p>
              </w:tc>
              <w:tc>
                <w:tcPr>
                  <w:tcW w:w="623" w:type="pct"/>
                  <w:tcBorders>
                    <w:top w:val="single" w:color="auto" w:sz="4" w:space="0"/>
                    <w:left w:val="single" w:color="auto" w:sz="4" w:space="0"/>
                    <w:bottom w:val="single" w:color="auto" w:sz="4" w:space="0"/>
                    <w:right w:val="single" w:color="auto" w:sz="4" w:space="0"/>
                  </w:tcBorders>
                  <w:vAlign w:val="center"/>
                </w:tcPr>
                <w:p w14:paraId="5FF6E808">
                  <w:pPr>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工程名称</w:t>
                  </w:r>
                </w:p>
              </w:tc>
              <w:tc>
                <w:tcPr>
                  <w:tcW w:w="3457" w:type="pct"/>
                  <w:tcBorders>
                    <w:top w:val="single" w:color="auto" w:sz="4" w:space="0"/>
                    <w:left w:val="single" w:color="auto" w:sz="4" w:space="0"/>
                    <w:bottom w:val="single" w:color="auto" w:sz="4" w:space="0"/>
                    <w:right w:val="single" w:color="auto" w:sz="4" w:space="0"/>
                  </w:tcBorders>
                  <w:vAlign w:val="center"/>
                </w:tcPr>
                <w:p w14:paraId="6C8C3652">
                  <w:pPr>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内容</w:t>
                  </w:r>
                </w:p>
              </w:tc>
              <w:tc>
                <w:tcPr>
                  <w:tcW w:w="571" w:type="pct"/>
                  <w:tcBorders>
                    <w:top w:val="single" w:color="auto" w:sz="4" w:space="0"/>
                    <w:left w:val="single" w:color="auto" w:sz="4" w:space="0"/>
                    <w:bottom w:val="single" w:color="auto" w:sz="4" w:space="0"/>
                    <w:right w:val="single" w:color="auto" w:sz="4" w:space="0"/>
                  </w:tcBorders>
                  <w:vAlign w:val="center"/>
                </w:tcPr>
                <w:p w14:paraId="07B9A8B4">
                  <w:pPr>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备注</w:t>
                  </w:r>
                </w:p>
              </w:tc>
            </w:tr>
            <w:tr w14:paraId="58C69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7" w:hRule="atLeast"/>
                <w:jc w:val="center"/>
              </w:trPr>
              <w:tc>
                <w:tcPr>
                  <w:tcW w:w="346" w:type="pct"/>
                  <w:vMerge w:val="restart"/>
                  <w:tcBorders>
                    <w:left w:val="single" w:color="auto" w:sz="4" w:space="0"/>
                    <w:right w:val="single" w:color="auto" w:sz="4" w:space="0"/>
                  </w:tcBorders>
                  <w:vAlign w:val="center"/>
                </w:tcPr>
                <w:p w14:paraId="315C9C49">
                  <w:pPr>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主体工程</w:t>
                  </w:r>
                </w:p>
              </w:tc>
              <w:tc>
                <w:tcPr>
                  <w:tcW w:w="623" w:type="pct"/>
                  <w:tcBorders>
                    <w:left w:val="single" w:color="auto" w:sz="4" w:space="0"/>
                    <w:right w:val="single" w:color="auto" w:sz="4" w:space="0"/>
                  </w:tcBorders>
                  <w:vAlign w:val="center"/>
                </w:tcPr>
                <w:p w14:paraId="7FAA8697">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TRP车间</w:t>
                  </w:r>
                </w:p>
              </w:tc>
              <w:tc>
                <w:tcPr>
                  <w:tcW w:w="3457" w:type="pct"/>
                  <w:tcBorders>
                    <w:top w:val="single" w:color="auto" w:sz="4" w:space="0"/>
                    <w:left w:val="single" w:color="auto" w:sz="4" w:space="0"/>
                    <w:bottom w:val="single" w:color="auto" w:sz="4" w:space="0"/>
                    <w:right w:val="single" w:color="auto" w:sz="4" w:space="0"/>
                  </w:tcBorders>
                  <w:vAlign w:val="center"/>
                </w:tcPr>
                <w:p w14:paraId="484EE332">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利用厂房闲置区域进行建设，新增1一条TRP洗浆机设备生产线。</w:t>
                  </w:r>
                </w:p>
              </w:tc>
              <w:tc>
                <w:tcPr>
                  <w:tcW w:w="571" w:type="pct"/>
                  <w:tcBorders>
                    <w:left w:val="single" w:color="auto" w:sz="4" w:space="0"/>
                    <w:right w:val="single" w:color="auto" w:sz="4" w:space="0"/>
                  </w:tcBorders>
                  <w:vAlign w:val="center"/>
                </w:tcPr>
                <w:p w14:paraId="383B7397">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厂房已建，生产线新建</w:t>
                  </w:r>
                </w:p>
              </w:tc>
            </w:tr>
            <w:tr w14:paraId="193CA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46" w:type="pct"/>
                  <w:vMerge w:val="continue"/>
                  <w:tcBorders>
                    <w:left w:val="single" w:color="auto" w:sz="4" w:space="0"/>
                    <w:right w:val="single" w:color="auto" w:sz="4" w:space="0"/>
                  </w:tcBorders>
                  <w:vAlign w:val="center"/>
                </w:tcPr>
                <w:p w14:paraId="616FB0E7">
                  <w:pPr>
                    <w:contextualSpacing/>
                    <w:jc w:val="center"/>
                    <w:rPr>
                      <w:rFonts w:hint="default" w:ascii="Times New Roman" w:hAnsi="Times New Roman" w:eastAsia="宋体" w:cs="Times New Roman"/>
                      <w:color w:val="auto"/>
                      <w:kern w:val="0"/>
                      <w:szCs w:val="21"/>
                    </w:rPr>
                  </w:pPr>
                </w:p>
              </w:tc>
              <w:tc>
                <w:tcPr>
                  <w:tcW w:w="623" w:type="pct"/>
                  <w:tcBorders>
                    <w:left w:val="single" w:color="auto" w:sz="4" w:space="0"/>
                    <w:right w:val="single" w:color="auto" w:sz="4" w:space="0"/>
                  </w:tcBorders>
                  <w:vAlign w:val="center"/>
                </w:tcPr>
                <w:p w14:paraId="239C2F08">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装配车间</w:t>
                  </w:r>
                </w:p>
              </w:tc>
              <w:tc>
                <w:tcPr>
                  <w:tcW w:w="3457" w:type="pct"/>
                  <w:tcBorders>
                    <w:top w:val="single" w:color="auto" w:sz="4" w:space="0"/>
                    <w:left w:val="single" w:color="auto" w:sz="4" w:space="0"/>
                    <w:bottom w:val="single" w:color="auto" w:sz="4" w:space="0"/>
                    <w:right w:val="single" w:color="auto" w:sz="4" w:space="0"/>
                  </w:tcBorders>
                  <w:vAlign w:val="center"/>
                </w:tcPr>
                <w:p w14:paraId="4D9FBF5D">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利用厂房闲置区域进行建设，新增1一条TRP洗浆机设备装配线。</w:t>
                  </w:r>
                </w:p>
              </w:tc>
              <w:tc>
                <w:tcPr>
                  <w:tcW w:w="571" w:type="pct"/>
                  <w:tcBorders>
                    <w:left w:val="single" w:color="auto" w:sz="4" w:space="0"/>
                    <w:right w:val="single" w:color="auto" w:sz="4" w:space="0"/>
                  </w:tcBorders>
                  <w:vAlign w:val="center"/>
                </w:tcPr>
                <w:p w14:paraId="597CDDC4">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厂房已建，生产线新建</w:t>
                  </w:r>
                </w:p>
              </w:tc>
            </w:tr>
            <w:tr w14:paraId="6FA51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7" w:hRule="atLeast"/>
                <w:jc w:val="center"/>
              </w:trPr>
              <w:tc>
                <w:tcPr>
                  <w:tcW w:w="346" w:type="pct"/>
                  <w:vMerge w:val="continue"/>
                  <w:tcBorders>
                    <w:left w:val="single" w:color="auto" w:sz="4" w:space="0"/>
                    <w:right w:val="single" w:color="auto" w:sz="4" w:space="0"/>
                  </w:tcBorders>
                  <w:vAlign w:val="center"/>
                </w:tcPr>
                <w:p w14:paraId="3D4E5732">
                  <w:pPr>
                    <w:contextualSpacing/>
                    <w:jc w:val="center"/>
                    <w:rPr>
                      <w:rFonts w:hint="default" w:ascii="Times New Roman" w:hAnsi="Times New Roman" w:eastAsia="宋体" w:cs="Times New Roman"/>
                      <w:color w:val="auto"/>
                      <w:kern w:val="0"/>
                      <w:szCs w:val="21"/>
                    </w:rPr>
                  </w:pPr>
                </w:p>
              </w:tc>
              <w:tc>
                <w:tcPr>
                  <w:tcW w:w="623" w:type="pct"/>
                  <w:tcBorders>
                    <w:left w:val="single" w:color="auto" w:sz="4" w:space="0"/>
                    <w:right w:val="single" w:color="auto" w:sz="4" w:space="0"/>
                  </w:tcBorders>
                  <w:vAlign w:val="center"/>
                </w:tcPr>
                <w:p w14:paraId="0C7ABAD2">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喷砂间</w:t>
                  </w:r>
                </w:p>
              </w:tc>
              <w:tc>
                <w:tcPr>
                  <w:tcW w:w="3457" w:type="pct"/>
                  <w:tcBorders>
                    <w:top w:val="single" w:color="auto" w:sz="4" w:space="0"/>
                    <w:left w:val="single" w:color="auto" w:sz="4" w:space="0"/>
                    <w:bottom w:val="single" w:color="auto" w:sz="4" w:space="0"/>
                    <w:right w:val="single" w:color="auto" w:sz="4" w:space="0"/>
                  </w:tcBorders>
                  <w:vAlign w:val="center"/>
                </w:tcPr>
                <w:p w14:paraId="7473AB10">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对现有喷砂间（西喷漆房旁）进行改造，现有喷砂房内喷砂粉尘采用滤筒除尘器处理后无组织排放，本次技改对喷砂废气处理设施增设排气筒，改为有组织排放。</w:t>
                  </w:r>
                </w:p>
              </w:tc>
              <w:tc>
                <w:tcPr>
                  <w:tcW w:w="571" w:type="pct"/>
                  <w:tcBorders>
                    <w:left w:val="single" w:color="auto" w:sz="4" w:space="0"/>
                    <w:right w:val="single" w:color="auto" w:sz="4" w:space="0"/>
                  </w:tcBorders>
                  <w:vAlign w:val="center"/>
                </w:tcPr>
                <w:p w14:paraId="3AF2E5D8">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改建</w:t>
                  </w:r>
                </w:p>
              </w:tc>
            </w:tr>
            <w:tr w14:paraId="65ED3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7" w:hRule="atLeast"/>
                <w:jc w:val="center"/>
              </w:trPr>
              <w:tc>
                <w:tcPr>
                  <w:tcW w:w="346" w:type="pct"/>
                  <w:vMerge w:val="continue"/>
                  <w:tcBorders>
                    <w:left w:val="single" w:color="auto" w:sz="4" w:space="0"/>
                    <w:right w:val="single" w:color="auto" w:sz="4" w:space="0"/>
                  </w:tcBorders>
                  <w:vAlign w:val="center"/>
                </w:tcPr>
                <w:p w14:paraId="0FF31069">
                  <w:pPr>
                    <w:contextualSpacing/>
                    <w:jc w:val="center"/>
                    <w:rPr>
                      <w:rFonts w:hint="default" w:ascii="Times New Roman" w:hAnsi="Times New Roman" w:eastAsia="宋体" w:cs="Times New Roman"/>
                      <w:color w:val="auto"/>
                      <w:kern w:val="0"/>
                      <w:szCs w:val="21"/>
                    </w:rPr>
                  </w:pPr>
                </w:p>
              </w:tc>
              <w:tc>
                <w:tcPr>
                  <w:tcW w:w="623" w:type="pct"/>
                  <w:tcBorders>
                    <w:left w:val="single" w:color="auto" w:sz="4" w:space="0"/>
                    <w:right w:val="single" w:color="auto" w:sz="4" w:space="0"/>
                  </w:tcBorders>
                  <w:vAlign w:val="center"/>
                </w:tcPr>
                <w:p w14:paraId="6A3270EA">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喷漆房</w:t>
                  </w:r>
                </w:p>
              </w:tc>
              <w:tc>
                <w:tcPr>
                  <w:tcW w:w="3457" w:type="pct"/>
                  <w:tcBorders>
                    <w:top w:val="single" w:color="auto" w:sz="4" w:space="0"/>
                    <w:left w:val="single" w:color="auto" w:sz="4" w:space="0"/>
                    <w:bottom w:val="single" w:color="auto" w:sz="4" w:space="0"/>
                    <w:right w:val="single" w:color="auto" w:sz="4" w:space="0"/>
                  </w:tcBorders>
                  <w:vAlign w:val="center"/>
                </w:tcPr>
                <w:p w14:paraId="702F6B8D">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受市场需求影响，现有工程部分产品委外进行喷漆，原辊子喷漆房停止使用，仅剩西喷漆房。本项目依托西喷漆房进行喷漆。</w:t>
                  </w:r>
                </w:p>
              </w:tc>
              <w:tc>
                <w:tcPr>
                  <w:tcW w:w="571" w:type="pct"/>
                  <w:tcBorders>
                    <w:left w:val="single" w:color="auto" w:sz="4" w:space="0"/>
                    <w:right w:val="single" w:color="auto" w:sz="4" w:space="0"/>
                  </w:tcBorders>
                  <w:vAlign w:val="center"/>
                </w:tcPr>
                <w:p w14:paraId="151A6ECF">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依托</w:t>
                  </w:r>
                </w:p>
              </w:tc>
            </w:tr>
            <w:tr w14:paraId="2A37C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7" w:hRule="atLeast"/>
                <w:jc w:val="center"/>
              </w:trPr>
              <w:tc>
                <w:tcPr>
                  <w:tcW w:w="346" w:type="pct"/>
                  <w:vMerge w:val="restart"/>
                  <w:tcBorders>
                    <w:left w:val="single" w:color="auto" w:sz="4" w:space="0"/>
                    <w:right w:val="single" w:color="auto" w:sz="4" w:space="0"/>
                  </w:tcBorders>
                  <w:vAlign w:val="center"/>
                </w:tcPr>
                <w:p w14:paraId="7DB85580">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储运工程</w:t>
                  </w:r>
                </w:p>
              </w:tc>
              <w:tc>
                <w:tcPr>
                  <w:tcW w:w="623" w:type="pct"/>
                  <w:tcBorders>
                    <w:left w:val="single" w:color="auto" w:sz="4" w:space="0"/>
                    <w:right w:val="single" w:color="auto" w:sz="4" w:space="0"/>
                  </w:tcBorders>
                  <w:vAlign w:val="center"/>
                </w:tcPr>
                <w:p w14:paraId="015F736F">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化学品库</w:t>
                  </w:r>
                </w:p>
              </w:tc>
              <w:tc>
                <w:tcPr>
                  <w:tcW w:w="3457" w:type="pct"/>
                  <w:tcBorders>
                    <w:top w:val="single" w:color="auto" w:sz="4" w:space="0"/>
                    <w:left w:val="single" w:color="auto" w:sz="4" w:space="0"/>
                    <w:bottom w:val="single" w:color="auto" w:sz="4" w:space="0"/>
                    <w:right w:val="single" w:color="auto" w:sz="4" w:space="0"/>
                  </w:tcBorders>
                  <w:vAlign w:val="center"/>
                </w:tcPr>
                <w:p w14:paraId="7C3AD7BF">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本项目喷漆工段使用的底漆、面漆、稀释剂、固化剂均依托现有工程化学品库，位于厂区西侧。</w:t>
                  </w:r>
                </w:p>
              </w:tc>
              <w:tc>
                <w:tcPr>
                  <w:tcW w:w="571" w:type="pct"/>
                  <w:tcBorders>
                    <w:left w:val="single" w:color="auto" w:sz="4" w:space="0"/>
                    <w:right w:val="single" w:color="auto" w:sz="4" w:space="0"/>
                  </w:tcBorders>
                  <w:vAlign w:val="center"/>
                </w:tcPr>
                <w:p w14:paraId="75A7EB98">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依托</w:t>
                  </w:r>
                </w:p>
              </w:tc>
            </w:tr>
            <w:tr w14:paraId="4EFF0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7" w:hRule="atLeast"/>
                <w:jc w:val="center"/>
              </w:trPr>
              <w:tc>
                <w:tcPr>
                  <w:tcW w:w="346" w:type="pct"/>
                  <w:vMerge w:val="continue"/>
                  <w:tcBorders>
                    <w:left w:val="single" w:color="auto" w:sz="4" w:space="0"/>
                    <w:right w:val="single" w:color="auto" w:sz="4" w:space="0"/>
                  </w:tcBorders>
                  <w:vAlign w:val="center"/>
                </w:tcPr>
                <w:p w14:paraId="3C37C13C">
                  <w:pPr>
                    <w:contextualSpacing/>
                    <w:jc w:val="center"/>
                    <w:rPr>
                      <w:rFonts w:hint="default" w:ascii="Times New Roman" w:hAnsi="Times New Roman" w:eastAsia="宋体" w:cs="Times New Roman"/>
                      <w:color w:val="auto"/>
                      <w:kern w:val="0"/>
                      <w:szCs w:val="21"/>
                      <w:lang w:val="en-US" w:eastAsia="zh-CN"/>
                    </w:rPr>
                  </w:pPr>
                </w:p>
              </w:tc>
              <w:tc>
                <w:tcPr>
                  <w:tcW w:w="623" w:type="pct"/>
                  <w:tcBorders>
                    <w:left w:val="single" w:color="auto" w:sz="4" w:space="0"/>
                    <w:right w:val="single" w:color="auto" w:sz="4" w:space="0"/>
                  </w:tcBorders>
                  <w:vAlign w:val="center"/>
                </w:tcPr>
                <w:p w14:paraId="451879F8">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z w:val="21"/>
                      <w:szCs w:val="21"/>
                      <w:lang w:val="en-US" w:eastAsia="zh-CN"/>
                    </w:rPr>
                    <w:t>危废贮存库</w:t>
                  </w:r>
                </w:p>
              </w:tc>
              <w:tc>
                <w:tcPr>
                  <w:tcW w:w="3457" w:type="pct"/>
                  <w:tcBorders>
                    <w:top w:val="single" w:color="auto" w:sz="4" w:space="0"/>
                    <w:left w:val="single" w:color="auto" w:sz="4" w:space="0"/>
                    <w:bottom w:val="single" w:color="auto" w:sz="4" w:space="0"/>
                    <w:right w:val="single" w:color="auto" w:sz="4" w:space="0"/>
                  </w:tcBorders>
                  <w:vAlign w:val="center"/>
                </w:tcPr>
                <w:p w14:paraId="60BED517">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z w:val="21"/>
                      <w:szCs w:val="21"/>
                      <w:lang w:val="en-US" w:eastAsia="zh-CN"/>
                    </w:rPr>
                    <w:t>本项目依托现有</w:t>
                  </w:r>
                  <w:r>
                    <w:rPr>
                      <w:rFonts w:hint="default" w:ascii="Times New Roman" w:hAnsi="Times New Roman" w:eastAsia="宋体" w:cs="Times New Roman"/>
                      <w:color w:val="auto"/>
                      <w:sz w:val="21"/>
                      <w:szCs w:val="21"/>
                    </w:rPr>
                    <w:t>工程</w:t>
                  </w:r>
                  <w:r>
                    <w:rPr>
                      <w:rFonts w:hint="default" w:ascii="Times New Roman" w:hAnsi="Times New Roman" w:eastAsia="宋体" w:cs="Times New Roman"/>
                      <w:color w:val="auto"/>
                      <w:sz w:val="21"/>
                      <w:szCs w:val="21"/>
                      <w:lang w:val="en-US" w:eastAsia="zh-CN"/>
                    </w:rPr>
                    <w:t>危废贮存库暂存，位于厂区东南角</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本次技改对现有危废贮存库进行改造，将出入口改造为1个。</w:t>
                  </w:r>
                </w:p>
              </w:tc>
              <w:tc>
                <w:tcPr>
                  <w:tcW w:w="571" w:type="pct"/>
                  <w:tcBorders>
                    <w:left w:val="single" w:color="auto" w:sz="4" w:space="0"/>
                    <w:right w:val="single" w:color="auto" w:sz="4" w:space="0"/>
                  </w:tcBorders>
                  <w:vAlign w:val="center"/>
                </w:tcPr>
                <w:p w14:paraId="60549C5C">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改建</w:t>
                  </w:r>
                </w:p>
              </w:tc>
            </w:tr>
            <w:tr w14:paraId="00C8F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46" w:type="pct"/>
                  <w:vMerge w:val="restart"/>
                  <w:tcBorders>
                    <w:top w:val="single" w:color="auto" w:sz="4" w:space="0"/>
                    <w:left w:val="single" w:color="auto" w:sz="4" w:space="0"/>
                    <w:right w:val="single" w:color="auto" w:sz="4" w:space="0"/>
                  </w:tcBorders>
                  <w:vAlign w:val="center"/>
                </w:tcPr>
                <w:p w14:paraId="53C2F01C">
                  <w:pPr>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公用工程</w:t>
                  </w:r>
                </w:p>
              </w:tc>
              <w:tc>
                <w:tcPr>
                  <w:tcW w:w="623" w:type="pct"/>
                  <w:tcBorders>
                    <w:top w:val="single" w:color="auto" w:sz="4" w:space="0"/>
                    <w:left w:val="single" w:color="auto" w:sz="4" w:space="0"/>
                    <w:bottom w:val="single" w:color="auto" w:sz="4" w:space="0"/>
                    <w:right w:val="single" w:color="auto" w:sz="4" w:space="0"/>
                  </w:tcBorders>
                  <w:vAlign w:val="center"/>
                </w:tcPr>
                <w:p w14:paraId="4A704BFA">
                  <w:pPr>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供电</w:t>
                  </w:r>
                </w:p>
              </w:tc>
              <w:tc>
                <w:tcPr>
                  <w:tcW w:w="3457" w:type="pct"/>
                  <w:tcBorders>
                    <w:top w:val="single" w:color="auto" w:sz="4" w:space="0"/>
                    <w:left w:val="single" w:color="auto" w:sz="4" w:space="0"/>
                    <w:bottom w:val="single" w:color="auto" w:sz="4" w:space="0"/>
                    <w:right w:val="single" w:color="auto" w:sz="4" w:space="0"/>
                  </w:tcBorders>
                  <w:vAlign w:val="center"/>
                </w:tcPr>
                <w:p w14:paraId="1AF2C577">
                  <w:pPr>
                    <w:contextualSpacing/>
                    <w:jc w:val="center"/>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由市政国家电网工艺，依托现有工程变配电</w:t>
                  </w:r>
                  <w:r>
                    <w:rPr>
                      <w:rFonts w:hint="default" w:ascii="Times New Roman" w:hAnsi="Times New Roman" w:eastAsia="宋体" w:cs="Times New Roman"/>
                      <w:color w:val="auto"/>
                      <w:kern w:val="0"/>
                      <w:szCs w:val="21"/>
                    </w:rPr>
                    <w:t>系统</w:t>
                  </w:r>
                  <w:r>
                    <w:rPr>
                      <w:rFonts w:hint="default" w:ascii="Times New Roman" w:hAnsi="Times New Roman" w:eastAsia="宋体" w:cs="Times New Roman"/>
                      <w:color w:val="auto"/>
                      <w:kern w:val="0"/>
                      <w:szCs w:val="21"/>
                      <w:lang w:eastAsia="zh-CN"/>
                    </w:rPr>
                    <w:t>。</w:t>
                  </w:r>
                </w:p>
              </w:tc>
              <w:tc>
                <w:tcPr>
                  <w:tcW w:w="571" w:type="pct"/>
                  <w:tcBorders>
                    <w:top w:val="single" w:color="auto" w:sz="4" w:space="0"/>
                    <w:left w:val="single" w:color="auto" w:sz="4" w:space="0"/>
                    <w:right w:val="single" w:color="auto" w:sz="4" w:space="0"/>
                  </w:tcBorders>
                  <w:vAlign w:val="center"/>
                </w:tcPr>
                <w:p w14:paraId="6DEFA3F8">
                  <w:pPr>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 w:val="21"/>
                      <w:szCs w:val="21"/>
                    </w:rPr>
                    <w:t>依托</w:t>
                  </w:r>
                </w:p>
              </w:tc>
            </w:tr>
            <w:tr w14:paraId="61907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vMerge w:val="continue"/>
                  <w:tcBorders>
                    <w:left w:val="single" w:color="auto" w:sz="4" w:space="0"/>
                    <w:bottom w:val="single" w:color="auto" w:sz="4" w:space="0"/>
                    <w:right w:val="single" w:color="auto" w:sz="4" w:space="0"/>
                  </w:tcBorders>
                  <w:vAlign w:val="center"/>
                </w:tcPr>
                <w:p w14:paraId="07DFA5D1">
                  <w:pPr>
                    <w:contextualSpacing/>
                    <w:jc w:val="center"/>
                    <w:rPr>
                      <w:rFonts w:hint="default" w:ascii="Times New Roman" w:hAnsi="Times New Roman" w:eastAsia="宋体" w:cs="Times New Roman"/>
                      <w:color w:val="auto"/>
                      <w:kern w:val="0"/>
                      <w:szCs w:val="21"/>
                    </w:rPr>
                  </w:pPr>
                </w:p>
              </w:tc>
              <w:tc>
                <w:tcPr>
                  <w:tcW w:w="623" w:type="pct"/>
                  <w:tcBorders>
                    <w:top w:val="single" w:color="auto" w:sz="4" w:space="0"/>
                    <w:left w:val="single" w:color="auto" w:sz="4" w:space="0"/>
                    <w:bottom w:val="single" w:color="auto" w:sz="4" w:space="0"/>
                    <w:right w:val="single" w:color="auto" w:sz="4" w:space="0"/>
                  </w:tcBorders>
                  <w:vAlign w:val="center"/>
                </w:tcPr>
                <w:p w14:paraId="2DC3D476">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供热</w:t>
                  </w:r>
                </w:p>
              </w:tc>
              <w:tc>
                <w:tcPr>
                  <w:tcW w:w="3457" w:type="pct"/>
                  <w:tcBorders>
                    <w:top w:val="single" w:color="auto" w:sz="4" w:space="0"/>
                    <w:left w:val="single" w:color="auto" w:sz="4" w:space="0"/>
                    <w:bottom w:val="single" w:color="auto" w:sz="4" w:space="0"/>
                    <w:right w:val="single" w:color="auto" w:sz="4" w:space="0"/>
                  </w:tcBorders>
                  <w:vAlign w:val="center"/>
                </w:tcPr>
                <w:p w14:paraId="4491BA8D">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本项目喷漆过程中，烘干工段用热依托现有工程现有2.5t/h 热水锅炉供给。</w:t>
                  </w:r>
                </w:p>
              </w:tc>
              <w:tc>
                <w:tcPr>
                  <w:tcW w:w="571" w:type="pct"/>
                  <w:tcBorders>
                    <w:top w:val="single" w:color="auto" w:sz="4" w:space="0"/>
                    <w:left w:val="single" w:color="auto" w:sz="4" w:space="0"/>
                    <w:right w:val="single" w:color="auto" w:sz="4" w:space="0"/>
                  </w:tcBorders>
                  <w:vAlign w:val="center"/>
                </w:tcPr>
                <w:p w14:paraId="3707BA9C">
                  <w:pPr>
                    <w:contextualSpacing/>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依托</w:t>
                  </w:r>
                </w:p>
              </w:tc>
            </w:tr>
            <w:tr w14:paraId="3713C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 w:hRule="atLeast"/>
                <w:jc w:val="center"/>
              </w:trPr>
              <w:tc>
                <w:tcPr>
                  <w:tcW w:w="346" w:type="pct"/>
                  <w:vMerge w:val="restart"/>
                  <w:tcBorders>
                    <w:top w:val="single" w:color="auto" w:sz="4" w:space="0"/>
                    <w:left w:val="single" w:color="auto" w:sz="4" w:space="0"/>
                    <w:right w:val="single" w:color="auto" w:sz="4" w:space="0"/>
                  </w:tcBorders>
                  <w:vAlign w:val="center"/>
                </w:tcPr>
                <w:p w14:paraId="67899985">
                  <w:pPr>
                    <w:contextualSpacing/>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环保</w:t>
                  </w:r>
                </w:p>
                <w:p w14:paraId="4C93803D">
                  <w:pPr>
                    <w:contextualSpacing/>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工程</w:t>
                  </w:r>
                </w:p>
              </w:tc>
              <w:tc>
                <w:tcPr>
                  <w:tcW w:w="623" w:type="pct"/>
                  <w:vMerge w:val="restart"/>
                  <w:tcBorders>
                    <w:top w:val="single" w:color="auto" w:sz="4" w:space="0"/>
                    <w:left w:val="single" w:color="auto" w:sz="4" w:space="0"/>
                    <w:right w:val="single" w:color="auto" w:sz="4" w:space="0"/>
                  </w:tcBorders>
                  <w:vAlign w:val="center"/>
                </w:tcPr>
                <w:p w14:paraId="1CFD3849">
                  <w:pPr>
                    <w:contextualSpacing/>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废气</w:t>
                  </w:r>
                </w:p>
              </w:tc>
              <w:tc>
                <w:tcPr>
                  <w:tcW w:w="3457" w:type="pct"/>
                  <w:tcBorders>
                    <w:top w:val="single" w:color="auto" w:sz="4" w:space="0"/>
                    <w:left w:val="single" w:color="auto" w:sz="4" w:space="0"/>
                    <w:bottom w:val="single" w:color="auto" w:sz="4" w:space="0"/>
                    <w:right w:val="single" w:color="auto" w:sz="4" w:space="0"/>
                  </w:tcBorders>
                  <w:vAlign w:val="center"/>
                </w:tcPr>
                <w:p w14:paraId="69E0B8B4">
                  <w:pPr>
                    <w:contextualSpacing/>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焊接烟尘：集气罩+滤筒除尘器+20m高排气筒；</w:t>
                  </w:r>
                </w:p>
                <w:p w14:paraId="3F84B498">
                  <w:pPr>
                    <w:contextualSpacing/>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喷砂粉尘：集气罩+干式过滤+滤筒除尘器+20m高排气筒。</w:t>
                  </w:r>
                </w:p>
              </w:tc>
              <w:tc>
                <w:tcPr>
                  <w:tcW w:w="571" w:type="pct"/>
                  <w:tcBorders>
                    <w:top w:val="single" w:color="auto" w:sz="4" w:space="0"/>
                    <w:left w:val="single" w:color="auto" w:sz="4" w:space="0"/>
                    <w:right w:val="single" w:color="auto" w:sz="4" w:space="0"/>
                  </w:tcBorders>
                  <w:vAlign w:val="center"/>
                </w:tcPr>
                <w:p w14:paraId="5310ABD0">
                  <w:pPr>
                    <w:contextualSpacing/>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rPr>
                    <w:t>新建</w:t>
                  </w:r>
                </w:p>
              </w:tc>
            </w:tr>
            <w:tr w14:paraId="45989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 w:hRule="atLeast"/>
                <w:jc w:val="center"/>
              </w:trPr>
              <w:tc>
                <w:tcPr>
                  <w:tcW w:w="346" w:type="pct"/>
                  <w:vMerge w:val="continue"/>
                  <w:tcBorders>
                    <w:left w:val="single" w:color="auto" w:sz="4" w:space="0"/>
                    <w:right w:val="single" w:color="auto" w:sz="4" w:space="0"/>
                  </w:tcBorders>
                  <w:vAlign w:val="center"/>
                </w:tcPr>
                <w:p w14:paraId="5D998C94">
                  <w:pPr>
                    <w:contextualSpacing/>
                    <w:jc w:val="center"/>
                    <w:rPr>
                      <w:rFonts w:hint="default" w:ascii="Times New Roman" w:hAnsi="Times New Roman" w:eastAsia="宋体" w:cs="Times New Roman"/>
                      <w:color w:val="auto"/>
                      <w:kern w:val="0"/>
                      <w:szCs w:val="21"/>
                      <w:highlight w:val="none"/>
                    </w:rPr>
                  </w:pPr>
                </w:p>
              </w:tc>
              <w:tc>
                <w:tcPr>
                  <w:tcW w:w="623" w:type="pct"/>
                  <w:vMerge w:val="continue"/>
                  <w:tcBorders>
                    <w:left w:val="single" w:color="auto" w:sz="4" w:space="0"/>
                    <w:right w:val="single" w:color="auto" w:sz="4" w:space="0"/>
                  </w:tcBorders>
                  <w:vAlign w:val="center"/>
                </w:tcPr>
                <w:p w14:paraId="31A32E6D">
                  <w:pPr>
                    <w:contextualSpacing/>
                    <w:jc w:val="center"/>
                    <w:rPr>
                      <w:rFonts w:hint="default" w:ascii="Times New Roman" w:hAnsi="Times New Roman" w:eastAsia="宋体" w:cs="Times New Roman"/>
                      <w:color w:val="auto"/>
                      <w:kern w:val="0"/>
                      <w:szCs w:val="21"/>
                      <w:highlight w:val="none"/>
                    </w:rPr>
                  </w:pPr>
                </w:p>
              </w:tc>
              <w:tc>
                <w:tcPr>
                  <w:tcW w:w="3457" w:type="pct"/>
                  <w:tcBorders>
                    <w:top w:val="single" w:color="auto" w:sz="4" w:space="0"/>
                    <w:left w:val="single" w:color="auto" w:sz="4" w:space="0"/>
                    <w:bottom w:val="single" w:color="auto" w:sz="4" w:space="0"/>
                    <w:right w:val="single" w:color="auto" w:sz="4" w:space="0"/>
                  </w:tcBorders>
                  <w:vAlign w:val="center"/>
                </w:tcPr>
                <w:p w14:paraId="707B5A3B">
                  <w:pPr>
                    <w:contextualSpacing/>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有机废气：密闭喷漆房+干式过滤+活性炭吸附浓缩+催化燃烧+15m高排气筒</w:t>
                  </w:r>
                </w:p>
              </w:tc>
              <w:tc>
                <w:tcPr>
                  <w:tcW w:w="571" w:type="pct"/>
                  <w:tcBorders>
                    <w:top w:val="single" w:color="auto" w:sz="4" w:space="0"/>
                    <w:left w:val="single" w:color="auto" w:sz="4" w:space="0"/>
                    <w:right w:val="single" w:color="auto" w:sz="4" w:space="0"/>
                  </w:tcBorders>
                  <w:vAlign w:val="center"/>
                </w:tcPr>
                <w:p w14:paraId="37731F90">
                  <w:pPr>
                    <w:contextualSpacing/>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依托</w:t>
                  </w:r>
                </w:p>
              </w:tc>
            </w:tr>
            <w:tr w14:paraId="185F0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vMerge w:val="continue"/>
                  <w:tcBorders>
                    <w:top w:val="single" w:color="auto" w:sz="4" w:space="0"/>
                    <w:left w:val="single" w:color="auto" w:sz="4" w:space="0"/>
                    <w:bottom w:val="single" w:color="auto" w:sz="4" w:space="0"/>
                    <w:right w:val="single" w:color="auto" w:sz="4" w:space="0"/>
                  </w:tcBorders>
                  <w:vAlign w:val="center"/>
                </w:tcPr>
                <w:p w14:paraId="4A50810C">
                  <w:pPr>
                    <w:contextualSpacing/>
                    <w:jc w:val="center"/>
                    <w:rPr>
                      <w:rFonts w:hint="default" w:ascii="Times New Roman" w:hAnsi="Times New Roman" w:eastAsia="宋体" w:cs="Times New Roman"/>
                      <w:color w:val="auto"/>
                      <w:kern w:val="0"/>
                      <w:szCs w:val="21"/>
                      <w:highlight w:val="none"/>
                    </w:rPr>
                  </w:pPr>
                </w:p>
              </w:tc>
              <w:tc>
                <w:tcPr>
                  <w:tcW w:w="623" w:type="pct"/>
                  <w:tcBorders>
                    <w:top w:val="single" w:color="auto" w:sz="4" w:space="0"/>
                    <w:left w:val="single" w:color="auto" w:sz="4" w:space="0"/>
                    <w:bottom w:val="single" w:color="auto" w:sz="4" w:space="0"/>
                    <w:right w:val="single" w:color="auto" w:sz="4" w:space="0"/>
                  </w:tcBorders>
                  <w:vAlign w:val="center"/>
                </w:tcPr>
                <w:p w14:paraId="638EAED6">
                  <w:pPr>
                    <w:contextualSpacing/>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噪声</w:t>
                  </w:r>
                </w:p>
              </w:tc>
              <w:tc>
                <w:tcPr>
                  <w:tcW w:w="3457" w:type="pct"/>
                  <w:tcBorders>
                    <w:top w:val="single" w:color="auto" w:sz="4" w:space="0"/>
                    <w:left w:val="single" w:color="auto" w:sz="4" w:space="0"/>
                    <w:bottom w:val="single" w:color="auto" w:sz="4" w:space="0"/>
                    <w:right w:val="single" w:color="auto" w:sz="4" w:space="0"/>
                  </w:tcBorders>
                  <w:vAlign w:val="center"/>
                </w:tcPr>
                <w:p w14:paraId="0C8AE5E5">
                  <w:pPr>
                    <w:contextualSpacing/>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rPr>
                    <w:t>选用低噪设备，设备基础减振，采</w:t>
                  </w:r>
                  <w:r>
                    <w:rPr>
                      <w:rFonts w:hint="default" w:ascii="Times New Roman" w:hAnsi="Times New Roman" w:eastAsia="宋体" w:cs="Times New Roman"/>
                      <w:color w:val="auto"/>
                      <w:spacing w:val="-2"/>
                      <w:kern w:val="0"/>
                      <w:szCs w:val="21"/>
                      <w:highlight w:val="none"/>
                    </w:rPr>
                    <w:t>取车间隔</w:t>
                  </w:r>
                  <w:r>
                    <w:rPr>
                      <w:rFonts w:hint="default" w:ascii="Times New Roman" w:hAnsi="Times New Roman" w:eastAsia="宋体" w:cs="Times New Roman"/>
                      <w:color w:val="auto"/>
                      <w:kern w:val="0"/>
                      <w:szCs w:val="21"/>
                      <w:highlight w:val="none"/>
                    </w:rPr>
                    <w:t>声</w:t>
                  </w:r>
                  <w:r>
                    <w:rPr>
                      <w:rFonts w:hint="default" w:ascii="Times New Roman" w:hAnsi="Times New Roman" w:eastAsia="宋体" w:cs="Times New Roman"/>
                      <w:color w:val="auto"/>
                      <w:kern w:val="0"/>
                      <w:szCs w:val="21"/>
                      <w:highlight w:val="none"/>
                      <w:lang w:eastAsia="zh-CN"/>
                    </w:rPr>
                    <w:t>，</w:t>
                  </w:r>
                  <w:r>
                    <w:rPr>
                      <w:rFonts w:hint="default" w:ascii="Times New Roman" w:hAnsi="Times New Roman" w:eastAsia="宋体" w:cs="Times New Roman"/>
                      <w:color w:val="auto"/>
                      <w:kern w:val="0"/>
                      <w:szCs w:val="21"/>
                      <w:highlight w:val="none"/>
                      <w:lang w:val="en-US" w:eastAsia="zh-CN"/>
                    </w:rPr>
                    <w:t>风机软连接</w:t>
                  </w:r>
                  <w:r>
                    <w:rPr>
                      <w:rFonts w:hint="default" w:ascii="Times New Roman" w:hAnsi="Times New Roman" w:eastAsia="宋体" w:cs="Times New Roman"/>
                      <w:color w:val="auto"/>
                      <w:spacing w:val="-2"/>
                      <w:kern w:val="0"/>
                      <w:szCs w:val="21"/>
                      <w:highlight w:val="none"/>
                    </w:rPr>
                    <w:t>等措施</w:t>
                  </w:r>
                  <w:r>
                    <w:rPr>
                      <w:rFonts w:hint="default" w:ascii="Times New Roman" w:hAnsi="Times New Roman" w:eastAsia="宋体" w:cs="Times New Roman"/>
                      <w:color w:val="auto"/>
                      <w:spacing w:val="-2"/>
                      <w:kern w:val="0"/>
                      <w:szCs w:val="21"/>
                      <w:highlight w:val="none"/>
                      <w:lang w:eastAsia="zh-CN"/>
                    </w:rPr>
                    <w:t>。</w:t>
                  </w:r>
                </w:p>
              </w:tc>
              <w:tc>
                <w:tcPr>
                  <w:tcW w:w="571" w:type="pct"/>
                  <w:tcBorders>
                    <w:top w:val="single" w:color="auto" w:sz="4" w:space="0"/>
                    <w:left w:val="single" w:color="auto" w:sz="4" w:space="0"/>
                    <w:bottom w:val="single" w:color="auto" w:sz="4" w:space="0"/>
                    <w:right w:val="single" w:color="auto" w:sz="4" w:space="0"/>
                  </w:tcBorders>
                  <w:vAlign w:val="center"/>
                </w:tcPr>
                <w:p w14:paraId="1A8F4D72">
                  <w:pPr>
                    <w:contextualSpacing/>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rPr>
                    <w:t>新建</w:t>
                  </w:r>
                </w:p>
              </w:tc>
            </w:tr>
            <w:tr w14:paraId="63531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vMerge w:val="continue"/>
                  <w:tcBorders>
                    <w:top w:val="single" w:color="auto" w:sz="4" w:space="0"/>
                    <w:left w:val="single" w:color="auto" w:sz="4" w:space="0"/>
                    <w:bottom w:val="single" w:color="auto" w:sz="4" w:space="0"/>
                    <w:right w:val="single" w:color="auto" w:sz="4" w:space="0"/>
                  </w:tcBorders>
                  <w:vAlign w:val="center"/>
                </w:tcPr>
                <w:p w14:paraId="6B0A3E2B">
                  <w:pPr>
                    <w:contextualSpacing/>
                    <w:jc w:val="center"/>
                    <w:rPr>
                      <w:rFonts w:hint="default" w:ascii="Times New Roman" w:hAnsi="Times New Roman" w:eastAsia="宋体" w:cs="Times New Roman"/>
                      <w:color w:val="auto"/>
                      <w:kern w:val="0"/>
                      <w:szCs w:val="21"/>
                      <w:highlight w:val="none"/>
                    </w:rPr>
                  </w:pPr>
                </w:p>
              </w:tc>
              <w:tc>
                <w:tcPr>
                  <w:tcW w:w="623" w:type="pct"/>
                  <w:vMerge w:val="restart"/>
                  <w:tcBorders>
                    <w:top w:val="single" w:color="auto" w:sz="4" w:space="0"/>
                    <w:left w:val="single" w:color="auto" w:sz="4" w:space="0"/>
                    <w:right w:val="single" w:color="auto" w:sz="4" w:space="0"/>
                  </w:tcBorders>
                  <w:vAlign w:val="center"/>
                </w:tcPr>
                <w:p w14:paraId="61F6503B">
                  <w:pPr>
                    <w:contextualSpacing/>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固废</w:t>
                  </w:r>
                </w:p>
              </w:tc>
              <w:tc>
                <w:tcPr>
                  <w:tcW w:w="3457" w:type="pct"/>
                  <w:tcBorders>
                    <w:top w:val="single" w:color="auto" w:sz="4" w:space="0"/>
                    <w:left w:val="single" w:color="auto" w:sz="4" w:space="0"/>
                    <w:bottom w:val="single" w:color="auto" w:sz="4" w:space="0"/>
                    <w:right w:val="single" w:color="auto" w:sz="4" w:space="0"/>
                  </w:tcBorders>
                  <w:vAlign w:val="center"/>
                </w:tcPr>
                <w:p w14:paraId="2B55773C">
                  <w:pPr>
                    <w:contextualSpacing/>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rPr>
                    <w:t>废金属碎屑、废金属边角料、焊渣、除尘器收尘分类收集后暂存于一般固废暂存</w:t>
                  </w:r>
                  <w:r>
                    <w:rPr>
                      <w:rFonts w:hint="default" w:ascii="Times New Roman" w:hAnsi="Times New Roman" w:eastAsia="宋体" w:cs="Times New Roman"/>
                      <w:color w:val="auto"/>
                      <w:kern w:val="0"/>
                      <w:szCs w:val="21"/>
                      <w:highlight w:val="none"/>
                      <w:lang w:val="en-US" w:eastAsia="zh-CN"/>
                    </w:rPr>
                    <w:t>间</w:t>
                  </w:r>
                  <w:r>
                    <w:rPr>
                      <w:rFonts w:hint="default" w:ascii="Times New Roman" w:hAnsi="Times New Roman" w:eastAsia="宋体" w:cs="Times New Roman"/>
                      <w:color w:val="auto"/>
                      <w:kern w:val="0"/>
                      <w:szCs w:val="21"/>
                      <w:highlight w:val="none"/>
                    </w:rPr>
                    <w:t>定期外售</w:t>
                  </w:r>
                  <w:r>
                    <w:rPr>
                      <w:rFonts w:hint="default" w:ascii="Times New Roman" w:hAnsi="Times New Roman" w:eastAsia="宋体" w:cs="Times New Roman"/>
                      <w:color w:val="auto"/>
                      <w:kern w:val="0"/>
                      <w:szCs w:val="21"/>
                      <w:highlight w:val="none"/>
                      <w:lang w:eastAsia="zh-CN"/>
                    </w:rPr>
                    <w:t>。</w:t>
                  </w:r>
                </w:p>
              </w:tc>
              <w:tc>
                <w:tcPr>
                  <w:tcW w:w="571" w:type="pct"/>
                  <w:tcBorders>
                    <w:top w:val="single" w:color="auto" w:sz="4" w:space="0"/>
                    <w:left w:val="single" w:color="auto" w:sz="4" w:space="0"/>
                    <w:right w:val="single" w:color="auto" w:sz="4" w:space="0"/>
                  </w:tcBorders>
                  <w:vAlign w:val="center"/>
                </w:tcPr>
                <w:p w14:paraId="3DD11660">
                  <w:pPr>
                    <w:contextualSpacing/>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依托</w:t>
                  </w:r>
                </w:p>
              </w:tc>
            </w:tr>
            <w:tr w14:paraId="5232B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vMerge w:val="continue"/>
                  <w:tcBorders>
                    <w:top w:val="single" w:color="auto" w:sz="4" w:space="0"/>
                    <w:left w:val="single" w:color="auto" w:sz="4" w:space="0"/>
                    <w:bottom w:val="single" w:color="auto" w:sz="4" w:space="0"/>
                    <w:right w:val="single" w:color="auto" w:sz="4" w:space="0"/>
                  </w:tcBorders>
                  <w:vAlign w:val="center"/>
                </w:tcPr>
                <w:p w14:paraId="2591476C">
                  <w:pPr>
                    <w:contextualSpacing/>
                    <w:jc w:val="center"/>
                    <w:rPr>
                      <w:rFonts w:hint="default" w:ascii="Times New Roman" w:hAnsi="Times New Roman" w:eastAsia="宋体" w:cs="Times New Roman"/>
                      <w:color w:val="auto"/>
                      <w:kern w:val="0"/>
                      <w:szCs w:val="21"/>
                      <w:highlight w:val="none"/>
                    </w:rPr>
                  </w:pPr>
                </w:p>
              </w:tc>
              <w:tc>
                <w:tcPr>
                  <w:tcW w:w="623" w:type="pct"/>
                  <w:vMerge w:val="continue"/>
                  <w:tcBorders>
                    <w:left w:val="single" w:color="auto" w:sz="4" w:space="0"/>
                    <w:right w:val="single" w:color="auto" w:sz="4" w:space="0"/>
                  </w:tcBorders>
                  <w:vAlign w:val="center"/>
                </w:tcPr>
                <w:p w14:paraId="0B07FD57">
                  <w:pPr>
                    <w:contextualSpacing/>
                    <w:jc w:val="center"/>
                    <w:rPr>
                      <w:rFonts w:hint="default" w:ascii="Times New Roman" w:hAnsi="Times New Roman" w:eastAsia="宋体" w:cs="Times New Roman"/>
                      <w:color w:val="auto"/>
                      <w:kern w:val="0"/>
                      <w:szCs w:val="21"/>
                      <w:highlight w:val="none"/>
                    </w:rPr>
                  </w:pPr>
                </w:p>
              </w:tc>
              <w:tc>
                <w:tcPr>
                  <w:tcW w:w="3457" w:type="pct"/>
                  <w:tcBorders>
                    <w:top w:val="single" w:color="auto" w:sz="4" w:space="0"/>
                    <w:left w:val="single" w:color="auto" w:sz="4" w:space="0"/>
                    <w:bottom w:val="single" w:color="auto" w:sz="4" w:space="0"/>
                    <w:right w:val="single" w:color="auto" w:sz="4" w:space="0"/>
                  </w:tcBorders>
                  <w:vAlign w:val="center"/>
                </w:tcPr>
                <w:p w14:paraId="21A1AB9D">
                  <w:pPr>
                    <w:contextualSpacing/>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kern w:val="0"/>
                      <w:szCs w:val="21"/>
                      <w:highlight w:val="none"/>
                    </w:rPr>
                    <w:t>废切削液、废润滑油、含油废手套及抹布、废油漆桶、废漆渣等危险废物暂存于</w:t>
                  </w:r>
                  <w:r>
                    <w:rPr>
                      <w:rFonts w:hint="default" w:ascii="Times New Roman" w:hAnsi="Times New Roman" w:eastAsia="宋体" w:cs="Times New Roman"/>
                      <w:color w:val="auto"/>
                      <w:kern w:val="0"/>
                      <w:szCs w:val="21"/>
                      <w:highlight w:val="none"/>
                      <w:lang w:eastAsia="zh-CN"/>
                    </w:rPr>
                    <w:t>危废</w:t>
                  </w:r>
                  <w:r>
                    <w:rPr>
                      <w:rFonts w:hint="default" w:ascii="Times New Roman" w:hAnsi="Times New Roman" w:eastAsia="宋体" w:cs="Times New Roman"/>
                      <w:color w:val="auto"/>
                      <w:kern w:val="0"/>
                      <w:szCs w:val="21"/>
                      <w:highlight w:val="none"/>
                      <w:lang w:val="en-US" w:eastAsia="zh-CN"/>
                    </w:rPr>
                    <w:t>贮存库</w:t>
                  </w:r>
                  <w:r>
                    <w:rPr>
                      <w:rFonts w:hint="default" w:ascii="Times New Roman" w:hAnsi="Times New Roman" w:eastAsia="宋体" w:cs="Times New Roman"/>
                      <w:color w:val="auto"/>
                      <w:kern w:val="0"/>
                      <w:szCs w:val="21"/>
                      <w:highlight w:val="none"/>
                    </w:rPr>
                    <w:t>，交由有资质单位</w:t>
                  </w:r>
                  <w:r>
                    <w:rPr>
                      <w:rFonts w:hint="default" w:ascii="Times New Roman" w:hAnsi="Times New Roman" w:eastAsia="宋体" w:cs="Times New Roman"/>
                      <w:color w:val="auto"/>
                      <w:kern w:val="0"/>
                      <w:szCs w:val="21"/>
                      <w:highlight w:val="none"/>
                      <w:lang w:val="en-US" w:eastAsia="zh-CN"/>
                    </w:rPr>
                    <w:t>处置</w:t>
                  </w:r>
                </w:p>
              </w:tc>
              <w:tc>
                <w:tcPr>
                  <w:tcW w:w="571" w:type="pct"/>
                  <w:tcBorders>
                    <w:left w:val="single" w:color="auto" w:sz="4" w:space="0"/>
                    <w:right w:val="single" w:color="auto" w:sz="4" w:space="0"/>
                  </w:tcBorders>
                  <w:vAlign w:val="center"/>
                </w:tcPr>
                <w:p w14:paraId="6F5189A8">
                  <w:pPr>
                    <w:contextualSpacing/>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kern w:val="0"/>
                      <w:szCs w:val="21"/>
                      <w:highlight w:val="none"/>
                      <w:lang w:val="en-US" w:eastAsia="zh-CN"/>
                    </w:rPr>
                    <w:t>依托</w:t>
                  </w:r>
                </w:p>
              </w:tc>
            </w:tr>
            <w:tr w14:paraId="2F556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vMerge w:val="restart"/>
                  <w:tcBorders>
                    <w:left w:val="single" w:color="auto" w:sz="4" w:space="0"/>
                    <w:right w:val="single" w:color="auto" w:sz="4" w:space="0"/>
                  </w:tcBorders>
                  <w:vAlign w:val="center"/>
                </w:tcPr>
                <w:p w14:paraId="59AA4DB7">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依托工程</w:t>
                  </w:r>
                </w:p>
              </w:tc>
              <w:tc>
                <w:tcPr>
                  <w:tcW w:w="623" w:type="pct"/>
                  <w:tcBorders>
                    <w:left w:val="single" w:color="auto" w:sz="4" w:space="0"/>
                    <w:right w:val="single" w:color="auto" w:sz="4" w:space="0"/>
                  </w:tcBorders>
                  <w:vAlign w:val="center"/>
                </w:tcPr>
                <w:p w14:paraId="617EE8C8">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喷漆房</w:t>
                  </w:r>
                </w:p>
              </w:tc>
              <w:tc>
                <w:tcPr>
                  <w:tcW w:w="3457" w:type="pct"/>
                  <w:tcBorders>
                    <w:left w:val="single" w:color="auto" w:sz="4" w:space="0"/>
                    <w:right w:val="single" w:color="auto" w:sz="4" w:space="0"/>
                  </w:tcBorders>
                  <w:vAlign w:val="center"/>
                </w:tcPr>
                <w:p w14:paraId="41487219">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位于厂区西侧，建筑面积560m</w:t>
                  </w:r>
                  <w:r>
                    <w:rPr>
                      <w:rFonts w:hint="default" w:ascii="Times New Roman" w:hAnsi="Times New Roman" w:eastAsia="宋体" w:cs="Times New Roman"/>
                      <w:color w:val="auto"/>
                      <w:kern w:val="0"/>
                      <w:szCs w:val="21"/>
                      <w:vertAlign w:val="superscript"/>
                      <w:lang w:val="en-US" w:eastAsia="zh-CN"/>
                    </w:rPr>
                    <w:t>2</w:t>
                  </w:r>
                  <w:r>
                    <w:rPr>
                      <w:rFonts w:hint="default" w:ascii="Times New Roman" w:hAnsi="Times New Roman" w:eastAsia="宋体" w:cs="Times New Roman"/>
                      <w:color w:val="auto"/>
                      <w:kern w:val="0"/>
                      <w:szCs w:val="21"/>
                      <w:lang w:val="en-US" w:eastAsia="zh-CN"/>
                    </w:rPr>
                    <w:t>，采用高压无气喷涂工艺进行处理，调漆位于喷漆房内进行，有机废气采用“干式过滤+活性炭吸附浓缩+催化燃烧”的工艺进行处理，通过15m高排气筒排放。</w:t>
                  </w:r>
                </w:p>
              </w:tc>
              <w:tc>
                <w:tcPr>
                  <w:tcW w:w="571" w:type="pct"/>
                  <w:tcBorders>
                    <w:left w:val="single" w:color="auto" w:sz="4" w:space="0"/>
                    <w:right w:val="single" w:color="auto" w:sz="4" w:space="0"/>
                  </w:tcBorders>
                  <w:vAlign w:val="center"/>
                </w:tcPr>
                <w:p w14:paraId="5456287D">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依托</w:t>
                  </w:r>
                </w:p>
              </w:tc>
            </w:tr>
            <w:tr w14:paraId="72361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vMerge w:val="continue"/>
                  <w:tcBorders>
                    <w:left w:val="single" w:color="auto" w:sz="4" w:space="0"/>
                    <w:right w:val="single" w:color="auto" w:sz="4" w:space="0"/>
                  </w:tcBorders>
                  <w:vAlign w:val="center"/>
                </w:tcPr>
                <w:p w14:paraId="4845F1CC">
                  <w:pPr>
                    <w:contextualSpacing/>
                    <w:jc w:val="center"/>
                    <w:rPr>
                      <w:rFonts w:hint="default" w:ascii="Times New Roman" w:hAnsi="Times New Roman" w:eastAsia="宋体" w:cs="Times New Roman"/>
                      <w:color w:val="auto"/>
                      <w:szCs w:val="21"/>
                    </w:rPr>
                  </w:pPr>
                </w:p>
              </w:tc>
              <w:tc>
                <w:tcPr>
                  <w:tcW w:w="623" w:type="pct"/>
                  <w:tcBorders>
                    <w:left w:val="single" w:color="auto" w:sz="4" w:space="0"/>
                    <w:right w:val="single" w:color="auto" w:sz="4" w:space="0"/>
                  </w:tcBorders>
                  <w:vAlign w:val="center"/>
                </w:tcPr>
                <w:p w14:paraId="429FAFEE">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化学品库</w:t>
                  </w:r>
                </w:p>
              </w:tc>
              <w:tc>
                <w:tcPr>
                  <w:tcW w:w="3457" w:type="pct"/>
                  <w:tcBorders>
                    <w:left w:val="single" w:color="auto" w:sz="4" w:space="0"/>
                    <w:right w:val="single" w:color="auto" w:sz="4" w:space="0"/>
                  </w:tcBorders>
                  <w:vAlign w:val="center"/>
                </w:tcPr>
                <w:p w14:paraId="6735F7B9">
                  <w:pPr>
                    <w:contextualSpacing/>
                    <w:jc w:val="center"/>
                    <w:rPr>
                      <w:rFonts w:hint="default" w:ascii="Times New Roman" w:hAnsi="Times New Roman" w:eastAsia="宋体" w:cs="Times New Roman"/>
                      <w:color w:val="auto"/>
                      <w:kern w:val="0"/>
                      <w:szCs w:val="21"/>
                      <w:vertAlign w:val="baseline"/>
                      <w:lang w:val="en-US" w:eastAsia="zh-CN"/>
                    </w:rPr>
                  </w:pPr>
                  <w:r>
                    <w:rPr>
                      <w:rFonts w:hint="default" w:ascii="Times New Roman" w:hAnsi="Times New Roman" w:eastAsia="宋体" w:cs="Times New Roman"/>
                      <w:color w:val="auto"/>
                      <w:kern w:val="0"/>
                      <w:szCs w:val="21"/>
                      <w:lang w:val="en-US" w:eastAsia="zh-CN"/>
                    </w:rPr>
                    <w:t>位于厂区西侧，建筑面积101m</w:t>
                  </w:r>
                  <w:r>
                    <w:rPr>
                      <w:rFonts w:hint="default" w:ascii="Times New Roman" w:hAnsi="Times New Roman" w:eastAsia="宋体" w:cs="Times New Roman"/>
                      <w:color w:val="auto"/>
                      <w:kern w:val="0"/>
                      <w:szCs w:val="21"/>
                      <w:vertAlign w:val="superscript"/>
                      <w:lang w:val="en-US" w:eastAsia="zh-CN"/>
                    </w:rPr>
                    <w:t>2</w:t>
                  </w:r>
                  <w:r>
                    <w:rPr>
                      <w:rFonts w:hint="default" w:ascii="Times New Roman" w:hAnsi="Times New Roman" w:eastAsia="宋体" w:cs="Times New Roman"/>
                      <w:color w:val="auto"/>
                      <w:kern w:val="0"/>
                      <w:szCs w:val="21"/>
                      <w:vertAlign w:val="baseline"/>
                      <w:lang w:val="en-US" w:eastAsia="zh-CN"/>
                    </w:rPr>
                    <w:t>，主要用于储存油漆。</w:t>
                  </w:r>
                </w:p>
              </w:tc>
              <w:tc>
                <w:tcPr>
                  <w:tcW w:w="571" w:type="pct"/>
                  <w:tcBorders>
                    <w:left w:val="single" w:color="auto" w:sz="4" w:space="0"/>
                    <w:right w:val="single" w:color="auto" w:sz="4" w:space="0"/>
                  </w:tcBorders>
                  <w:vAlign w:val="center"/>
                </w:tcPr>
                <w:p w14:paraId="079AAFB5">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依托</w:t>
                  </w:r>
                </w:p>
              </w:tc>
            </w:tr>
            <w:tr w14:paraId="29D58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vMerge w:val="continue"/>
                  <w:tcBorders>
                    <w:left w:val="single" w:color="auto" w:sz="4" w:space="0"/>
                    <w:right w:val="single" w:color="auto" w:sz="4" w:space="0"/>
                  </w:tcBorders>
                  <w:vAlign w:val="center"/>
                </w:tcPr>
                <w:p w14:paraId="7A1691C0">
                  <w:pPr>
                    <w:contextualSpacing/>
                    <w:jc w:val="center"/>
                    <w:rPr>
                      <w:rFonts w:hint="default" w:ascii="Times New Roman" w:hAnsi="Times New Roman" w:eastAsia="宋体" w:cs="Times New Roman"/>
                      <w:color w:val="auto"/>
                      <w:szCs w:val="21"/>
                    </w:rPr>
                  </w:pPr>
                </w:p>
              </w:tc>
              <w:tc>
                <w:tcPr>
                  <w:tcW w:w="623" w:type="pct"/>
                  <w:tcBorders>
                    <w:left w:val="single" w:color="auto" w:sz="4" w:space="0"/>
                    <w:right w:val="single" w:color="auto" w:sz="4" w:space="0"/>
                  </w:tcBorders>
                  <w:vAlign w:val="center"/>
                </w:tcPr>
                <w:p w14:paraId="5C88DF43">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z w:val="21"/>
                      <w:szCs w:val="21"/>
                      <w:lang w:val="en-US" w:eastAsia="zh-CN"/>
                    </w:rPr>
                    <w:t>危废贮存库</w:t>
                  </w:r>
                </w:p>
              </w:tc>
              <w:tc>
                <w:tcPr>
                  <w:tcW w:w="3457" w:type="pct"/>
                  <w:tcBorders>
                    <w:left w:val="single" w:color="auto" w:sz="4" w:space="0"/>
                    <w:right w:val="single" w:color="auto" w:sz="4" w:space="0"/>
                  </w:tcBorders>
                  <w:shd w:val="clear" w:color="auto" w:fill="auto"/>
                  <w:vAlign w:val="center"/>
                </w:tcPr>
                <w:p w14:paraId="54E25E3B">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位于厂区东北角，建筑面积208m</w:t>
                  </w:r>
                  <w:r>
                    <w:rPr>
                      <w:rFonts w:hint="default" w:ascii="Times New Roman" w:hAnsi="Times New Roman" w:eastAsia="宋体" w:cs="Times New Roman"/>
                      <w:color w:val="auto"/>
                      <w:kern w:val="0"/>
                      <w:sz w:val="21"/>
                      <w:szCs w:val="21"/>
                      <w:vertAlign w:val="superscript"/>
                      <w:lang w:val="en-US" w:eastAsia="zh-CN" w:bidi="ar-SA"/>
                    </w:rPr>
                    <w:t>2</w:t>
                  </w:r>
                  <w:r>
                    <w:rPr>
                      <w:rFonts w:hint="default" w:ascii="Times New Roman" w:hAnsi="Times New Roman" w:eastAsia="宋体" w:cs="Times New Roman"/>
                      <w:color w:val="auto"/>
                      <w:kern w:val="0"/>
                      <w:sz w:val="21"/>
                      <w:szCs w:val="21"/>
                      <w:lang w:val="en-US" w:eastAsia="zh-CN" w:bidi="ar-SA"/>
                    </w:rPr>
                    <w:t>。</w:t>
                  </w:r>
                </w:p>
              </w:tc>
              <w:tc>
                <w:tcPr>
                  <w:tcW w:w="571" w:type="pct"/>
                  <w:tcBorders>
                    <w:left w:val="single" w:color="auto" w:sz="4" w:space="0"/>
                    <w:right w:val="single" w:color="auto" w:sz="4" w:space="0"/>
                  </w:tcBorders>
                  <w:shd w:val="clear" w:color="auto" w:fill="auto"/>
                  <w:vAlign w:val="center"/>
                </w:tcPr>
                <w:p w14:paraId="5A08C2AD">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依托</w:t>
                  </w:r>
                </w:p>
              </w:tc>
            </w:tr>
            <w:tr w14:paraId="6A214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346" w:type="pct"/>
                  <w:vMerge w:val="continue"/>
                  <w:tcBorders>
                    <w:left w:val="single" w:color="auto" w:sz="4" w:space="0"/>
                    <w:bottom w:val="single" w:color="auto" w:sz="4" w:space="0"/>
                    <w:right w:val="single" w:color="auto" w:sz="4" w:space="0"/>
                  </w:tcBorders>
                  <w:vAlign w:val="center"/>
                </w:tcPr>
                <w:p w14:paraId="1D5C2AC2">
                  <w:pPr>
                    <w:contextualSpacing/>
                    <w:jc w:val="center"/>
                    <w:rPr>
                      <w:rFonts w:hint="default" w:ascii="Times New Roman" w:hAnsi="Times New Roman" w:eastAsia="宋体" w:cs="Times New Roman"/>
                      <w:color w:val="auto"/>
                      <w:szCs w:val="21"/>
                    </w:rPr>
                  </w:pPr>
                </w:p>
              </w:tc>
              <w:tc>
                <w:tcPr>
                  <w:tcW w:w="623" w:type="pct"/>
                  <w:tcBorders>
                    <w:left w:val="single" w:color="auto" w:sz="4" w:space="0"/>
                    <w:bottom w:val="single" w:color="auto" w:sz="4" w:space="0"/>
                    <w:right w:val="single" w:color="auto" w:sz="4" w:space="0"/>
                  </w:tcBorders>
                  <w:vAlign w:val="center"/>
                </w:tcPr>
                <w:p w14:paraId="433F88C6">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锅炉</w:t>
                  </w:r>
                </w:p>
              </w:tc>
              <w:tc>
                <w:tcPr>
                  <w:tcW w:w="3457" w:type="pct"/>
                  <w:tcBorders>
                    <w:left w:val="single" w:color="auto" w:sz="4" w:space="0"/>
                    <w:bottom w:val="single" w:color="auto" w:sz="4" w:space="0"/>
                    <w:right w:val="single" w:color="auto" w:sz="4" w:space="0"/>
                  </w:tcBorders>
                  <w:vAlign w:val="center"/>
                </w:tcPr>
                <w:p w14:paraId="7F0CF3B8">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2.5t/h天然气热水锅炉，采用低氮燃烧设施，锅炉烟气通过8m高排气筒排放。</w:t>
                  </w:r>
                </w:p>
              </w:tc>
              <w:tc>
                <w:tcPr>
                  <w:tcW w:w="571" w:type="pct"/>
                  <w:tcBorders>
                    <w:left w:val="single" w:color="auto" w:sz="4" w:space="0"/>
                    <w:bottom w:val="single" w:color="auto" w:sz="4" w:space="0"/>
                    <w:right w:val="single" w:color="auto" w:sz="4" w:space="0"/>
                  </w:tcBorders>
                  <w:vAlign w:val="center"/>
                </w:tcPr>
                <w:p w14:paraId="0FEB6A37">
                  <w:pPr>
                    <w:contextualSpacing/>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依托</w:t>
                  </w:r>
                </w:p>
              </w:tc>
            </w:tr>
          </w:tbl>
          <w:p w14:paraId="63254F57">
            <w:pPr>
              <w:spacing w:line="360" w:lineRule="auto"/>
              <w:ind w:firstLine="480" w:firstLineChars="200"/>
              <w:rPr>
                <w:rFonts w:hint="default" w:ascii="Times New Roman" w:hAnsi="Times New Roman" w:eastAsia="宋体" w:cs="Times New Roman"/>
                <w:color w:val="auto"/>
                <w:kern w:val="0"/>
                <w:sz w:val="24"/>
                <w:szCs w:val="20"/>
                <w:lang w:val="en-US" w:eastAsia="zh-CN"/>
              </w:rPr>
            </w:pPr>
            <w:r>
              <w:rPr>
                <w:rFonts w:hint="default" w:ascii="Times New Roman" w:hAnsi="Times New Roman" w:eastAsia="宋体" w:cs="Times New Roman"/>
                <w:color w:val="auto"/>
                <w:kern w:val="0"/>
                <w:sz w:val="24"/>
                <w:szCs w:val="20"/>
                <w:lang w:val="en-US" w:eastAsia="zh-CN"/>
              </w:rPr>
              <w:t>（3）依托可行性</w:t>
            </w:r>
          </w:p>
          <w:p w14:paraId="3AA370D3">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1）喷漆房</w:t>
            </w:r>
          </w:p>
          <w:p w14:paraId="5D2938B5">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本项目喷漆工段依托现有喷漆房进行处理，由于现有工程部分产品委外加工，因此现有工程喷漆规模减少。经建设单位核算，现有喷漆房可以满足本项目及现有工程喷漆需求。现有喷漆房有机废气采用“干式过滤+活性炭吸附浓缩+催化燃烧”的工艺进行处理，处理后通过15m高排气筒排放。根据例行监测数据，现有工程喷漆废气中非甲烷总烃、二甲苯的排放浓度及非甲烷总烃去除效率监测结果均符合《挥发性有机物排放控制标准》(DB61/T1061-2017)表1中表面涂装行业排放限值要求，颗粒物</w:t>
            </w:r>
            <w:bookmarkStart w:id="7" w:name="_GoBack"/>
            <w:bookmarkEnd w:id="7"/>
            <w:r>
              <w:rPr>
                <w:rFonts w:hint="default" w:ascii="Times New Roman" w:hAnsi="Times New Roman" w:eastAsia="宋体" w:cs="Times New Roman"/>
                <w:bCs/>
                <w:color w:val="auto"/>
                <w:kern w:val="0"/>
                <w:sz w:val="24"/>
                <w:szCs w:val="20"/>
                <w:lang w:val="en-US" w:eastAsia="zh-CN"/>
              </w:rPr>
              <w:t>的排放浓度及排放速率监测结果均符合《大气污染物综合排放标准》</w:t>
            </w:r>
            <w:r>
              <w:rPr>
                <w:rFonts w:hint="eastAsia" w:cs="Times New Roman"/>
                <w:bCs/>
                <w:color w:val="auto"/>
                <w:kern w:val="0"/>
                <w:sz w:val="24"/>
                <w:szCs w:val="20"/>
                <w:lang w:val="en-US" w:eastAsia="zh-CN"/>
              </w:rPr>
              <w:t>（</w:t>
            </w:r>
            <w:r>
              <w:rPr>
                <w:rFonts w:hint="default" w:ascii="Times New Roman" w:hAnsi="Times New Roman" w:eastAsia="宋体" w:cs="Times New Roman"/>
                <w:bCs/>
                <w:color w:val="auto"/>
                <w:kern w:val="0"/>
                <w:sz w:val="24"/>
                <w:szCs w:val="20"/>
                <w:lang w:val="en-US" w:eastAsia="zh-CN"/>
              </w:rPr>
              <w:t>GB16297-1996</w:t>
            </w:r>
            <w:r>
              <w:rPr>
                <w:rFonts w:hint="eastAsia" w:cs="Times New Roman"/>
                <w:bCs/>
                <w:color w:val="auto"/>
                <w:kern w:val="0"/>
                <w:sz w:val="24"/>
                <w:szCs w:val="20"/>
                <w:lang w:val="en-US" w:eastAsia="zh-CN"/>
              </w:rPr>
              <w:t>）</w:t>
            </w:r>
            <w:r>
              <w:rPr>
                <w:rFonts w:hint="default" w:ascii="Times New Roman" w:hAnsi="Times New Roman" w:eastAsia="宋体" w:cs="Times New Roman"/>
                <w:bCs/>
                <w:color w:val="auto"/>
                <w:kern w:val="0"/>
                <w:sz w:val="24"/>
                <w:szCs w:val="20"/>
                <w:lang w:val="en-US" w:eastAsia="zh-CN"/>
              </w:rPr>
              <w:t>表2二级排放限值要求，现有工程喷漆房及废气处理措施已通过竣工环境保护验收。根据工程分析内容，本项目建成后污染物仍能达标排放，因此，综上所述，依托可行。</w:t>
            </w:r>
          </w:p>
          <w:p w14:paraId="1FC08833">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2）化学品库</w:t>
            </w:r>
          </w:p>
          <w:p w14:paraId="33FAC268">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本项目原辅料中底漆、面漆、稀释剂、固化剂依托现有工程化学品库储存，由于现有工程部分产品委外加工，因此化学品库储存空间充足，可以满足本项目原辅料储存需求，且化学品库已通过竣工环境保护验收，因此依托可行。</w:t>
            </w:r>
          </w:p>
          <w:p w14:paraId="122BF838">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3）危废贮存库</w:t>
            </w:r>
          </w:p>
          <w:p w14:paraId="7BA3DA4E">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现有工程危废贮存库已采取有效的防渗措施，建设满足</w:t>
            </w:r>
            <w:r>
              <w:rPr>
                <w:rFonts w:hint="default" w:ascii="Times New Roman" w:hAnsi="Times New Roman" w:eastAsia="宋体" w:cs="Times New Roman"/>
                <w:color w:val="auto"/>
                <w:sz w:val="24"/>
              </w:rPr>
              <w:t>《危险废物贮存污染控制标准》（</w:t>
            </w:r>
            <w:r>
              <w:rPr>
                <w:rFonts w:hint="default" w:ascii="Times New Roman" w:hAnsi="Times New Roman" w:eastAsia="宋体" w:cs="Times New Roman"/>
                <w:color w:val="auto"/>
                <w:sz w:val="24"/>
                <w:lang w:val="en-US" w:eastAsia="zh-CN"/>
              </w:rPr>
              <w:t>GB18597-2023</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要求，已通过竣工环境保护验收，现场勘查时维护情况良好。目前</w:t>
            </w:r>
            <w:r>
              <w:rPr>
                <w:rFonts w:hint="default" w:ascii="Times New Roman" w:hAnsi="Times New Roman" w:eastAsia="宋体" w:cs="Times New Roman"/>
                <w:bCs/>
                <w:color w:val="auto"/>
                <w:kern w:val="0"/>
                <w:sz w:val="24"/>
                <w:szCs w:val="20"/>
                <w:lang w:val="en-US" w:eastAsia="zh-CN"/>
              </w:rPr>
              <w:t>危废贮存库内储存空间充足，可以满足本项目危险废物暂存需求，因此依托可行。</w:t>
            </w:r>
          </w:p>
          <w:p w14:paraId="54E32648">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4）锅炉</w:t>
            </w:r>
          </w:p>
          <w:p w14:paraId="500B800A">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现有工程设置1台2.5t/h天然气热水锅炉，现用于西喷漆房烘干供热，可以满足仅剩的1间喷漆房烘干供热需求，因此依托可行。</w:t>
            </w:r>
          </w:p>
          <w:p w14:paraId="002402DC">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w:t>
            </w:r>
            <w:r>
              <w:rPr>
                <w:rFonts w:hint="default" w:ascii="Times New Roman" w:hAnsi="Times New Roman" w:eastAsia="宋体" w:cs="Times New Roman"/>
                <w:color w:val="auto"/>
                <w:kern w:val="0"/>
                <w:sz w:val="24"/>
                <w:szCs w:val="20"/>
                <w:lang w:val="en-US" w:eastAsia="zh-CN"/>
              </w:rPr>
              <w:t>4</w:t>
            </w:r>
            <w:r>
              <w:rPr>
                <w:rFonts w:hint="default" w:ascii="Times New Roman" w:hAnsi="Times New Roman" w:eastAsia="宋体" w:cs="Times New Roman"/>
                <w:color w:val="auto"/>
                <w:kern w:val="0"/>
                <w:sz w:val="24"/>
                <w:szCs w:val="20"/>
              </w:rPr>
              <w:t>）产品方案</w:t>
            </w:r>
          </w:p>
          <w:p w14:paraId="53BD7C78">
            <w:pPr>
              <w:spacing w:line="360" w:lineRule="auto"/>
              <w:ind w:firstLine="480" w:firstLineChars="200"/>
              <w:rPr>
                <w:rFonts w:hint="default" w:ascii="Times New Roman" w:hAnsi="Times New Roman" w:eastAsia="宋体" w:cs="Times New Roman"/>
                <w:color w:val="auto"/>
                <w:kern w:val="0"/>
                <w:sz w:val="24"/>
                <w:szCs w:val="20"/>
                <w:lang w:val="en-US" w:eastAsia="zh-CN"/>
              </w:rPr>
            </w:pPr>
            <w:r>
              <w:rPr>
                <w:rFonts w:hint="default" w:ascii="Times New Roman" w:hAnsi="Times New Roman" w:eastAsia="宋体" w:cs="Times New Roman"/>
                <w:color w:val="auto"/>
                <w:kern w:val="0"/>
                <w:sz w:val="24"/>
                <w:szCs w:val="20"/>
                <w:lang w:val="en-US" w:eastAsia="zh-CN"/>
              </w:rPr>
              <w:t>现有工程主要产品为辊子、刮刀、空气系统产品和宽幅纸机产品，本项目主要生产TRP洗浆机设备，与现有工程产品不相同，不涉及主体工程改、扩建。</w:t>
            </w:r>
            <w:r>
              <w:rPr>
                <w:rFonts w:hint="default" w:ascii="Times New Roman" w:hAnsi="Times New Roman" w:eastAsia="宋体" w:cs="Times New Roman"/>
                <w:color w:val="auto"/>
                <w:kern w:val="0"/>
                <w:sz w:val="24"/>
                <w:szCs w:val="20"/>
              </w:rPr>
              <w:t>本项目建成后，主要产品规格见表2-2。</w:t>
            </w:r>
          </w:p>
          <w:p w14:paraId="3869F9F9">
            <w:pPr>
              <w:autoSpaceDE w:val="0"/>
              <w:autoSpaceDN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表2-2   项目主要产品及规模</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4"/>
              <w:gridCol w:w="2491"/>
              <w:gridCol w:w="2236"/>
            </w:tblGrid>
            <w:tr w14:paraId="70D3E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238" w:type="dxa"/>
                  <w:tcBorders>
                    <w:top w:val="single" w:color="auto" w:sz="4" w:space="0"/>
                    <w:left w:val="single" w:color="auto" w:sz="4" w:space="0"/>
                    <w:bottom w:val="single" w:color="auto" w:sz="4" w:space="0"/>
                    <w:right w:val="single" w:color="auto" w:sz="4" w:space="0"/>
                  </w:tcBorders>
                  <w:vAlign w:val="center"/>
                </w:tcPr>
                <w:p w14:paraId="3A6CA3AE">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产品名称</w:t>
                  </w:r>
                </w:p>
              </w:tc>
              <w:tc>
                <w:tcPr>
                  <w:tcW w:w="1534" w:type="dxa"/>
                  <w:tcBorders>
                    <w:top w:val="single" w:color="auto" w:sz="4" w:space="0"/>
                    <w:left w:val="single" w:color="auto" w:sz="4" w:space="0"/>
                    <w:bottom w:val="single" w:color="auto" w:sz="4" w:space="0"/>
                    <w:right w:val="single" w:color="auto" w:sz="4" w:space="0"/>
                  </w:tcBorders>
                  <w:vAlign w:val="center"/>
                </w:tcPr>
                <w:p w14:paraId="15468EDF">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单位</w:t>
                  </w:r>
                </w:p>
              </w:tc>
              <w:tc>
                <w:tcPr>
                  <w:tcW w:w="1377" w:type="dxa"/>
                  <w:tcBorders>
                    <w:top w:val="single" w:color="auto" w:sz="4" w:space="0"/>
                    <w:left w:val="single" w:color="auto" w:sz="4" w:space="0"/>
                    <w:bottom w:val="single" w:color="auto" w:sz="4" w:space="0"/>
                    <w:right w:val="single" w:color="auto" w:sz="4" w:space="0"/>
                  </w:tcBorders>
                  <w:vAlign w:val="center"/>
                </w:tcPr>
                <w:p w14:paraId="263DCF85">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数量</w:t>
                  </w:r>
                </w:p>
              </w:tc>
            </w:tr>
            <w:tr w14:paraId="793A8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2238" w:type="dxa"/>
                  <w:tcBorders>
                    <w:top w:val="single" w:color="auto" w:sz="4" w:space="0"/>
                    <w:left w:val="single" w:color="auto" w:sz="4" w:space="0"/>
                    <w:bottom w:val="single" w:color="auto" w:sz="4" w:space="0"/>
                    <w:right w:val="single" w:color="auto" w:sz="4" w:space="0"/>
                  </w:tcBorders>
                  <w:vAlign w:val="center"/>
                </w:tcPr>
                <w:p w14:paraId="41AC6AF5">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TRP洗浆机设备</w:t>
                  </w:r>
                </w:p>
              </w:tc>
              <w:tc>
                <w:tcPr>
                  <w:tcW w:w="1534" w:type="dxa"/>
                  <w:tcBorders>
                    <w:top w:val="single" w:color="auto" w:sz="4" w:space="0"/>
                    <w:left w:val="single" w:color="auto" w:sz="4" w:space="0"/>
                    <w:bottom w:val="single" w:color="auto" w:sz="4" w:space="0"/>
                    <w:right w:val="single" w:color="auto" w:sz="4" w:space="0"/>
                  </w:tcBorders>
                  <w:vAlign w:val="center"/>
                </w:tcPr>
                <w:p w14:paraId="0527BF28">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 w:val="21"/>
                      <w:szCs w:val="21"/>
                      <w:lang w:val="en-US" w:eastAsia="zh-CN"/>
                    </w:rPr>
                    <w:t>台/年</w:t>
                  </w:r>
                </w:p>
              </w:tc>
              <w:tc>
                <w:tcPr>
                  <w:tcW w:w="1377" w:type="dxa"/>
                  <w:tcBorders>
                    <w:top w:val="single" w:color="auto" w:sz="4" w:space="0"/>
                    <w:left w:val="single" w:color="auto" w:sz="4" w:space="0"/>
                    <w:bottom w:val="single" w:color="auto" w:sz="4" w:space="0"/>
                    <w:right w:val="single" w:color="auto" w:sz="4" w:space="0"/>
                  </w:tcBorders>
                  <w:vAlign w:val="center"/>
                </w:tcPr>
                <w:p w14:paraId="25C37493">
                  <w:pPr>
                    <w:jc w:val="center"/>
                    <w:rPr>
                      <w:rFonts w:hint="default" w:ascii="Times New Roman" w:hAnsi="Times New Roman" w:eastAsia="宋体" w:cs="Times New Roman"/>
                      <w:color w:val="auto"/>
                      <w:kern w:val="0"/>
                      <w:szCs w:val="21"/>
                      <w:lang w:val="en-US"/>
                    </w:rPr>
                  </w:pPr>
                  <w:r>
                    <w:rPr>
                      <w:rFonts w:hint="default" w:ascii="Times New Roman" w:hAnsi="Times New Roman" w:eastAsia="宋体" w:cs="Times New Roman"/>
                      <w:color w:val="auto"/>
                      <w:sz w:val="21"/>
                      <w:szCs w:val="21"/>
                      <w:lang w:val="en-US" w:eastAsia="zh-CN"/>
                    </w:rPr>
                    <w:t>20</w:t>
                  </w:r>
                </w:p>
              </w:tc>
            </w:tr>
          </w:tbl>
          <w:p w14:paraId="551DBB72">
            <w:pPr>
              <w:spacing w:line="360" w:lineRule="auto"/>
              <w:ind w:firstLine="480" w:firstLineChars="200"/>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color w:val="auto"/>
                <w:kern w:val="0"/>
                <w:sz w:val="24"/>
                <w:szCs w:val="20"/>
              </w:rPr>
              <w:t>（</w:t>
            </w:r>
            <w:r>
              <w:rPr>
                <w:rFonts w:hint="default" w:ascii="Times New Roman" w:hAnsi="Times New Roman" w:eastAsia="宋体" w:cs="Times New Roman"/>
                <w:color w:val="auto"/>
                <w:kern w:val="0"/>
                <w:sz w:val="24"/>
                <w:szCs w:val="20"/>
                <w:lang w:val="en-US" w:eastAsia="zh-CN"/>
              </w:rPr>
              <w:t>5</w:t>
            </w:r>
            <w:r>
              <w:rPr>
                <w:rFonts w:hint="default" w:ascii="Times New Roman" w:hAnsi="Times New Roman" w:eastAsia="宋体" w:cs="Times New Roman"/>
                <w:color w:val="auto"/>
                <w:kern w:val="0"/>
                <w:sz w:val="24"/>
                <w:szCs w:val="20"/>
              </w:rPr>
              <w:t>）原辅材料</w:t>
            </w:r>
            <w:r>
              <w:rPr>
                <w:rFonts w:hint="default" w:ascii="Times New Roman" w:hAnsi="Times New Roman" w:eastAsia="宋体" w:cs="Times New Roman"/>
                <w:color w:val="auto"/>
                <w:kern w:val="0"/>
                <w:sz w:val="24"/>
                <w:szCs w:val="20"/>
                <w:lang w:val="en-US" w:eastAsia="zh-CN"/>
              </w:rPr>
              <w:t>及能源资源消耗</w:t>
            </w:r>
          </w:p>
          <w:p w14:paraId="35FE68B5">
            <w:pPr>
              <w:autoSpaceDE w:val="0"/>
              <w:autoSpaceDN w:val="0"/>
              <w:spacing w:line="360" w:lineRule="auto"/>
              <w:ind w:firstLine="480" w:firstLineChars="200"/>
              <w:jc w:val="left"/>
              <w:rPr>
                <w:rFonts w:hint="default" w:ascii="Times New Roman" w:hAnsi="Times New Roman" w:eastAsia="宋体" w:cs="Times New Roman"/>
                <w:b/>
                <w:color w:val="auto"/>
                <w:kern w:val="0"/>
                <w:sz w:val="24"/>
                <w:szCs w:val="20"/>
              </w:rPr>
            </w:pPr>
            <w:r>
              <w:rPr>
                <w:rFonts w:hint="default" w:ascii="Times New Roman" w:hAnsi="Times New Roman" w:eastAsia="宋体" w:cs="Times New Roman"/>
                <w:color w:val="auto"/>
                <w:kern w:val="0"/>
                <w:sz w:val="24"/>
                <w:szCs w:val="20"/>
                <w:lang w:val="en-US" w:eastAsia="zh-CN"/>
              </w:rPr>
              <w:t>本</w:t>
            </w:r>
            <w:r>
              <w:rPr>
                <w:rFonts w:hint="default" w:ascii="Times New Roman" w:hAnsi="Times New Roman" w:eastAsia="宋体" w:cs="Times New Roman"/>
                <w:color w:val="auto"/>
                <w:kern w:val="0"/>
                <w:sz w:val="24"/>
                <w:szCs w:val="20"/>
              </w:rPr>
              <w:t>项目主要原辅材料</w:t>
            </w:r>
            <w:r>
              <w:rPr>
                <w:rFonts w:hint="default" w:ascii="Times New Roman" w:hAnsi="Times New Roman" w:eastAsia="宋体" w:cs="Times New Roman"/>
                <w:color w:val="auto"/>
                <w:kern w:val="0"/>
                <w:sz w:val="24"/>
                <w:szCs w:val="20"/>
                <w:lang w:val="en-US" w:eastAsia="zh-CN"/>
              </w:rPr>
              <w:t>及能源资源消耗情况</w:t>
            </w:r>
            <w:r>
              <w:rPr>
                <w:rFonts w:hint="default" w:ascii="Times New Roman" w:hAnsi="Times New Roman" w:eastAsia="宋体" w:cs="Times New Roman"/>
                <w:color w:val="auto"/>
                <w:kern w:val="0"/>
                <w:sz w:val="24"/>
                <w:szCs w:val="20"/>
              </w:rPr>
              <w:t>见表2-</w:t>
            </w:r>
            <w:r>
              <w:rPr>
                <w:rFonts w:hint="default" w:ascii="Times New Roman" w:hAnsi="Times New Roman" w:eastAsia="宋体" w:cs="Times New Roman"/>
                <w:color w:val="auto"/>
                <w:kern w:val="0"/>
                <w:sz w:val="24"/>
                <w:szCs w:val="20"/>
                <w:lang w:val="en-US" w:eastAsia="zh-CN"/>
              </w:rPr>
              <w:t>3</w:t>
            </w:r>
            <w:r>
              <w:rPr>
                <w:rFonts w:hint="default" w:ascii="Times New Roman" w:hAnsi="Times New Roman" w:eastAsia="宋体" w:cs="Times New Roman"/>
                <w:color w:val="auto"/>
                <w:kern w:val="0"/>
                <w:sz w:val="24"/>
                <w:szCs w:val="20"/>
              </w:rPr>
              <w:t>。</w:t>
            </w:r>
          </w:p>
          <w:p w14:paraId="568C95DF">
            <w:pPr>
              <w:autoSpaceDE w:val="0"/>
              <w:autoSpaceDN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w:t>
            </w:r>
            <w:r>
              <w:rPr>
                <w:rFonts w:hint="default" w:ascii="Times New Roman" w:hAnsi="Times New Roman" w:eastAsia="宋体" w:cs="Times New Roman"/>
                <w:b/>
                <w:color w:val="auto"/>
                <w:szCs w:val="21"/>
                <w:lang w:val="en-US" w:eastAsia="zh-CN"/>
              </w:rPr>
              <w:t>3</w:t>
            </w:r>
            <w:r>
              <w:rPr>
                <w:rFonts w:hint="default" w:ascii="Times New Roman" w:hAnsi="Times New Roman" w:eastAsia="宋体" w:cs="Times New Roman"/>
                <w:b/>
                <w:color w:val="auto"/>
                <w:szCs w:val="21"/>
              </w:rPr>
              <w:t xml:space="preserve">  辅材料及能源资源消耗</w:t>
            </w:r>
            <w:r>
              <w:rPr>
                <w:rFonts w:hint="default" w:ascii="Times New Roman" w:hAnsi="Times New Roman" w:eastAsia="宋体" w:cs="Times New Roman"/>
                <w:b/>
                <w:color w:val="auto"/>
                <w:szCs w:val="21"/>
                <w:lang w:val="en-US" w:eastAsia="zh-CN"/>
              </w:rPr>
              <w:t>情况</w:t>
            </w:r>
            <w:r>
              <w:rPr>
                <w:rFonts w:hint="default" w:ascii="Times New Roman" w:hAnsi="Times New Roman" w:eastAsia="宋体" w:cs="Times New Roman"/>
                <w:b/>
                <w:color w:val="auto"/>
                <w:szCs w:val="21"/>
              </w:rPr>
              <w:t>一览表</w:t>
            </w:r>
          </w:p>
          <w:tbl>
            <w:tblPr>
              <w:tblStyle w:val="19"/>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79"/>
              <w:gridCol w:w="1350"/>
              <w:gridCol w:w="1080"/>
              <w:gridCol w:w="1334"/>
              <w:gridCol w:w="2141"/>
            </w:tblGrid>
            <w:tr w14:paraId="2E25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2" w:type="dxa"/>
                  <w:gridSpan w:val="2"/>
                  <w:tcBorders>
                    <w:top w:val="single" w:color="auto" w:sz="4" w:space="0"/>
                    <w:left w:val="single" w:color="auto" w:sz="4" w:space="0"/>
                    <w:bottom w:val="single" w:color="auto" w:sz="4" w:space="0"/>
                    <w:right w:val="single" w:color="auto" w:sz="4" w:space="0"/>
                  </w:tcBorders>
                  <w:vAlign w:val="center"/>
                </w:tcPr>
                <w:p w14:paraId="6DE7752E">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名称</w:t>
                  </w:r>
                </w:p>
              </w:tc>
              <w:tc>
                <w:tcPr>
                  <w:tcW w:w="1350" w:type="dxa"/>
                  <w:tcBorders>
                    <w:top w:val="single" w:color="auto" w:sz="4" w:space="0"/>
                    <w:left w:val="single" w:color="auto" w:sz="4" w:space="0"/>
                    <w:bottom w:val="single" w:color="auto" w:sz="4" w:space="0"/>
                    <w:right w:val="single" w:color="auto" w:sz="4" w:space="0"/>
                  </w:tcBorders>
                  <w:vAlign w:val="center"/>
                </w:tcPr>
                <w:p w14:paraId="062C13C6">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用量</w:t>
                  </w:r>
                </w:p>
              </w:tc>
              <w:tc>
                <w:tcPr>
                  <w:tcW w:w="1080" w:type="dxa"/>
                  <w:tcBorders>
                    <w:top w:val="single" w:color="auto" w:sz="4" w:space="0"/>
                    <w:left w:val="single" w:color="auto" w:sz="4" w:space="0"/>
                    <w:bottom w:val="single" w:color="auto" w:sz="4" w:space="0"/>
                    <w:right w:val="single" w:color="auto" w:sz="4" w:space="0"/>
                  </w:tcBorders>
                  <w:vAlign w:val="center"/>
                </w:tcPr>
                <w:p w14:paraId="2004B38A">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单位</w:t>
                  </w:r>
                </w:p>
              </w:tc>
              <w:tc>
                <w:tcPr>
                  <w:tcW w:w="1334" w:type="dxa"/>
                  <w:tcBorders>
                    <w:top w:val="single" w:color="auto" w:sz="4" w:space="0"/>
                    <w:left w:val="single" w:color="auto" w:sz="4" w:space="0"/>
                    <w:bottom w:val="single" w:color="auto" w:sz="4" w:space="0"/>
                    <w:right w:val="single" w:color="auto" w:sz="4" w:space="0"/>
                  </w:tcBorders>
                  <w:vAlign w:val="center"/>
                </w:tcPr>
                <w:p w14:paraId="0F9C2616">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最大</w:t>
                  </w:r>
                  <w:r>
                    <w:rPr>
                      <w:rFonts w:hint="default" w:ascii="Times New Roman" w:hAnsi="Times New Roman" w:eastAsia="宋体" w:cs="Times New Roman"/>
                      <w:color w:val="auto"/>
                      <w:sz w:val="21"/>
                      <w:szCs w:val="21"/>
                      <w:lang w:eastAsia="zh-CN"/>
                    </w:rPr>
                    <w:t>存储量</w:t>
                  </w:r>
                </w:p>
              </w:tc>
              <w:tc>
                <w:tcPr>
                  <w:tcW w:w="2141" w:type="dxa"/>
                  <w:tcBorders>
                    <w:top w:val="single" w:color="auto" w:sz="4" w:space="0"/>
                    <w:left w:val="single" w:color="auto" w:sz="4" w:space="0"/>
                    <w:bottom w:val="single" w:color="auto" w:sz="4" w:space="0"/>
                    <w:right w:val="single" w:color="auto" w:sz="4" w:space="0"/>
                  </w:tcBorders>
                  <w:vAlign w:val="center"/>
                </w:tcPr>
                <w:p w14:paraId="625DC620">
                  <w:pPr>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备注</w:t>
                  </w:r>
                </w:p>
              </w:tc>
            </w:tr>
            <w:tr w14:paraId="522AE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3" w:type="dxa"/>
                  <w:vMerge w:val="restart"/>
                  <w:tcBorders>
                    <w:top w:val="single" w:color="auto" w:sz="4" w:space="0"/>
                    <w:left w:val="single" w:color="auto" w:sz="4" w:space="0"/>
                    <w:right w:val="single" w:color="auto" w:sz="4" w:space="0"/>
                  </w:tcBorders>
                  <w:vAlign w:val="center"/>
                </w:tcPr>
                <w:p w14:paraId="59331C73">
                  <w:pPr>
                    <w:keepNext w:val="0"/>
                    <w:keepLines w:val="0"/>
                    <w:widowControl/>
                    <w:suppressLineNumbers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原辅料</w:t>
                  </w:r>
                </w:p>
              </w:tc>
              <w:tc>
                <w:tcPr>
                  <w:tcW w:w="1779" w:type="dxa"/>
                  <w:tcBorders>
                    <w:top w:val="single" w:color="auto" w:sz="4" w:space="0"/>
                    <w:left w:val="single" w:color="auto" w:sz="4" w:space="0"/>
                    <w:bottom w:val="single" w:color="auto" w:sz="4" w:space="0"/>
                    <w:right w:val="single" w:color="auto" w:sz="4" w:space="0"/>
                  </w:tcBorders>
                  <w:vAlign w:val="center"/>
                </w:tcPr>
                <w:p w14:paraId="0D0A9B1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碳钢机架</w:t>
                  </w:r>
                </w:p>
              </w:tc>
              <w:tc>
                <w:tcPr>
                  <w:tcW w:w="1350" w:type="dxa"/>
                  <w:tcBorders>
                    <w:top w:val="single" w:color="auto" w:sz="4" w:space="0"/>
                    <w:left w:val="single" w:color="auto" w:sz="4" w:space="0"/>
                    <w:bottom w:val="single" w:color="auto" w:sz="4" w:space="0"/>
                    <w:right w:val="single" w:color="auto" w:sz="4" w:space="0"/>
                  </w:tcBorders>
                  <w:vAlign w:val="center"/>
                </w:tcPr>
                <w:p w14:paraId="1D945B0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800</w:t>
                  </w:r>
                </w:p>
              </w:tc>
              <w:tc>
                <w:tcPr>
                  <w:tcW w:w="1080" w:type="dxa"/>
                  <w:tcBorders>
                    <w:top w:val="single" w:color="auto" w:sz="4" w:space="0"/>
                    <w:left w:val="single" w:color="auto" w:sz="4" w:space="0"/>
                    <w:bottom w:val="single" w:color="auto" w:sz="4" w:space="0"/>
                    <w:right w:val="single" w:color="auto" w:sz="4" w:space="0"/>
                  </w:tcBorders>
                  <w:vAlign w:val="center"/>
                </w:tcPr>
                <w:p w14:paraId="3449C7FC">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35445A4F">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14托</w:t>
                  </w:r>
                </w:p>
              </w:tc>
              <w:tc>
                <w:tcPr>
                  <w:tcW w:w="2141" w:type="dxa"/>
                  <w:tcBorders>
                    <w:top w:val="single" w:color="auto" w:sz="4" w:space="0"/>
                    <w:left w:val="single" w:color="auto" w:sz="4" w:space="0"/>
                    <w:bottom w:val="single" w:color="auto" w:sz="4" w:space="0"/>
                    <w:right w:val="single" w:color="auto" w:sz="4" w:space="0"/>
                  </w:tcBorders>
                  <w:vAlign w:val="center"/>
                </w:tcPr>
                <w:p w14:paraId="71A6CF6A">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露天货场木箱堆存</w:t>
                  </w:r>
                </w:p>
              </w:tc>
            </w:tr>
            <w:tr w14:paraId="77A1A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3" w:type="dxa"/>
                  <w:vMerge w:val="continue"/>
                  <w:tcBorders>
                    <w:left w:val="single" w:color="auto" w:sz="4" w:space="0"/>
                    <w:right w:val="single" w:color="auto" w:sz="4" w:space="0"/>
                  </w:tcBorders>
                  <w:vAlign w:val="center"/>
                </w:tcPr>
                <w:p w14:paraId="19FFA797">
                  <w:pPr>
                    <w:snapToGrid w:val="0"/>
                    <w:spacing w:line="240" w:lineRule="auto"/>
                    <w:jc w:val="center"/>
                    <w:rPr>
                      <w:rFonts w:hint="default" w:ascii="Times New Roman" w:hAnsi="Times New Roman" w:eastAsia="宋体" w:cs="Times New Roman"/>
                      <w:color w:val="auto"/>
                      <w:sz w:val="21"/>
                      <w:szCs w:val="21"/>
                    </w:rPr>
                  </w:pPr>
                </w:p>
              </w:tc>
              <w:tc>
                <w:tcPr>
                  <w:tcW w:w="1779" w:type="dxa"/>
                  <w:tcBorders>
                    <w:top w:val="single" w:color="auto" w:sz="4" w:space="0"/>
                    <w:left w:val="single" w:color="auto" w:sz="4" w:space="0"/>
                    <w:bottom w:val="single" w:color="auto" w:sz="4" w:space="0"/>
                    <w:right w:val="single" w:color="auto" w:sz="4" w:space="0"/>
                  </w:tcBorders>
                  <w:vAlign w:val="center"/>
                </w:tcPr>
                <w:p w14:paraId="45B6674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不锈钢机架</w:t>
                  </w:r>
                </w:p>
              </w:tc>
              <w:tc>
                <w:tcPr>
                  <w:tcW w:w="1350" w:type="dxa"/>
                  <w:tcBorders>
                    <w:top w:val="single" w:color="auto" w:sz="4" w:space="0"/>
                    <w:left w:val="single" w:color="auto" w:sz="4" w:space="0"/>
                    <w:bottom w:val="single" w:color="auto" w:sz="4" w:space="0"/>
                    <w:right w:val="single" w:color="auto" w:sz="4" w:space="0"/>
                  </w:tcBorders>
                  <w:vAlign w:val="center"/>
                </w:tcPr>
                <w:p w14:paraId="4F1A9CE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460</w:t>
                  </w:r>
                </w:p>
              </w:tc>
              <w:tc>
                <w:tcPr>
                  <w:tcW w:w="1080" w:type="dxa"/>
                  <w:tcBorders>
                    <w:top w:val="single" w:color="auto" w:sz="4" w:space="0"/>
                    <w:left w:val="single" w:color="auto" w:sz="4" w:space="0"/>
                    <w:bottom w:val="single" w:color="auto" w:sz="4" w:space="0"/>
                    <w:right w:val="single" w:color="auto" w:sz="4" w:space="0"/>
                  </w:tcBorders>
                  <w:vAlign w:val="center"/>
                </w:tcPr>
                <w:p w14:paraId="4A690F62">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25B0B6F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14托</w:t>
                  </w:r>
                </w:p>
              </w:tc>
              <w:tc>
                <w:tcPr>
                  <w:tcW w:w="2141" w:type="dxa"/>
                  <w:tcBorders>
                    <w:top w:val="single" w:color="auto" w:sz="4" w:space="0"/>
                    <w:left w:val="single" w:color="auto" w:sz="4" w:space="0"/>
                    <w:bottom w:val="single" w:color="auto" w:sz="4" w:space="0"/>
                    <w:right w:val="single" w:color="auto" w:sz="4" w:space="0"/>
                  </w:tcBorders>
                  <w:vAlign w:val="center"/>
                </w:tcPr>
                <w:p w14:paraId="19F47A0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露天货场木箱堆存</w:t>
                  </w:r>
                </w:p>
              </w:tc>
            </w:tr>
            <w:tr w14:paraId="6FD02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3" w:type="dxa"/>
                  <w:vMerge w:val="continue"/>
                  <w:tcBorders>
                    <w:left w:val="single" w:color="auto" w:sz="4" w:space="0"/>
                    <w:right w:val="single" w:color="auto" w:sz="4" w:space="0"/>
                  </w:tcBorders>
                  <w:vAlign w:val="center"/>
                </w:tcPr>
                <w:p w14:paraId="7DFD7784">
                  <w:pPr>
                    <w:snapToGrid w:val="0"/>
                    <w:spacing w:line="240" w:lineRule="auto"/>
                    <w:jc w:val="center"/>
                    <w:rPr>
                      <w:rFonts w:hint="default" w:ascii="Times New Roman" w:hAnsi="Times New Roman" w:eastAsia="宋体" w:cs="Times New Roman"/>
                      <w:color w:val="auto"/>
                      <w:sz w:val="21"/>
                      <w:szCs w:val="21"/>
                    </w:rPr>
                  </w:pPr>
                </w:p>
              </w:tc>
              <w:tc>
                <w:tcPr>
                  <w:tcW w:w="1779" w:type="dxa"/>
                  <w:tcBorders>
                    <w:top w:val="single" w:color="auto" w:sz="4" w:space="0"/>
                    <w:left w:val="single" w:color="auto" w:sz="4" w:space="0"/>
                    <w:bottom w:val="single" w:color="auto" w:sz="4" w:space="0"/>
                    <w:right w:val="single" w:color="auto" w:sz="4" w:space="0"/>
                  </w:tcBorders>
                  <w:vAlign w:val="center"/>
                </w:tcPr>
                <w:p w14:paraId="689D1D0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碳钢辊子</w:t>
                  </w:r>
                </w:p>
              </w:tc>
              <w:tc>
                <w:tcPr>
                  <w:tcW w:w="1350" w:type="dxa"/>
                  <w:tcBorders>
                    <w:top w:val="single" w:color="auto" w:sz="4" w:space="0"/>
                    <w:left w:val="single" w:color="auto" w:sz="4" w:space="0"/>
                    <w:bottom w:val="single" w:color="auto" w:sz="4" w:space="0"/>
                    <w:right w:val="single" w:color="auto" w:sz="4" w:space="0"/>
                  </w:tcBorders>
                  <w:vAlign w:val="center"/>
                </w:tcPr>
                <w:p w14:paraId="03FE148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700</w:t>
                  </w:r>
                </w:p>
              </w:tc>
              <w:tc>
                <w:tcPr>
                  <w:tcW w:w="1080" w:type="dxa"/>
                  <w:tcBorders>
                    <w:top w:val="single" w:color="auto" w:sz="4" w:space="0"/>
                    <w:left w:val="single" w:color="auto" w:sz="4" w:space="0"/>
                    <w:bottom w:val="single" w:color="auto" w:sz="4" w:space="0"/>
                    <w:right w:val="single" w:color="auto" w:sz="4" w:space="0"/>
                  </w:tcBorders>
                  <w:vAlign w:val="center"/>
                </w:tcPr>
                <w:p w14:paraId="1A0A1761">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6B9E455B">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12箱</w:t>
                  </w:r>
                </w:p>
              </w:tc>
              <w:tc>
                <w:tcPr>
                  <w:tcW w:w="2141" w:type="dxa"/>
                  <w:tcBorders>
                    <w:top w:val="single" w:color="auto" w:sz="4" w:space="0"/>
                    <w:left w:val="single" w:color="auto" w:sz="4" w:space="0"/>
                    <w:bottom w:val="single" w:color="auto" w:sz="4" w:space="0"/>
                    <w:right w:val="single" w:color="auto" w:sz="4" w:space="0"/>
                  </w:tcBorders>
                  <w:vAlign w:val="center"/>
                </w:tcPr>
                <w:p w14:paraId="6FE6A8BF">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露天货场木箱堆存</w:t>
                  </w:r>
                </w:p>
              </w:tc>
            </w:tr>
            <w:tr w14:paraId="3DCF8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3" w:type="dxa"/>
                  <w:vMerge w:val="continue"/>
                  <w:tcBorders>
                    <w:left w:val="single" w:color="auto" w:sz="4" w:space="0"/>
                    <w:right w:val="single" w:color="auto" w:sz="4" w:space="0"/>
                  </w:tcBorders>
                  <w:vAlign w:val="center"/>
                </w:tcPr>
                <w:p w14:paraId="61FF3D57">
                  <w:pPr>
                    <w:snapToGrid w:val="0"/>
                    <w:spacing w:line="240" w:lineRule="auto"/>
                    <w:jc w:val="center"/>
                    <w:rPr>
                      <w:rFonts w:hint="default" w:ascii="Times New Roman" w:hAnsi="Times New Roman" w:eastAsia="宋体" w:cs="Times New Roman"/>
                      <w:color w:val="auto"/>
                      <w:sz w:val="21"/>
                      <w:szCs w:val="21"/>
                    </w:rPr>
                  </w:pPr>
                </w:p>
              </w:tc>
              <w:tc>
                <w:tcPr>
                  <w:tcW w:w="1779" w:type="dxa"/>
                  <w:tcBorders>
                    <w:top w:val="single" w:color="auto" w:sz="4" w:space="0"/>
                    <w:left w:val="single" w:color="auto" w:sz="4" w:space="0"/>
                    <w:bottom w:val="single" w:color="auto" w:sz="4" w:space="0"/>
                    <w:right w:val="single" w:color="auto" w:sz="4" w:space="0"/>
                  </w:tcBorders>
                  <w:vAlign w:val="center"/>
                </w:tcPr>
                <w:p w14:paraId="72BAE94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碳钢辊子</w:t>
                  </w:r>
                </w:p>
              </w:tc>
              <w:tc>
                <w:tcPr>
                  <w:tcW w:w="1350" w:type="dxa"/>
                  <w:tcBorders>
                    <w:top w:val="single" w:color="auto" w:sz="4" w:space="0"/>
                    <w:left w:val="single" w:color="auto" w:sz="4" w:space="0"/>
                    <w:bottom w:val="single" w:color="auto" w:sz="4" w:space="0"/>
                    <w:right w:val="single" w:color="auto" w:sz="4" w:space="0"/>
                  </w:tcBorders>
                  <w:vAlign w:val="center"/>
                </w:tcPr>
                <w:p w14:paraId="1FEDCE9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340</w:t>
                  </w:r>
                </w:p>
              </w:tc>
              <w:tc>
                <w:tcPr>
                  <w:tcW w:w="1080" w:type="dxa"/>
                  <w:tcBorders>
                    <w:top w:val="single" w:color="auto" w:sz="4" w:space="0"/>
                    <w:left w:val="single" w:color="auto" w:sz="4" w:space="0"/>
                    <w:bottom w:val="single" w:color="auto" w:sz="4" w:space="0"/>
                    <w:right w:val="single" w:color="auto" w:sz="4" w:space="0"/>
                  </w:tcBorders>
                  <w:vAlign w:val="center"/>
                </w:tcPr>
                <w:p w14:paraId="69053DFD">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375B6E53">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12箱</w:t>
                  </w:r>
                </w:p>
              </w:tc>
              <w:tc>
                <w:tcPr>
                  <w:tcW w:w="2141" w:type="dxa"/>
                  <w:tcBorders>
                    <w:top w:val="single" w:color="auto" w:sz="4" w:space="0"/>
                    <w:left w:val="single" w:color="auto" w:sz="4" w:space="0"/>
                    <w:bottom w:val="single" w:color="auto" w:sz="4" w:space="0"/>
                    <w:right w:val="single" w:color="auto" w:sz="4" w:space="0"/>
                  </w:tcBorders>
                  <w:vAlign w:val="center"/>
                </w:tcPr>
                <w:p w14:paraId="01E6117B">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露天货场木箱堆存</w:t>
                  </w:r>
                </w:p>
              </w:tc>
            </w:tr>
            <w:tr w14:paraId="0AEA5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3" w:type="dxa"/>
                  <w:vMerge w:val="continue"/>
                  <w:tcBorders>
                    <w:left w:val="single" w:color="auto" w:sz="4" w:space="0"/>
                    <w:right w:val="single" w:color="auto" w:sz="4" w:space="0"/>
                  </w:tcBorders>
                  <w:vAlign w:val="center"/>
                </w:tcPr>
                <w:p w14:paraId="6D69552A">
                  <w:pPr>
                    <w:snapToGrid w:val="0"/>
                    <w:spacing w:line="240" w:lineRule="auto"/>
                    <w:jc w:val="center"/>
                    <w:rPr>
                      <w:rFonts w:hint="default" w:ascii="Times New Roman" w:hAnsi="Times New Roman" w:eastAsia="宋体" w:cs="Times New Roman"/>
                      <w:color w:val="auto"/>
                      <w:sz w:val="21"/>
                      <w:szCs w:val="21"/>
                    </w:rPr>
                  </w:pPr>
                </w:p>
              </w:tc>
              <w:tc>
                <w:tcPr>
                  <w:tcW w:w="1779" w:type="dxa"/>
                  <w:tcBorders>
                    <w:top w:val="single" w:color="auto" w:sz="4" w:space="0"/>
                    <w:left w:val="single" w:color="auto" w:sz="4" w:space="0"/>
                    <w:bottom w:val="single" w:color="auto" w:sz="4" w:space="0"/>
                    <w:right w:val="single" w:color="auto" w:sz="4" w:space="0"/>
                  </w:tcBorders>
                  <w:vAlign w:val="center"/>
                </w:tcPr>
                <w:p w14:paraId="021E269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底漆</w:t>
                  </w:r>
                </w:p>
              </w:tc>
              <w:tc>
                <w:tcPr>
                  <w:tcW w:w="1350" w:type="dxa"/>
                  <w:tcBorders>
                    <w:top w:val="single" w:color="auto" w:sz="4" w:space="0"/>
                    <w:left w:val="single" w:color="auto" w:sz="4" w:space="0"/>
                    <w:bottom w:val="single" w:color="auto" w:sz="4" w:space="0"/>
                    <w:right w:val="single" w:color="auto" w:sz="4" w:space="0"/>
                  </w:tcBorders>
                  <w:vAlign w:val="center"/>
                </w:tcPr>
                <w:p w14:paraId="6C6202F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2.5</w:t>
                  </w:r>
                </w:p>
              </w:tc>
              <w:tc>
                <w:tcPr>
                  <w:tcW w:w="1080" w:type="dxa"/>
                  <w:tcBorders>
                    <w:top w:val="single" w:color="auto" w:sz="4" w:space="0"/>
                    <w:left w:val="single" w:color="auto" w:sz="4" w:space="0"/>
                    <w:bottom w:val="single" w:color="auto" w:sz="4" w:space="0"/>
                    <w:right w:val="single" w:color="auto" w:sz="4" w:space="0"/>
                  </w:tcBorders>
                  <w:vAlign w:val="center"/>
                </w:tcPr>
                <w:p w14:paraId="449CE163">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72B373C7">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2t</w:t>
                  </w:r>
                </w:p>
              </w:tc>
              <w:tc>
                <w:tcPr>
                  <w:tcW w:w="2141" w:type="dxa"/>
                  <w:tcBorders>
                    <w:top w:val="single" w:color="auto" w:sz="4" w:space="0"/>
                    <w:left w:val="single" w:color="auto" w:sz="4" w:space="0"/>
                    <w:bottom w:val="single" w:color="auto" w:sz="4" w:space="0"/>
                    <w:right w:val="single" w:color="auto" w:sz="4" w:space="0"/>
                  </w:tcBorders>
                  <w:vAlign w:val="center"/>
                </w:tcPr>
                <w:p w14:paraId="5FFD984E">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化学品库桶装储存</w:t>
                  </w:r>
                </w:p>
              </w:tc>
            </w:tr>
            <w:tr w14:paraId="45B50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3" w:type="dxa"/>
                  <w:vMerge w:val="continue"/>
                  <w:tcBorders>
                    <w:left w:val="single" w:color="auto" w:sz="4" w:space="0"/>
                    <w:right w:val="single" w:color="auto" w:sz="4" w:space="0"/>
                  </w:tcBorders>
                  <w:vAlign w:val="center"/>
                </w:tcPr>
                <w:p w14:paraId="3779751F">
                  <w:pPr>
                    <w:snapToGrid w:val="0"/>
                    <w:spacing w:line="240" w:lineRule="auto"/>
                    <w:jc w:val="center"/>
                    <w:rPr>
                      <w:rFonts w:hint="default" w:ascii="Times New Roman" w:hAnsi="Times New Roman" w:eastAsia="宋体" w:cs="Times New Roman"/>
                      <w:color w:val="auto"/>
                      <w:sz w:val="21"/>
                      <w:szCs w:val="21"/>
                    </w:rPr>
                  </w:pPr>
                </w:p>
              </w:tc>
              <w:tc>
                <w:tcPr>
                  <w:tcW w:w="1779" w:type="dxa"/>
                  <w:tcBorders>
                    <w:top w:val="single" w:color="auto" w:sz="4" w:space="0"/>
                    <w:left w:val="single" w:color="auto" w:sz="4" w:space="0"/>
                    <w:bottom w:val="single" w:color="auto" w:sz="4" w:space="0"/>
                    <w:right w:val="single" w:color="auto" w:sz="4" w:space="0"/>
                  </w:tcBorders>
                  <w:vAlign w:val="center"/>
                </w:tcPr>
                <w:p w14:paraId="1506414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面漆</w:t>
                  </w:r>
                </w:p>
              </w:tc>
              <w:tc>
                <w:tcPr>
                  <w:tcW w:w="1350" w:type="dxa"/>
                  <w:tcBorders>
                    <w:top w:val="single" w:color="auto" w:sz="4" w:space="0"/>
                    <w:left w:val="single" w:color="auto" w:sz="4" w:space="0"/>
                    <w:bottom w:val="single" w:color="auto" w:sz="4" w:space="0"/>
                    <w:right w:val="single" w:color="auto" w:sz="4" w:space="0"/>
                  </w:tcBorders>
                  <w:vAlign w:val="center"/>
                </w:tcPr>
                <w:p w14:paraId="0DD62F7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1.5</w:t>
                  </w:r>
                </w:p>
              </w:tc>
              <w:tc>
                <w:tcPr>
                  <w:tcW w:w="1080" w:type="dxa"/>
                  <w:tcBorders>
                    <w:top w:val="single" w:color="auto" w:sz="4" w:space="0"/>
                    <w:left w:val="single" w:color="auto" w:sz="4" w:space="0"/>
                    <w:bottom w:val="single" w:color="auto" w:sz="4" w:space="0"/>
                    <w:right w:val="single" w:color="auto" w:sz="4" w:space="0"/>
                  </w:tcBorders>
                  <w:vAlign w:val="center"/>
                </w:tcPr>
                <w:p w14:paraId="3287A028">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259FA987">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1t</w:t>
                  </w:r>
                </w:p>
              </w:tc>
              <w:tc>
                <w:tcPr>
                  <w:tcW w:w="2141" w:type="dxa"/>
                  <w:tcBorders>
                    <w:top w:val="single" w:color="auto" w:sz="4" w:space="0"/>
                    <w:left w:val="single" w:color="auto" w:sz="4" w:space="0"/>
                    <w:bottom w:val="single" w:color="auto" w:sz="4" w:space="0"/>
                    <w:right w:val="single" w:color="auto" w:sz="4" w:space="0"/>
                  </w:tcBorders>
                  <w:vAlign w:val="center"/>
                </w:tcPr>
                <w:p w14:paraId="3876CC7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化学品库桶装储存</w:t>
                  </w:r>
                </w:p>
              </w:tc>
            </w:tr>
            <w:tr w14:paraId="44694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14E11C2B">
                  <w:pPr>
                    <w:snapToGrid w:val="0"/>
                    <w:spacing w:line="240" w:lineRule="auto"/>
                    <w:jc w:val="center"/>
                    <w:rPr>
                      <w:rFonts w:hint="default" w:ascii="Times New Roman" w:hAnsi="Times New Roman" w:eastAsia="宋体" w:cs="Times New Roman"/>
                      <w:color w:val="auto"/>
                      <w:sz w:val="21"/>
                      <w:szCs w:val="21"/>
                    </w:rPr>
                  </w:pPr>
                </w:p>
              </w:tc>
              <w:tc>
                <w:tcPr>
                  <w:tcW w:w="1779" w:type="dxa"/>
                  <w:tcBorders>
                    <w:top w:val="single" w:color="auto" w:sz="4" w:space="0"/>
                    <w:left w:val="single" w:color="auto" w:sz="4" w:space="0"/>
                    <w:bottom w:val="single" w:color="auto" w:sz="4" w:space="0"/>
                    <w:right w:val="single" w:color="auto" w:sz="4" w:space="0"/>
                  </w:tcBorders>
                  <w:vAlign w:val="center"/>
                </w:tcPr>
                <w:p w14:paraId="69D21EA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底漆固化剂</w:t>
                  </w:r>
                </w:p>
              </w:tc>
              <w:tc>
                <w:tcPr>
                  <w:tcW w:w="1350" w:type="dxa"/>
                  <w:tcBorders>
                    <w:top w:val="single" w:color="auto" w:sz="4" w:space="0"/>
                    <w:left w:val="single" w:color="auto" w:sz="4" w:space="0"/>
                    <w:bottom w:val="single" w:color="auto" w:sz="4" w:space="0"/>
                    <w:right w:val="single" w:color="auto" w:sz="4" w:space="0"/>
                  </w:tcBorders>
                  <w:vAlign w:val="center"/>
                </w:tcPr>
                <w:p w14:paraId="7F75810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w:t>
                  </w:r>
                </w:p>
              </w:tc>
              <w:tc>
                <w:tcPr>
                  <w:tcW w:w="1080" w:type="dxa"/>
                  <w:tcBorders>
                    <w:top w:val="single" w:color="auto" w:sz="4" w:space="0"/>
                    <w:left w:val="single" w:color="auto" w:sz="4" w:space="0"/>
                    <w:bottom w:val="single" w:color="auto" w:sz="4" w:space="0"/>
                    <w:right w:val="single" w:color="auto" w:sz="4" w:space="0"/>
                  </w:tcBorders>
                  <w:vAlign w:val="center"/>
                </w:tcPr>
                <w:p w14:paraId="50A5582E">
                  <w:pPr>
                    <w:keepNext w:val="0"/>
                    <w:keepLines w:val="0"/>
                    <w:widowControl/>
                    <w:suppressLineNumbers w:val="0"/>
                    <w:spacing w:line="240" w:lineRule="auto"/>
                    <w:jc w:val="center"/>
                    <w:textAlignment w:val="bottom"/>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7CAB2160">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0.5</w:t>
                  </w:r>
                  <w:r>
                    <w:rPr>
                      <w:rFonts w:hint="default" w:ascii="Times New Roman" w:hAnsi="Times New Roman" w:eastAsia="宋体" w:cs="Times New Roman"/>
                      <w:i w:val="0"/>
                      <w:iCs w:val="0"/>
                      <w:color w:val="auto"/>
                      <w:kern w:val="2"/>
                      <w:sz w:val="21"/>
                      <w:szCs w:val="21"/>
                      <w:u w:val="none"/>
                      <w:lang w:val="en-US" w:eastAsia="zh-CN" w:bidi="ar-SA"/>
                    </w:rPr>
                    <w:t>t</w:t>
                  </w: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5DB85085">
                  <w:pPr>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化学品库桶装储存</w:t>
                  </w:r>
                </w:p>
              </w:tc>
            </w:tr>
            <w:tr w14:paraId="28F0B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50B3A03D">
                  <w:pPr>
                    <w:keepNext w:val="0"/>
                    <w:keepLines w:val="0"/>
                    <w:widowControl/>
                    <w:suppressLineNumbers w:val="0"/>
                    <w:spacing w:line="240" w:lineRule="auto"/>
                    <w:jc w:val="center"/>
                    <w:textAlignment w:val="center"/>
                    <w:rPr>
                      <w:rFonts w:hint="default" w:ascii="Times New Roman" w:hAnsi="Times New Roman" w:eastAsia="宋体" w:cs="Times New Roman"/>
                      <w:color w:val="auto"/>
                    </w:rPr>
                  </w:pPr>
                </w:p>
              </w:tc>
              <w:tc>
                <w:tcPr>
                  <w:tcW w:w="1779" w:type="dxa"/>
                  <w:tcBorders>
                    <w:top w:val="single" w:color="auto" w:sz="4" w:space="0"/>
                    <w:left w:val="single" w:color="auto" w:sz="4" w:space="0"/>
                    <w:bottom w:val="single" w:color="auto" w:sz="4" w:space="0"/>
                    <w:right w:val="single" w:color="auto" w:sz="4" w:space="0"/>
                  </w:tcBorders>
                  <w:vAlign w:val="center"/>
                </w:tcPr>
                <w:p w14:paraId="03C1EE3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面漆固化剂</w:t>
                  </w:r>
                </w:p>
              </w:tc>
              <w:tc>
                <w:tcPr>
                  <w:tcW w:w="1350" w:type="dxa"/>
                  <w:tcBorders>
                    <w:top w:val="single" w:color="auto" w:sz="4" w:space="0"/>
                    <w:left w:val="single" w:color="auto" w:sz="4" w:space="0"/>
                    <w:bottom w:val="single" w:color="auto" w:sz="4" w:space="0"/>
                    <w:right w:val="single" w:color="auto" w:sz="4" w:space="0"/>
                  </w:tcBorders>
                  <w:vAlign w:val="center"/>
                </w:tcPr>
                <w:p w14:paraId="50906EB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0.7</w:t>
                  </w:r>
                </w:p>
              </w:tc>
              <w:tc>
                <w:tcPr>
                  <w:tcW w:w="1080" w:type="dxa"/>
                  <w:tcBorders>
                    <w:top w:val="single" w:color="auto" w:sz="4" w:space="0"/>
                    <w:left w:val="single" w:color="auto" w:sz="4" w:space="0"/>
                    <w:bottom w:val="single" w:color="auto" w:sz="4" w:space="0"/>
                    <w:right w:val="single" w:color="auto" w:sz="4" w:space="0"/>
                  </w:tcBorders>
                  <w:vAlign w:val="center"/>
                </w:tcPr>
                <w:p w14:paraId="4278D9F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4838D518">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0..5</w:t>
                  </w:r>
                  <w:r>
                    <w:rPr>
                      <w:rFonts w:hint="default" w:ascii="Times New Roman" w:hAnsi="Times New Roman" w:eastAsia="宋体" w:cs="Times New Roman"/>
                      <w:i w:val="0"/>
                      <w:iCs w:val="0"/>
                      <w:color w:val="auto"/>
                      <w:kern w:val="2"/>
                      <w:sz w:val="21"/>
                      <w:szCs w:val="21"/>
                      <w:u w:val="none"/>
                      <w:lang w:val="en-US" w:eastAsia="zh-CN" w:bidi="ar-SA"/>
                    </w:rPr>
                    <w:t>t</w:t>
                  </w: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0710125B">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化学品库桶装储存</w:t>
                  </w:r>
                </w:p>
              </w:tc>
            </w:tr>
            <w:tr w14:paraId="7FD2D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2FEA63BA">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779" w:type="dxa"/>
                  <w:tcBorders>
                    <w:top w:val="single" w:color="auto" w:sz="4" w:space="0"/>
                    <w:left w:val="single" w:color="auto" w:sz="4" w:space="0"/>
                    <w:bottom w:val="single" w:color="auto" w:sz="4" w:space="0"/>
                    <w:right w:val="single" w:color="auto" w:sz="4" w:space="0"/>
                  </w:tcBorders>
                  <w:vAlign w:val="center"/>
                </w:tcPr>
                <w:p w14:paraId="6E64DC6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底漆稀释剂</w:t>
                  </w:r>
                </w:p>
              </w:tc>
              <w:tc>
                <w:tcPr>
                  <w:tcW w:w="1350" w:type="dxa"/>
                  <w:tcBorders>
                    <w:top w:val="single" w:color="auto" w:sz="4" w:space="0"/>
                    <w:left w:val="single" w:color="auto" w:sz="4" w:space="0"/>
                    <w:bottom w:val="single" w:color="auto" w:sz="4" w:space="0"/>
                    <w:right w:val="single" w:color="auto" w:sz="4" w:space="0"/>
                  </w:tcBorders>
                  <w:vAlign w:val="center"/>
                </w:tcPr>
                <w:p w14:paraId="07B413C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2.5</w:t>
                  </w:r>
                </w:p>
              </w:tc>
              <w:tc>
                <w:tcPr>
                  <w:tcW w:w="1080" w:type="dxa"/>
                  <w:tcBorders>
                    <w:top w:val="single" w:color="auto" w:sz="4" w:space="0"/>
                    <w:left w:val="single" w:color="auto" w:sz="4" w:space="0"/>
                    <w:bottom w:val="single" w:color="auto" w:sz="4" w:space="0"/>
                    <w:right w:val="single" w:color="auto" w:sz="4" w:space="0"/>
                  </w:tcBorders>
                  <w:vAlign w:val="center"/>
                </w:tcPr>
                <w:p w14:paraId="47DD5741">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5EB5780A">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w:t>
                  </w:r>
                  <w:r>
                    <w:rPr>
                      <w:rFonts w:hint="default" w:ascii="Times New Roman" w:hAnsi="Times New Roman" w:eastAsia="宋体" w:cs="Times New Roman"/>
                      <w:i w:val="0"/>
                      <w:iCs w:val="0"/>
                      <w:color w:val="auto"/>
                      <w:kern w:val="2"/>
                      <w:sz w:val="21"/>
                      <w:szCs w:val="21"/>
                      <w:u w:val="none"/>
                      <w:lang w:val="en-US" w:eastAsia="zh-CN" w:bidi="ar-SA"/>
                    </w:rPr>
                    <w:t>t</w:t>
                  </w: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6AA06FBC">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化学品库桶装储存</w:t>
                  </w:r>
                </w:p>
              </w:tc>
            </w:tr>
            <w:tr w14:paraId="440D5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43422D8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779" w:type="dxa"/>
                  <w:tcBorders>
                    <w:top w:val="single" w:color="auto" w:sz="4" w:space="0"/>
                    <w:left w:val="single" w:color="auto" w:sz="4" w:space="0"/>
                    <w:bottom w:val="single" w:color="auto" w:sz="4" w:space="0"/>
                    <w:right w:val="single" w:color="auto" w:sz="4" w:space="0"/>
                  </w:tcBorders>
                  <w:vAlign w:val="center"/>
                </w:tcPr>
                <w:p w14:paraId="6845753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面漆稀释剂</w:t>
                  </w:r>
                </w:p>
              </w:tc>
              <w:tc>
                <w:tcPr>
                  <w:tcW w:w="1350" w:type="dxa"/>
                  <w:tcBorders>
                    <w:top w:val="single" w:color="auto" w:sz="4" w:space="0"/>
                    <w:left w:val="single" w:color="auto" w:sz="4" w:space="0"/>
                    <w:bottom w:val="single" w:color="auto" w:sz="4" w:space="0"/>
                    <w:right w:val="single" w:color="auto" w:sz="4" w:space="0"/>
                  </w:tcBorders>
                  <w:vAlign w:val="center"/>
                </w:tcPr>
                <w:p w14:paraId="2952C81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1.5</w:t>
                  </w:r>
                </w:p>
              </w:tc>
              <w:tc>
                <w:tcPr>
                  <w:tcW w:w="1080" w:type="dxa"/>
                  <w:tcBorders>
                    <w:top w:val="single" w:color="auto" w:sz="4" w:space="0"/>
                    <w:left w:val="single" w:color="auto" w:sz="4" w:space="0"/>
                    <w:bottom w:val="single" w:color="auto" w:sz="4" w:space="0"/>
                    <w:right w:val="single" w:color="auto" w:sz="4" w:space="0"/>
                  </w:tcBorders>
                  <w:vAlign w:val="center"/>
                </w:tcPr>
                <w:p w14:paraId="63FBAA10">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1FCF14B5">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w:t>
                  </w:r>
                  <w:r>
                    <w:rPr>
                      <w:rFonts w:hint="default" w:ascii="Times New Roman" w:hAnsi="Times New Roman" w:eastAsia="宋体" w:cs="Times New Roman"/>
                      <w:i w:val="0"/>
                      <w:iCs w:val="0"/>
                      <w:color w:val="auto"/>
                      <w:kern w:val="2"/>
                      <w:sz w:val="21"/>
                      <w:szCs w:val="21"/>
                      <w:u w:val="none"/>
                      <w:lang w:val="en-US" w:eastAsia="zh-CN" w:bidi="ar-SA"/>
                    </w:rPr>
                    <w:t>t</w:t>
                  </w: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1775E6A3">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化学品库桶装储存</w:t>
                  </w:r>
                </w:p>
              </w:tc>
            </w:tr>
            <w:tr w14:paraId="2FFB0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434398DF">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779" w:type="dxa"/>
                  <w:tcBorders>
                    <w:top w:val="single" w:color="auto" w:sz="4" w:space="0"/>
                    <w:left w:val="single" w:color="auto" w:sz="4" w:space="0"/>
                    <w:bottom w:val="single" w:color="auto" w:sz="4" w:space="0"/>
                    <w:right w:val="single" w:color="auto" w:sz="4" w:space="0"/>
                  </w:tcBorders>
                  <w:vAlign w:val="center"/>
                </w:tcPr>
                <w:p w14:paraId="2CB09EB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润滑油</w:t>
                  </w:r>
                </w:p>
              </w:tc>
              <w:tc>
                <w:tcPr>
                  <w:tcW w:w="1350" w:type="dxa"/>
                  <w:tcBorders>
                    <w:top w:val="single" w:color="auto" w:sz="4" w:space="0"/>
                    <w:left w:val="single" w:color="auto" w:sz="4" w:space="0"/>
                    <w:bottom w:val="single" w:color="auto" w:sz="4" w:space="0"/>
                    <w:right w:val="single" w:color="auto" w:sz="4" w:space="0"/>
                  </w:tcBorders>
                  <w:vAlign w:val="center"/>
                </w:tcPr>
                <w:p w14:paraId="7F0DAAD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760</w:t>
                  </w:r>
                </w:p>
              </w:tc>
              <w:tc>
                <w:tcPr>
                  <w:tcW w:w="1080" w:type="dxa"/>
                  <w:tcBorders>
                    <w:top w:val="single" w:color="auto" w:sz="4" w:space="0"/>
                    <w:left w:val="single" w:color="auto" w:sz="4" w:space="0"/>
                    <w:bottom w:val="single" w:color="auto" w:sz="4" w:space="0"/>
                    <w:right w:val="single" w:color="auto" w:sz="4" w:space="0"/>
                  </w:tcBorders>
                  <w:vAlign w:val="center"/>
                </w:tcPr>
                <w:p w14:paraId="39C6EC46">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L/a</w:t>
                  </w:r>
                </w:p>
              </w:tc>
              <w:tc>
                <w:tcPr>
                  <w:tcW w:w="1334" w:type="dxa"/>
                  <w:tcBorders>
                    <w:top w:val="single" w:color="auto" w:sz="4" w:space="0"/>
                    <w:left w:val="single" w:color="auto" w:sz="4" w:space="0"/>
                    <w:bottom w:val="single" w:color="auto" w:sz="4" w:space="0"/>
                    <w:right w:val="single" w:color="auto" w:sz="4" w:space="0"/>
                  </w:tcBorders>
                  <w:vAlign w:val="center"/>
                </w:tcPr>
                <w:p w14:paraId="6B5895E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200L</w:t>
                  </w: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604474A6">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湿部车间桶装储存</w:t>
                  </w:r>
                </w:p>
              </w:tc>
            </w:tr>
            <w:tr w14:paraId="48803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2AAA2F8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779" w:type="dxa"/>
                  <w:tcBorders>
                    <w:top w:val="single" w:color="auto" w:sz="4" w:space="0"/>
                    <w:left w:val="single" w:color="auto" w:sz="4" w:space="0"/>
                    <w:bottom w:val="single" w:color="auto" w:sz="4" w:space="0"/>
                    <w:right w:val="single" w:color="auto" w:sz="4" w:space="0"/>
                  </w:tcBorders>
                  <w:vAlign w:val="center"/>
                </w:tcPr>
                <w:p w14:paraId="6083159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切削液</w:t>
                  </w:r>
                </w:p>
              </w:tc>
              <w:tc>
                <w:tcPr>
                  <w:tcW w:w="1350" w:type="dxa"/>
                  <w:tcBorders>
                    <w:top w:val="single" w:color="auto" w:sz="4" w:space="0"/>
                    <w:left w:val="single" w:color="auto" w:sz="4" w:space="0"/>
                    <w:bottom w:val="single" w:color="auto" w:sz="4" w:space="0"/>
                    <w:right w:val="single" w:color="auto" w:sz="4" w:space="0"/>
                  </w:tcBorders>
                  <w:vAlign w:val="center"/>
                </w:tcPr>
                <w:p w14:paraId="48ACF78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w:t>
                  </w:r>
                </w:p>
              </w:tc>
              <w:tc>
                <w:tcPr>
                  <w:tcW w:w="1080" w:type="dxa"/>
                  <w:tcBorders>
                    <w:top w:val="single" w:color="auto" w:sz="4" w:space="0"/>
                    <w:left w:val="single" w:color="auto" w:sz="4" w:space="0"/>
                    <w:bottom w:val="single" w:color="auto" w:sz="4" w:space="0"/>
                    <w:right w:val="single" w:color="auto" w:sz="4" w:space="0"/>
                  </w:tcBorders>
                  <w:vAlign w:val="center"/>
                </w:tcPr>
                <w:p w14:paraId="13FCA862">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t/a</w:t>
                  </w:r>
                </w:p>
              </w:tc>
              <w:tc>
                <w:tcPr>
                  <w:tcW w:w="1334" w:type="dxa"/>
                  <w:tcBorders>
                    <w:top w:val="single" w:color="auto" w:sz="4" w:space="0"/>
                    <w:left w:val="single" w:color="auto" w:sz="4" w:space="0"/>
                    <w:bottom w:val="single" w:color="auto" w:sz="4" w:space="0"/>
                    <w:right w:val="single" w:color="auto" w:sz="4" w:space="0"/>
                  </w:tcBorders>
                  <w:vAlign w:val="center"/>
                </w:tcPr>
                <w:p w14:paraId="052DBA2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0.5t</w:t>
                  </w: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59930B5E">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TRP车间桶装储存</w:t>
                  </w:r>
                </w:p>
              </w:tc>
            </w:tr>
            <w:tr w14:paraId="50B3E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432419CC">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779" w:type="dxa"/>
                  <w:tcBorders>
                    <w:top w:val="single" w:color="auto" w:sz="4" w:space="0"/>
                    <w:left w:val="single" w:color="auto" w:sz="4" w:space="0"/>
                    <w:bottom w:val="single" w:color="auto" w:sz="4" w:space="0"/>
                    <w:right w:val="single" w:color="auto" w:sz="4" w:space="0"/>
                  </w:tcBorders>
                  <w:vAlign w:val="center"/>
                </w:tcPr>
                <w:p w14:paraId="75C8D2F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药芯焊丝</w:t>
                  </w:r>
                </w:p>
              </w:tc>
              <w:tc>
                <w:tcPr>
                  <w:tcW w:w="1350" w:type="dxa"/>
                  <w:tcBorders>
                    <w:top w:val="single" w:color="auto" w:sz="4" w:space="0"/>
                    <w:left w:val="single" w:color="auto" w:sz="4" w:space="0"/>
                    <w:bottom w:val="single" w:color="auto" w:sz="4" w:space="0"/>
                    <w:right w:val="single" w:color="auto" w:sz="4" w:space="0"/>
                  </w:tcBorders>
                  <w:vAlign w:val="center"/>
                </w:tcPr>
                <w:p w14:paraId="47E463B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2.82</w:t>
                  </w:r>
                </w:p>
              </w:tc>
              <w:tc>
                <w:tcPr>
                  <w:tcW w:w="1080" w:type="dxa"/>
                  <w:tcBorders>
                    <w:top w:val="single" w:color="auto" w:sz="4" w:space="0"/>
                    <w:left w:val="single" w:color="auto" w:sz="4" w:space="0"/>
                    <w:bottom w:val="single" w:color="auto" w:sz="4" w:space="0"/>
                    <w:right w:val="single" w:color="auto" w:sz="4" w:space="0"/>
                  </w:tcBorders>
                  <w:vAlign w:val="center"/>
                </w:tcPr>
                <w:p w14:paraId="48620D47">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vMerge w:val="restart"/>
                  <w:tcBorders>
                    <w:top w:val="single" w:color="auto" w:sz="4" w:space="0"/>
                    <w:left w:val="single" w:color="auto" w:sz="4" w:space="0"/>
                    <w:right w:val="single" w:color="auto" w:sz="4" w:space="0"/>
                  </w:tcBorders>
                  <w:vAlign w:val="center"/>
                </w:tcPr>
                <w:p w14:paraId="76EA054A">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1.2t</w:t>
                  </w: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0A0BC498">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TRP车间袋装储存</w:t>
                  </w:r>
                </w:p>
              </w:tc>
            </w:tr>
            <w:tr w14:paraId="06F37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06E24F55">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779" w:type="dxa"/>
                  <w:tcBorders>
                    <w:top w:val="single" w:color="auto" w:sz="4" w:space="0"/>
                    <w:left w:val="single" w:color="auto" w:sz="4" w:space="0"/>
                    <w:bottom w:val="single" w:color="auto" w:sz="4" w:space="0"/>
                    <w:right w:val="single" w:color="auto" w:sz="4" w:space="0"/>
                  </w:tcBorders>
                  <w:vAlign w:val="center"/>
                </w:tcPr>
                <w:p w14:paraId="3048F76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实心焊丝</w:t>
                  </w:r>
                </w:p>
              </w:tc>
              <w:tc>
                <w:tcPr>
                  <w:tcW w:w="1350" w:type="dxa"/>
                  <w:tcBorders>
                    <w:top w:val="single" w:color="auto" w:sz="4" w:space="0"/>
                    <w:left w:val="single" w:color="auto" w:sz="4" w:space="0"/>
                    <w:bottom w:val="single" w:color="auto" w:sz="4" w:space="0"/>
                    <w:right w:val="single" w:color="auto" w:sz="4" w:space="0"/>
                  </w:tcBorders>
                  <w:vAlign w:val="center"/>
                </w:tcPr>
                <w:p w14:paraId="4B10DEC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7.61</w:t>
                  </w:r>
                </w:p>
              </w:tc>
              <w:tc>
                <w:tcPr>
                  <w:tcW w:w="1080" w:type="dxa"/>
                  <w:tcBorders>
                    <w:top w:val="single" w:color="auto" w:sz="4" w:space="0"/>
                    <w:left w:val="single" w:color="auto" w:sz="4" w:space="0"/>
                    <w:bottom w:val="single" w:color="auto" w:sz="4" w:space="0"/>
                    <w:right w:val="single" w:color="auto" w:sz="4" w:space="0"/>
                  </w:tcBorders>
                  <w:vAlign w:val="center"/>
                </w:tcPr>
                <w:p w14:paraId="0ED471F0">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vMerge w:val="continue"/>
                  <w:tcBorders>
                    <w:left w:val="single" w:color="auto" w:sz="4" w:space="0"/>
                    <w:right w:val="single" w:color="auto" w:sz="4" w:space="0"/>
                  </w:tcBorders>
                  <w:vAlign w:val="center"/>
                </w:tcPr>
                <w:p w14:paraId="564518E6">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12849466">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TRP车间袋装储存</w:t>
                  </w:r>
                </w:p>
              </w:tc>
            </w:tr>
            <w:tr w14:paraId="13DC7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3" w:type="dxa"/>
                  <w:vMerge w:val="continue"/>
                  <w:tcBorders>
                    <w:left w:val="single" w:color="auto" w:sz="4" w:space="0"/>
                    <w:right w:val="single" w:color="auto" w:sz="4" w:space="0"/>
                  </w:tcBorders>
                  <w:vAlign w:val="center"/>
                </w:tcPr>
                <w:p w14:paraId="1C8DDF74">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779" w:type="dxa"/>
                  <w:tcBorders>
                    <w:top w:val="single" w:color="auto" w:sz="4" w:space="0"/>
                    <w:left w:val="single" w:color="auto" w:sz="4" w:space="0"/>
                    <w:bottom w:val="single" w:color="auto" w:sz="4" w:space="0"/>
                    <w:right w:val="single" w:color="auto" w:sz="4" w:space="0"/>
                  </w:tcBorders>
                  <w:vAlign w:val="center"/>
                </w:tcPr>
                <w:p w14:paraId="3022EC1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碳钢/不锈钢焊丝</w:t>
                  </w:r>
                </w:p>
              </w:tc>
              <w:tc>
                <w:tcPr>
                  <w:tcW w:w="1350" w:type="dxa"/>
                  <w:tcBorders>
                    <w:top w:val="single" w:color="auto" w:sz="4" w:space="0"/>
                    <w:left w:val="single" w:color="auto" w:sz="4" w:space="0"/>
                    <w:bottom w:val="single" w:color="auto" w:sz="4" w:space="0"/>
                    <w:right w:val="single" w:color="auto" w:sz="4" w:space="0"/>
                  </w:tcBorders>
                  <w:vAlign w:val="center"/>
                </w:tcPr>
                <w:p w14:paraId="12CF0EC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14.24</w:t>
                  </w:r>
                </w:p>
              </w:tc>
              <w:tc>
                <w:tcPr>
                  <w:tcW w:w="1080" w:type="dxa"/>
                  <w:tcBorders>
                    <w:top w:val="single" w:color="auto" w:sz="4" w:space="0"/>
                    <w:left w:val="single" w:color="auto" w:sz="4" w:space="0"/>
                    <w:bottom w:val="single" w:color="auto" w:sz="4" w:space="0"/>
                    <w:right w:val="single" w:color="auto" w:sz="4" w:space="0"/>
                  </w:tcBorders>
                  <w:vAlign w:val="center"/>
                </w:tcPr>
                <w:p w14:paraId="632ADB66">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t/a</w:t>
                  </w:r>
                </w:p>
              </w:tc>
              <w:tc>
                <w:tcPr>
                  <w:tcW w:w="1334" w:type="dxa"/>
                  <w:vMerge w:val="continue"/>
                  <w:tcBorders>
                    <w:left w:val="single" w:color="auto" w:sz="4" w:space="0"/>
                    <w:bottom w:val="single" w:color="auto" w:sz="4" w:space="0"/>
                    <w:right w:val="single" w:color="auto" w:sz="4" w:space="0"/>
                  </w:tcBorders>
                  <w:vAlign w:val="center"/>
                </w:tcPr>
                <w:p w14:paraId="51A53C20">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2141" w:type="dxa"/>
                  <w:tcBorders>
                    <w:top w:val="single" w:color="auto" w:sz="4" w:space="0"/>
                    <w:left w:val="single" w:color="auto" w:sz="4" w:space="0"/>
                    <w:bottom w:val="single" w:color="auto" w:sz="4" w:space="0"/>
                    <w:right w:val="single" w:color="auto" w:sz="4" w:space="0"/>
                  </w:tcBorders>
                  <w:shd w:val="clear" w:color="auto" w:fill="auto"/>
                  <w:vAlign w:val="center"/>
                </w:tcPr>
                <w:p w14:paraId="062BB8ED">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TRP车间袋装储存</w:t>
                  </w:r>
                </w:p>
              </w:tc>
            </w:tr>
            <w:tr w14:paraId="4F786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3" w:type="dxa"/>
                  <w:tcBorders>
                    <w:top w:val="single" w:color="auto" w:sz="4" w:space="0"/>
                    <w:left w:val="single" w:color="auto" w:sz="4" w:space="0"/>
                    <w:right w:val="single" w:color="auto" w:sz="4" w:space="0"/>
                  </w:tcBorders>
                  <w:vAlign w:val="center"/>
                </w:tcPr>
                <w:p w14:paraId="40A61424">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能源</w:t>
                  </w:r>
                </w:p>
              </w:tc>
              <w:tc>
                <w:tcPr>
                  <w:tcW w:w="1779" w:type="dxa"/>
                  <w:tcBorders>
                    <w:top w:val="single" w:color="auto" w:sz="4" w:space="0"/>
                    <w:left w:val="single" w:color="auto" w:sz="4" w:space="0"/>
                    <w:bottom w:val="single" w:color="auto" w:sz="4" w:space="0"/>
                    <w:right w:val="single" w:color="auto" w:sz="4" w:space="0"/>
                  </w:tcBorders>
                  <w:vAlign w:val="center"/>
                </w:tcPr>
                <w:p w14:paraId="288A267A">
                  <w:pPr>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w:t>
                  </w:r>
                </w:p>
              </w:tc>
              <w:tc>
                <w:tcPr>
                  <w:tcW w:w="1350" w:type="dxa"/>
                  <w:tcBorders>
                    <w:top w:val="single" w:color="auto" w:sz="4" w:space="0"/>
                    <w:left w:val="single" w:color="auto" w:sz="4" w:space="0"/>
                    <w:bottom w:val="single" w:color="auto" w:sz="4" w:space="0"/>
                    <w:right w:val="single" w:color="auto" w:sz="4" w:space="0"/>
                  </w:tcBorders>
                  <w:vAlign w:val="center"/>
                </w:tcPr>
                <w:p w14:paraId="791657AE">
                  <w:pPr>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165.3</w:t>
                  </w:r>
                </w:p>
              </w:tc>
              <w:tc>
                <w:tcPr>
                  <w:tcW w:w="1080" w:type="dxa"/>
                  <w:tcBorders>
                    <w:top w:val="single" w:color="auto" w:sz="4" w:space="0"/>
                    <w:left w:val="single" w:color="auto" w:sz="4" w:space="0"/>
                    <w:bottom w:val="single" w:color="auto" w:sz="4" w:space="0"/>
                    <w:right w:val="single" w:color="auto" w:sz="4" w:space="0"/>
                  </w:tcBorders>
                  <w:vAlign w:val="center"/>
                </w:tcPr>
                <w:p w14:paraId="26FB2B1D">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w:t>
                  </w:r>
                  <w:r>
                    <w:rPr>
                      <w:rFonts w:hint="default" w:ascii="Times New Roman" w:hAnsi="Times New Roman" w:eastAsia="宋体" w:cs="Times New Roman"/>
                      <w:color w:val="auto"/>
                      <w:sz w:val="21"/>
                      <w:szCs w:val="21"/>
                    </w:rPr>
                    <w:t>度/年</w:t>
                  </w:r>
                </w:p>
              </w:tc>
              <w:tc>
                <w:tcPr>
                  <w:tcW w:w="1334" w:type="dxa"/>
                  <w:tcBorders>
                    <w:top w:val="single" w:color="auto" w:sz="4" w:space="0"/>
                    <w:left w:val="single" w:color="auto" w:sz="4" w:space="0"/>
                    <w:bottom w:val="single" w:color="auto" w:sz="4" w:space="0"/>
                    <w:right w:val="single" w:color="auto" w:sz="4" w:space="0"/>
                  </w:tcBorders>
                  <w:vAlign w:val="center"/>
                </w:tcPr>
                <w:p w14:paraId="6C60BDFA">
                  <w:pPr>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生产设备用电</w:t>
                  </w:r>
                </w:p>
              </w:tc>
              <w:tc>
                <w:tcPr>
                  <w:tcW w:w="2141" w:type="dxa"/>
                  <w:tcBorders>
                    <w:top w:val="single" w:color="auto" w:sz="4" w:space="0"/>
                    <w:left w:val="single" w:color="auto" w:sz="4" w:space="0"/>
                    <w:bottom w:val="single" w:color="auto" w:sz="4" w:space="0"/>
                    <w:right w:val="single" w:color="auto" w:sz="4" w:space="0"/>
                  </w:tcBorders>
                  <w:vAlign w:val="center"/>
                </w:tcPr>
                <w:p w14:paraId="2934776D">
                  <w:pPr>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国家电网</w:t>
                  </w:r>
                </w:p>
              </w:tc>
            </w:tr>
          </w:tbl>
          <w:p w14:paraId="155DFBE4">
            <w:pPr>
              <w:spacing w:line="360" w:lineRule="auto"/>
              <w:ind w:firstLine="480" w:firstLineChars="200"/>
              <w:rPr>
                <w:rFonts w:hint="default" w:ascii="Times New Roman" w:hAnsi="Times New Roman" w:eastAsia="宋体" w:cs="Times New Roman"/>
                <w:color w:val="auto"/>
                <w:kern w:val="0"/>
                <w:sz w:val="24"/>
                <w:szCs w:val="20"/>
                <w:lang w:val="en-US" w:eastAsia="zh-CN"/>
              </w:rPr>
            </w:pPr>
            <w:r>
              <w:rPr>
                <w:rFonts w:hint="default" w:ascii="Times New Roman" w:hAnsi="Times New Roman" w:eastAsia="宋体" w:cs="Times New Roman"/>
                <w:color w:val="auto"/>
                <w:kern w:val="0"/>
                <w:sz w:val="24"/>
                <w:szCs w:val="20"/>
                <w:lang w:val="en-US" w:eastAsia="zh-CN"/>
              </w:rPr>
              <w:t>根据2023年与2024年前7个月统计数据，本项目建成后全厂主要原辅材料变化情况见表2-5。</w:t>
            </w:r>
          </w:p>
          <w:p w14:paraId="39EA66CC">
            <w:pPr>
              <w:autoSpaceDE w:val="0"/>
              <w:autoSpaceDN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表2-5 全厂主要原辅材料变化情况一览表</w:t>
            </w:r>
          </w:p>
          <w:tbl>
            <w:tblPr>
              <w:tblStyle w:val="19"/>
              <w:tblW w:w="4997"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447"/>
              <w:gridCol w:w="2247"/>
              <w:gridCol w:w="998"/>
              <w:gridCol w:w="1705"/>
              <w:gridCol w:w="1482"/>
              <w:gridCol w:w="1482"/>
            </w:tblGrid>
            <w:tr w14:paraId="2EB95C76">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ign w:val="center"/>
                </w:tcPr>
                <w:p w14:paraId="1C204D8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序号</w:t>
                  </w:r>
                </w:p>
              </w:tc>
              <w:tc>
                <w:tcPr>
                  <w:tcW w:w="1343" w:type="pct"/>
                  <w:tcBorders>
                    <w:tl2br w:val="nil"/>
                    <w:tr2bl w:val="nil"/>
                  </w:tcBorders>
                  <w:shd w:val="clear" w:color="auto" w:fill="auto"/>
                  <w:noWrap/>
                  <w:vAlign w:val="center"/>
                </w:tcPr>
                <w:p w14:paraId="116E991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名称</w:t>
                  </w:r>
                </w:p>
              </w:tc>
              <w:tc>
                <w:tcPr>
                  <w:tcW w:w="596" w:type="pct"/>
                  <w:tcBorders>
                    <w:tl2br w:val="nil"/>
                    <w:tr2bl w:val="nil"/>
                  </w:tcBorders>
                  <w:shd w:val="clear" w:color="auto" w:fill="auto"/>
                  <w:noWrap/>
                  <w:vAlign w:val="center"/>
                </w:tcPr>
                <w:p w14:paraId="5B61841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单位</w:t>
                  </w:r>
                </w:p>
              </w:tc>
              <w:tc>
                <w:tcPr>
                  <w:tcW w:w="1019" w:type="pct"/>
                  <w:tcBorders>
                    <w:tl2br w:val="nil"/>
                    <w:tr2bl w:val="nil"/>
                  </w:tcBorders>
                  <w:shd w:val="clear" w:color="auto" w:fill="auto"/>
                  <w:noWrap/>
                  <w:vAlign w:val="center"/>
                </w:tcPr>
                <w:p w14:paraId="2461876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合计本项目建设前总消耗量</w:t>
                  </w:r>
                </w:p>
              </w:tc>
              <w:tc>
                <w:tcPr>
                  <w:tcW w:w="886" w:type="pct"/>
                  <w:tcBorders>
                    <w:tl2br w:val="nil"/>
                    <w:tr2bl w:val="nil"/>
                  </w:tcBorders>
                  <w:shd w:val="clear" w:color="auto" w:fill="auto"/>
                  <w:noWrap/>
                  <w:vAlign w:val="center"/>
                </w:tcPr>
                <w:p w14:paraId="3FB819D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本项目建成后消耗量</w:t>
                  </w:r>
                </w:p>
              </w:tc>
              <w:tc>
                <w:tcPr>
                  <w:tcW w:w="886" w:type="pct"/>
                  <w:tcBorders>
                    <w:tl2br w:val="nil"/>
                    <w:tr2bl w:val="nil"/>
                  </w:tcBorders>
                  <w:shd w:val="clear" w:color="auto" w:fill="auto"/>
                  <w:noWrap/>
                  <w:vAlign w:val="center"/>
                </w:tcPr>
                <w:p w14:paraId="7B2C5E0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变化量</w:t>
                  </w:r>
                </w:p>
              </w:tc>
            </w:tr>
            <w:tr w14:paraId="47BFCD2A">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01D9209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343" w:type="pct"/>
                  <w:tcBorders>
                    <w:tl2br w:val="nil"/>
                    <w:tr2bl w:val="nil"/>
                  </w:tcBorders>
                  <w:shd w:val="clear" w:color="auto" w:fill="auto"/>
                  <w:noWrap w:val="0"/>
                  <w:vAlign w:val="center"/>
                </w:tcPr>
                <w:p w14:paraId="31CB8C1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碳钢/不锈钢机架辊子</w:t>
                  </w:r>
                </w:p>
              </w:tc>
              <w:tc>
                <w:tcPr>
                  <w:tcW w:w="596" w:type="pct"/>
                  <w:tcBorders>
                    <w:tl2br w:val="nil"/>
                    <w:tr2bl w:val="nil"/>
                  </w:tcBorders>
                  <w:shd w:val="clear" w:color="auto" w:fill="auto"/>
                  <w:noWrap w:val="0"/>
                  <w:vAlign w:val="center"/>
                </w:tcPr>
                <w:p w14:paraId="17BF6A5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1EAC1F9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958.6</w:t>
                  </w:r>
                </w:p>
              </w:tc>
              <w:tc>
                <w:tcPr>
                  <w:tcW w:w="886" w:type="pct"/>
                  <w:tcBorders>
                    <w:tl2br w:val="nil"/>
                    <w:tr2bl w:val="nil"/>
                  </w:tcBorders>
                  <w:shd w:val="clear" w:color="auto" w:fill="auto"/>
                  <w:noWrap/>
                  <w:vAlign w:val="center"/>
                </w:tcPr>
                <w:p w14:paraId="281DB87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3258.6</w:t>
                  </w:r>
                </w:p>
              </w:tc>
              <w:tc>
                <w:tcPr>
                  <w:tcW w:w="886" w:type="pct"/>
                  <w:tcBorders>
                    <w:tl2br w:val="nil"/>
                    <w:tr2bl w:val="nil"/>
                  </w:tcBorders>
                  <w:shd w:val="clear" w:color="auto" w:fill="auto"/>
                  <w:noWrap/>
                  <w:vAlign w:val="center"/>
                </w:tcPr>
                <w:p w14:paraId="4104054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+2300</w:t>
                  </w:r>
                </w:p>
              </w:tc>
            </w:tr>
            <w:tr w14:paraId="6E4CE4B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68B97F4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343" w:type="pct"/>
                  <w:tcBorders>
                    <w:tl2br w:val="nil"/>
                    <w:tr2bl w:val="nil"/>
                  </w:tcBorders>
                  <w:shd w:val="clear" w:color="auto" w:fill="auto"/>
                  <w:noWrap w:val="0"/>
                  <w:vAlign w:val="center"/>
                </w:tcPr>
                <w:p w14:paraId="1DE4468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底漆</w:t>
                  </w:r>
                </w:p>
              </w:tc>
              <w:tc>
                <w:tcPr>
                  <w:tcW w:w="596" w:type="pct"/>
                  <w:tcBorders>
                    <w:tl2br w:val="nil"/>
                    <w:tr2bl w:val="nil"/>
                  </w:tcBorders>
                  <w:shd w:val="clear" w:color="auto" w:fill="auto"/>
                  <w:noWrap w:val="0"/>
                  <w:vAlign w:val="center"/>
                </w:tcPr>
                <w:p w14:paraId="5322794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7EC363D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5.46</w:t>
                  </w:r>
                </w:p>
              </w:tc>
              <w:tc>
                <w:tcPr>
                  <w:tcW w:w="886" w:type="pct"/>
                  <w:tcBorders>
                    <w:tl2br w:val="nil"/>
                    <w:tr2bl w:val="nil"/>
                  </w:tcBorders>
                  <w:shd w:val="clear" w:color="auto" w:fill="auto"/>
                  <w:noWrap/>
                  <w:vAlign w:val="center"/>
                </w:tcPr>
                <w:p w14:paraId="0E1FD89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7.96</w:t>
                  </w:r>
                </w:p>
              </w:tc>
              <w:tc>
                <w:tcPr>
                  <w:tcW w:w="1482" w:type="dxa"/>
                  <w:tcBorders>
                    <w:tl2br w:val="nil"/>
                    <w:tr2bl w:val="nil"/>
                  </w:tcBorders>
                  <w:shd w:val="clear" w:color="auto" w:fill="auto"/>
                  <w:noWrap/>
                  <w:vAlign w:val="center"/>
                </w:tcPr>
                <w:p w14:paraId="6B88970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+2.5</w:t>
                  </w:r>
                </w:p>
              </w:tc>
            </w:tr>
            <w:tr w14:paraId="04C25C8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3A86A0B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w:t>
                  </w:r>
                </w:p>
              </w:tc>
              <w:tc>
                <w:tcPr>
                  <w:tcW w:w="1343" w:type="pct"/>
                  <w:tcBorders>
                    <w:tl2br w:val="nil"/>
                    <w:tr2bl w:val="nil"/>
                  </w:tcBorders>
                  <w:shd w:val="clear" w:color="auto" w:fill="auto"/>
                  <w:noWrap w:val="0"/>
                  <w:vAlign w:val="center"/>
                </w:tcPr>
                <w:p w14:paraId="4FDCC68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面漆</w:t>
                  </w:r>
                </w:p>
              </w:tc>
              <w:tc>
                <w:tcPr>
                  <w:tcW w:w="596" w:type="pct"/>
                  <w:tcBorders>
                    <w:tl2br w:val="nil"/>
                    <w:tr2bl w:val="nil"/>
                  </w:tcBorders>
                  <w:shd w:val="clear" w:color="auto" w:fill="auto"/>
                  <w:noWrap w:val="0"/>
                  <w:vAlign w:val="center"/>
                </w:tcPr>
                <w:p w14:paraId="4B2E20B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07C5D50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4.60</w:t>
                  </w:r>
                </w:p>
              </w:tc>
              <w:tc>
                <w:tcPr>
                  <w:tcW w:w="886" w:type="pct"/>
                  <w:tcBorders>
                    <w:tl2br w:val="nil"/>
                    <w:tr2bl w:val="nil"/>
                  </w:tcBorders>
                  <w:shd w:val="clear" w:color="auto" w:fill="auto"/>
                  <w:noWrap/>
                  <w:vAlign w:val="center"/>
                </w:tcPr>
                <w:p w14:paraId="6E1B4B1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6.1</w:t>
                  </w:r>
                </w:p>
              </w:tc>
              <w:tc>
                <w:tcPr>
                  <w:tcW w:w="1482" w:type="dxa"/>
                  <w:tcBorders>
                    <w:tl2br w:val="nil"/>
                    <w:tr2bl w:val="nil"/>
                  </w:tcBorders>
                  <w:shd w:val="clear" w:color="auto" w:fill="auto"/>
                  <w:noWrap/>
                  <w:vAlign w:val="center"/>
                </w:tcPr>
                <w:p w14:paraId="07552B0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+1.5</w:t>
                  </w:r>
                </w:p>
              </w:tc>
            </w:tr>
            <w:tr w14:paraId="2AA2D1C3">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685989C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w:t>
                  </w:r>
                </w:p>
              </w:tc>
              <w:tc>
                <w:tcPr>
                  <w:tcW w:w="1343" w:type="pct"/>
                  <w:tcBorders>
                    <w:tl2br w:val="nil"/>
                    <w:tr2bl w:val="nil"/>
                  </w:tcBorders>
                  <w:shd w:val="clear" w:color="auto" w:fill="auto"/>
                  <w:noWrap w:val="0"/>
                  <w:vAlign w:val="center"/>
                </w:tcPr>
                <w:p w14:paraId="6236AB2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底漆固化剂</w:t>
                  </w:r>
                </w:p>
              </w:tc>
              <w:tc>
                <w:tcPr>
                  <w:tcW w:w="596" w:type="pct"/>
                  <w:tcBorders>
                    <w:tl2br w:val="nil"/>
                    <w:tr2bl w:val="nil"/>
                  </w:tcBorders>
                  <w:shd w:val="clear" w:color="auto" w:fill="auto"/>
                  <w:noWrap w:val="0"/>
                  <w:vAlign w:val="center"/>
                </w:tcPr>
                <w:p w14:paraId="37C80BC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14996F1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1.36</w:t>
                  </w:r>
                </w:p>
              </w:tc>
              <w:tc>
                <w:tcPr>
                  <w:tcW w:w="886" w:type="pct"/>
                  <w:tcBorders>
                    <w:tl2br w:val="nil"/>
                    <w:tr2bl w:val="nil"/>
                  </w:tcBorders>
                  <w:shd w:val="clear" w:color="auto" w:fill="auto"/>
                  <w:noWrap/>
                  <w:vAlign w:val="center"/>
                </w:tcPr>
                <w:p w14:paraId="5C570DF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2.16</w:t>
                  </w:r>
                </w:p>
              </w:tc>
              <w:tc>
                <w:tcPr>
                  <w:tcW w:w="1482" w:type="dxa"/>
                  <w:tcBorders>
                    <w:tl2br w:val="nil"/>
                    <w:tr2bl w:val="nil"/>
                  </w:tcBorders>
                  <w:shd w:val="clear" w:color="auto" w:fill="auto"/>
                  <w:noWrap/>
                  <w:vAlign w:val="center"/>
                </w:tcPr>
                <w:p w14:paraId="174180B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w:t>
                  </w:r>
                </w:p>
              </w:tc>
            </w:tr>
            <w:tr w14:paraId="591F298B">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4EB6B3E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w:t>
                  </w:r>
                </w:p>
              </w:tc>
              <w:tc>
                <w:tcPr>
                  <w:tcW w:w="1343" w:type="pct"/>
                  <w:tcBorders>
                    <w:tl2br w:val="nil"/>
                    <w:tr2bl w:val="nil"/>
                  </w:tcBorders>
                  <w:shd w:val="clear" w:color="auto" w:fill="auto"/>
                  <w:noWrap w:val="0"/>
                  <w:vAlign w:val="center"/>
                </w:tcPr>
                <w:p w14:paraId="3CA6018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面漆固化剂</w:t>
                  </w:r>
                </w:p>
              </w:tc>
              <w:tc>
                <w:tcPr>
                  <w:tcW w:w="596" w:type="pct"/>
                  <w:tcBorders>
                    <w:tl2br w:val="nil"/>
                    <w:tr2bl w:val="nil"/>
                  </w:tcBorders>
                  <w:shd w:val="clear" w:color="auto" w:fill="auto"/>
                  <w:noWrap w:val="0"/>
                  <w:vAlign w:val="center"/>
                </w:tcPr>
                <w:p w14:paraId="6057D95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6250E5D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0.77</w:t>
                  </w:r>
                </w:p>
              </w:tc>
              <w:tc>
                <w:tcPr>
                  <w:tcW w:w="886" w:type="pct"/>
                  <w:tcBorders>
                    <w:tl2br w:val="nil"/>
                    <w:tr2bl w:val="nil"/>
                  </w:tcBorders>
                  <w:shd w:val="clear" w:color="auto" w:fill="auto"/>
                  <w:noWrap/>
                  <w:vAlign w:val="center"/>
                </w:tcPr>
                <w:p w14:paraId="5193DD5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1.47</w:t>
                  </w:r>
                </w:p>
              </w:tc>
              <w:tc>
                <w:tcPr>
                  <w:tcW w:w="1482" w:type="dxa"/>
                  <w:tcBorders>
                    <w:tl2br w:val="nil"/>
                    <w:tr2bl w:val="nil"/>
                  </w:tcBorders>
                  <w:shd w:val="clear" w:color="auto" w:fill="auto"/>
                  <w:noWrap/>
                  <w:vAlign w:val="center"/>
                </w:tcPr>
                <w:p w14:paraId="661E4D4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+0.7</w:t>
                  </w:r>
                </w:p>
              </w:tc>
            </w:tr>
            <w:tr w14:paraId="60787EE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79413D7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w:t>
                  </w:r>
                </w:p>
              </w:tc>
              <w:tc>
                <w:tcPr>
                  <w:tcW w:w="1343" w:type="pct"/>
                  <w:tcBorders>
                    <w:tl2br w:val="nil"/>
                    <w:tr2bl w:val="nil"/>
                  </w:tcBorders>
                  <w:shd w:val="clear" w:color="auto" w:fill="auto"/>
                  <w:noWrap w:val="0"/>
                  <w:vAlign w:val="center"/>
                </w:tcPr>
                <w:p w14:paraId="4208C24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底漆稀释剂</w:t>
                  </w:r>
                </w:p>
              </w:tc>
              <w:tc>
                <w:tcPr>
                  <w:tcW w:w="596" w:type="pct"/>
                  <w:tcBorders>
                    <w:tl2br w:val="nil"/>
                    <w:tr2bl w:val="nil"/>
                  </w:tcBorders>
                  <w:shd w:val="clear" w:color="auto" w:fill="auto"/>
                  <w:noWrap w:val="0"/>
                  <w:vAlign w:val="center"/>
                </w:tcPr>
                <w:p w14:paraId="6ACFF84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36F3BC0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2.79</w:t>
                  </w:r>
                </w:p>
              </w:tc>
              <w:tc>
                <w:tcPr>
                  <w:tcW w:w="886" w:type="pct"/>
                  <w:tcBorders>
                    <w:tl2br w:val="nil"/>
                    <w:tr2bl w:val="nil"/>
                  </w:tcBorders>
                  <w:shd w:val="clear" w:color="auto" w:fill="auto"/>
                  <w:noWrap/>
                  <w:vAlign w:val="center"/>
                </w:tcPr>
                <w:p w14:paraId="3290DF7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5.29</w:t>
                  </w:r>
                </w:p>
              </w:tc>
              <w:tc>
                <w:tcPr>
                  <w:tcW w:w="1482" w:type="dxa"/>
                  <w:tcBorders>
                    <w:tl2br w:val="nil"/>
                    <w:tr2bl w:val="nil"/>
                  </w:tcBorders>
                  <w:shd w:val="clear" w:color="auto" w:fill="auto"/>
                  <w:noWrap/>
                  <w:vAlign w:val="center"/>
                </w:tcPr>
                <w:p w14:paraId="0F64063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+2.5</w:t>
                  </w:r>
                </w:p>
              </w:tc>
            </w:tr>
            <w:tr w14:paraId="61C611E5">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6CF8711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w:t>
                  </w:r>
                </w:p>
              </w:tc>
              <w:tc>
                <w:tcPr>
                  <w:tcW w:w="1343" w:type="pct"/>
                  <w:tcBorders>
                    <w:tl2br w:val="nil"/>
                    <w:tr2bl w:val="nil"/>
                  </w:tcBorders>
                  <w:shd w:val="clear" w:color="auto" w:fill="auto"/>
                  <w:noWrap w:val="0"/>
                  <w:vAlign w:val="center"/>
                </w:tcPr>
                <w:p w14:paraId="424178A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面漆稀释剂</w:t>
                  </w:r>
                </w:p>
              </w:tc>
              <w:tc>
                <w:tcPr>
                  <w:tcW w:w="596" w:type="pct"/>
                  <w:tcBorders>
                    <w:tl2br w:val="nil"/>
                    <w:tr2bl w:val="nil"/>
                  </w:tcBorders>
                  <w:shd w:val="clear" w:color="auto" w:fill="auto"/>
                  <w:noWrap w:val="0"/>
                  <w:vAlign w:val="center"/>
                </w:tcPr>
                <w:p w14:paraId="71602F0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48D9282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3.01</w:t>
                  </w:r>
                </w:p>
              </w:tc>
              <w:tc>
                <w:tcPr>
                  <w:tcW w:w="886" w:type="pct"/>
                  <w:tcBorders>
                    <w:tl2br w:val="nil"/>
                    <w:tr2bl w:val="nil"/>
                  </w:tcBorders>
                  <w:shd w:val="clear" w:color="auto" w:fill="auto"/>
                  <w:noWrap/>
                  <w:vAlign w:val="center"/>
                </w:tcPr>
                <w:p w14:paraId="44736E1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4.51</w:t>
                  </w:r>
                </w:p>
              </w:tc>
              <w:tc>
                <w:tcPr>
                  <w:tcW w:w="1482" w:type="dxa"/>
                  <w:tcBorders>
                    <w:tl2br w:val="nil"/>
                    <w:tr2bl w:val="nil"/>
                  </w:tcBorders>
                  <w:shd w:val="clear" w:color="auto" w:fill="auto"/>
                  <w:noWrap/>
                  <w:vAlign w:val="center"/>
                </w:tcPr>
                <w:p w14:paraId="2A628FC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+1.5</w:t>
                  </w:r>
                </w:p>
              </w:tc>
            </w:tr>
            <w:tr w14:paraId="2C7FD4F1">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6E40F1A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w:t>
                  </w:r>
                </w:p>
              </w:tc>
              <w:tc>
                <w:tcPr>
                  <w:tcW w:w="1343" w:type="pct"/>
                  <w:tcBorders>
                    <w:tl2br w:val="nil"/>
                    <w:tr2bl w:val="nil"/>
                  </w:tcBorders>
                  <w:shd w:val="clear" w:color="auto" w:fill="auto"/>
                  <w:noWrap w:val="0"/>
                  <w:vAlign w:val="center"/>
                </w:tcPr>
                <w:p w14:paraId="3397989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润滑油</w:t>
                  </w:r>
                </w:p>
              </w:tc>
              <w:tc>
                <w:tcPr>
                  <w:tcW w:w="596" w:type="pct"/>
                  <w:tcBorders>
                    <w:tl2br w:val="nil"/>
                    <w:tr2bl w:val="nil"/>
                  </w:tcBorders>
                  <w:shd w:val="clear" w:color="auto" w:fill="auto"/>
                  <w:noWrap w:val="0"/>
                  <w:vAlign w:val="center"/>
                </w:tcPr>
                <w:p w14:paraId="7C8D10B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42C7DC7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1.67</w:t>
                  </w:r>
                </w:p>
              </w:tc>
              <w:tc>
                <w:tcPr>
                  <w:tcW w:w="886" w:type="pct"/>
                  <w:tcBorders>
                    <w:tl2br w:val="nil"/>
                    <w:tr2bl w:val="nil"/>
                  </w:tcBorders>
                  <w:shd w:val="clear" w:color="auto" w:fill="auto"/>
                  <w:noWrap/>
                  <w:vAlign w:val="center"/>
                </w:tcPr>
                <w:p w14:paraId="1DC3D9C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2.28</w:t>
                  </w:r>
                </w:p>
              </w:tc>
              <w:tc>
                <w:tcPr>
                  <w:tcW w:w="886" w:type="pct"/>
                  <w:tcBorders>
                    <w:tl2br w:val="nil"/>
                    <w:tr2bl w:val="nil"/>
                  </w:tcBorders>
                  <w:shd w:val="clear" w:color="auto" w:fill="auto"/>
                  <w:noWrap/>
                  <w:vAlign w:val="center"/>
                </w:tcPr>
                <w:p w14:paraId="19E038C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+0.61</w:t>
                  </w:r>
                </w:p>
              </w:tc>
            </w:tr>
            <w:tr w14:paraId="7062BFC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4821954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9</w:t>
                  </w:r>
                </w:p>
              </w:tc>
              <w:tc>
                <w:tcPr>
                  <w:tcW w:w="1343" w:type="pct"/>
                  <w:tcBorders>
                    <w:tl2br w:val="nil"/>
                    <w:tr2bl w:val="nil"/>
                  </w:tcBorders>
                  <w:shd w:val="clear" w:color="auto" w:fill="auto"/>
                  <w:noWrap w:val="0"/>
                  <w:vAlign w:val="center"/>
                </w:tcPr>
                <w:p w14:paraId="5CA5F2F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切削液</w:t>
                  </w:r>
                </w:p>
              </w:tc>
              <w:tc>
                <w:tcPr>
                  <w:tcW w:w="596" w:type="pct"/>
                  <w:tcBorders>
                    <w:tl2br w:val="nil"/>
                    <w:tr2bl w:val="nil"/>
                  </w:tcBorders>
                  <w:shd w:val="clear" w:color="auto" w:fill="auto"/>
                  <w:noWrap w:val="0"/>
                  <w:vAlign w:val="center"/>
                </w:tcPr>
                <w:p w14:paraId="3C60DB7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40D86E9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5.70</w:t>
                  </w:r>
                </w:p>
              </w:tc>
              <w:tc>
                <w:tcPr>
                  <w:tcW w:w="886" w:type="pct"/>
                  <w:tcBorders>
                    <w:tl2br w:val="nil"/>
                    <w:tr2bl w:val="nil"/>
                  </w:tcBorders>
                  <w:shd w:val="clear" w:color="auto" w:fill="auto"/>
                  <w:noWrap/>
                  <w:vAlign w:val="center"/>
                </w:tcPr>
                <w:p w14:paraId="3BDFCC6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6.70</w:t>
                  </w:r>
                </w:p>
              </w:tc>
              <w:tc>
                <w:tcPr>
                  <w:tcW w:w="886" w:type="pct"/>
                  <w:tcBorders>
                    <w:tl2br w:val="nil"/>
                    <w:tr2bl w:val="nil"/>
                  </w:tcBorders>
                  <w:shd w:val="clear" w:color="auto" w:fill="auto"/>
                  <w:noWrap/>
                  <w:vAlign w:val="center"/>
                </w:tcPr>
                <w:p w14:paraId="5F73448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r>
            <w:tr w14:paraId="032269C7">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0A70D67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w:t>
                  </w:r>
                </w:p>
              </w:tc>
              <w:tc>
                <w:tcPr>
                  <w:tcW w:w="1343" w:type="pct"/>
                  <w:tcBorders>
                    <w:tl2br w:val="nil"/>
                    <w:tr2bl w:val="nil"/>
                  </w:tcBorders>
                  <w:shd w:val="clear" w:color="auto" w:fill="auto"/>
                  <w:noWrap w:val="0"/>
                  <w:vAlign w:val="center"/>
                </w:tcPr>
                <w:p w14:paraId="2B4EC04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酸洗膏</w:t>
                  </w:r>
                </w:p>
              </w:tc>
              <w:tc>
                <w:tcPr>
                  <w:tcW w:w="596" w:type="pct"/>
                  <w:tcBorders>
                    <w:tl2br w:val="nil"/>
                    <w:tr2bl w:val="nil"/>
                  </w:tcBorders>
                  <w:shd w:val="clear" w:color="auto" w:fill="auto"/>
                  <w:noWrap w:val="0"/>
                  <w:vAlign w:val="center"/>
                </w:tcPr>
                <w:p w14:paraId="24AB93D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35419AB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p>
              </w:tc>
              <w:tc>
                <w:tcPr>
                  <w:tcW w:w="886" w:type="pct"/>
                  <w:tcBorders>
                    <w:tl2br w:val="nil"/>
                    <w:tr2bl w:val="nil"/>
                  </w:tcBorders>
                  <w:shd w:val="clear" w:color="auto" w:fill="auto"/>
                  <w:noWrap/>
                  <w:vAlign w:val="center"/>
                </w:tcPr>
                <w:p w14:paraId="6EAF99C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2.5</w:t>
                  </w:r>
                </w:p>
              </w:tc>
              <w:tc>
                <w:tcPr>
                  <w:tcW w:w="886" w:type="pct"/>
                  <w:tcBorders>
                    <w:tl2br w:val="nil"/>
                    <w:tr2bl w:val="nil"/>
                  </w:tcBorders>
                  <w:shd w:val="clear" w:color="auto" w:fill="auto"/>
                  <w:noWrap/>
                  <w:vAlign w:val="center"/>
                </w:tcPr>
                <w:p w14:paraId="5363E5F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2D197AB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63AE03B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w:t>
                  </w:r>
                </w:p>
              </w:tc>
              <w:tc>
                <w:tcPr>
                  <w:tcW w:w="1343" w:type="pct"/>
                  <w:tcBorders>
                    <w:tl2br w:val="nil"/>
                    <w:tr2bl w:val="nil"/>
                  </w:tcBorders>
                  <w:shd w:val="clear" w:color="auto" w:fill="auto"/>
                  <w:noWrap w:val="0"/>
                  <w:vAlign w:val="center"/>
                </w:tcPr>
                <w:p w14:paraId="3FAC158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酸洗液</w:t>
                  </w:r>
                </w:p>
              </w:tc>
              <w:tc>
                <w:tcPr>
                  <w:tcW w:w="596" w:type="pct"/>
                  <w:tcBorders>
                    <w:tl2br w:val="nil"/>
                    <w:tr2bl w:val="nil"/>
                  </w:tcBorders>
                  <w:shd w:val="clear" w:color="auto" w:fill="auto"/>
                  <w:noWrap w:val="0"/>
                  <w:vAlign w:val="center"/>
                </w:tcPr>
                <w:p w14:paraId="5E26D21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29B7A77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w:t>
                  </w:r>
                </w:p>
              </w:tc>
              <w:tc>
                <w:tcPr>
                  <w:tcW w:w="886" w:type="pct"/>
                  <w:tcBorders>
                    <w:tl2br w:val="nil"/>
                    <w:tr2bl w:val="nil"/>
                  </w:tcBorders>
                  <w:shd w:val="clear" w:color="auto" w:fill="auto"/>
                  <w:noWrap/>
                  <w:vAlign w:val="center"/>
                </w:tcPr>
                <w:p w14:paraId="0D8B763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5</w:t>
                  </w:r>
                </w:p>
              </w:tc>
              <w:tc>
                <w:tcPr>
                  <w:tcW w:w="886" w:type="pct"/>
                  <w:tcBorders>
                    <w:tl2br w:val="nil"/>
                    <w:tr2bl w:val="nil"/>
                  </w:tcBorders>
                  <w:shd w:val="clear" w:color="auto" w:fill="auto"/>
                  <w:noWrap/>
                  <w:vAlign w:val="center"/>
                </w:tcPr>
                <w:p w14:paraId="0BEADD1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5EA6ACD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43C85A2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w:t>
                  </w:r>
                </w:p>
              </w:tc>
              <w:tc>
                <w:tcPr>
                  <w:tcW w:w="1343" w:type="pct"/>
                  <w:tcBorders>
                    <w:tl2br w:val="nil"/>
                    <w:tr2bl w:val="nil"/>
                  </w:tcBorders>
                  <w:shd w:val="clear" w:color="auto" w:fill="auto"/>
                  <w:noWrap w:val="0"/>
                  <w:vAlign w:val="center"/>
                </w:tcPr>
                <w:p w14:paraId="6AFD540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焊丝</w:t>
                  </w:r>
                </w:p>
              </w:tc>
              <w:tc>
                <w:tcPr>
                  <w:tcW w:w="596" w:type="pct"/>
                  <w:tcBorders>
                    <w:tl2br w:val="nil"/>
                    <w:tr2bl w:val="nil"/>
                  </w:tcBorders>
                  <w:shd w:val="clear" w:color="auto" w:fill="auto"/>
                  <w:noWrap w:val="0"/>
                  <w:vAlign w:val="center"/>
                </w:tcPr>
                <w:p w14:paraId="18CD0E5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4BA3DF5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10.30</w:t>
                  </w:r>
                </w:p>
              </w:tc>
              <w:tc>
                <w:tcPr>
                  <w:tcW w:w="886" w:type="pct"/>
                  <w:tcBorders>
                    <w:tl2br w:val="nil"/>
                    <w:tr2bl w:val="nil"/>
                  </w:tcBorders>
                  <w:shd w:val="clear" w:color="auto" w:fill="auto"/>
                  <w:noWrap/>
                  <w:vAlign w:val="center"/>
                </w:tcPr>
                <w:p w14:paraId="35E8B2E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34.98</w:t>
                  </w:r>
                </w:p>
              </w:tc>
              <w:tc>
                <w:tcPr>
                  <w:tcW w:w="886" w:type="pct"/>
                  <w:tcBorders>
                    <w:tl2br w:val="nil"/>
                    <w:tr2bl w:val="nil"/>
                  </w:tcBorders>
                  <w:shd w:val="clear" w:color="auto" w:fill="auto"/>
                  <w:noWrap/>
                  <w:vAlign w:val="center"/>
                </w:tcPr>
                <w:p w14:paraId="10F9430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+24.68</w:t>
                  </w:r>
                </w:p>
              </w:tc>
            </w:tr>
            <w:tr w14:paraId="47A06C1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6E0128B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13</w:t>
                  </w:r>
                </w:p>
              </w:tc>
              <w:tc>
                <w:tcPr>
                  <w:tcW w:w="1343" w:type="pct"/>
                  <w:tcBorders>
                    <w:tl2br w:val="nil"/>
                    <w:tr2bl w:val="nil"/>
                  </w:tcBorders>
                  <w:shd w:val="clear" w:color="auto" w:fill="auto"/>
                  <w:noWrap w:val="0"/>
                  <w:vAlign w:val="center"/>
                </w:tcPr>
                <w:p w14:paraId="2718A9C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清洗剂</w:t>
                  </w:r>
                </w:p>
              </w:tc>
              <w:tc>
                <w:tcPr>
                  <w:tcW w:w="596" w:type="pct"/>
                  <w:tcBorders>
                    <w:tl2br w:val="nil"/>
                    <w:tr2bl w:val="nil"/>
                  </w:tcBorders>
                  <w:shd w:val="clear" w:color="auto" w:fill="auto"/>
                  <w:noWrap w:val="0"/>
                  <w:vAlign w:val="center"/>
                </w:tcPr>
                <w:p w14:paraId="35F9C7B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t/a</w:t>
                  </w:r>
                </w:p>
              </w:tc>
              <w:tc>
                <w:tcPr>
                  <w:tcW w:w="1019" w:type="pct"/>
                  <w:tcBorders>
                    <w:tl2br w:val="nil"/>
                    <w:tr2bl w:val="nil"/>
                  </w:tcBorders>
                  <w:shd w:val="clear" w:color="auto" w:fill="auto"/>
                  <w:noWrap/>
                  <w:vAlign w:val="center"/>
                </w:tcPr>
                <w:p w14:paraId="1607308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1.95</w:t>
                  </w:r>
                </w:p>
              </w:tc>
              <w:tc>
                <w:tcPr>
                  <w:tcW w:w="886" w:type="pct"/>
                  <w:tcBorders>
                    <w:tl2br w:val="nil"/>
                    <w:tr2bl w:val="nil"/>
                  </w:tcBorders>
                  <w:shd w:val="clear" w:color="auto" w:fill="auto"/>
                  <w:noWrap/>
                  <w:vAlign w:val="center"/>
                </w:tcPr>
                <w:p w14:paraId="6E6D9B5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1.95</w:t>
                  </w:r>
                </w:p>
              </w:tc>
              <w:tc>
                <w:tcPr>
                  <w:tcW w:w="886" w:type="pct"/>
                  <w:tcBorders>
                    <w:tl2br w:val="nil"/>
                    <w:tr2bl w:val="nil"/>
                  </w:tcBorders>
                  <w:shd w:val="clear" w:color="auto" w:fill="auto"/>
                  <w:noWrap/>
                  <w:vAlign w:val="center"/>
                </w:tcPr>
                <w:p w14:paraId="366485C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r w14:paraId="6E14841B">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7" w:type="pct"/>
                  <w:tcBorders>
                    <w:tl2br w:val="nil"/>
                    <w:tr2bl w:val="nil"/>
                  </w:tcBorders>
                  <w:shd w:val="clear" w:color="auto" w:fill="auto"/>
                  <w:noWrap w:val="0"/>
                  <w:vAlign w:val="center"/>
                </w:tcPr>
                <w:p w14:paraId="56FE119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14</w:t>
                  </w:r>
                </w:p>
              </w:tc>
              <w:tc>
                <w:tcPr>
                  <w:tcW w:w="1343" w:type="pct"/>
                  <w:tcBorders>
                    <w:tl2br w:val="nil"/>
                    <w:tr2bl w:val="nil"/>
                  </w:tcBorders>
                  <w:shd w:val="clear" w:color="auto" w:fill="auto"/>
                  <w:noWrap w:val="0"/>
                  <w:vAlign w:val="center"/>
                </w:tcPr>
                <w:p w14:paraId="21D216C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乐泰胶</w:t>
                  </w:r>
                </w:p>
              </w:tc>
              <w:tc>
                <w:tcPr>
                  <w:tcW w:w="596" w:type="pct"/>
                  <w:tcBorders>
                    <w:tl2br w:val="nil"/>
                    <w:tr2bl w:val="nil"/>
                  </w:tcBorders>
                  <w:shd w:val="clear" w:color="auto" w:fill="auto"/>
                  <w:noWrap w:val="0"/>
                  <w:vAlign w:val="center"/>
                </w:tcPr>
                <w:p w14:paraId="22D4487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支/a</w:t>
                  </w:r>
                </w:p>
              </w:tc>
              <w:tc>
                <w:tcPr>
                  <w:tcW w:w="1019" w:type="pct"/>
                  <w:tcBorders>
                    <w:tl2br w:val="nil"/>
                    <w:tr2bl w:val="nil"/>
                  </w:tcBorders>
                  <w:shd w:val="clear" w:color="auto" w:fill="auto"/>
                  <w:noWrap/>
                  <w:vAlign w:val="center"/>
                </w:tcPr>
                <w:p w14:paraId="69D13B8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494</w:t>
                  </w:r>
                </w:p>
              </w:tc>
              <w:tc>
                <w:tcPr>
                  <w:tcW w:w="886" w:type="pct"/>
                  <w:tcBorders>
                    <w:tl2br w:val="nil"/>
                    <w:tr2bl w:val="nil"/>
                  </w:tcBorders>
                  <w:shd w:val="clear" w:color="auto" w:fill="auto"/>
                  <w:noWrap/>
                  <w:vAlign w:val="center"/>
                </w:tcPr>
                <w:p w14:paraId="7C06B15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494</w:t>
                  </w:r>
                </w:p>
              </w:tc>
              <w:tc>
                <w:tcPr>
                  <w:tcW w:w="886" w:type="pct"/>
                  <w:tcBorders>
                    <w:tl2br w:val="nil"/>
                    <w:tr2bl w:val="nil"/>
                  </w:tcBorders>
                  <w:shd w:val="clear" w:color="auto" w:fill="auto"/>
                  <w:noWrap/>
                  <w:vAlign w:val="center"/>
                </w:tcPr>
                <w:p w14:paraId="1EE66E4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w:t>
                  </w:r>
                </w:p>
              </w:tc>
            </w:tr>
          </w:tbl>
          <w:p w14:paraId="03CCAF60">
            <w:pPr>
              <w:spacing w:line="360" w:lineRule="auto"/>
              <w:ind w:firstLine="480" w:firstLineChars="200"/>
              <w:rPr>
                <w:rFonts w:hint="default" w:ascii="Times New Roman" w:hAnsi="Times New Roman" w:eastAsia="宋体" w:cs="Times New Roman"/>
                <w:color w:val="auto"/>
                <w:kern w:val="0"/>
                <w:sz w:val="24"/>
                <w:szCs w:val="20"/>
                <w:lang w:val="en-US" w:eastAsia="zh-CN"/>
              </w:rPr>
            </w:pPr>
            <w:r>
              <w:rPr>
                <w:rFonts w:hint="default" w:ascii="Times New Roman" w:hAnsi="Times New Roman" w:eastAsia="宋体" w:cs="Times New Roman"/>
                <w:color w:val="auto"/>
                <w:kern w:val="0"/>
                <w:sz w:val="24"/>
                <w:szCs w:val="20"/>
                <w:lang w:eastAsia="zh-CN"/>
              </w:rPr>
              <w:t>（</w:t>
            </w:r>
            <w:r>
              <w:rPr>
                <w:rFonts w:hint="default" w:ascii="Times New Roman" w:hAnsi="Times New Roman" w:eastAsia="宋体" w:cs="Times New Roman"/>
                <w:color w:val="auto"/>
                <w:kern w:val="0"/>
                <w:sz w:val="24"/>
                <w:szCs w:val="20"/>
                <w:lang w:val="en-US" w:eastAsia="zh-CN"/>
              </w:rPr>
              <w:t>6）主要原辅料性质</w:t>
            </w:r>
          </w:p>
          <w:p w14:paraId="7DAB3186">
            <w:pPr>
              <w:spacing w:line="360" w:lineRule="auto"/>
              <w:ind w:firstLine="480" w:firstLineChars="200"/>
              <w:rPr>
                <w:rFonts w:hint="default" w:ascii="Times New Roman" w:hAnsi="Times New Roman" w:eastAsia="宋体" w:cs="Times New Roman"/>
                <w:color w:val="auto"/>
                <w:kern w:val="0"/>
                <w:sz w:val="24"/>
                <w:szCs w:val="20"/>
                <w:lang w:val="en-US" w:eastAsia="zh-CN"/>
              </w:rPr>
            </w:pPr>
            <w:r>
              <w:rPr>
                <w:rFonts w:hint="default" w:ascii="Times New Roman" w:hAnsi="Times New Roman" w:eastAsia="宋体" w:cs="Times New Roman"/>
                <w:color w:val="auto"/>
                <w:kern w:val="0"/>
                <w:sz w:val="24"/>
                <w:szCs w:val="20"/>
                <w:lang w:val="en-US" w:eastAsia="zh-CN"/>
              </w:rPr>
              <w:t>根据《化学品安全技术说明书 (MSDS)》及西安国联质量检测技术股份有限公司对本项目底漆、面漆的检测结果（详见附件6），本项目主要原辅料成分及理化性质见表2-4。根据检测数据与《低挥发性有机化合物含量涂料产品技术要求》（GB/T 38597-2020）表3中机械设备涂料比对结果，本项目使用的原料均属于低挥发性有机化合物含量涂料产品。</w:t>
            </w:r>
          </w:p>
          <w:p w14:paraId="4D7952F5">
            <w:pPr>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表2-4 主要原辅料成分及理化性质一览表</w:t>
            </w:r>
          </w:p>
          <w:tbl>
            <w:tblPr>
              <w:tblStyle w:val="2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355"/>
              <w:gridCol w:w="1732"/>
              <w:gridCol w:w="1146"/>
              <w:gridCol w:w="1274"/>
              <w:gridCol w:w="1115"/>
              <w:gridCol w:w="1196"/>
            </w:tblGrid>
            <w:tr w14:paraId="345BD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noWrap w:val="0"/>
                  <w:vAlign w:val="center"/>
                </w:tcPr>
                <w:p w14:paraId="5AACE99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序号</w:t>
                  </w:r>
                </w:p>
              </w:tc>
              <w:tc>
                <w:tcPr>
                  <w:tcW w:w="1355" w:type="dxa"/>
                  <w:noWrap w:val="0"/>
                  <w:vAlign w:val="center"/>
                </w:tcPr>
                <w:p w14:paraId="3FED59E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主要原辅材料名称</w:t>
                  </w:r>
                </w:p>
              </w:tc>
              <w:tc>
                <w:tcPr>
                  <w:tcW w:w="1732" w:type="dxa"/>
                  <w:noWrap w:val="0"/>
                  <w:vAlign w:val="center"/>
                </w:tcPr>
                <w:p w14:paraId="56FCACC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主要组分名称</w:t>
                  </w:r>
                </w:p>
              </w:tc>
              <w:tc>
                <w:tcPr>
                  <w:tcW w:w="1146" w:type="dxa"/>
                  <w:noWrap w:val="0"/>
                  <w:vAlign w:val="center"/>
                </w:tcPr>
                <w:p w14:paraId="5B79EDF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占比（%）</w:t>
                  </w:r>
                </w:p>
              </w:tc>
              <w:tc>
                <w:tcPr>
                  <w:tcW w:w="1274" w:type="dxa"/>
                  <w:noWrap w:val="0"/>
                  <w:vAlign w:val="center"/>
                </w:tcPr>
                <w:p w14:paraId="44C04B7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VOC含量（主剂扣水）（g/L）</w:t>
                  </w:r>
                </w:p>
              </w:tc>
              <w:tc>
                <w:tcPr>
                  <w:tcW w:w="1115" w:type="dxa"/>
                  <w:noWrap w:val="0"/>
                  <w:vAlign w:val="center"/>
                </w:tcPr>
                <w:p w14:paraId="6468396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GB/T 38597-2020限值（g/L）</w:t>
                  </w:r>
                </w:p>
              </w:tc>
              <w:tc>
                <w:tcPr>
                  <w:tcW w:w="1196" w:type="dxa"/>
                  <w:noWrap w:val="0"/>
                  <w:vAlign w:val="center"/>
                </w:tcPr>
                <w:p w14:paraId="39ADFA6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是否属于低VOC含量涂料</w:t>
                  </w:r>
                </w:p>
              </w:tc>
            </w:tr>
            <w:tr w14:paraId="554EA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restart"/>
                  <w:noWrap w:val="0"/>
                  <w:vAlign w:val="center"/>
                </w:tcPr>
                <w:p w14:paraId="2131BE8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1355" w:type="dxa"/>
                  <w:vMerge w:val="restart"/>
                  <w:noWrap w:val="0"/>
                  <w:vAlign w:val="center"/>
                </w:tcPr>
                <w:p w14:paraId="47E819B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底漆</w:t>
                  </w:r>
                </w:p>
              </w:tc>
              <w:tc>
                <w:tcPr>
                  <w:tcW w:w="1732" w:type="dxa"/>
                  <w:noWrap w:val="0"/>
                  <w:vAlign w:val="center"/>
                </w:tcPr>
                <w:p w14:paraId="3FC3BA9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二甲苯</w:t>
                  </w:r>
                </w:p>
              </w:tc>
              <w:tc>
                <w:tcPr>
                  <w:tcW w:w="1146" w:type="dxa"/>
                  <w:noWrap w:val="0"/>
                  <w:vAlign w:val="center"/>
                </w:tcPr>
                <w:p w14:paraId="75492B0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10~16</w:t>
                  </w:r>
                </w:p>
              </w:tc>
              <w:tc>
                <w:tcPr>
                  <w:tcW w:w="1274" w:type="dxa"/>
                  <w:vMerge w:val="restart"/>
                  <w:noWrap w:val="0"/>
                  <w:vAlign w:val="center"/>
                </w:tcPr>
                <w:p w14:paraId="551409D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按产品明示的施工配比混合后=399</w:t>
                  </w:r>
                </w:p>
              </w:tc>
              <w:tc>
                <w:tcPr>
                  <w:tcW w:w="1115" w:type="dxa"/>
                  <w:vMerge w:val="restart"/>
                  <w:noWrap w:val="0"/>
                  <w:vAlign w:val="center"/>
                </w:tcPr>
                <w:p w14:paraId="2CE071D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按产品明示的施工配比混合后≦450</w:t>
                  </w:r>
                </w:p>
              </w:tc>
              <w:tc>
                <w:tcPr>
                  <w:tcW w:w="1196" w:type="dxa"/>
                  <w:vMerge w:val="restart"/>
                  <w:noWrap w:val="0"/>
                  <w:vAlign w:val="center"/>
                </w:tcPr>
                <w:p w14:paraId="5D20AAB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r>
            <w:tr w14:paraId="02544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6C8507E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029F0AA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2DF8875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双酚A二缩水甘油醚</w:t>
                  </w:r>
                </w:p>
              </w:tc>
              <w:tc>
                <w:tcPr>
                  <w:tcW w:w="1146" w:type="dxa"/>
                  <w:noWrap w:val="0"/>
                  <w:vAlign w:val="center"/>
                </w:tcPr>
                <w:p w14:paraId="53CB795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1824B55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5AC938A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6EBAA0C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60B5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0FBFD69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2430C5D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478E9B4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甲基苯乙烯化苯酚</w:t>
                  </w:r>
                </w:p>
              </w:tc>
              <w:tc>
                <w:tcPr>
                  <w:tcW w:w="1146" w:type="dxa"/>
                  <w:noWrap w:val="0"/>
                  <w:vAlign w:val="center"/>
                </w:tcPr>
                <w:p w14:paraId="2D4FE5C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41671E8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1372798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275E4ED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64A8B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571A54F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743322A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1A26B74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缩水甘油封端双酚A环氧氯丙烷共聚物</w:t>
                  </w:r>
                </w:p>
              </w:tc>
              <w:tc>
                <w:tcPr>
                  <w:tcW w:w="1146" w:type="dxa"/>
                  <w:noWrap w:val="0"/>
                  <w:vAlign w:val="center"/>
                </w:tcPr>
                <w:p w14:paraId="42C7316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10~25</w:t>
                  </w:r>
                </w:p>
              </w:tc>
              <w:tc>
                <w:tcPr>
                  <w:tcW w:w="1274" w:type="dxa"/>
                  <w:vMerge w:val="continue"/>
                  <w:noWrap w:val="0"/>
                  <w:vAlign w:val="center"/>
                </w:tcPr>
                <w:p w14:paraId="291B7EF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4205CEF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7A3A373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5FCFE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408F982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1103352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5A4A6B8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乙苯</w:t>
                  </w:r>
                </w:p>
              </w:tc>
              <w:tc>
                <w:tcPr>
                  <w:tcW w:w="1146" w:type="dxa"/>
                  <w:noWrap w:val="0"/>
                  <w:vAlign w:val="center"/>
                </w:tcPr>
                <w:p w14:paraId="4A7BACF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74" w:type="dxa"/>
                  <w:vMerge w:val="continue"/>
                  <w:noWrap w:val="0"/>
                  <w:vAlign w:val="center"/>
                </w:tcPr>
                <w:p w14:paraId="36B1F4B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2F2F581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5A406E2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0F8F8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66CF29B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4D53C20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7E91E7E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异丁醇</w:t>
                  </w:r>
                </w:p>
              </w:tc>
              <w:tc>
                <w:tcPr>
                  <w:tcW w:w="1146" w:type="dxa"/>
                  <w:noWrap w:val="0"/>
                  <w:vAlign w:val="center"/>
                </w:tcPr>
                <w:p w14:paraId="7DA3977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74" w:type="dxa"/>
                  <w:vMerge w:val="continue"/>
                  <w:noWrap w:val="0"/>
                  <w:vAlign w:val="center"/>
                </w:tcPr>
                <w:p w14:paraId="7632FC3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2F036B4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72D4E1B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0ED50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2" w:type="dxa"/>
                  <w:vMerge w:val="continue"/>
                  <w:noWrap w:val="0"/>
                  <w:vAlign w:val="center"/>
                </w:tcPr>
                <w:p w14:paraId="6684F8F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114189A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16BA74B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丙二醇单甲醚</w:t>
                  </w:r>
                </w:p>
              </w:tc>
              <w:tc>
                <w:tcPr>
                  <w:tcW w:w="1146" w:type="dxa"/>
                  <w:noWrap w:val="0"/>
                  <w:vAlign w:val="center"/>
                </w:tcPr>
                <w:p w14:paraId="1DB0FB7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74" w:type="dxa"/>
                  <w:vMerge w:val="continue"/>
                  <w:noWrap w:val="0"/>
                  <w:vAlign w:val="center"/>
                </w:tcPr>
                <w:p w14:paraId="7E73A46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5B3246F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1594D95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65B12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3A50080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39FA1B3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3B522EB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乙醇</w:t>
                  </w:r>
                </w:p>
              </w:tc>
              <w:tc>
                <w:tcPr>
                  <w:tcW w:w="1146" w:type="dxa"/>
                  <w:noWrap w:val="0"/>
                  <w:vAlign w:val="center"/>
                </w:tcPr>
                <w:p w14:paraId="763D3D9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1274" w:type="dxa"/>
                  <w:vMerge w:val="continue"/>
                  <w:noWrap w:val="0"/>
                  <w:vAlign w:val="center"/>
                </w:tcPr>
                <w:p w14:paraId="25D0696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081EE86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6F4CC77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4E1B3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restart"/>
                  <w:noWrap w:val="0"/>
                  <w:vAlign w:val="center"/>
                </w:tcPr>
                <w:p w14:paraId="2C5880B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1355" w:type="dxa"/>
                  <w:vMerge w:val="restart"/>
                  <w:noWrap w:val="0"/>
                  <w:vAlign w:val="center"/>
                </w:tcPr>
                <w:p w14:paraId="370970C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kern w:val="2"/>
                      <w:sz w:val="21"/>
                      <w:szCs w:val="21"/>
                      <w:lang w:val="en-US" w:eastAsia="zh-CN" w:bidi="ar-SA"/>
                    </w:rPr>
                    <w:t>面漆</w:t>
                  </w:r>
                </w:p>
              </w:tc>
              <w:tc>
                <w:tcPr>
                  <w:tcW w:w="1732" w:type="dxa"/>
                  <w:noWrap w:val="0"/>
                  <w:vAlign w:val="center"/>
                </w:tcPr>
                <w:p w14:paraId="3DEF0AE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聚六亚甲基二异氰酸酯</w:t>
                  </w:r>
                </w:p>
              </w:tc>
              <w:tc>
                <w:tcPr>
                  <w:tcW w:w="1146" w:type="dxa"/>
                  <w:noWrap w:val="0"/>
                  <w:vAlign w:val="center"/>
                </w:tcPr>
                <w:p w14:paraId="68A4E72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75~90</w:t>
                  </w:r>
                </w:p>
              </w:tc>
              <w:tc>
                <w:tcPr>
                  <w:tcW w:w="1274" w:type="dxa"/>
                  <w:vMerge w:val="restart"/>
                  <w:noWrap w:val="0"/>
                  <w:vAlign w:val="center"/>
                </w:tcPr>
                <w:p w14:paraId="4D75BA0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按产品明示的施工配比混合后=415</w:t>
                  </w:r>
                </w:p>
              </w:tc>
              <w:tc>
                <w:tcPr>
                  <w:tcW w:w="1115" w:type="dxa"/>
                  <w:vMerge w:val="restart"/>
                  <w:noWrap w:val="0"/>
                  <w:vAlign w:val="center"/>
                </w:tcPr>
                <w:p w14:paraId="2A62C95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按产品明示的施工配比混合后≦420</w:t>
                  </w:r>
                </w:p>
              </w:tc>
              <w:tc>
                <w:tcPr>
                  <w:tcW w:w="1196" w:type="dxa"/>
                  <w:vMerge w:val="restart"/>
                  <w:noWrap w:val="0"/>
                  <w:vAlign w:val="center"/>
                </w:tcPr>
                <w:p w14:paraId="1E5AE28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r>
            <w:tr w14:paraId="5B911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7F668E2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6034FAF0">
                  <w:pPr>
                    <w:spacing w:line="240" w:lineRule="auto"/>
                    <w:jc w:val="center"/>
                    <w:rPr>
                      <w:rFonts w:hint="default" w:ascii="Times New Roman" w:hAnsi="Times New Roman" w:eastAsia="宋体" w:cs="Times New Roman"/>
                      <w:color w:val="auto"/>
                      <w:kern w:val="2"/>
                      <w:sz w:val="21"/>
                      <w:szCs w:val="21"/>
                      <w:lang w:val="en-US" w:eastAsia="zh-CN" w:bidi="ar-SA"/>
                    </w:rPr>
                  </w:pPr>
                </w:p>
              </w:tc>
              <w:tc>
                <w:tcPr>
                  <w:tcW w:w="1732" w:type="dxa"/>
                  <w:noWrap w:val="0"/>
                  <w:vAlign w:val="center"/>
                </w:tcPr>
                <w:p w14:paraId="5010259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丙二醇甲醚醋酸酯</w:t>
                  </w:r>
                </w:p>
              </w:tc>
              <w:tc>
                <w:tcPr>
                  <w:tcW w:w="1146" w:type="dxa"/>
                  <w:noWrap w:val="0"/>
                  <w:vAlign w:val="center"/>
                </w:tcPr>
                <w:p w14:paraId="1054983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4D9C586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00346A4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483890F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0F4B2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5112880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3D6D9C3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365CCAD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轻芳烃溶剂油</w:t>
                  </w:r>
                </w:p>
              </w:tc>
              <w:tc>
                <w:tcPr>
                  <w:tcW w:w="1146" w:type="dxa"/>
                  <w:noWrap w:val="0"/>
                  <w:vAlign w:val="center"/>
                </w:tcPr>
                <w:p w14:paraId="77B5542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w:t>
                  </w:r>
                </w:p>
              </w:tc>
              <w:tc>
                <w:tcPr>
                  <w:tcW w:w="1274" w:type="dxa"/>
                  <w:vMerge w:val="continue"/>
                  <w:noWrap w:val="0"/>
                  <w:vAlign w:val="center"/>
                </w:tcPr>
                <w:p w14:paraId="56E0021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488593D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09C779D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309C9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11410A3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54D3C5E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002AD22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乙酸正丁酯</w:t>
                  </w:r>
                </w:p>
              </w:tc>
              <w:tc>
                <w:tcPr>
                  <w:tcW w:w="1146" w:type="dxa"/>
                  <w:noWrap w:val="0"/>
                  <w:vAlign w:val="center"/>
                </w:tcPr>
                <w:p w14:paraId="7011836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w:t>
                  </w:r>
                </w:p>
              </w:tc>
              <w:tc>
                <w:tcPr>
                  <w:tcW w:w="1274" w:type="dxa"/>
                  <w:vMerge w:val="continue"/>
                  <w:noWrap w:val="0"/>
                  <w:vAlign w:val="center"/>
                </w:tcPr>
                <w:p w14:paraId="073CB04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4A224B0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2F846B0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41CF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244CF3F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037BD12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0F16632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二甲苯</w:t>
                  </w:r>
                </w:p>
              </w:tc>
              <w:tc>
                <w:tcPr>
                  <w:tcW w:w="1146" w:type="dxa"/>
                  <w:noWrap w:val="0"/>
                  <w:vAlign w:val="center"/>
                </w:tcPr>
                <w:p w14:paraId="5F35CC4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w:t>
                  </w:r>
                </w:p>
              </w:tc>
              <w:tc>
                <w:tcPr>
                  <w:tcW w:w="1274" w:type="dxa"/>
                  <w:vMerge w:val="continue"/>
                  <w:noWrap w:val="0"/>
                  <w:vAlign w:val="center"/>
                </w:tcPr>
                <w:p w14:paraId="574A831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6E28A4A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45EBA57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0BA49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2A661C3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1C650ED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339C2F4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对甲基苯磺酰异氰酸酯</w:t>
                  </w:r>
                </w:p>
              </w:tc>
              <w:tc>
                <w:tcPr>
                  <w:tcW w:w="1146" w:type="dxa"/>
                  <w:noWrap w:val="0"/>
                  <w:vAlign w:val="center"/>
                </w:tcPr>
                <w:p w14:paraId="32BEDE0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w:t>
                  </w:r>
                </w:p>
              </w:tc>
              <w:tc>
                <w:tcPr>
                  <w:tcW w:w="1274" w:type="dxa"/>
                  <w:vMerge w:val="continue"/>
                  <w:noWrap w:val="0"/>
                  <w:vAlign w:val="center"/>
                </w:tcPr>
                <w:p w14:paraId="33549F2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0D1C10B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7AFBFF2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568A9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restart"/>
                  <w:noWrap w:val="0"/>
                  <w:vAlign w:val="center"/>
                </w:tcPr>
                <w:p w14:paraId="00C5C1B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355" w:type="dxa"/>
                  <w:vMerge w:val="restart"/>
                  <w:noWrap w:val="0"/>
                  <w:vAlign w:val="center"/>
                </w:tcPr>
                <w:p w14:paraId="0CAB72C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底漆固化剂</w:t>
                  </w:r>
                </w:p>
              </w:tc>
              <w:tc>
                <w:tcPr>
                  <w:tcW w:w="1732" w:type="dxa"/>
                  <w:noWrap w:val="0"/>
                  <w:vAlign w:val="center"/>
                </w:tcPr>
                <w:p w14:paraId="75F90C5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二甲苯</w:t>
                  </w:r>
                </w:p>
              </w:tc>
              <w:tc>
                <w:tcPr>
                  <w:tcW w:w="1146" w:type="dxa"/>
                  <w:noWrap w:val="0"/>
                  <w:vAlign w:val="center"/>
                </w:tcPr>
                <w:p w14:paraId="66AE3E6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25~50</w:t>
                  </w:r>
                </w:p>
              </w:tc>
              <w:tc>
                <w:tcPr>
                  <w:tcW w:w="1274" w:type="dxa"/>
                  <w:vMerge w:val="restart"/>
                  <w:noWrap w:val="0"/>
                  <w:vAlign w:val="center"/>
                </w:tcPr>
                <w:p w14:paraId="64C589C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无检测数据</w:t>
                  </w:r>
                </w:p>
              </w:tc>
              <w:tc>
                <w:tcPr>
                  <w:tcW w:w="1115" w:type="dxa"/>
                  <w:vMerge w:val="restart"/>
                  <w:noWrap w:val="0"/>
                  <w:vAlign w:val="center"/>
                </w:tcPr>
                <w:p w14:paraId="27570C2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w:t>
                  </w:r>
                </w:p>
              </w:tc>
              <w:tc>
                <w:tcPr>
                  <w:tcW w:w="1196" w:type="dxa"/>
                  <w:vMerge w:val="restart"/>
                  <w:noWrap w:val="0"/>
                  <w:vAlign w:val="center"/>
                </w:tcPr>
                <w:p w14:paraId="355B83F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r>
            <w:tr w14:paraId="65862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69848B7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4F6B81D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0019EC9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乙苯</w:t>
                  </w:r>
                </w:p>
              </w:tc>
              <w:tc>
                <w:tcPr>
                  <w:tcW w:w="1146" w:type="dxa"/>
                  <w:noWrap w:val="0"/>
                  <w:vAlign w:val="center"/>
                </w:tcPr>
                <w:p w14:paraId="3CED1A6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213B55F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6597FBF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74B1DA3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65A5B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661B18D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6F85B85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3F5EE74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2,4,6-三(二甲氨基甲基)苯酚</w:t>
                  </w:r>
                </w:p>
              </w:tc>
              <w:tc>
                <w:tcPr>
                  <w:tcW w:w="1146" w:type="dxa"/>
                  <w:noWrap w:val="0"/>
                  <w:vAlign w:val="center"/>
                </w:tcPr>
                <w:p w14:paraId="5EEEFD3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1F36875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6F3B8EE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2CF66E4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3FC0B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4B444D7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477F0AD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2FE216C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异丁醇</w:t>
                  </w:r>
                </w:p>
              </w:tc>
              <w:tc>
                <w:tcPr>
                  <w:tcW w:w="1146" w:type="dxa"/>
                  <w:noWrap w:val="0"/>
                  <w:vAlign w:val="center"/>
                </w:tcPr>
                <w:p w14:paraId="2B4C676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2C05A69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720BB59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7CC4F9F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007F5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0542094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604AF99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2C9DDAE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有机胺，多聚乙烯，三亚乙基四胺混合物</w:t>
                  </w:r>
                </w:p>
              </w:tc>
              <w:tc>
                <w:tcPr>
                  <w:tcW w:w="1146" w:type="dxa"/>
                  <w:noWrap w:val="0"/>
                  <w:vAlign w:val="center"/>
                </w:tcPr>
                <w:p w14:paraId="2D7D0D7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74" w:type="dxa"/>
                  <w:vMerge w:val="continue"/>
                  <w:noWrap w:val="0"/>
                  <w:vAlign w:val="center"/>
                </w:tcPr>
                <w:p w14:paraId="6023999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1AEA48D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1C20951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064AE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59AA175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3618919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6B4D0F0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甲基苯乙烯化苯酚</w:t>
                  </w:r>
                </w:p>
              </w:tc>
              <w:tc>
                <w:tcPr>
                  <w:tcW w:w="1146" w:type="dxa"/>
                  <w:noWrap w:val="0"/>
                  <w:vAlign w:val="center"/>
                </w:tcPr>
                <w:p w14:paraId="7D02250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74" w:type="dxa"/>
                  <w:vMerge w:val="continue"/>
                  <w:noWrap w:val="0"/>
                  <w:vAlign w:val="center"/>
                </w:tcPr>
                <w:p w14:paraId="0600B24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0B9C26B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767E0B6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533D3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227AF68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1A06356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3E7DACE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丙二醇单甲醚</w:t>
                  </w:r>
                </w:p>
              </w:tc>
              <w:tc>
                <w:tcPr>
                  <w:tcW w:w="1146" w:type="dxa"/>
                  <w:noWrap w:val="0"/>
                  <w:vAlign w:val="center"/>
                </w:tcPr>
                <w:p w14:paraId="25CD3B4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74" w:type="dxa"/>
                  <w:vMerge w:val="continue"/>
                  <w:noWrap w:val="0"/>
                  <w:vAlign w:val="center"/>
                </w:tcPr>
                <w:p w14:paraId="2CB2AAE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3749B3C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0F696FC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73D49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restart"/>
                  <w:noWrap w:val="0"/>
                  <w:vAlign w:val="center"/>
                </w:tcPr>
                <w:p w14:paraId="332F399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1355" w:type="dxa"/>
                  <w:vMerge w:val="restart"/>
                  <w:noWrap w:val="0"/>
                  <w:vAlign w:val="center"/>
                </w:tcPr>
                <w:p w14:paraId="58515B1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面漆固化剂</w:t>
                  </w:r>
                </w:p>
              </w:tc>
              <w:tc>
                <w:tcPr>
                  <w:tcW w:w="1732" w:type="dxa"/>
                  <w:noWrap w:val="0"/>
                  <w:vAlign w:val="center"/>
                </w:tcPr>
                <w:p w14:paraId="2D2D00F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聚六亚甲基二异氰酸酯</w:t>
                  </w:r>
                </w:p>
              </w:tc>
              <w:tc>
                <w:tcPr>
                  <w:tcW w:w="1146" w:type="dxa"/>
                  <w:noWrap w:val="0"/>
                  <w:vAlign w:val="center"/>
                </w:tcPr>
                <w:p w14:paraId="2BD87CE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75~90</w:t>
                  </w:r>
                </w:p>
              </w:tc>
              <w:tc>
                <w:tcPr>
                  <w:tcW w:w="1274" w:type="dxa"/>
                  <w:vMerge w:val="restart"/>
                  <w:noWrap w:val="0"/>
                  <w:vAlign w:val="center"/>
                </w:tcPr>
                <w:p w14:paraId="6AB74A2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无检测数据</w:t>
                  </w:r>
                </w:p>
              </w:tc>
              <w:tc>
                <w:tcPr>
                  <w:tcW w:w="1115" w:type="dxa"/>
                  <w:vMerge w:val="continue"/>
                  <w:noWrap w:val="0"/>
                  <w:vAlign w:val="center"/>
                </w:tcPr>
                <w:p w14:paraId="1CF0A81F">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1196" w:type="dxa"/>
                  <w:vMerge w:val="restart"/>
                  <w:noWrap w:val="0"/>
                  <w:vAlign w:val="center"/>
                </w:tcPr>
                <w:p w14:paraId="2E61EFB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是</w:t>
                  </w:r>
                </w:p>
              </w:tc>
            </w:tr>
            <w:tr w14:paraId="79CAD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59DDF59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5D5F143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2915C81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丙二醇甲醚醋酸酯</w:t>
                  </w:r>
                </w:p>
              </w:tc>
              <w:tc>
                <w:tcPr>
                  <w:tcW w:w="1146" w:type="dxa"/>
                  <w:noWrap w:val="0"/>
                  <w:vAlign w:val="center"/>
                </w:tcPr>
                <w:p w14:paraId="05E9F7E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642C62F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2BE94B3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66F52BC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7B491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2" w:type="dxa"/>
                  <w:vMerge w:val="continue"/>
                  <w:noWrap w:val="0"/>
                  <w:vAlign w:val="center"/>
                </w:tcPr>
                <w:p w14:paraId="2F6944F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57B49C0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7F82910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轻芳烃溶剂油</w:t>
                  </w:r>
                </w:p>
              </w:tc>
              <w:tc>
                <w:tcPr>
                  <w:tcW w:w="1146" w:type="dxa"/>
                  <w:noWrap w:val="0"/>
                  <w:vAlign w:val="center"/>
                </w:tcPr>
                <w:p w14:paraId="6A0E2BD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w:t>
                  </w:r>
                </w:p>
              </w:tc>
              <w:tc>
                <w:tcPr>
                  <w:tcW w:w="1274" w:type="dxa"/>
                  <w:vMerge w:val="continue"/>
                  <w:noWrap w:val="0"/>
                  <w:vAlign w:val="center"/>
                </w:tcPr>
                <w:p w14:paraId="106F945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3DFCAD1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1395EF4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0CC85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095B189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428B37F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5F6682B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乙酸正丁酯</w:t>
                  </w:r>
                </w:p>
              </w:tc>
              <w:tc>
                <w:tcPr>
                  <w:tcW w:w="1146" w:type="dxa"/>
                  <w:noWrap w:val="0"/>
                  <w:vAlign w:val="center"/>
                </w:tcPr>
                <w:p w14:paraId="0B5E36C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≤4.5</w:t>
                  </w:r>
                </w:p>
              </w:tc>
              <w:tc>
                <w:tcPr>
                  <w:tcW w:w="1274" w:type="dxa"/>
                  <w:vMerge w:val="continue"/>
                  <w:noWrap w:val="0"/>
                  <w:vAlign w:val="center"/>
                </w:tcPr>
                <w:p w14:paraId="24E055B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2193FFF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3156AF5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1A14F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544D652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5F9BBFE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3BB32B4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二甲苯</w:t>
                  </w:r>
                </w:p>
              </w:tc>
              <w:tc>
                <w:tcPr>
                  <w:tcW w:w="1146" w:type="dxa"/>
                  <w:noWrap w:val="0"/>
                  <w:vAlign w:val="center"/>
                </w:tcPr>
                <w:p w14:paraId="03DC0391">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w:t>
                  </w:r>
                </w:p>
              </w:tc>
              <w:tc>
                <w:tcPr>
                  <w:tcW w:w="1274" w:type="dxa"/>
                  <w:vMerge w:val="continue"/>
                  <w:noWrap w:val="0"/>
                  <w:vAlign w:val="center"/>
                </w:tcPr>
                <w:p w14:paraId="65052E0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597E609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49A649B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65E9E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79FF7E4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18DB020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5BA1B34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对甲基苯磺酰异氰酸酯</w:t>
                  </w:r>
                </w:p>
              </w:tc>
              <w:tc>
                <w:tcPr>
                  <w:tcW w:w="1146" w:type="dxa"/>
                  <w:noWrap w:val="0"/>
                  <w:vAlign w:val="center"/>
                </w:tcPr>
                <w:p w14:paraId="284EC3E9">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≤0.3</w:t>
                  </w:r>
                </w:p>
              </w:tc>
              <w:tc>
                <w:tcPr>
                  <w:tcW w:w="1274" w:type="dxa"/>
                  <w:vMerge w:val="continue"/>
                  <w:noWrap w:val="0"/>
                  <w:vAlign w:val="center"/>
                </w:tcPr>
                <w:p w14:paraId="194CCBF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52DE88C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138ED496">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0A13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restart"/>
                  <w:noWrap w:val="0"/>
                  <w:vAlign w:val="center"/>
                </w:tcPr>
                <w:p w14:paraId="3737543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w:t>
                  </w:r>
                </w:p>
              </w:tc>
              <w:tc>
                <w:tcPr>
                  <w:tcW w:w="1355" w:type="dxa"/>
                  <w:vMerge w:val="restart"/>
                  <w:noWrap w:val="0"/>
                  <w:vAlign w:val="center"/>
                </w:tcPr>
                <w:p w14:paraId="4157D09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底漆稀释剂</w:t>
                  </w:r>
                </w:p>
              </w:tc>
              <w:tc>
                <w:tcPr>
                  <w:tcW w:w="1732" w:type="dxa"/>
                  <w:noWrap w:val="0"/>
                  <w:vAlign w:val="center"/>
                </w:tcPr>
                <w:p w14:paraId="3C0DC43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溶剂油（石油）</w:t>
                  </w:r>
                </w:p>
              </w:tc>
              <w:tc>
                <w:tcPr>
                  <w:tcW w:w="1146" w:type="dxa"/>
                  <w:noWrap w:val="0"/>
                  <w:vAlign w:val="center"/>
                </w:tcPr>
                <w:p w14:paraId="23FB4A1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75~90</w:t>
                  </w:r>
                </w:p>
              </w:tc>
              <w:tc>
                <w:tcPr>
                  <w:tcW w:w="1274" w:type="dxa"/>
                  <w:vMerge w:val="restart"/>
                  <w:noWrap w:val="0"/>
                  <w:vAlign w:val="center"/>
                </w:tcPr>
                <w:p w14:paraId="3D9E27C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无检测数据</w:t>
                  </w:r>
                </w:p>
              </w:tc>
              <w:tc>
                <w:tcPr>
                  <w:tcW w:w="1115" w:type="dxa"/>
                  <w:vMerge w:val="continue"/>
                  <w:noWrap w:val="0"/>
                  <w:vAlign w:val="center"/>
                </w:tcPr>
                <w:p w14:paraId="4826EAA6">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1196" w:type="dxa"/>
                  <w:vMerge w:val="restart"/>
                  <w:noWrap w:val="0"/>
                  <w:vAlign w:val="center"/>
                </w:tcPr>
                <w:p w14:paraId="1055C13C">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是</w:t>
                  </w:r>
                </w:p>
              </w:tc>
            </w:tr>
            <w:tr w14:paraId="6305B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35A3F97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4940618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1CB9482E">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二甲苯</w:t>
                  </w:r>
                </w:p>
              </w:tc>
              <w:tc>
                <w:tcPr>
                  <w:tcW w:w="1146" w:type="dxa"/>
                  <w:noWrap w:val="0"/>
                  <w:vAlign w:val="center"/>
                </w:tcPr>
                <w:p w14:paraId="425E3B5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25~50</w:t>
                  </w:r>
                </w:p>
              </w:tc>
              <w:tc>
                <w:tcPr>
                  <w:tcW w:w="1274" w:type="dxa"/>
                  <w:vMerge w:val="continue"/>
                  <w:noWrap w:val="0"/>
                  <w:vAlign w:val="center"/>
                </w:tcPr>
                <w:p w14:paraId="00A2B2C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6F93753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28A6127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5EADF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4AB3A7E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244CB86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3FD7946F">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异丁醇</w:t>
                  </w:r>
                </w:p>
              </w:tc>
              <w:tc>
                <w:tcPr>
                  <w:tcW w:w="1146" w:type="dxa"/>
                  <w:noWrap w:val="0"/>
                  <w:vAlign w:val="center"/>
                </w:tcPr>
                <w:p w14:paraId="5F7D7C7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1BF9F1F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5200124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0819894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266C0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707E60F8">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5BA4A5C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7AC29D10">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乙苯</w:t>
                  </w:r>
                </w:p>
              </w:tc>
              <w:tc>
                <w:tcPr>
                  <w:tcW w:w="1146" w:type="dxa"/>
                  <w:noWrap w:val="0"/>
                  <w:vAlign w:val="center"/>
                </w:tcPr>
                <w:p w14:paraId="1866EEE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w:t>
                  </w:r>
                </w:p>
              </w:tc>
              <w:tc>
                <w:tcPr>
                  <w:tcW w:w="1274" w:type="dxa"/>
                  <w:vMerge w:val="continue"/>
                  <w:noWrap w:val="0"/>
                  <w:vAlign w:val="center"/>
                </w:tcPr>
                <w:p w14:paraId="071D2B4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12E70C6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7187C1D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78BA7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69C5DCA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281CEEF3">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4ACD019F">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丙二醇单甲醚</w:t>
                  </w:r>
                </w:p>
              </w:tc>
              <w:tc>
                <w:tcPr>
                  <w:tcW w:w="1146" w:type="dxa"/>
                  <w:noWrap w:val="0"/>
                  <w:vAlign w:val="center"/>
                </w:tcPr>
                <w:p w14:paraId="6DF10A70">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1274" w:type="dxa"/>
                  <w:vMerge w:val="continue"/>
                  <w:noWrap w:val="0"/>
                  <w:vAlign w:val="center"/>
                </w:tcPr>
                <w:p w14:paraId="54AF7E0E">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0BDF088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3809674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14:paraId="70386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restart"/>
                  <w:noWrap w:val="0"/>
                  <w:vAlign w:val="center"/>
                </w:tcPr>
                <w:p w14:paraId="4E9246ED">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w:t>
                  </w:r>
                </w:p>
              </w:tc>
              <w:tc>
                <w:tcPr>
                  <w:tcW w:w="1355" w:type="dxa"/>
                  <w:vMerge w:val="restart"/>
                  <w:noWrap w:val="0"/>
                  <w:vAlign w:val="center"/>
                </w:tcPr>
                <w:p w14:paraId="38358504">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面漆稀释剂</w:t>
                  </w:r>
                </w:p>
              </w:tc>
              <w:tc>
                <w:tcPr>
                  <w:tcW w:w="1732" w:type="dxa"/>
                  <w:noWrap w:val="0"/>
                  <w:vAlign w:val="center"/>
                </w:tcPr>
                <w:p w14:paraId="7F16FDD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溶剂油（石油）</w:t>
                  </w:r>
                </w:p>
              </w:tc>
              <w:tc>
                <w:tcPr>
                  <w:tcW w:w="1146" w:type="dxa"/>
                  <w:noWrap w:val="0"/>
                  <w:vAlign w:val="center"/>
                </w:tcPr>
                <w:p w14:paraId="29EC03F5">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75~90</w:t>
                  </w:r>
                </w:p>
              </w:tc>
              <w:tc>
                <w:tcPr>
                  <w:tcW w:w="1274" w:type="dxa"/>
                  <w:vMerge w:val="restart"/>
                  <w:noWrap w:val="0"/>
                  <w:vAlign w:val="center"/>
                </w:tcPr>
                <w:p w14:paraId="0AADF58A">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无检测数据</w:t>
                  </w:r>
                </w:p>
              </w:tc>
              <w:tc>
                <w:tcPr>
                  <w:tcW w:w="1115" w:type="dxa"/>
                  <w:vMerge w:val="continue"/>
                  <w:noWrap w:val="0"/>
                  <w:vAlign w:val="center"/>
                </w:tcPr>
                <w:p w14:paraId="27323684">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p>
              </w:tc>
              <w:tc>
                <w:tcPr>
                  <w:tcW w:w="1196" w:type="dxa"/>
                  <w:vMerge w:val="restart"/>
                  <w:noWrap w:val="0"/>
                  <w:vAlign w:val="center"/>
                </w:tcPr>
                <w:p w14:paraId="62E64C3C">
                  <w:pPr>
                    <w:spacing w:line="240" w:lineRule="auto"/>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是</w:t>
                  </w:r>
                </w:p>
              </w:tc>
            </w:tr>
            <w:tr w14:paraId="3E70A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dxa"/>
                  <w:vMerge w:val="continue"/>
                  <w:noWrap w:val="0"/>
                  <w:vAlign w:val="center"/>
                </w:tcPr>
                <w:p w14:paraId="6D4AB6EB">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355" w:type="dxa"/>
                  <w:vMerge w:val="continue"/>
                  <w:noWrap w:val="0"/>
                  <w:vAlign w:val="center"/>
                </w:tcPr>
                <w:p w14:paraId="799806C2">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732" w:type="dxa"/>
                  <w:noWrap w:val="0"/>
                  <w:vAlign w:val="center"/>
                </w:tcPr>
                <w:p w14:paraId="3AFFE892">
                  <w:pPr>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2-甲氧基-1-甲基乙基醋酸酯</w:t>
                  </w:r>
                </w:p>
              </w:tc>
              <w:tc>
                <w:tcPr>
                  <w:tcW w:w="1146" w:type="dxa"/>
                  <w:noWrap w:val="0"/>
                  <w:vAlign w:val="center"/>
                </w:tcPr>
                <w:p w14:paraId="4BE16057">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10~25</w:t>
                  </w:r>
                </w:p>
              </w:tc>
              <w:tc>
                <w:tcPr>
                  <w:tcW w:w="1274" w:type="dxa"/>
                  <w:vMerge w:val="continue"/>
                  <w:noWrap w:val="0"/>
                  <w:vAlign w:val="center"/>
                </w:tcPr>
                <w:p w14:paraId="4AD2E4CC">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15" w:type="dxa"/>
                  <w:vMerge w:val="continue"/>
                  <w:noWrap w:val="0"/>
                  <w:vAlign w:val="center"/>
                </w:tcPr>
                <w:p w14:paraId="4FF4B01A">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1196" w:type="dxa"/>
                  <w:vMerge w:val="continue"/>
                  <w:noWrap w:val="0"/>
                  <w:vAlign w:val="center"/>
                </w:tcPr>
                <w:p w14:paraId="64A6C47F">
                  <w:pPr>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bl>
          <w:p w14:paraId="25A188DB">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w:t>
            </w:r>
            <w:r>
              <w:rPr>
                <w:rFonts w:hint="default" w:ascii="Times New Roman" w:hAnsi="Times New Roman" w:eastAsia="宋体" w:cs="Times New Roman"/>
                <w:color w:val="auto"/>
                <w:kern w:val="0"/>
                <w:sz w:val="24"/>
                <w:szCs w:val="20"/>
                <w:lang w:val="en-US" w:eastAsia="zh-CN"/>
              </w:rPr>
              <w:t>7</w:t>
            </w:r>
            <w:r>
              <w:rPr>
                <w:rFonts w:hint="default" w:ascii="Times New Roman" w:hAnsi="Times New Roman" w:eastAsia="宋体" w:cs="Times New Roman"/>
                <w:color w:val="auto"/>
                <w:kern w:val="0"/>
                <w:sz w:val="24"/>
                <w:szCs w:val="20"/>
              </w:rPr>
              <w:t>）主要工艺设备</w:t>
            </w:r>
          </w:p>
          <w:p w14:paraId="3119F129">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本项目主要设备清单见下表2-</w:t>
            </w:r>
            <w:r>
              <w:rPr>
                <w:rFonts w:hint="default" w:ascii="Times New Roman" w:hAnsi="Times New Roman" w:eastAsia="宋体" w:cs="Times New Roman"/>
                <w:color w:val="auto"/>
                <w:kern w:val="0"/>
                <w:sz w:val="24"/>
                <w:szCs w:val="20"/>
                <w:lang w:val="en-US" w:eastAsia="zh-CN"/>
              </w:rPr>
              <w:t>5</w:t>
            </w:r>
            <w:r>
              <w:rPr>
                <w:rFonts w:hint="default" w:ascii="Times New Roman" w:hAnsi="Times New Roman" w:eastAsia="宋体" w:cs="Times New Roman"/>
                <w:color w:val="auto"/>
                <w:kern w:val="0"/>
                <w:sz w:val="24"/>
                <w:szCs w:val="20"/>
              </w:rPr>
              <w:t>。</w:t>
            </w:r>
          </w:p>
          <w:p w14:paraId="57F31B66">
            <w:pPr>
              <w:autoSpaceDE w:val="0"/>
              <w:autoSpaceDN w:val="0"/>
              <w:jc w:val="center"/>
              <w:rPr>
                <w:rFonts w:hint="default" w:ascii="Times New Roman" w:hAnsi="Times New Roman" w:eastAsia="宋体" w:cs="Times New Roman"/>
                <w:b/>
                <w:color w:val="auto"/>
                <w:szCs w:val="21"/>
                <w:lang w:val="zh-CN"/>
              </w:rPr>
            </w:pPr>
            <w:r>
              <w:rPr>
                <w:rFonts w:hint="default" w:ascii="Times New Roman" w:hAnsi="Times New Roman" w:eastAsia="宋体" w:cs="Times New Roman"/>
                <w:b/>
                <w:color w:val="auto"/>
                <w:szCs w:val="21"/>
                <w:lang w:val="zh-CN"/>
              </w:rPr>
              <w:t>表</w:t>
            </w:r>
            <w:r>
              <w:rPr>
                <w:rFonts w:hint="default" w:ascii="Times New Roman" w:hAnsi="Times New Roman" w:eastAsia="宋体" w:cs="Times New Roman"/>
                <w:b/>
                <w:color w:val="auto"/>
                <w:szCs w:val="21"/>
              </w:rPr>
              <w:t>2-</w:t>
            </w:r>
            <w:r>
              <w:rPr>
                <w:rFonts w:hint="default" w:ascii="Times New Roman" w:hAnsi="Times New Roman" w:eastAsia="宋体" w:cs="Times New Roman"/>
                <w:b/>
                <w:color w:val="auto"/>
                <w:szCs w:val="21"/>
                <w:lang w:val="en-US" w:eastAsia="zh-CN"/>
              </w:rPr>
              <w:t>5</w:t>
            </w:r>
            <w:r>
              <w:rPr>
                <w:rFonts w:hint="default" w:ascii="Times New Roman" w:hAnsi="Times New Roman" w:eastAsia="宋体" w:cs="Times New Roman"/>
                <w:b/>
                <w:color w:val="auto"/>
                <w:szCs w:val="21"/>
              </w:rPr>
              <w:t xml:space="preserve">   </w:t>
            </w:r>
            <w:r>
              <w:rPr>
                <w:rFonts w:hint="default" w:ascii="Times New Roman" w:hAnsi="Times New Roman" w:eastAsia="宋体" w:cs="Times New Roman"/>
                <w:b/>
                <w:color w:val="auto"/>
                <w:szCs w:val="21"/>
                <w:lang w:val="zh-CN"/>
              </w:rPr>
              <w:t>主要生产设备清单</w:t>
            </w:r>
          </w:p>
          <w:tbl>
            <w:tblPr>
              <w:tblStyle w:val="19"/>
              <w:tblW w:w="83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940"/>
              <w:gridCol w:w="2076"/>
              <w:gridCol w:w="2077"/>
              <w:gridCol w:w="1553"/>
              <w:gridCol w:w="1690"/>
            </w:tblGrid>
            <w:tr w14:paraId="546270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2371E5E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序号</w:t>
                  </w:r>
                </w:p>
              </w:tc>
              <w:tc>
                <w:tcPr>
                  <w:tcW w:w="2076" w:type="dxa"/>
                  <w:tcBorders>
                    <w:tl2br w:val="nil"/>
                    <w:tr2bl w:val="nil"/>
                  </w:tcBorders>
                  <w:vAlign w:val="center"/>
                </w:tcPr>
                <w:p w14:paraId="47C769B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名称</w:t>
                  </w:r>
                </w:p>
              </w:tc>
              <w:tc>
                <w:tcPr>
                  <w:tcW w:w="2077" w:type="dxa"/>
                  <w:tcBorders>
                    <w:tl2br w:val="nil"/>
                    <w:tr2bl w:val="nil"/>
                  </w:tcBorders>
                  <w:vAlign w:val="center"/>
                </w:tcPr>
                <w:p w14:paraId="4F87630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型号</w:t>
                  </w:r>
                </w:p>
              </w:tc>
              <w:tc>
                <w:tcPr>
                  <w:tcW w:w="1553" w:type="dxa"/>
                  <w:tcBorders>
                    <w:tl2br w:val="nil"/>
                    <w:tr2bl w:val="nil"/>
                  </w:tcBorders>
                  <w:vAlign w:val="center"/>
                </w:tcPr>
                <w:p w14:paraId="33D7152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数量</w:t>
                  </w:r>
                </w:p>
              </w:tc>
              <w:tc>
                <w:tcPr>
                  <w:tcW w:w="1690" w:type="dxa"/>
                  <w:tcBorders>
                    <w:tl2br w:val="nil"/>
                    <w:tr2bl w:val="nil"/>
                  </w:tcBorders>
                  <w:vAlign w:val="center"/>
                </w:tcPr>
                <w:p w14:paraId="49238AB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highlight w:val="none"/>
                      <w:lang w:val="en-US" w:eastAsia="zh-CN" w:bidi="ar-SA"/>
                    </w:rPr>
                    <w:t>备注</w:t>
                  </w:r>
                </w:p>
              </w:tc>
            </w:tr>
            <w:tr w14:paraId="07126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57E5F66A">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p>
              </w:tc>
              <w:tc>
                <w:tcPr>
                  <w:tcW w:w="2076" w:type="dxa"/>
                  <w:tcBorders>
                    <w:tl2br w:val="nil"/>
                    <w:tr2bl w:val="nil"/>
                  </w:tcBorders>
                  <w:shd w:val="clear" w:color="auto" w:fill="auto"/>
                  <w:vAlign w:val="center"/>
                </w:tcPr>
                <w:p w14:paraId="38279479">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2.5米立车</w:t>
                  </w:r>
                </w:p>
              </w:tc>
              <w:tc>
                <w:tcPr>
                  <w:tcW w:w="2077" w:type="dxa"/>
                  <w:tcBorders>
                    <w:tl2br w:val="nil"/>
                    <w:tr2bl w:val="nil"/>
                  </w:tcBorders>
                  <w:shd w:val="clear" w:color="auto" w:fill="auto"/>
                  <w:vAlign w:val="center"/>
                </w:tcPr>
                <w:p w14:paraId="75411F3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C5225</w:t>
                  </w:r>
                </w:p>
              </w:tc>
              <w:tc>
                <w:tcPr>
                  <w:tcW w:w="1553" w:type="dxa"/>
                  <w:tcBorders>
                    <w:tl2br w:val="nil"/>
                    <w:tr2bl w:val="nil"/>
                  </w:tcBorders>
                  <w:shd w:val="clear" w:color="auto" w:fill="auto"/>
                  <w:vAlign w:val="center"/>
                </w:tcPr>
                <w:p w14:paraId="12EAF7C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1台</w:t>
                  </w:r>
                </w:p>
              </w:tc>
              <w:tc>
                <w:tcPr>
                  <w:tcW w:w="1690" w:type="dxa"/>
                  <w:vMerge w:val="restart"/>
                  <w:tcBorders>
                    <w:tl2br w:val="nil"/>
                    <w:tr2bl w:val="nil"/>
                  </w:tcBorders>
                  <w:vAlign w:val="center"/>
                </w:tcPr>
                <w:p w14:paraId="1EB4908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本项目设备均位于TRP车间</w:t>
                  </w:r>
                </w:p>
              </w:tc>
            </w:tr>
            <w:tr w14:paraId="551D3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3384B44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w:t>
                  </w:r>
                </w:p>
              </w:tc>
              <w:tc>
                <w:tcPr>
                  <w:tcW w:w="2076" w:type="dxa"/>
                  <w:tcBorders>
                    <w:tl2br w:val="nil"/>
                    <w:tr2bl w:val="nil"/>
                  </w:tcBorders>
                  <w:shd w:val="clear" w:color="auto" w:fill="auto"/>
                  <w:vAlign w:val="center"/>
                </w:tcPr>
                <w:p w14:paraId="479B6BA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半自动热装机</w:t>
                  </w:r>
                </w:p>
              </w:tc>
              <w:tc>
                <w:tcPr>
                  <w:tcW w:w="2077" w:type="dxa"/>
                  <w:tcBorders>
                    <w:tl2br w:val="nil"/>
                    <w:tr2bl w:val="nil"/>
                  </w:tcBorders>
                  <w:shd w:val="clear" w:color="auto" w:fill="auto"/>
                  <w:vAlign w:val="center"/>
                </w:tcPr>
                <w:p w14:paraId="3D8779E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专机/无型号</w:t>
                  </w:r>
                </w:p>
              </w:tc>
              <w:tc>
                <w:tcPr>
                  <w:tcW w:w="1553" w:type="dxa"/>
                  <w:tcBorders>
                    <w:tl2br w:val="nil"/>
                    <w:tr2bl w:val="nil"/>
                  </w:tcBorders>
                  <w:shd w:val="clear" w:color="auto" w:fill="auto"/>
                  <w:vAlign w:val="center"/>
                </w:tcPr>
                <w:p w14:paraId="09739B7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1台</w:t>
                  </w:r>
                </w:p>
              </w:tc>
              <w:tc>
                <w:tcPr>
                  <w:tcW w:w="1690" w:type="dxa"/>
                  <w:vMerge w:val="continue"/>
                  <w:tcBorders>
                    <w:tl2br w:val="nil"/>
                    <w:tr2bl w:val="nil"/>
                  </w:tcBorders>
                  <w:vAlign w:val="center"/>
                </w:tcPr>
                <w:p w14:paraId="0A3F6F8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p>
              </w:tc>
            </w:tr>
            <w:tr w14:paraId="5623F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1FED52E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p>
              </w:tc>
              <w:tc>
                <w:tcPr>
                  <w:tcW w:w="2076" w:type="dxa"/>
                  <w:tcBorders>
                    <w:tl2br w:val="nil"/>
                    <w:tr2bl w:val="nil"/>
                  </w:tcBorders>
                  <w:shd w:val="clear" w:color="auto" w:fill="auto"/>
                  <w:vAlign w:val="center"/>
                </w:tcPr>
                <w:p w14:paraId="3B453DC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环筋喷砂机</w:t>
                  </w:r>
                </w:p>
              </w:tc>
              <w:tc>
                <w:tcPr>
                  <w:tcW w:w="2077" w:type="dxa"/>
                  <w:tcBorders>
                    <w:tl2br w:val="nil"/>
                    <w:tr2bl w:val="nil"/>
                  </w:tcBorders>
                  <w:shd w:val="clear" w:color="auto" w:fill="auto"/>
                  <w:vAlign w:val="center"/>
                </w:tcPr>
                <w:p w14:paraId="529A1FF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Q3710WMD</w:t>
                  </w:r>
                </w:p>
              </w:tc>
              <w:tc>
                <w:tcPr>
                  <w:tcW w:w="1553" w:type="dxa"/>
                  <w:tcBorders>
                    <w:tl2br w:val="nil"/>
                    <w:tr2bl w:val="nil"/>
                  </w:tcBorders>
                  <w:shd w:val="clear" w:color="auto" w:fill="auto"/>
                  <w:vAlign w:val="center"/>
                </w:tcPr>
                <w:p w14:paraId="3890D03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1台</w:t>
                  </w:r>
                </w:p>
              </w:tc>
              <w:tc>
                <w:tcPr>
                  <w:tcW w:w="1690" w:type="dxa"/>
                  <w:vMerge w:val="continue"/>
                  <w:tcBorders>
                    <w:tl2br w:val="nil"/>
                    <w:tr2bl w:val="nil"/>
                  </w:tcBorders>
                  <w:vAlign w:val="center"/>
                </w:tcPr>
                <w:p w14:paraId="761603F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p>
              </w:tc>
            </w:tr>
            <w:tr w14:paraId="454C8F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0" w:hRule="atLeast"/>
                <w:jc w:val="center"/>
              </w:trPr>
              <w:tc>
                <w:tcPr>
                  <w:tcW w:w="940" w:type="dxa"/>
                  <w:tcBorders>
                    <w:tl2br w:val="nil"/>
                    <w:tr2bl w:val="nil"/>
                  </w:tcBorders>
                  <w:vAlign w:val="center"/>
                </w:tcPr>
                <w:p w14:paraId="3DB0622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w:t>
                  </w:r>
                </w:p>
              </w:tc>
              <w:tc>
                <w:tcPr>
                  <w:tcW w:w="2076" w:type="dxa"/>
                  <w:tcBorders>
                    <w:tl2br w:val="nil"/>
                    <w:tr2bl w:val="nil"/>
                  </w:tcBorders>
                  <w:shd w:val="clear" w:color="auto" w:fill="auto"/>
                  <w:vAlign w:val="center"/>
                </w:tcPr>
                <w:p w14:paraId="2BB8065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手动环筋焊接站</w:t>
                  </w:r>
                </w:p>
                <w:p w14:paraId="01942BC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机器人环筋焊接站</w:t>
                  </w:r>
                </w:p>
              </w:tc>
              <w:tc>
                <w:tcPr>
                  <w:tcW w:w="2077" w:type="dxa"/>
                  <w:tcBorders>
                    <w:tl2br w:val="nil"/>
                    <w:tr2bl w:val="nil"/>
                  </w:tcBorders>
                  <w:shd w:val="clear" w:color="auto" w:fill="auto"/>
                  <w:vAlign w:val="center"/>
                </w:tcPr>
                <w:p w14:paraId="4106B8E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专机/无型号</w:t>
                  </w:r>
                </w:p>
              </w:tc>
              <w:tc>
                <w:tcPr>
                  <w:tcW w:w="1553" w:type="dxa"/>
                  <w:tcBorders>
                    <w:tl2br w:val="nil"/>
                    <w:tr2bl w:val="nil"/>
                  </w:tcBorders>
                  <w:shd w:val="clear" w:color="auto" w:fill="auto"/>
                  <w:vAlign w:val="center"/>
                </w:tcPr>
                <w:p w14:paraId="6F911EBB">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2台</w:t>
                  </w:r>
                </w:p>
              </w:tc>
              <w:tc>
                <w:tcPr>
                  <w:tcW w:w="1690" w:type="dxa"/>
                  <w:vMerge w:val="continue"/>
                  <w:tcBorders>
                    <w:tl2br w:val="nil"/>
                    <w:tr2bl w:val="nil"/>
                  </w:tcBorders>
                  <w:vAlign w:val="center"/>
                </w:tcPr>
                <w:p w14:paraId="1D3C979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p>
              </w:tc>
            </w:tr>
            <w:tr w14:paraId="3EB065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7162486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p>
              </w:tc>
              <w:tc>
                <w:tcPr>
                  <w:tcW w:w="2076" w:type="dxa"/>
                  <w:tcBorders>
                    <w:tl2br w:val="nil"/>
                    <w:tr2bl w:val="nil"/>
                  </w:tcBorders>
                  <w:shd w:val="clear" w:color="auto" w:fill="auto"/>
                  <w:vAlign w:val="center"/>
                </w:tcPr>
                <w:p w14:paraId="791C3FB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纵筋喷砂机</w:t>
                  </w:r>
                </w:p>
              </w:tc>
              <w:tc>
                <w:tcPr>
                  <w:tcW w:w="2077" w:type="dxa"/>
                  <w:tcBorders>
                    <w:tl2br w:val="nil"/>
                    <w:tr2bl w:val="nil"/>
                  </w:tcBorders>
                  <w:shd w:val="clear" w:color="auto" w:fill="auto"/>
                  <w:vAlign w:val="center"/>
                </w:tcPr>
                <w:p w14:paraId="5E53737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专机/无型号</w:t>
                  </w:r>
                </w:p>
              </w:tc>
              <w:tc>
                <w:tcPr>
                  <w:tcW w:w="1553" w:type="dxa"/>
                  <w:tcBorders>
                    <w:tl2br w:val="nil"/>
                    <w:tr2bl w:val="nil"/>
                  </w:tcBorders>
                  <w:shd w:val="clear" w:color="auto" w:fill="auto"/>
                  <w:vAlign w:val="center"/>
                </w:tcPr>
                <w:p w14:paraId="13943917">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1台</w:t>
                  </w:r>
                </w:p>
              </w:tc>
              <w:tc>
                <w:tcPr>
                  <w:tcW w:w="1690" w:type="dxa"/>
                  <w:vMerge w:val="continue"/>
                  <w:tcBorders>
                    <w:tl2br w:val="nil"/>
                    <w:tr2bl w:val="nil"/>
                  </w:tcBorders>
                  <w:vAlign w:val="center"/>
                </w:tcPr>
                <w:p w14:paraId="4654415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p>
              </w:tc>
            </w:tr>
            <w:tr w14:paraId="587194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3BEDA845">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p>
              </w:tc>
              <w:tc>
                <w:tcPr>
                  <w:tcW w:w="2076" w:type="dxa"/>
                  <w:tcBorders>
                    <w:tl2br w:val="nil"/>
                    <w:tr2bl w:val="nil"/>
                  </w:tcBorders>
                  <w:shd w:val="clear" w:color="auto" w:fill="auto"/>
                  <w:vAlign w:val="center"/>
                </w:tcPr>
                <w:p w14:paraId="5562F4F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Gurutzpe车床</w:t>
                  </w:r>
                </w:p>
              </w:tc>
              <w:tc>
                <w:tcPr>
                  <w:tcW w:w="2077" w:type="dxa"/>
                  <w:tcBorders>
                    <w:tl2br w:val="nil"/>
                    <w:tr2bl w:val="nil"/>
                  </w:tcBorders>
                  <w:shd w:val="clear" w:color="auto" w:fill="auto"/>
                  <w:vAlign w:val="center"/>
                </w:tcPr>
                <w:p w14:paraId="06B3491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GLX20.30.11</w:t>
                  </w:r>
                </w:p>
              </w:tc>
              <w:tc>
                <w:tcPr>
                  <w:tcW w:w="1553" w:type="dxa"/>
                  <w:tcBorders>
                    <w:tl2br w:val="nil"/>
                    <w:tr2bl w:val="nil"/>
                  </w:tcBorders>
                  <w:shd w:val="clear" w:color="auto" w:fill="auto"/>
                  <w:vAlign w:val="center"/>
                </w:tcPr>
                <w:p w14:paraId="39469219">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1台</w:t>
                  </w:r>
                </w:p>
              </w:tc>
              <w:tc>
                <w:tcPr>
                  <w:tcW w:w="1690" w:type="dxa"/>
                  <w:vMerge w:val="continue"/>
                  <w:tcBorders>
                    <w:tl2br w:val="nil"/>
                    <w:tr2bl w:val="nil"/>
                  </w:tcBorders>
                  <w:vAlign w:val="center"/>
                </w:tcPr>
                <w:p w14:paraId="596CD26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p>
              </w:tc>
            </w:tr>
            <w:tr w14:paraId="7F7EA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6B839388">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7</w:t>
                  </w:r>
                </w:p>
              </w:tc>
              <w:tc>
                <w:tcPr>
                  <w:tcW w:w="2076" w:type="dxa"/>
                  <w:tcBorders>
                    <w:tl2br w:val="nil"/>
                    <w:tr2bl w:val="nil"/>
                  </w:tcBorders>
                  <w:shd w:val="clear" w:color="auto" w:fill="auto"/>
                  <w:vAlign w:val="center"/>
                </w:tcPr>
                <w:p w14:paraId="7FE802C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纵筋自动焊接站</w:t>
                  </w:r>
                </w:p>
              </w:tc>
              <w:tc>
                <w:tcPr>
                  <w:tcW w:w="2077" w:type="dxa"/>
                  <w:tcBorders>
                    <w:tl2br w:val="nil"/>
                    <w:tr2bl w:val="nil"/>
                  </w:tcBorders>
                  <w:shd w:val="clear" w:color="auto" w:fill="auto"/>
                  <w:vAlign w:val="center"/>
                </w:tcPr>
                <w:p w14:paraId="535AE544">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专机/无型号</w:t>
                  </w:r>
                </w:p>
              </w:tc>
              <w:tc>
                <w:tcPr>
                  <w:tcW w:w="1553" w:type="dxa"/>
                  <w:tcBorders>
                    <w:tl2br w:val="nil"/>
                    <w:tr2bl w:val="nil"/>
                  </w:tcBorders>
                  <w:shd w:val="clear" w:color="auto" w:fill="auto"/>
                  <w:vAlign w:val="center"/>
                </w:tcPr>
                <w:p w14:paraId="32A6D5F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1台</w:t>
                  </w:r>
                </w:p>
              </w:tc>
              <w:tc>
                <w:tcPr>
                  <w:tcW w:w="1690" w:type="dxa"/>
                  <w:vMerge w:val="continue"/>
                  <w:tcBorders>
                    <w:tl2br w:val="nil"/>
                    <w:tr2bl w:val="nil"/>
                  </w:tcBorders>
                  <w:vAlign w:val="center"/>
                </w:tcPr>
                <w:p w14:paraId="6EB47D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727C5D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17DF3EDA">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w:t>
                  </w:r>
                </w:p>
              </w:tc>
              <w:tc>
                <w:tcPr>
                  <w:tcW w:w="2076" w:type="dxa"/>
                  <w:tcBorders>
                    <w:tl2br w:val="nil"/>
                    <w:tr2bl w:val="nil"/>
                  </w:tcBorders>
                  <w:shd w:val="clear" w:color="auto" w:fill="auto"/>
                  <w:vAlign w:val="center"/>
                </w:tcPr>
                <w:p w14:paraId="6D519D2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轴头焊接</w:t>
                  </w:r>
                </w:p>
              </w:tc>
              <w:tc>
                <w:tcPr>
                  <w:tcW w:w="2077" w:type="dxa"/>
                  <w:tcBorders>
                    <w:tl2br w:val="nil"/>
                    <w:tr2bl w:val="nil"/>
                  </w:tcBorders>
                  <w:shd w:val="clear" w:color="auto" w:fill="auto"/>
                  <w:vAlign w:val="center"/>
                </w:tcPr>
                <w:p w14:paraId="7A6C70F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DC-1000</w:t>
                  </w:r>
                </w:p>
              </w:tc>
              <w:tc>
                <w:tcPr>
                  <w:tcW w:w="1553" w:type="dxa"/>
                  <w:tcBorders>
                    <w:tl2br w:val="nil"/>
                    <w:tr2bl w:val="nil"/>
                  </w:tcBorders>
                  <w:shd w:val="clear" w:color="auto" w:fill="auto"/>
                  <w:vAlign w:val="center"/>
                </w:tcPr>
                <w:p w14:paraId="36961C4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1台</w:t>
                  </w:r>
                </w:p>
              </w:tc>
              <w:tc>
                <w:tcPr>
                  <w:tcW w:w="1690" w:type="dxa"/>
                  <w:vMerge w:val="continue"/>
                  <w:tcBorders>
                    <w:tl2br w:val="nil"/>
                    <w:tr2bl w:val="nil"/>
                  </w:tcBorders>
                  <w:vAlign w:val="center"/>
                </w:tcPr>
                <w:p w14:paraId="3F07A0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415F1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1020FA1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9</w:t>
                  </w:r>
                </w:p>
              </w:tc>
              <w:tc>
                <w:tcPr>
                  <w:tcW w:w="2076" w:type="dxa"/>
                  <w:tcBorders>
                    <w:tl2br w:val="nil"/>
                    <w:tr2bl w:val="nil"/>
                  </w:tcBorders>
                  <w:shd w:val="clear" w:color="auto" w:fill="auto"/>
                  <w:vAlign w:val="center"/>
                </w:tcPr>
                <w:p w14:paraId="0B3EBE6E">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翻转机构</w:t>
                  </w:r>
                </w:p>
              </w:tc>
              <w:tc>
                <w:tcPr>
                  <w:tcW w:w="2077" w:type="dxa"/>
                  <w:tcBorders>
                    <w:tl2br w:val="nil"/>
                    <w:tr2bl w:val="nil"/>
                  </w:tcBorders>
                  <w:shd w:val="clear" w:color="auto" w:fill="auto"/>
                  <w:vAlign w:val="center"/>
                </w:tcPr>
                <w:p w14:paraId="4D85BFC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专机/无型号</w:t>
                  </w:r>
                </w:p>
              </w:tc>
              <w:tc>
                <w:tcPr>
                  <w:tcW w:w="1553" w:type="dxa"/>
                  <w:tcBorders>
                    <w:tl2br w:val="nil"/>
                    <w:tr2bl w:val="nil"/>
                  </w:tcBorders>
                  <w:shd w:val="clear" w:color="auto" w:fill="auto"/>
                  <w:vAlign w:val="center"/>
                </w:tcPr>
                <w:p w14:paraId="13F887F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2台</w:t>
                  </w:r>
                </w:p>
              </w:tc>
              <w:tc>
                <w:tcPr>
                  <w:tcW w:w="1690" w:type="dxa"/>
                  <w:vMerge w:val="continue"/>
                  <w:tcBorders>
                    <w:tl2br w:val="nil"/>
                    <w:tr2bl w:val="nil"/>
                  </w:tcBorders>
                  <w:vAlign w:val="center"/>
                </w:tcPr>
                <w:p w14:paraId="5BD454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29C73B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58AA7E0F">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10</w:t>
                  </w:r>
                </w:p>
              </w:tc>
              <w:tc>
                <w:tcPr>
                  <w:tcW w:w="2076" w:type="dxa"/>
                  <w:tcBorders>
                    <w:tl2br w:val="nil"/>
                    <w:tr2bl w:val="nil"/>
                  </w:tcBorders>
                  <w:shd w:val="clear" w:color="auto" w:fill="auto"/>
                  <w:vAlign w:val="center"/>
                </w:tcPr>
                <w:p w14:paraId="3655665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焊接除尘系统</w:t>
                  </w:r>
                </w:p>
              </w:tc>
              <w:tc>
                <w:tcPr>
                  <w:tcW w:w="2077" w:type="dxa"/>
                  <w:tcBorders>
                    <w:tl2br w:val="nil"/>
                    <w:tr2bl w:val="nil"/>
                  </w:tcBorders>
                  <w:shd w:val="clear" w:color="auto" w:fill="auto"/>
                  <w:vAlign w:val="center"/>
                </w:tcPr>
                <w:p w14:paraId="4C00325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highlight w:val="none"/>
                      <w:lang w:val="en-US" w:eastAsia="zh-CN" w:bidi="ar-SA"/>
                    </w:rPr>
                    <w:t>24000m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1553" w:type="dxa"/>
                  <w:tcBorders>
                    <w:tl2br w:val="nil"/>
                    <w:tr2bl w:val="nil"/>
                  </w:tcBorders>
                  <w:shd w:val="clear" w:color="auto" w:fill="auto"/>
                  <w:vAlign w:val="center"/>
                </w:tcPr>
                <w:p w14:paraId="72E7955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1台</w:t>
                  </w:r>
                </w:p>
              </w:tc>
              <w:tc>
                <w:tcPr>
                  <w:tcW w:w="1690" w:type="dxa"/>
                  <w:vMerge w:val="continue"/>
                  <w:tcBorders>
                    <w:tl2br w:val="nil"/>
                    <w:tr2bl w:val="nil"/>
                  </w:tcBorders>
                  <w:vAlign w:val="center"/>
                </w:tcPr>
                <w:p w14:paraId="11C1360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06A624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296DB4C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p>
              </w:tc>
              <w:tc>
                <w:tcPr>
                  <w:tcW w:w="2076" w:type="dxa"/>
                  <w:tcBorders>
                    <w:tl2br w:val="nil"/>
                    <w:tr2bl w:val="nil"/>
                  </w:tcBorders>
                  <w:shd w:val="clear" w:color="auto" w:fill="auto"/>
                  <w:vAlign w:val="center"/>
                </w:tcPr>
                <w:p w14:paraId="048C715C">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TRP装配测试</w:t>
                  </w:r>
                </w:p>
              </w:tc>
              <w:tc>
                <w:tcPr>
                  <w:tcW w:w="2077" w:type="dxa"/>
                  <w:tcBorders>
                    <w:tl2br w:val="nil"/>
                    <w:tr2bl w:val="nil"/>
                  </w:tcBorders>
                  <w:shd w:val="clear" w:color="auto" w:fill="auto"/>
                  <w:vAlign w:val="center"/>
                </w:tcPr>
                <w:p w14:paraId="0814578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1553" w:type="dxa"/>
                  <w:tcBorders>
                    <w:tl2br w:val="nil"/>
                    <w:tr2bl w:val="nil"/>
                  </w:tcBorders>
                  <w:shd w:val="clear" w:color="auto" w:fill="auto"/>
                  <w:vAlign w:val="center"/>
                </w:tcPr>
                <w:p w14:paraId="4860418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1区</w:t>
                  </w:r>
                </w:p>
              </w:tc>
              <w:tc>
                <w:tcPr>
                  <w:tcW w:w="1690" w:type="dxa"/>
                  <w:vMerge w:val="continue"/>
                  <w:tcBorders>
                    <w:tl2br w:val="nil"/>
                    <w:tr2bl w:val="nil"/>
                  </w:tcBorders>
                  <w:vAlign w:val="center"/>
                </w:tcPr>
                <w:p w14:paraId="3D932D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1A2BA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7B6CFFD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12</w:t>
                  </w:r>
                </w:p>
              </w:tc>
              <w:tc>
                <w:tcPr>
                  <w:tcW w:w="2076" w:type="dxa"/>
                  <w:tcBorders>
                    <w:tl2br w:val="nil"/>
                    <w:tr2bl w:val="nil"/>
                  </w:tcBorders>
                  <w:shd w:val="clear" w:color="auto" w:fill="auto"/>
                  <w:vAlign w:val="center"/>
                </w:tcPr>
                <w:p w14:paraId="519BCEA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30T和10T吊车</w:t>
                  </w:r>
                </w:p>
              </w:tc>
              <w:tc>
                <w:tcPr>
                  <w:tcW w:w="2077" w:type="dxa"/>
                  <w:tcBorders>
                    <w:tl2br w:val="nil"/>
                    <w:tr2bl w:val="nil"/>
                  </w:tcBorders>
                  <w:shd w:val="clear" w:color="auto" w:fill="auto"/>
                  <w:vAlign w:val="center"/>
                </w:tcPr>
                <w:p w14:paraId="0C1B8D7D">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CXTD30/5T-16.5-A5</w:t>
                  </w:r>
                </w:p>
                <w:p w14:paraId="2F335623">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CXTD10T-16.5-A5</w:t>
                  </w:r>
                </w:p>
              </w:tc>
              <w:tc>
                <w:tcPr>
                  <w:tcW w:w="1553" w:type="dxa"/>
                  <w:tcBorders>
                    <w:tl2br w:val="nil"/>
                    <w:tr2bl w:val="nil"/>
                  </w:tcBorders>
                  <w:shd w:val="clear" w:color="auto" w:fill="auto"/>
                  <w:vAlign w:val="center"/>
                </w:tcPr>
                <w:p w14:paraId="4FA8C45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2台</w:t>
                  </w:r>
                </w:p>
              </w:tc>
              <w:tc>
                <w:tcPr>
                  <w:tcW w:w="1690" w:type="dxa"/>
                  <w:vMerge w:val="continue"/>
                  <w:tcBorders>
                    <w:tl2br w:val="nil"/>
                    <w:tr2bl w:val="nil"/>
                  </w:tcBorders>
                  <w:vAlign w:val="center"/>
                </w:tcPr>
                <w:p w14:paraId="3E2A74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19E713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0" w:hRule="atLeast"/>
                <w:jc w:val="center"/>
              </w:trPr>
              <w:tc>
                <w:tcPr>
                  <w:tcW w:w="940" w:type="dxa"/>
                  <w:tcBorders>
                    <w:tl2br w:val="nil"/>
                    <w:tr2bl w:val="nil"/>
                  </w:tcBorders>
                  <w:vAlign w:val="center"/>
                </w:tcPr>
                <w:p w14:paraId="563FBCE0">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13</w:t>
                  </w:r>
                </w:p>
              </w:tc>
              <w:tc>
                <w:tcPr>
                  <w:tcW w:w="2076" w:type="dxa"/>
                  <w:tcBorders>
                    <w:tl2br w:val="nil"/>
                    <w:tr2bl w:val="nil"/>
                  </w:tcBorders>
                  <w:shd w:val="clear" w:color="auto" w:fill="auto"/>
                  <w:vAlign w:val="center"/>
                </w:tcPr>
                <w:p w14:paraId="508DEAD2">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50T吊车</w:t>
                  </w:r>
                </w:p>
              </w:tc>
              <w:tc>
                <w:tcPr>
                  <w:tcW w:w="2077" w:type="dxa"/>
                  <w:tcBorders>
                    <w:tl2br w:val="nil"/>
                    <w:tr2bl w:val="nil"/>
                  </w:tcBorders>
                  <w:shd w:val="clear" w:color="auto" w:fill="auto"/>
                  <w:vAlign w:val="center"/>
                </w:tcPr>
                <w:p w14:paraId="5AEC03D6">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CXTD50/10T-22.5-A5</w:t>
                  </w:r>
                </w:p>
              </w:tc>
              <w:tc>
                <w:tcPr>
                  <w:tcW w:w="1553" w:type="dxa"/>
                  <w:tcBorders>
                    <w:tl2br w:val="nil"/>
                    <w:tr2bl w:val="nil"/>
                  </w:tcBorders>
                  <w:shd w:val="clear" w:color="auto" w:fill="auto"/>
                  <w:vAlign w:val="center"/>
                </w:tcPr>
                <w:p w14:paraId="54D15071">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1台</w:t>
                  </w:r>
                </w:p>
              </w:tc>
              <w:tc>
                <w:tcPr>
                  <w:tcW w:w="1690" w:type="dxa"/>
                  <w:vMerge w:val="continue"/>
                  <w:tcBorders>
                    <w:tl2br w:val="nil"/>
                    <w:tr2bl w:val="nil"/>
                  </w:tcBorders>
                  <w:vAlign w:val="center"/>
                </w:tcPr>
                <w:p w14:paraId="374FC3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bl>
          <w:p w14:paraId="4DD30B5B">
            <w:pPr>
              <w:spacing w:line="360" w:lineRule="auto"/>
              <w:ind w:firstLine="482" w:firstLineChars="200"/>
              <w:rPr>
                <w:rFonts w:hint="default" w:ascii="Times New Roman" w:hAnsi="Times New Roman" w:eastAsia="宋体" w:cs="Times New Roman"/>
                <w:b/>
                <w:color w:val="auto"/>
                <w:kern w:val="0"/>
                <w:sz w:val="24"/>
                <w:szCs w:val="20"/>
              </w:rPr>
            </w:pPr>
            <w:r>
              <w:rPr>
                <w:rFonts w:hint="default" w:ascii="Times New Roman" w:hAnsi="Times New Roman" w:eastAsia="宋体" w:cs="Times New Roman"/>
                <w:b/>
                <w:color w:val="auto"/>
                <w:kern w:val="0"/>
                <w:sz w:val="24"/>
                <w:szCs w:val="20"/>
              </w:rPr>
              <w:t>2、</w:t>
            </w:r>
            <w:bookmarkStart w:id="1" w:name="_Toc177024663"/>
            <w:bookmarkStart w:id="2" w:name="_Toc177024812"/>
            <w:bookmarkStart w:id="3" w:name="_Toc200961231"/>
            <w:bookmarkStart w:id="4" w:name="_Toc200961391"/>
            <w:r>
              <w:rPr>
                <w:rFonts w:hint="default" w:ascii="Times New Roman" w:hAnsi="Times New Roman" w:eastAsia="宋体" w:cs="Times New Roman"/>
                <w:b/>
                <w:color w:val="auto"/>
                <w:kern w:val="0"/>
                <w:sz w:val="24"/>
                <w:szCs w:val="20"/>
              </w:rPr>
              <w:t>公用工程</w:t>
            </w:r>
          </w:p>
          <w:bookmarkEnd w:id="1"/>
          <w:bookmarkEnd w:id="2"/>
          <w:bookmarkEnd w:id="3"/>
          <w:bookmarkEnd w:id="4"/>
          <w:p w14:paraId="0DFFFEB0">
            <w:pPr>
              <w:spacing w:line="360" w:lineRule="auto"/>
              <w:ind w:firstLine="480" w:firstLineChars="200"/>
              <w:rPr>
                <w:rFonts w:hint="default" w:ascii="Times New Roman" w:hAnsi="Times New Roman" w:eastAsia="宋体" w:cs="Times New Roman"/>
                <w:color w:val="auto"/>
                <w:kern w:val="0"/>
                <w:sz w:val="24"/>
                <w:szCs w:val="22"/>
              </w:rPr>
            </w:pPr>
            <w:r>
              <w:rPr>
                <w:rFonts w:hint="default" w:ascii="Times New Roman" w:hAnsi="Times New Roman" w:eastAsia="宋体" w:cs="Times New Roman"/>
                <w:color w:val="auto"/>
                <w:kern w:val="0"/>
                <w:sz w:val="24"/>
                <w:szCs w:val="22"/>
              </w:rPr>
              <w:t>（1）给水</w:t>
            </w:r>
          </w:p>
          <w:p w14:paraId="4879137B">
            <w:pPr>
              <w:spacing w:line="360" w:lineRule="auto"/>
              <w:ind w:firstLine="480" w:firstLineChars="200"/>
              <w:rPr>
                <w:rFonts w:hint="default" w:ascii="Times New Roman" w:hAnsi="Times New Roman" w:eastAsia="宋体" w:cs="Times New Roman"/>
                <w:color w:val="auto"/>
                <w:kern w:val="0"/>
                <w:sz w:val="24"/>
                <w:szCs w:val="22"/>
                <w:lang w:val="en-US" w:eastAsia="zh-CN"/>
              </w:rPr>
            </w:pPr>
            <w:r>
              <w:rPr>
                <w:rFonts w:hint="default" w:ascii="Times New Roman" w:hAnsi="Times New Roman" w:eastAsia="宋体" w:cs="Times New Roman"/>
                <w:color w:val="auto"/>
                <w:kern w:val="0"/>
                <w:sz w:val="24"/>
                <w:szCs w:val="22"/>
                <w:lang w:val="en-US" w:eastAsia="zh-CN"/>
              </w:rPr>
              <w:t>本项目不新增劳动定员，不新增生活用水。</w:t>
            </w:r>
          </w:p>
          <w:p w14:paraId="57FEB95B">
            <w:pPr>
              <w:spacing w:line="360" w:lineRule="auto"/>
              <w:ind w:firstLine="480" w:firstLineChars="200"/>
              <w:rPr>
                <w:rFonts w:hint="default" w:ascii="Times New Roman" w:hAnsi="Times New Roman" w:eastAsia="宋体" w:cs="Times New Roman"/>
                <w:color w:val="auto"/>
                <w:kern w:val="0"/>
                <w:sz w:val="24"/>
                <w:szCs w:val="22"/>
                <w:lang w:val="en-US" w:eastAsia="zh-CN"/>
              </w:rPr>
            </w:pPr>
            <w:r>
              <w:rPr>
                <w:rFonts w:hint="default" w:ascii="Times New Roman" w:hAnsi="Times New Roman" w:eastAsia="宋体" w:cs="Times New Roman"/>
                <w:color w:val="auto"/>
                <w:kern w:val="0"/>
                <w:sz w:val="24"/>
                <w:szCs w:val="22"/>
                <w:lang w:val="en-US" w:eastAsia="zh-CN"/>
              </w:rPr>
              <w:t>本项目生产工艺不使用水，不新增工业用水。</w:t>
            </w:r>
          </w:p>
          <w:p w14:paraId="0F552F0A">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rPr>
              <w:t>（</w:t>
            </w:r>
            <w:r>
              <w:rPr>
                <w:rFonts w:hint="default" w:ascii="Times New Roman" w:hAnsi="Times New Roman" w:eastAsia="宋体" w:cs="Times New Roman"/>
                <w:color w:val="auto"/>
                <w:kern w:val="0"/>
                <w:sz w:val="24"/>
                <w:lang w:val="en-US" w:eastAsia="zh-CN"/>
              </w:rPr>
              <w:t>2</w:t>
            </w:r>
            <w:r>
              <w:rPr>
                <w:rFonts w:hint="default" w:ascii="Times New Roman" w:hAnsi="Times New Roman" w:eastAsia="宋体" w:cs="Times New Roman"/>
                <w:color w:val="auto"/>
                <w:kern w:val="0"/>
                <w:sz w:val="24"/>
                <w:szCs w:val="20"/>
              </w:rPr>
              <w:t>）供电</w:t>
            </w:r>
          </w:p>
          <w:p w14:paraId="4A42F958">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项目供电由市政国家电网工艺，依托现有工程变配电系统。</w:t>
            </w:r>
          </w:p>
          <w:p w14:paraId="17BED552">
            <w:pPr>
              <w:spacing w:line="360" w:lineRule="auto"/>
              <w:ind w:firstLine="480" w:firstLineChars="200"/>
              <w:rPr>
                <w:rFonts w:hint="default" w:ascii="Times New Roman" w:hAnsi="Times New Roman" w:eastAsia="宋体" w:cs="Times New Roman"/>
                <w:color w:val="auto"/>
                <w:kern w:val="0"/>
                <w:sz w:val="24"/>
                <w:szCs w:val="20"/>
                <w:lang w:val="en-US" w:eastAsia="zh-CN"/>
              </w:rPr>
            </w:pPr>
            <w:r>
              <w:rPr>
                <w:rFonts w:hint="default" w:ascii="Times New Roman" w:hAnsi="Times New Roman" w:eastAsia="宋体" w:cs="Times New Roman"/>
                <w:color w:val="auto"/>
                <w:kern w:val="0"/>
                <w:sz w:val="24"/>
                <w:szCs w:val="20"/>
                <w:lang w:eastAsia="zh-CN"/>
              </w:rPr>
              <w:t>（</w:t>
            </w:r>
            <w:r>
              <w:rPr>
                <w:rFonts w:hint="default" w:ascii="Times New Roman" w:hAnsi="Times New Roman" w:eastAsia="宋体" w:cs="Times New Roman"/>
                <w:color w:val="auto"/>
                <w:kern w:val="0"/>
                <w:sz w:val="24"/>
                <w:szCs w:val="20"/>
                <w:lang w:val="en-US" w:eastAsia="zh-CN"/>
              </w:rPr>
              <w:t>3）供热</w:t>
            </w:r>
          </w:p>
          <w:p w14:paraId="5940235C">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本项目喷漆过程中，烘干工段用热依托现有工程现有2.5t/h 热水锅炉供给。</w:t>
            </w:r>
          </w:p>
          <w:p w14:paraId="4CBE53D5">
            <w:pPr>
              <w:spacing w:line="360" w:lineRule="auto"/>
              <w:ind w:firstLine="482" w:firstLineChars="200"/>
              <w:rPr>
                <w:rFonts w:hint="default" w:ascii="Times New Roman" w:hAnsi="Times New Roman" w:eastAsia="宋体" w:cs="Times New Roman"/>
                <w:b/>
                <w:color w:val="auto"/>
                <w:kern w:val="0"/>
                <w:sz w:val="24"/>
                <w:szCs w:val="20"/>
                <w:highlight w:val="none"/>
                <w:lang w:val="en-US" w:eastAsia="zh-CN"/>
              </w:rPr>
            </w:pPr>
            <w:r>
              <w:rPr>
                <w:rFonts w:hint="default" w:ascii="Times New Roman" w:hAnsi="Times New Roman" w:eastAsia="宋体" w:cs="Times New Roman"/>
                <w:b/>
                <w:color w:val="auto"/>
                <w:kern w:val="0"/>
                <w:sz w:val="24"/>
                <w:szCs w:val="20"/>
                <w:highlight w:val="none"/>
                <w:lang w:val="en-US" w:eastAsia="zh-CN"/>
              </w:rPr>
              <w:t>3、油漆平衡</w:t>
            </w:r>
          </w:p>
          <w:p w14:paraId="10F71248">
            <w:pPr>
              <w:spacing w:line="360" w:lineRule="auto"/>
              <w:ind w:firstLine="480" w:firstLineChars="200"/>
              <w:rPr>
                <w:rFonts w:hint="default" w:ascii="Times New Roman" w:hAnsi="Times New Roman" w:eastAsia="宋体" w:cs="Times New Roman"/>
                <w:b w:val="0"/>
                <w:bCs/>
                <w:color w:val="auto"/>
                <w:kern w:val="0"/>
                <w:sz w:val="24"/>
                <w:szCs w:val="20"/>
                <w:highlight w:val="none"/>
                <w:lang w:val="en-US" w:eastAsia="zh-CN"/>
              </w:rPr>
            </w:pPr>
            <w:r>
              <w:rPr>
                <w:rFonts w:hint="default" w:ascii="Times New Roman" w:hAnsi="Times New Roman" w:eastAsia="宋体" w:cs="Times New Roman"/>
                <w:b w:val="0"/>
                <w:bCs/>
                <w:color w:val="auto"/>
                <w:kern w:val="0"/>
                <w:sz w:val="24"/>
                <w:szCs w:val="20"/>
                <w:highlight w:val="none"/>
                <w:lang w:val="en-US" w:eastAsia="zh-CN"/>
              </w:rPr>
              <w:t>本项目油漆、稀释剂、固化剂中挥发性有机物含量计算结果见表2-6。</w:t>
            </w:r>
          </w:p>
          <w:tbl>
            <w:tblPr>
              <w:tblStyle w:val="19"/>
              <w:tblW w:w="8308"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
              <w:gridCol w:w="821"/>
              <w:gridCol w:w="834"/>
              <w:gridCol w:w="843"/>
              <w:gridCol w:w="1110"/>
              <w:gridCol w:w="784"/>
              <w:gridCol w:w="1110"/>
              <w:gridCol w:w="1110"/>
              <w:gridCol w:w="843"/>
              <w:gridCol w:w="843"/>
            </w:tblGrid>
            <w:tr w14:paraId="0123777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31" w:type="dxa"/>
                  <w:gridSpan w:val="2"/>
                  <w:tcBorders>
                    <w:tl2br w:val="nil"/>
                    <w:tr2bl w:val="nil"/>
                  </w:tcBorders>
                  <w:shd w:val="clear" w:color="auto" w:fill="auto"/>
                  <w:noWrap/>
                  <w:vAlign w:val="center"/>
                </w:tcPr>
                <w:p w14:paraId="7823DF38">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参数</w:t>
                  </w:r>
                </w:p>
              </w:tc>
              <w:tc>
                <w:tcPr>
                  <w:tcW w:w="834" w:type="dxa"/>
                  <w:tcBorders>
                    <w:tl2br w:val="nil"/>
                    <w:tr2bl w:val="nil"/>
                  </w:tcBorders>
                  <w:shd w:val="clear" w:color="auto" w:fill="auto"/>
                  <w:noWrap/>
                  <w:vAlign w:val="center"/>
                </w:tcPr>
                <w:p w14:paraId="5CDB4A46">
                  <w:pPr>
                    <w:bidi w:val="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用量（t/a）</w:t>
                  </w:r>
                </w:p>
              </w:tc>
              <w:tc>
                <w:tcPr>
                  <w:tcW w:w="843" w:type="dxa"/>
                  <w:tcBorders>
                    <w:tl2br w:val="nil"/>
                    <w:tr2bl w:val="nil"/>
                  </w:tcBorders>
                  <w:shd w:val="clear" w:color="auto" w:fill="auto"/>
                  <w:noWrap/>
                  <w:vAlign w:val="center"/>
                </w:tcPr>
                <w:p w14:paraId="719DDCE8">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密度（kg</w:t>
                  </w:r>
                </w:p>
                <w:p w14:paraId="19B61402">
                  <w:pPr>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/L）</w:t>
                  </w:r>
                </w:p>
              </w:tc>
              <w:tc>
                <w:tcPr>
                  <w:tcW w:w="1110" w:type="dxa"/>
                  <w:tcBorders>
                    <w:tl2br w:val="nil"/>
                    <w:tr2bl w:val="nil"/>
                  </w:tcBorders>
                  <w:shd w:val="clear" w:color="auto" w:fill="auto"/>
                  <w:noWrap/>
                  <w:vAlign w:val="center"/>
                </w:tcPr>
                <w:p w14:paraId="4E4EB612">
                  <w:pPr>
                    <w:bidi w:val="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体积(L)</w:t>
                  </w:r>
                </w:p>
              </w:tc>
              <w:tc>
                <w:tcPr>
                  <w:tcW w:w="784" w:type="dxa"/>
                  <w:tcBorders>
                    <w:tl2br w:val="nil"/>
                    <w:tr2bl w:val="nil"/>
                  </w:tcBorders>
                  <w:shd w:val="clear" w:color="auto" w:fill="auto"/>
                  <w:noWrap/>
                  <w:vAlign w:val="center"/>
                </w:tcPr>
                <w:p w14:paraId="01C00618">
                  <w:pPr>
                    <w:bidi w:val="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非甲烷总烃系数(g/L）</w:t>
                  </w:r>
                </w:p>
              </w:tc>
              <w:tc>
                <w:tcPr>
                  <w:tcW w:w="1110" w:type="dxa"/>
                  <w:tcBorders>
                    <w:tl2br w:val="nil"/>
                    <w:tr2bl w:val="nil"/>
                  </w:tcBorders>
                  <w:shd w:val="clear" w:color="auto" w:fill="auto"/>
                  <w:noWrap/>
                  <w:vAlign w:val="center"/>
                </w:tcPr>
                <w:p w14:paraId="3D061647">
                  <w:pPr>
                    <w:bidi w:val="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其中二甲苯占比（%）</w:t>
                  </w:r>
                </w:p>
              </w:tc>
              <w:tc>
                <w:tcPr>
                  <w:tcW w:w="1110" w:type="dxa"/>
                  <w:tcBorders>
                    <w:tl2br w:val="nil"/>
                    <w:tr2bl w:val="nil"/>
                  </w:tcBorders>
                  <w:shd w:val="clear" w:color="auto" w:fill="auto"/>
                  <w:noWrap/>
                  <w:vAlign w:val="center"/>
                </w:tcPr>
                <w:p w14:paraId="5DE43DD2">
                  <w:pPr>
                    <w:bidi w:val="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非甲烷总烃含量（t）</w:t>
                  </w:r>
                </w:p>
              </w:tc>
              <w:tc>
                <w:tcPr>
                  <w:tcW w:w="843" w:type="dxa"/>
                  <w:tcBorders>
                    <w:tl2br w:val="nil"/>
                    <w:tr2bl w:val="nil"/>
                  </w:tcBorders>
                  <w:shd w:val="clear" w:color="auto" w:fill="auto"/>
                  <w:noWrap/>
                  <w:vAlign w:val="center"/>
                </w:tcPr>
                <w:p w14:paraId="28E874B1">
                  <w:pPr>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其中二甲苯含量（t）</w:t>
                  </w:r>
                </w:p>
              </w:tc>
              <w:tc>
                <w:tcPr>
                  <w:tcW w:w="843" w:type="dxa"/>
                  <w:tcBorders>
                    <w:tl2br w:val="nil"/>
                    <w:tr2bl w:val="nil"/>
                  </w:tcBorders>
                  <w:shd w:val="clear" w:color="auto" w:fill="auto"/>
                  <w:noWrap/>
                  <w:vAlign w:val="center"/>
                </w:tcPr>
                <w:p w14:paraId="2375F61F">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不挥发物含量（t）</w:t>
                  </w:r>
                </w:p>
              </w:tc>
            </w:tr>
            <w:tr w14:paraId="3A0BBB9B">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gridBefore w:val="1"/>
                <w:wBefore w:w="10" w:type="dxa"/>
                <w:trHeight w:val="285" w:hRule="atLeast"/>
                <w:jc w:val="center"/>
              </w:trPr>
              <w:tc>
                <w:tcPr>
                  <w:tcW w:w="821" w:type="dxa"/>
                  <w:tcBorders>
                    <w:tl2br w:val="nil"/>
                    <w:tr2bl w:val="nil"/>
                  </w:tcBorders>
                  <w:shd w:val="clear" w:color="auto" w:fill="auto"/>
                  <w:vAlign w:val="center"/>
                </w:tcPr>
                <w:p w14:paraId="60E60605">
                  <w:pPr>
                    <w:bidi w:val="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底漆（按施工比例混合后）</w:t>
                  </w:r>
                </w:p>
              </w:tc>
              <w:tc>
                <w:tcPr>
                  <w:tcW w:w="834" w:type="dxa"/>
                  <w:tcBorders>
                    <w:tl2br w:val="nil"/>
                    <w:tr2bl w:val="nil"/>
                  </w:tcBorders>
                  <w:shd w:val="clear" w:color="auto" w:fill="auto"/>
                  <w:vAlign w:val="center"/>
                </w:tcPr>
                <w:p w14:paraId="37B1A801">
                  <w:pPr>
                    <w:bidi w:val="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底漆2.5，底漆固化剂0.8，底漆稀释剂2.5</w:t>
                  </w:r>
                </w:p>
              </w:tc>
              <w:tc>
                <w:tcPr>
                  <w:tcW w:w="843" w:type="dxa"/>
                  <w:tcBorders>
                    <w:tl2br w:val="nil"/>
                    <w:tr2bl w:val="nil"/>
                  </w:tcBorders>
                  <w:shd w:val="clear" w:color="auto" w:fill="auto"/>
                  <w:noWrap/>
                  <w:vAlign w:val="center"/>
                </w:tcPr>
                <w:p w14:paraId="198F5180">
                  <w:pPr>
                    <w:bidi w:val="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1.1718</w:t>
                  </w:r>
                </w:p>
              </w:tc>
              <w:tc>
                <w:tcPr>
                  <w:tcW w:w="1110" w:type="dxa"/>
                  <w:tcBorders>
                    <w:tl2br w:val="nil"/>
                    <w:tr2bl w:val="nil"/>
                  </w:tcBorders>
                  <w:shd w:val="clear" w:color="auto" w:fill="auto"/>
                  <w:noWrap/>
                  <w:vAlign w:val="center"/>
                </w:tcPr>
                <w:p w14:paraId="6F828015">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4949.65 </w:t>
                  </w:r>
                </w:p>
              </w:tc>
              <w:tc>
                <w:tcPr>
                  <w:tcW w:w="784" w:type="dxa"/>
                  <w:tcBorders>
                    <w:tl2br w:val="nil"/>
                    <w:tr2bl w:val="nil"/>
                  </w:tcBorders>
                  <w:shd w:val="clear" w:color="auto" w:fill="auto"/>
                  <w:noWrap/>
                  <w:vAlign w:val="center"/>
                </w:tcPr>
                <w:p w14:paraId="521B16B5">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399</w:t>
                  </w:r>
                </w:p>
              </w:tc>
              <w:tc>
                <w:tcPr>
                  <w:tcW w:w="1110" w:type="dxa"/>
                  <w:tcBorders>
                    <w:tl2br w:val="nil"/>
                    <w:tr2bl w:val="nil"/>
                  </w:tcBorders>
                  <w:shd w:val="clear" w:color="auto" w:fill="auto"/>
                  <w:noWrap/>
                  <w:vAlign w:val="center"/>
                </w:tcPr>
                <w:p w14:paraId="6D74CA5A">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底漆13%，底漆固化剂35%，底漆稀释剂35%</w:t>
                  </w:r>
                </w:p>
              </w:tc>
              <w:tc>
                <w:tcPr>
                  <w:tcW w:w="1110" w:type="dxa"/>
                  <w:tcBorders>
                    <w:tl2br w:val="nil"/>
                    <w:tr2bl w:val="nil"/>
                  </w:tcBorders>
                  <w:shd w:val="clear" w:color="auto" w:fill="auto"/>
                  <w:noWrap/>
                  <w:vAlign w:val="center"/>
                </w:tcPr>
                <w:p w14:paraId="3BB474CF">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1.97 </w:t>
                  </w:r>
                </w:p>
              </w:tc>
              <w:tc>
                <w:tcPr>
                  <w:tcW w:w="843" w:type="dxa"/>
                  <w:tcBorders>
                    <w:tl2br w:val="nil"/>
                    <w:tr2bl w:val="nil"/>
                  </w:tcBorders>
                  <w:shd w:val="clear" w:color="auto" w:fill="auto"/>
                  <w:noWrap/>
                  <w:vAlign w:val="center"/>
                </w:tcPr>
                <w:p w14:paraId="32002C16">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1.48 </w:t>
                  </w:r>
                </w:p>
              </w:tc>
              <w:tc>
                <w:tcPr>
                  <w:tcW w:w="843" w:type="dxa"/>
                  <w:tcBorders>
                    <w:tl2br w:val="nil"/>
                    <w:tr2bl w:val="nil"/>
                  </w:tcBorders>
                  <w:shd w:val="clear" w:color="auto" w:fill="auto"/>
                  <w:noWrap/>
                  <w:vAlign w:val="center"/>
                </w:tcPr>
                <w:p w14:paraId="5E9EE282">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3.83 </w:t>
                  </w:r>
                </w:p>
              </w:tc>
            </w:tr>
            <w:tr w14:paraId="56ACA6E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gridBefore w:val="1"/>
                <w:wBefore w:w="10" w:type="dxa"/>
                <w:trHeight w:val="285" w:hRule="atLeast"/>
                <w:jc w:val="center"/>
              </w:trPr>
              <w:tc>
                <w:tcPr>
                  <w:tcW w:w="821" w:type="dxa"/>
                  <w:tcBorders>
                    <w:tl2br w:val="nil"/>
                    <w:tr2bl w:val="nil"/>
                  </w:tcBorders>
                  <w:shd w:val="clear" w:color="auto" w:fill="auto"/>
                  <w:vAlign w:val="center"/>
                </w:tcPr>
                <w:p w14:paraId="2C06FC20">
                  <w:pPr>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面漆（按施工比例混合后）</w:t>
                  </w:r>
                </w:p>
              </w:tc>
              <w:tc>
                <w:tcPr>
                  <w:tcW w:w="834" w:type="dxa"/>
                  <w:tcBorders>
                    <w:tl2br w:val="nil"/>
                    <w:tr2bl w:val="nil"/>
                  </w:tcBorders>
                  <w:shd w:val="clear" w:color="auto" w:fill="auto"/>
                  <w:vAlign w:val="center"/>
                </w:tcPr>
                <w:p w14:paraId="15D7DA83">
                  <w:pPr>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面漆1.5，面漆固化剂0.7，面漆稀释剂1.5</w:t>
                  </w:r>
                </w:p>
              </w:tc>
              <w:tc>
                <w:tcPr>
                  <w:tcW w:w="843" w:type="dxa"/>
                  <w:tcBorders>
                    <w:tl2br w:val="nil"/>
                    <w:tr2bl w:val="nil"/>
                  </w:tcBorders>
                  <w:shd w:val="clear" w:color="auto" w:fill="auto"/>
                  <w:noWrap/>
                  <w:vAlign w:val="center"/>
                </w:tcPr>
                <w:p w14:paraId="207091F4">
                  <w:pPr>
                    <w:bidi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1.2685</w:t>
                  </w:r>
                </w:p>
              </w:tc>
              <w:tc>
                <w:tcPr>
                  <w:tcW w:w="1110" w:type="dxa"/>
                  <w:tcBorders>
                    <w:tl2br w:val="nil"/>
                    <w:tr2bl w:val="nil"/>
                  </w:tcBorders>
                  <w:shd w:val="clear" w:color="auto" w:fill="auto"/>
                  <w:noWrap/>
                  <w:vAlign w:val="center"/>
                </w:tcPr>
                <w:p w14:paraId="6D514F04">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2916.83 </w:t>
                  </w:r>
                </w:p>
              </w:tc>
              <w:tc>
                <w:tcPr>
                  <w:tcW w:w="784" w:type="dxa"/>
                  <w:tcBorders>
                    <w:tl2br w:val="nil"/>
                    <w:tr2bl w:val="nil"/>
                  </w:tcBorders>
                  <w:shd w:val="clear" w:color="auto" w:fill="auto"/>
                  <w:noWrap/>
                  <w:vAlign w:val="center"/>
                </w:tcPr>
                <w:p w14:paraId="06224280">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415</w:t>
                  </w:r>
                </w:p>
              </w:tc>
              <w:tc>
                <w:tcPr>
                  <w:tcW w:w="1110" w:type="dxa"/>
                  <w:tcBorders>
                    <w:tl2br w:val="nil"/>
                    <w:tr2bl w:val="nil"/>
                  </w:tcBorders>
                  <w:shd w:val="clear" w:color="auto" w:fill="auto"/>
                  <w:noWrap/>
                  <w:vAlign w:val="center"/>
                </w:tcPr>
                <w:p w14:paraId="791CB6B4">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面漆2.50%，面漆固化剂2.50%，面漆稀释剂0%</w:t>
                  </w:r>
                </w:p>
              </w:tc>
              <w:tc>
                <w:tcPr>
                  <w:tcW w:w="1110" w:type="dxa"/>
                  <w:tcBorders>
                    <w:tl2br w:val="nil"/>
                    <w:tr2bl w:val="nil"/>
                  </w:tcBorders>
                  <w:shd w:val="clear" w:color="auto" w:fill="auto"/>
                  <w:noWrap/>
                  <w:vAlign w:val="center"/>
                </w:tcPr>
                <w:p w14:paraId="2A402827">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1.21 </w:t>
                  </w:r>
                </w:p>
              </w:tc>
              <w:tc>
                <w:tcPr>
                  <w:tcW w:w="843" w:type="dxa"/>
                  <w:tcBorders>
                    <w:tl2br w:val="nil"/>
                    <w:tr2bl w:val="nil"/>
                  </w:tcBorders>
                  <w:shd w:val="clear" w:color="auto" w:fill="auto"/>
                  <w:noWrap/>
                  <w:vAlign w:val="center"/>
                </w:tcPr>
                <w:p w14:paraId="0B6C14F9">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0.06 </w:t>
                  </w:r>
                </w:p>
              </w:tc>
              <w:tc>
                <w:tcPr>
                  <w:tcW w:w="843" w:type="dxa"/>
                  <w:tcBorders>
                    <w:tl2br w:val="nil"/>
                    <w:tr2bl w:val="nil"/>
                  </w:tcBorders>
                  <w:shd w:val="clear" w:color="auto" w:fill="auto"/>
                  <w:noWrap/>
                  <w:vAlign w:val="center"/>
                </w:tcPr>
                <w:p w14:paraId="1C8B65F2">
                  <w:pPr>
                    <w:bidi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2.49 </w:t>
                  </w:r>
                </w:p>
              </w:tc>
            </w:tr>
          </w:tbl>
          <w:p w14:paraId="78A29811">
            <w:pPr>
              <w:spacing w:line="360" w:lineRule="auto"/>
              <w:ind w:firstLine="480" w:firstLineChars="200"/>
              <w:rPr>
                <w:rFonts w:hint="default" w:ascii="Times New Roman" w:hAnsi="Times New Roman" w:eastAsia="宋体" w:cs="Times New Roman"/>
                <w:b w:val="0"/>
                <w:bCs/>
                <w:color w:val="auto"/>
                <w:kern w:val="0"/>
                <w:sz w:val="24"/>
                <w:szCs w:val="20"/>
                <w:highlight w:val="none"/>
                <w:lang w:val="en-US" w:eastAsia="zh-CN"/>
              </w:rPr>
            </w:pPr>
            <w:r>
              <w:rPr>
                <w:rFonts w:hint="default" w:ascii="Times New Roman" w:hAnsi="Times New Roman" w:eastAsia="宋体" w:cs="Times New Roman"/>
                <w:b w:val="0"/>
                <w:bCs/>
                <w:color w:val="auto"/>
                <w:kern w:val="0"/>
                <w:sz w:val="24"/>
                <w:szCs w:val="20"/>
                <w:highlight w:val="none"/>
                <w:lang w:val="en-US" w:eastAsia="zh-CN"/>
              </w:rPr>
              <w:t>根据《涂装工艺与设备》（化学工业出版社），喷漆距离在15~20cm之间时，涂着率约为75%。喷漆及干燥过程中挥发性有机物不会随涂料附着在喷漆物表面，而是全部释放形成喷漆废气。</w:t>
            </w:r>
          </w:p>
          <w:p w14:paraId="693867DB">
            <w:pPr>
              <w:spacing w:line="360" w:lineRule="auto"/>
              <w:ind w:firstLine="480" w:firstLineChars="200"/>
              <w:rPr>
                <w:rFonts w:hint="default" w:ascii="Times New Roman" w:hAnsi="Times New Roman" w:eastAsia="宋体" w:cs="Times New Roman"/>
                <w:b w:val="0"/>
                <w:bCs/>
                <w:color w:val="auto"/>
                <w:kern w:val="0"/>
                <w:sz w:val="24"/>
                <w:szCs w:val="20"/>
                <w:highlight w:val="none"/>
                <w:lang w:val="en-US" w:eastAsia="zh-CN"/>
              </w:rPr>
            </w:pPr>
            <w:r>
              <w:rPr>
                <w:rFonts w:hint="default" w:ascii="Times New Roman" w:hAnsi="Times New Roman" w:eastAsia="宋体" w:cs="Times New Roman"/>
                <w:b w:val="0"/>
                <w:bCs/>
                <w:color w:val="auto"/>
                <w:kern w:val="0"/>
                <w:sz w:val="24"/>
                <w:szCs w:val="20"/>
                <w:highlight w:val="none"/>
                <w:lang w:val="en-US" w:eastAsia="zh-CN"/>
              </w:rPr>
              <w:t>根据</w:t>
            </w:r>
            <w:r>
              <w:rPr>
                <w:rFonts w:hint="default" w:ascii="Times New Roman" w:hAnsi="Times New Roman" w:eastAsia="宋体" w:cs="Times New Roman"/>
                <w:color w:val="auto"/>
                <w:sz w:val="24"/>
                <w:szCs w:val="24"/>
                <w:highlight w:val="none"/>
                <w:lang w:val="en-US" w:eastAsia="zh-CN"/>
              </w:rPr>
              <w:t>陕西润卓环境技术有限公司对本项目喷漆房监测报告（润卓监(气)字(2024)第201号），活性炭吸附阶段处理效率为95.5%，催化燃烧阶段设计处理效率为97%以上。因此本次评价取综合处理效率为95%进行计算，风机排放量为80000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/h。根据</w:t>
            </w:r>
            <w:r>
              <w:rPr>
                <w:rFonts w:hint="default" w:ascii="Times New Roman" w:hAnsi="Times New Roman" w:eastAsia="宋体" w:cs="Times New Roman"/>
                <w:color w:val="auto"/>
                <w:spacing w:val="0"/>
                <w:kern w:val="2"/>
                <w:position w:val="0"/>
                <w:sz w:val="24"/>
                <w:szCs w:val="24"/>
                <w:lang w:val="en-US" w:eastAsia="zh-CN"/>
              </w:rPr>
              <w:t>《陕西省排污许可制支撑空气质量持续改善实施方案》中VOCs废气收集集气效率参考值，本项目喷漆房为单层密闭负压设施，调漆、喷漆、烘干工序均位于喷漆房内进行，集气效率取95%。</w:t>
            </w:r>
          </w:p>
          <w:p w14:paraId="642887F8">
            <w:pPr>
              <w:spacing w:line="360" w:lineRule="auto"/>
              <w:ind w:firstLine="480" w:firstLineChars="200"/>
              <w:rPr>
                <w:rFonts w:hint="default" w:ascii="Times New Roman" w:hAnsi="Times New Roman" w:eastAsia="宋体" w:cs="Times New Roman"/>
                <w:b w:val="0"/>
                <w:bCs/>
                <w:color w:val="auto"/>
                <w:kern w:val="0"/>
                <w:sz w:val="24"/>
                <w:szCs w:val="20"/>
                <w:highlight w:val="none"/>
                <w:lang w:val="en-US" w:eastAsia="zh-CN"/>
              </w:rPr>
            </w:pPr>
            <w:r>
              <w:rPr>
                <w:rFonts w:hint="default" w:ascii="Times New Roman" w:hAnsi="Times New Roman" w:eastAsia="宋体" w:cs="Times New Roman"/>
                <w:b w:val="0"/>
                <w:bCs/>
                <w:color w:val="auto"/>
                <w:kern w:val="0"/>
                <w:sz w:val="24"/>
                <w:szCs w:val="20"/>
                <w:highlight w:val="none"/>
                <w:lang w:val="en-US" w:eastAsia="zh-CN"/>
              </w:rPr>
              <w:t>综上所述，本项目油漆平衡表见表2-7，油漆平衡图见图2-1。</w:t>
            </w:r>
          </w:p>
          <w:p w14:paraId="64471A8B">
            <w:pPr>
              <w:bidi w:val="0"/>
              <w:spacing w:line="360" w:lineRule="auto"/>
              <w:ind w:left="0" w:leftChars="0"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表2-7 油漆平衡表</w:t>
            </w:r>
          </w:p>
          <w:tbl>
            <w:tblPr>
              <w:tblStyle w:val="19"/>
              <w:tblW w:w="4977"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695"/>
              <w:gridCol w:w="528"/>
              <w:gridCol w:w="772"/>
              <w:gridCol w:w="898"/>
              <w:gridCol w:w="1151"/>
              <w:gridCol w:w="682"/>
              <w:gridCol w:w="683"/>
              <w:gridCol w:w="667"/>
              <w:gridCol w:w="939"/>
              <w:gridCol w:w="1314"/>
            </w:tblGrid>
            <w:tr w14:paraId="45EC77D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tcBorders>
                    <w:tl2br w:val="nil"/>
                    <w:tr2bl w:val="nil"/>
                  </w:tcBorders>
                  <w:noWrap w:val="0"/>
                  <w:vAlign w:val="center"/>
                </w:tcPr>
                <w:p w14:paraId="731B2620">
                  <w:pPr>
                    <w:widowControl/>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序号</w:t>
                  </w:r>
                </w:p>
              </w:tc>
              <w:tc>
                <w:tcPr>
                  <w:tcW w:w="2198" w:type="dxa"/>
                  <w:gridSpan w:val="3"/>
                  <w:tcBorders>
                    <w:tl2br w:val="nil"/>
                    <w:tr2bl w:val="nil"/>
                  </w:tcBorders>
                  <w:noWrap w:val="0"/>
                  <w:vAlign w:val="center"/>
                </w:tcPr>
                <w:p w14:paraId="45A0A5D0">
                  <w:pPr>
                    <w:widowControl/>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原料名称</w:t>
                  </w:r>
                </w:p>
              </w:tc>
              <w:tc>
                <w:tcPr>
                  <w:tcW w:w="1151" w:type="dxa"/>
                  <w:tcBorders>
                    <w:tl2br w:val="nil"/>
                    <w:tr2bl w:val="nil"/>
                  </w:tcBorders>
                  <w:noWrap w:val="0"/>
                  <w:vAlign w:val="center"/>
                </w:tcPr>
                <w:p w14:paraId="75601480">
                  <w:pPr>
                    <w:widowControl/>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年耗（t/a）</w:t>
                  </w:r>
                </w:p>
              </w:tc>
              <w:tc>
                <w:tcPr>
                  <w:tcW w:w="4285" w:type="dxa"/>
                  <w:gridSpan w:val="5"/>
                  <w:tcBorders>
                    <w:tl2br w:val="nil"/>
                    <w:tr2bl w:val="nil"/>
                  </w:tcBorders>
                  <w:noWrap w:val="0"/>
                  <w:vAlign w:val="center"/>
                </w:tcPr>
                <w:p w14:paraId="53CBFC73">
                  <w:pPr>
                    <w:widowControl/>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输出量（t/a）</w:t>
                  </w:r>
                </w:p>
              </w:tc>
            </w:tr>
            <w:tr w14:paraId="7A57F74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tcBorders>
                    <w:tl2br w:val="nil"/>
                    <w:tr2bl w:val="nil"/>
                  </w:tcBorders>
                  <w:noWrap w:val="0"/>
                  <w:vAlign w:val="center"/>
                </w:tcPr>
                <w:p w14:paraId="60E5806D">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2198" w:type="dxa"/>
                  <w:gridSpan w:val="3"/>
                  <w:tcBorders>
                    <w:tl2br w:val="nil"/>
                    <w:tr2bl w:val="nil"/>
                  </w:tcBorders>
                  <w:noWrap w:val="0"/>
                  <w:vAlign w:val="center"/>
                </w:tcPr>
                <w:p w14:paraId="231B9B8D">
                  <w:pPr>
                    <w:widowControl/>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底漆</w:t>
                  </w:r>
                </w:p>
              </w:tc>
              <w:tc>
                <w:tcPr>
                  <w:tcW w:w="1151" w:type="dxa"/>
                  <w:tcBorders>
                    <w:tl2br w:val="nil"/>
                    <w:tr2bl w:val="nil"/>
                  </w:tcBorders>
                  <w:noWrap w:val="0"/>
                  <w:vAlign w:val="center"/>
                </w:tcPr>
                <w:p w14:paraId="75014164">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p>
              </w:tc>
              <w:tc>
                <w:tcPr>
                  <w:tcW w:w="2971" w:type="dxa"/>
                  <w:gridSpan w:val="4"/>
                  <w:tcBorders>
                    <w:tl2br w:val="nil"/>
                    <w:tr2bl w:val="nil"/>
                  </w:tcBorders>
                  <w:shd w:val="clear" w:color="auto" w:fill="auto"/>
                  <w:noWrap w:val="0"/>
                  <w:vAlign w:val="center"/>
                </w:tcPr>
                <w:p w14:paraId="78EFC0A2">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工件附着</w:t>
                  </w:r>
                </w:p>
              </w:tc>
              <w:tc>
                <w:tcPr>
                  <w:tcW w:w="1314" w:type="dxa"/>
                  <w:tcBorders>
                    <w:tl2br w:val="nil"/>
                    <w:tr2bl w:val="nil"/>
                  </w:tcBorders>
                  <w:noWrap w:val="0"/>
                  <w:vAlign w:val="center"/>
                </w:tcPr>
                <w:p w14:paraId="71B174FB">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4.74 </w:t>
                  </w:r>
                </w:p>
              </w:tc>
            </w:tr>
            <w:tr w14:paraId="2ACFB0A0">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restart"/>
                  <w:tcBorders>
                    <w:tl2br w:val="nil"/>
                    <w:tr2bl w:val="nil"/>
                  </w:tcBorders>
                  <w:noWrap w:val="0"/>
                  <w:vAlign w:val="center"/>
                </w:tcPr>
                <w:p w14:paraId="4937D041">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2198" w:type="dxa"/>
                  <w:gridSpan w:val="3"/>
                  <w:tcBorders>
                    <w:tl2br w:val="nil"/>
                    <w:tr2bl w:val="nil"/>
                  </w:tcBorders>
                  <w:shd w:val="clear" w:color="auto" w:fill="auto"/>
                  <w:noWrap w:val="0"/>
                  <w:vAlign w:val="center"/>
                </w:tcPr>
                <w:p w14:paraId="283EE541">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固态分</w:t>
                  </w:r>
                </w:p>
              </w:tc>
              <w:tc>
                <w:tcPr>
                  <w:tcW w:w="1151" w:type="dxa"/>
                  <w:tcBorders>
                    <w:tl2br w:val="nil"/>
                    <w:tr2bl w:val="nil"/>
                  </w:tcBorders>
                  <w:shd w:val="clear" w:color="auto" w:fill="auto"/>
                  <w:noWrap w:val="0"/>
                  <w:vAlign w:val="center"/>
                </w:tcPr>
                <w:p w14:paraId="32691BCD">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1.65</w:t>
                  </w:r>
                </w:p>
              </w:tc>
              <w:tc>
                <w:tcPr>
                  <w:tcW w:w="2971" w:type="dxa"/>
                  <w:gridSpan w:val="4"/>
                  <w:tcBorders>
                    <w:tl2br w:val="nil"/>
                    <w:tr2bl w:val="nil"/>
                  </w:tcBorders>
                  <w:shd w:val="clear" w:color="auto" w:fill="auto"/>
                  <w:noWrap w:val="0"/>
                  <w:vAlign w:val="center"/>
                </w:tcPr>
                <w:p w14:paraId="19BF519B">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漆渣</w:t>
                  </w:r>
                </w:p>
              </w:tc>
              <w:tc>
                <w:tcPr>
                  <w:tcW w:w="1314" w:type="dxa"/>
                  <w:tcBorders>
                    <w:tl2br w:val="nil"/>
                    <w:tr2bl w:val="nil"/>
                  </w:tcBorders>
                  <w:noWrap w:val="0"/>
                  <w:vAlign w:val="center"/>
                </w:tcPr>
                <w:p w14:paraId="25BD15B1">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0.63 </w:t>
                  </w:r>
                </w:p>
              </w:tc>
            </w:tr>
            <w:tr w14:paraId="7D7DF9E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2657551F">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2198" w:type="dxa"/>
                  <w:gridSpan w:val="3"/>
                  <w:tcBorders>
                    <w:tl2br w:val="nil"/>
                    <w:tr2bl w:val="nil"/>
                  </w:tcBorders>
                  <w:shd w:val="clear" w:color="auto" w:fill="auto"/>
                  <w:noWrap w:val="0"/>
                  <w:vAlign w:val="center"/>
                </w:tcPr>
                <w:p w14:paraId="07B41F5B">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挥发分</w:t>
                  </w:r>
                </w:p>
              </w:tc>
              <w:tc>
                <w:tcPr>
                  <w:tcW w:w="1151" w:type="dxa"/>
                  <w:tcBorders>
                    <w:tl2br w:val="nil"/>
                    <w:tr2bl w:val="nil"/>
                  </w:tcBorders>
                  <w:shd w:val="clear" w:color="auto" w:fill="auto"/>
                  <w:noWrap w:val="0"/>
                  <w:vAlign w:val="center"/>
                </w:tcPr>
                <w:p w14:paraId="791D784B">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0.85</w:t>
                  </w:r>
                </w:p>
              </w:tc>
              <w:tc>
                <w:tcPr>
                  <w:tcW w:w="2971" w:type="dxa"/>
                  <w:gridSpan w:val="4"/>
                  <w:tcBorders>
                    <w:tl2br w:val="nil"/>
                    <w:tr2bl w:val="nil"/>
                  </w:tcBorders>
                  <w:shd w:val="clear" w:color="auto" w:fill="auto"/>
                  <w:noWrap w:val="0"/>
                  <w:vAlign w:val="center"/>
                </w:tcPr>
                <w:p w14:paraId="54F6FBDC">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进入大气</w:t>
                  </w:r>
                </w:p>
              </w:tc>
              <w:tc>
                <w:tcPr>
                  <w:tcW w:w="1314" w:type="dxa"/>
                  <w:tcBorders>
                    <w:tl2br w:val="nil"/>
                    <w:tr2bl w:val="nil"/>
                  </w:tcBorders>
                  <w:noWrap w:val="0"/>
                  <w:vAlign w:val="center"/>
                </w:tcPr>
                <w:p w14:paraId="2CA6D602">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0.32 </w:t>
                  </w:r>
                </w:p>
              </w:tc>
            </w:tr>
            <w:tr w14:paraId="77A0279B">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6669278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restart"/>
                  <w:tcBorders>
                    <w:tl2br w:val="nil"/>
                    <w:tr2bl w:val="nil"/>
                  </w:tcBorders>
                  <w:noWrap w:val="0"/>
                  <w:vAlign w:val="center"/>
                </w:tcPr>
                <w:p w14:paraId="215CB8BE">
                  <w:pPr>
                    <w:widowControl/>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其中</w:t>
                  </w:r>
                </w:p>
              </w:tc>
              <w:tc>
                <w:tcPr>
                  <w:tcW w:w="1670" w:type="dxa"/>
                  <w:gridSpan w:val="2"/>
                  <w:tcBorders>
                    <w:tl2br w:val="nil"/>
                    <w:tr2bl w:val="nil"/>
                  </w:tcBorders>
                  <w:noWrap w:val="0"/>
                  <w:vAlign w:val="center"/>
                </w:tcPr>
                <w:p w14:paraId="19610393">
                  <w:pPr>
                    <w:widowControl/>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非甲烷总烃</w:t>
                  </w:r>
                </w:p>
              </w:tc>
              <w:tc>
                <w:tcPr>
                  <w:tcW w:w="1151" w:type="dxa"/>
                  <w:tcBorders>
                    <w:tl2br w:val="nil"/>
                    <w:tr2bl w:val="nil"/>
                  </w:tcBorders>
                  <w:noWrap w:val="0"/>
                  <w:vAlign w:val="center"/>
                </w:tcPr>
                <w:p w14:paraId="4E4E19E3">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0.85</w:t>
                  </w:r>
                </w:p>
              </w:tc>
              <w:tc>
                <w:tcPr>
                  <w:tcW w:w="682" w:type="dxa"/>
                  <w:vMerge w:val="restart"/>
                  <w:tcBorders>
                    <w:tl2br w:val="nil"/>
                    <w:tr2bl w:val="nil"/>
                  </w:tcBorders>
                  <w:noWrap w:val="0"/>
                  <w:vAlign w:val="center"/>
                </w:tcPr>
                <w:p w14:paraId="431D5AA2">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2289" w:type="dxa"/>
                  <w:gridSpan w:val="3"/>
                  <w:tcBorders>
                    <w:tl2br w:val="nil"/>
                    <w:tr2bl w:val="nil"/>
                  </w:tcBorders>
                  <w:noWrap w:val="0"/>
                  <w:vAlign w:val="center"/>
                </w:tcPr>
                <w:p w14:paraId="55E82A8C">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无组织排放</w:t>
                  </w:r>
                </w:p>
              </w:tc>
              <w:tc>
                <w:tcPr>
                  <w:tcW w:w="1314" w:type="dxa"/>
                  <w:tcBorders>
                    <w:tl2br w:val="nil"/>
                    <w:tr2bl w:val="nil"/>
                  </w:tcBorders>
                  <w:noWrap w:val="0"/>
                  <w:vAlign w:val="center"/>
                </w:tcPr>
                <w:p w14:paraId="6C9AC607">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0.16 </w:t>
                  </w:r>
                </w:p>
              </w:tc>
            </w:tr>
            <w:tr w14:paraId="295D6A1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7FB5B682">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continue"/>
                  <w:tcBorders>
                    <w:tl2br w:val="nil"/>
                    <w:tr2bl w:val="nil"/>
                  </w:tcBorders>
                  <w:noWrap w:val="0"/>
                  <w:vAlign w:val="center"/>
                </w:tcPr>
                <w:p w14:paraId="66F6D1EE">
                  <w:pPr>
                    <w:widowControl/>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c>
                <w:tcPr>
                  <w:tcW w:w="772" w:type="dxa"/>
                  <w:tcBorders>
                    <w:tl2br w:val="nil"/>
                    <w:tr2bl w:val="nil"/>
                  </w:tcBorders>
                  <w:noWrap w:val="0"/>
                  <w:vAlign w:val="center"/>
                </w:tcPr>
                <w:p w14:paraId="309EFB77">
                  <w:pPr>
                    <w:widowControl/>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kern w:val="0"/>
                      <w:sz w:val="21"/>
                      <w:szCs w:val="21"/>
                      <w:lang w:val="en-US" w:eastAsia="zh-CN"/>
                    </w:rPr>
                    <w:t>其中</w:t>
                  </w:r>
                </w:p>
              </w:tc>
              <w:tc>
                <w:tcPr>
                  <w:tcW w:w="898" w:type="dxa"/>
                  <w:tcBorders>
                    <w:tl2br w:val="nil"/>
                    <w:tr2bl w:val="nil"/>
                  </w:tcBorders>
                  <w:noWrap w:val="0"/>
                  <w:vAlign w:val="center"/>
                </w:tcPr>
                <w:p w14:paraId="7FDAEF4D">
                  <w:pPr>
                    <w:widowControl/>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二甲苯</w:t>
                  </w:r>
                </w:p>
              </w:tc>
              <w:tc>
                <w:tcPr>
                  <w:tcW w:w="1151" w:type="dxa"/>
                  <w:tcBorders>
                    <w:tl2br w:val="nil"/>
                    <w:tr2bl w:val="nil"/>
                  </w:tcBorders>
                  <w:noWrap w:val="0"/>
                  <w:vAlign w:val="center"/>
                </w:tcPr>
                <w:p w14:paraId="503AA6F7">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0.40</w:t>
                  </w:r>
                </w:p>
              </w:tc>
              <w:tc>
                <w:tcPr>
                  <w:tcW w:w="682" w:type="dxa"/>
                  <w:vMerge w:val="continue"/>
                  <w:tcBorders>
                    <w:tl2br w:val="nil"/>
                    <w:tr2bl w:val="nil"/>
                  </w:tcBorders>
                  <w:noWrap w:val="0"/>
                  <w:vAlign w:val="center"/>
                </w:tcPr>
                <w:p w14:paraId="5D2E2BA1">
                  <w:pPr>
                    <w:widowControl/>
                    <w:adjustRightInd w:val="0"/>
                    <w:snapToGrid w:val="0"/>
                    <w:spacing w:line="240" w:lineRule="auto"/>
                    <w:jc w:val="center"/>
                    <w:rPr>
                      <w:rFonts w:hint="default" w:ascii="Times New Roman" w:hAnsi="Times New Roman" w:eastAsia="宋体" w:cs="Times New Roman"/>
                      <w:color w:val="auto"/>
                      <w:kern w:val="0"/>
                      <w:sz w:val="21"/>
                      <w:szCs w:val="21"/>
                    </w:rPr>
                  </w:pPr>
                </w:p>
              </w:tc>
              <w:tc>
                <w:tcPr>
                  <w:tcW w:w="683" w:type="dxa"/>
                  <w:vMerge w:val="restart"/>
                  <w:tcBorders>
                    <w:tl2br w:val="nil"/>
                    <w:tr2bl w:val="nil"/>
                  </w:tcBorders>
                  <w:noWrap w:val="0"/>
                  <w:vAlign w:val="center"/>
                </w:tcPr>
                <w:p w14:paraId="741E238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1606" w:type="dxa"/>
                  <w:gridSpan w:val="2"/>
                  <w:tcBorders>
                    <w:tl2br w:val="nil"/>
                    <w:tr2bl w:val="nil"/>
                  </w:tcBorders>
                  <w:shd w:val="clear" w:color="auto" w:fill="auto"/>
                  <w:noWrap w:val="0"/>
                  <w:vAlign w:val="center"/>
                </w:tcPr>
                <w:p w14:paraId="29A5A37D">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非甲烷总烃</w:t>
                  </w:r>
                </w:p>
              </w:tc>
              <w:tc>
                <w:tcPr>
                  <w:tcW w:w="1314" w:type="dxa"/>
                  <w:tcBorders>
                    <w:tl2br w:val="nil"/>
                    <w:tr2bl w:val="nil"/>
                  </w:tcBorders>
                  <w:noWrap w:val="0"/>
                  <w:vAlign w:val="center"/>
                </w:tcPr>
                <w:p w14:paraId="7BDA64D6">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0.16 </w:t>
                  </w:r>
                </w:p>
              </w:tc>
            </w:tr>
            <w:tr w14:paraId="2902641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tcBorders>
                    <w:tl2br w:val="nil"/>
                    <w:tr2bl w:val="nil"/>
                  </w:tcBorders>
                  <w:noWrap w:val="0"/>
                  <w:vAlign w:val="center"/>
                </w:tcPr>
                <w:p w14:paraId="327CA977">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2198" w:type="dxa"/>
                  <w:gridSpan w:val="3"/>
                  <w:tcBorders>
                    <w:tl2br w:val="nil"/>
                    <w:tr2bl w:val="nil"/>
                  </w:tcBorders>
                  <w:noWrap w:val="0"/>
                  <w:vAlign w:val="center"/>
                </w:tcPr>
                <w:p w14:paraId="1463A9BD">
                  <w:pPr>
                    <w:widowControl/>
                    <w:adjustRightInd w:val="0"/>
                    <w:snapToGrid w:val="0"/>
                    <w:spacing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b w:val="0"/>
                      <w:bCs w:val="0"/>
                      <w:color w:val="auto"/>
                      <w:sz w:val="21"/>
                      <w:szCs w:val="21"/>
                      <w:vertAlign w:val="baseline"/>
                      <w:lang w:val="en-US" w:eastAsia="zh-CN"/>
                    </w:rPr>
                    <w:t>面漆</w:t>
                  </w:r>
                </w:p>
              </w:tc>
              <w:tc>
                <w:tcPr>
                  <w:tcW w:w="1151" w:type="dxa"/>
                  <w:tcBorders>
                    <w:tl2br w:val="nil"/>
                    <w:tr2bl w:val="nil"/>
                  </w:tcBorders>
                  <w:noWrap w:val="0"/>
                  <w:vAlign w:val="center"/>
                </w:tcPr>
                <w:p w14:paraId="23990E94">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682" w:type="dxa"/>
                  <w:vMerge w:val="continue"/>
                  <w:tcBorders>
                    <w:tl2br w:val="nil"/>
                    <w:tr2bl w:val="nil"/>
                  </w:tcBorders>
                  <w:noWrap w:val="0"/>
                  <w:vAlign w:val="center"/>
                </w:tcPr>
                <w:p w14:paraId="16292975">
                  <w:pPr>
                    <w:widowControl/>
                    <w:adjustRightInd w:val="0"/>
                    <w:snapToGrid w:val="0"/>
                    <w:spacing w:line="240" w:lineRule="auto"/>
                    <w:jc w:val="center"/>
                    <w:rPr>
                      <w:rFonts w:hint="default" w:ascii="Times New Roman" w:hAnsi="Times New Roman" w:eastAsia="宋体" w:cs="Times New Roman"/>
                      <w:color w:val="auto"/>
                      <w:kern w:val="0"/>
                      <w:sz w:val="21"/>
                      <w:szCs w:val="21"/>
                    </w:rPr>
                  </w:pPr>
                </w:p>
              </w:tc>
              <w:tc>
                <w:tcPr>
                  <w:tcW w:w="683" w:type="dxa"/>
                  <w:vMerge w:val="continue"/>
                  <w:tcBorders>
                    <w:tl2br w:val="nil"/>
                    <w:tr2bl w:val="nil"/>
                  </w:tcBorders>
                  <w:noWrap w:val="0"/>
                  <w:vAlign w:val="center"/>
                </w:tcPr>
                <w:p w14:paraId="27790787">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606" w:type="dxa"/>
                  <w:gridSpan w:val="2"/>
                  <w:tcBorders>
                    <w:tl2br w:val="nil"/>
                    <w:tr2bl w:val="nil"/>
                  </w:tcBorders>
                  <w:noWrap w:val="0"/>
                  <w:vAlign w:val="center"/>
                </w:tcPr>
                <w:p w14:paraId="11303D54">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二甲苯</w:t>
                  </w:r>
                </w:p>
              </w:tc>
              <w:tc>
                <w:tcPr>
                  <w:tcW w:w="1314" w:type="dxa"/>
                  <w:tcBorders>
                    <w:tl2br w:val="nil"/>
                    <w:tr2bl w:val="nil"/>
                  </w:tcBorders>
                  <w:shd w:val="clear" w:color="auto" w:fill="auto"/>
                  <w:noWrap w:val="0"/>
                  <w:vAlign w:val="center"/>
                </w:tcPr>
                <w:p w14:paraId="4B3D1913">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0.08 </w:t>
                  </w:r>
                </w:p>
              </w:tc>
            </w:tr>
            <w:tr w14:paraId="49D7739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restart"/>
                  <w:tcBorders>
                    <w:tl2br w:val="nil"/>
                    <w:tr2bl w:val="nil"/>
                  </w:tcBorders>
                  <w:noWrap w:val="0"/>
                  <w:vAlign w:val="center"/>
                </w:tcPr>
                <w:p w14:paraId="656174D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2198" w:type="dxa"/>
                  <w:gridSpan w:val="3"/>
                  <w:tcBorders>
                    <w:tl2br w:val="nil"/>
                    <w:tr2bl w:val="nil"/>
                  </w:tcBorders>
                  <w:noWrap w:val="0"/>
                  <w:vAlign w:val="center"/>
                </w:tcPr>
                <w:p w14:paraId="77AE74D9">
                  <w:pPr>
                    <w:widowControl/>
                    <w:adjustRightInd w:val="0"/>
                    <w:snapToGrid w:val="0"/>
                    <w:spacing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固态分</w:t>
                  </w:r>
                </w:p>
              </w:tc>
              <w:tc>
                <w:tcPr>
                  <w:tcW w:w="1151" w:type="dxa"/>
                  <w:tcBorders>
                    <w:tl2br w:val="nil"/>
                    <w:tr2bl w:val="nil"/>
                  </w:tcBorders>
                  <w:noWrap w:val="0"/>
                  <w:vAlign w:val="center"/>
                </w:tcPr>
                <w:p w14:paraId="6EB283C3">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1.04</w:t>
                  </w:r>
                </w:p>
              </w:tc>
              <w:tc>
                <w:tcPr>
                  <w:tcW w:w="682" w:type="dxa"/>
                  <w:vMerge w:val="continue"/>
                  <w:tcBorders>
                    <w:tl2br w:val="nil"/>
                    <w:tr2bl w:val="nil"/>
                  </w:tcBorders>
                  <w:noWrap w:val="0"/>
                  <w:vAlign w:val="center"/>
                </w:tcPr>
                <w:p w14:paraId="7B66EBB6">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2289" w:type="dxa"/>
                  <w:gridSpan w:val="3"/>
                  <w:tcBorders>
                    <w:tl2br w:val="nil"/>
                    <w:tr2bl w:val="nil"/>
                  </w:tcBorders>
                  <w:noWrap w:val="0"/>
                  <w:vAlign w:val="center"/>
                </w:tcPr>
                <w:p w14:paraId="0A1C3754">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有组织排放</w:t>
                  </w:r>
                </w:p>
              </w:tc>
              <w:tc>
                <w:tcPr>
                  <w:tcW w:w="1314" w:type="dxa"/>
                  <w:tcBorders>
                    <w:tl2br w:val="nil"/>
                    <w:tr2bl w:val="nil"/>
                  </w:tcBorders>
                  <w:noWrap w:val="0"/>
                  <w:vAlign w:val="center"/>
                </w:tcPr>
                <w:p w14:paraId="2B4D1DAD">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0.16 </w:t>
                  </w:r>
                </w:p>
              </w:tc>
            </w:tr>
            <w:tr w14:paraId="4421FE45">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1E398A21">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2198" w:type="dxa"/>
                  <w:gridSpan w:val="3"/>
                  <w:tcBorders>
                    <w:tl2br w:val="nil"/>
                    <w:tr2bl w:val="nil"/>
                  </w:tcBorders>
                  <w:noWrap w:val="0"/>
                  <w:vAlign w:val="center"/>
                </w:tcPr>
                <w:p w14:paraId="3DDBA094">
                  <w:pPr>
                    <w:widowControl/>
                    <w:adjustRightInd w:val="0"/>
                    <w:snapToGrid w:val="0"/>
                    <w:spacing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挥发分</w:t>
                  </w:r>
                </w:p>
              </w:tc>
              <w:tc>
                <w:tcPr>
                  <w:tcW w:w="1151" w:type="dxa"/>
                  <w:tcBorders>
                    <w:tl2br w:val="nil"/>
                    <w:tr2bl w:val="nil"/>
                  </w:tcBorders>
                  <w:noWrap w:val="0"/>
                  <w:vAlign w:val="center"/>
                </w:tcPr>
                <w:p w14:paraId="0ECB5C6F">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0.49</w:t>
                  </w:r>
                </w:p>
              </w:tc>
              <w:tc>
                <w:tcPr>
                  <w:tcW w:w="682" w:type="dxa"/>
                  <w:vMerge w:val="continue"/>
                  <w:tcBorders>
                    <w:tl2br w:val="nil"/>
                    <w:tr2bl w:val="nil"/>
                  </w:tcBorders>
                  <w:noWrap w:val="0"/>
                  <w:vAlign w:val="center"/>
                </w:tcPr>
                <w:p w14:paraId="1A9C1BC9">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683" w:type="dxa"/>
                  <w:vMerge w:val="restart"/>
                  <w:tcBorders>
                    <w:tl2br w:val="nil"/>
                    <w:tr2bl w:val="nil"/>
                  </w:tcBorders>
                  <w:noWrap w:val="0"/>
                  <w:vAlign w:val="center"/>
                </w:tcPr>
                <w:p w14:paraId="1F1D67FA">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1606" w:type="dxa"/>
                  <w:gridSpan w:val="2"/>
                  <w:tcBorders>
                    <w:tl2br w:val="nil"/>
                    <w:tr2bl w:val="nil"/>
                  </w:tcBorders>
                  <w:noWrap w:val="0"/>
                  <w:vAlign w:val="center"/>
                </w:tcPr>
                <w:p w14:paraId="39317305">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颗粒物</w:t>
                  </w:r>
                </w:p>
              </w:tc>
              <w:tc>
                <w:tcPr>
                  <w:tcW w:w="1314" w:type="dxa"/>
                  <w:tcBorders>
                    <w:tl2br w:val="nil"/>
                    <w:tr2bl w:val="nil"/>
                  </w:tcBorders>
                  <w:noWrap w:val="0"/>
                  <w:vAlign w:val="center"/>
                </w:tcPr>
                <w:p w14:paraId="2C67845F">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0.01 </w:t>
                  </w:r>
                </w:p>
              </w:tc>
            </w:tr>
            <w:tr w14:paraId="0328FE1C">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14A3ED4F">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restart"/>
                  <w:tcBorders>
                    <w:tl2br w:val="nil"/>
                    <w:tr2bl w:val="nil"/>
                  </w:tcBorders>
                  <w:noWrap w:val="0"/>
                  <w:vAlign w:val="center"/>
                </w:tcPr>
                <w:p w14:paraId="061BAC38">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1670" w:type="dxa"/>
                  <w:gridSpan w:val="2"/>
                  <w:tcBorders>
                    <w:tl2br w:val="nil"/>
                    <w:tr2bl w:val="nil"/>
                  </w:tcBorders>
                  <w:noWrap w:val="0"/>
                  <w:vAlign w:val="center"/>
                </w:tcPr>
                <w:p w14:paraId="76B4FD0F">
                  <w:pPr>
                    <w:widowControl/>
                    <w:adjustRightInd w:val="0"/>
                    <w:snapToGrid w:val="0"/>
                    <w:spacing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非甲烷总烃</w:t>
                  </w:r>
                </w:p>
              </w:tc>
              <w:tc>
                <w:tcPr>
                  <w:tcW w:w="1151" w:type="dxa"/>
                  <w:tcBorders>
                    <w:tl2br w:val="nil"/>
                    <w:tr2bl w:val="nil"/>
                  </w:tcBorders>
                  <w:noWrap w:val="0"/>
                  <w:vAlign w:val="center"/>
                </w:tcPr>
                <w:p w14:paraId="24A7711B">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0.49</w:t>
                  </w:r>
                </w:p>
              </w:tc>
              <w:tc>
                <w:tcPr>
                  <w:tcW w:w="682" w:type="dxa"/>
                  <w:vMerge w:val="continue"/>
                  <w:tcBorders>
                    <w:tl2br w:val="nil"/>
                    <w:tr2bl w:val="nil"/>
                  </w:tcBorders>
                  <w:noWrap w:val="0"/>
                  <w:vAlign w:val="center"/>
                </w:tcPr>
                <w:p w14:paraId="2C9AC315">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683" w:type="dxa"/>
                  <w:vMerge w:val="continue"/>
                  <w:tcBorders>
                    <w:tl2br w:val="nil"/>
                    <w:tr2bl w:val="nil"/>
                  </w:tcBorders>
                  <w:noWrap w:val="0"/>
                  <w:vAlign w:val="center"/>
                </w:tcPr>
                <w:p w14:paraId="4878CDA3">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606" w:type="dxa"/>
                  <w:gridSpan w:val="2"/>
                  <w:tcBorders>
                    <w:tl2br w:val="nil"/>
                    <w:tr2bl w:val="nil"/>
                  </w:tcBorders>
                  <w:shd w:val="clear" w:color="auto" w:fill="auto"/>
                  <w:noWrap w:val="0"/>
                  <w:vAlign w:val="center"/>
                </w:tcPr>
                <w:p w14:paraId="12E2C47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非甲烷总烃</w:t>
                  </w:r>
                </w:p>
              </w:tc>
              <w:tc>
                <w:tcPr>
                  <w:tcW w:w="1314" w:type="dxa"/>
                  <w:tcBorders>
                    <w:tl2br w:val="nil"/>
                    <w:tr2bl w:val="nil"/>
                  </w:tcBorders>
                  <w:noWrap w:val="0"/>
                  <w:vAlign w:val="center"/>
                </w:tcPr>
                <w:p w14:paraId="48878FD6">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0.15 </w:t>
                  </w:r>
                </w:p>
              </w:tc>
            </w:tr>
            <w:tr w14:paraId="1A6D6C8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13E831FF">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continue"/>
                  <w:tcBorders>
                    <w:tl2br w:val="nil"/>
                    <w:tr2bl w:val="nil"/>
                  </w:tcBorders>
                  <w:noWrap w:val="0"/>
                  <w:vAlign w:val="center"/>
                </w:tcPr>
                <w:p w14:paraId="56C923AA">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772" w:type="dxa"/>
                  <w:tcBorders>
                    <w:tl2br w:val="nil"/>
                    <w:tr2bl w:val="nil"/>
                  </w:tcBorders>
                  <w:noWrap w:val="0"/>
                  <w:vAlign w:val="center"/>
                </w:tcPr>
                <w:p w14:paraId="0FEFC713">
                  <w:pPr>
                    <w:widowControl/>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其中</w:t>
                  </w:r>
                </w:p>
              </w:tc>
              <w:tc>
                <w:tcPr>
                  <w:tcW w:w="898" w:type="dxa"/>
                  <w:tcBorders>
                    <w:tl2br w:val="nil"/>
                    <w:tr2bl w:val="nil"/>
                  </w:tcBorders>
                  <w:noWrap w:val="0"/>
                  <w:vAlign w:val="center"/>
                </w:tcPr>
                <w:p w14:paraId="45B80261">
                  <w:pPr>
                    <w:widowControl/>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二甲苯</w:t>
                  </w:r>
                </w:p>
              </w:tc>
              <w:tc>
                <w:tcPr>
                  <w:tcW w:w="1151" w:type="dxa"/>
                  <w:tcBorders>
                    <w:tl2br w:val="nil"/>
                    <w:tr2bl w:val="nil"/>
                  </w:tcBorders>
                  <w:noWrap w:val="0"/>
                  <w:vAlign w:val="center"/>
                </w:tcPr>
                <w:p w14:paraId="5A86792D">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0.04</w:t>
                  </w:r>
                </w:p>
              </w:tc>
              <w:tc>
                <w:tcPr>
                  <w:tcW w:w="682" w:type="dxa"/>
                  <w:vMerge w:val="continue"/>
                  <w:tcBorders>
                    <w:tl2br w:val="nil"/>
                    <w:tr2bl w:val="nil"/>
                  </w:tcBorders>
                  <w:noWrap w:val="0"/>
                  <w:vAlign w:val="center"/>
                </w:tcPr>
                <w:p w14:paraId="7245FAF9">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683" w:type="dxa"/>
                  <w:vMerge w:val="continue"/>
                  <w:tcBorders>
                    <w:tl2br w:val="nil"/>
                    <w:tr2bl w:val="nil"/>
                  </w:tcBorders>
                  <w:noWrap w:val="0"/>
                  <w:vAlign w:val="center"/>
                </w:tcPr>
                <w:p w14:paraId="1289CF72">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667" w:type="dxa"/>
                  <w:tcBorders>
                    <w:tl2br w:val="nil"/>
                    <w:tr2bl w:val="nil"/>
                  </w:tcBorders>
                  <w:shd w:val="clear" w:color="auto" w:fill="auto"/>
                  <w:noWrap w:val="0"/>
                  <w:vAlign w:val="center"/>
                </w:tcPr>
                <w:p w14:paraId="4724ED99">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其中</w:t>
                  </w:r>
                </w:p>
              </w:tc>
              <w:tc>
                <w:tcPr>
                  <w:tcW w:w="939" w:type="dxa"/>
                  <w:tcBorders>
                    <w:tl2br w:val="nil"/>
                    <w:tr2bl w:val="nil"/>
                  </w:tcBorders>
                  <w:shd w:val="clear" w:color="auto" w:fill="auto"/>
                  <w:noWrap w:val="0"/>
                  <w:vAlign w:val="center"/>
                </w:tcPr>
                <w:p w14:paraId="4755CD3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二甲苯</w:t>
                  </w:r>
                </w:p>
              </w:tc>
              <w:tc>
                <w:tcPr>
                  <w:tcW w:w="1314" w:type="dxa"/>
                  <w:tcBorders>
                    <w:tl2br w:val="nil"/>
                    <w:tr2bl w:val="nil"/>
                  </w:tcBorders>
                  <w:noWrap w:val="0"/>
                  <w:vAlign w:val="center"/>
                </w:tcPr>
                <w:p w14:paraId="5DBACFFA">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0.07 </w:t>
                  </w:r>
                </w:p>
              </w:tc>
            </w:tr>
            <w:tr w14:paraId="7A8096A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tcBorders>
                    <w:tl2br w:val="nil"/>
                    <w:tr2bl w:val="nil"/>
                  </w:tcBorders>
                  <w:noWrap w:val="0"/>
                  <w:vAlign w:val="center"/>
                </w:tcPr>
                <w:p w14:paraId="5F9B26E4">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2198" w:type="dxa"/>
                  <w:gridSpan w:val="3"/>
                  <w:tcBorders>
                    <w:tl2br w:val="nil"/>
                    <w:tr2bl w:val="nil"/>
                  </w:tcBorders>
                  <w:noWrap w:val="0"/>
                  <w:vAlign w:val="center"/>
                </w:tcPr>
                <w:p w14:paraId="4762641D">
                  <w:pPr>
                    <w:widowControl/>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底漆</w:t>
                  </w:r>
                  <w:r>
                    <w:rPr>
                      <w:rFonts w:hint="default" w:ascii="Times New Roman" w:hAnsi="Times New Roman" w:eastAsia="宋体" w:cs="Times New Roman"/>
                      <w:color w:val="auto"/>
                      <w:kern w:val="0"/>
                      <w:sz w:val="21"/>
                      <w:szCs w:val="21"/>
                    </w:rPr>
                    <w:t>固化剂</w:t>
                  </w:r>
                </w:p>
              </w:tc>
              <w:tc>
                <w:tcPr>
                  <w:tcW w:w="1151" w:type="dxa"/>
                  <w:tcBorders>
                    <w:tl2br w:val="nil"/>
                    <w:tr2bl w:val="nil"/>
                  </w:tcBorders>
                  <w:noWrap w:val="0"/>
                  <w:vAlign w:val="center"/>
                </w:tcPr>
                <w:p w14:paraId="7B4D624E">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0.8</w:t>
                  </w:r>
                </w:p>
              </w:tc>
              <w:tc>
                <w:tcPr>
                  <w:tcW w:w="2971" w:type="dxa"/>
                  <w:gridSpan w:val="4"/>
                  <w:tcBorders>
                    <w:tl2br w:val="nil"/>
                    <w:tr2bl w:val="nil"/>
                  </w:tcBorders>
                  <w:noWrap w:val="0"/>
                  <w:vAlign w:val="center"/>
                </w:tcPr>
                <w:p w14:paraId="49189E93">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废气处理系统处理量</w:t>
                  </w:r>
                </w:p>
              </w:tc>
              <w:tc>
                <w:tcPr>
                  <w:tcW w:w="1314" w:type="dxa"/>
                  <w:tcBorders>
                    <w:tl2br w:val="nil"/>
                    <w:tr2bl w:val="nil"/>
                  </w:tcBorders>
                  <w:noWrap w:val="0"/>
                  <w:vAlign w:val="center"/>
                </w:tcPr>
                <w:p w14:paraId="598DD877">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3.81 </w:t>
                  </w:r>
                </w:p>
              </w:tc>
            </w:tr>
            <w:tr w14:paraId="1AEEFA3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restart"/>
                  <w:tcBorders>
                    <w:tl2br w:val="nil"/>
                    <w:tr2bl w:val="nil"/>
                  </w:tcBorders>
                  <w:noWrap w:val="0"/>
                  <w:vAlign w:val="center"/>
                </w:tcPr>
                <w:p w14:paraId="5E6B37AA">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其中</w:t>
                  </w:r>
                </w:p>
              </w:tc>
              <w:tc>
                <w:tcPr>
                  <w:tcW w:w="2198" w:type="dxa"/>
                  <w:gridSpan w:val="3"/>
                  <w:tcBorders>
                    <w:tl2br w:val="nil"/>
                    <w:tr2bl w:val="nil"/>
                  </w:tcBorders>
                  <w:noWrap w:val="0"/>
                  <w:vAlign w:val="center"/>
                </w:tcPr>
                <w:p w14:paraId="175FC582">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固态分</w:t>
                  </w:r>
                </w:p>
              </w:tc>
              <w:tc>
                <w:tcPr>
                  <w:tcW w:w="1151" w:type="dxa"/>
                  <w:tcBorders>
                    <w:tl2br w:val="nil"/>
                    <w:tr2bl w:val="nil"/>
                  </w:tcBorders>
                  <w:noWrap w:val="0"/>
                  <w:vAlign w:val="center"/>
                </w:tcPr>
                <w:p w14:paraId="51AB7189">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0.38</w:t>
                  </w:r>
                </w:p>
              </w:tc>
              <w:tc>
                <w:tcPr>
                  <w:tcW w:w="682" w:type="dxa"/>
                  <w:vMerge w:val="restart"/>
                  <w:tcBorders>
                    <w:tl2br w:val="nil"/>
                    <w:tr2bl w:val="nil"/>
                  </w:tcBorders>
                  <w:noWrap w:val="0"/>
                  <w:vAlign w:val="center"/>
                </w:tcPr>
                <w:p w14:paraId="0361DBC7">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2289" w:type="dxa"/>
                  <w:gridSpan w:val="3"/>
                  <w:tcBorders>
                    <w:tl2br w:val="nil"/>
                    <w:tr2bl w:val="nil"/>
                  </w:tcBorders>
                  <w:noWrap w:val="0"/>
                  <w:vAlign w:val="center"/>
                </w:tcPr>
                <w:p w14:paraId="105F01D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颗粒物</w:t>
                  </w:r>
                </w:p>
              </w:tc>
              <w:tc>
                <w:tcPr>
                  <w:tcW w:w="1314" w:type="dxa"/>
                  <w:tcBorders>
                    <w:tl2br w:val="nil"/>
                    <w:tr2bl w:val="nil"/>
                  </w:tcBorders>
                  <w:noWrap w:val="0"/>
                  <w:vAlign w:val="center"/>
                </w:tcPr>
                <w:p w14:paraId="6DAD47B0">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0.94 </w:t>
                  </w:r>
                </w:p>
              </w:tc>
            </w:tr>
            <w:tr w14:paraId="599470B6">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7389D717">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2198" w:type="dxa"/>
                  <w:gridSpan w:val="3"/>
                  <w:tcBorders>
                    <w:tl2br w:val="nil"/>
                    <w:tr2bl w:val="nil"/>
                  </w:tcBorders>
                  <w:noWrap w:val="0"/>
                  <w:vAlign w:val="center"/>
                </w:tcPr>
                <w:p w14:paraId="3397D22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挥发分</w:t>
                  </w:r>
                </w:p>
              </w:tc>
              <w:tc>
                <w:tcPr>
                  <w:tcW w:w="1151" w:type="dxa"/>
                  <w:tcBorders>
                    <w:tl2br w:val="nil"/>
                    <w:tr2bl w:val="nil"/>
                  </w:tcBorders>
                  <w:noWrap w:val="0"/>
                  <w:vAlign w:val="center"/>
                </w:tcPr>
                <w:p w14:paraId="67C1CDC3">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0.42</w:t>
                  </w:r>
                </w:p>
              </w:tc>
              <w:tc>
                <w:tcPr>
                  <w:tcW w:w="682" w:type="dxa"/>
                  <w:vMerge w:val="continue"/>
                  <w:tcBorders>
                    <w:tl2br w:val="nil"/>
                    <w:tr2bl w:val="nil"/>
                  </w:tcBorders>
                  <w:noWrap w:val="0"/>
                  <w:vAlign w:val="center"/>
                </w:tcPr>
                <w:p w14:paraId="57CC4D68">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2289" w:type="dxa"/>
                  <w:gridSpan w:val="3"/>
                  <w:tcBorders>
                    <w:tl2br w:val="nil"/>
                    <w:tr2bl w:val="nil"/>
                  </w:tcBorders>
                  <w:noWrap w:val="0"/>
                  <w:vAlign w:val="center"/>
                </w:tcPr>
                <w:p w14:paraId="4B1073F7">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非甲烷总烃</w:t>
                  </w:r>
                </w:p>
              </w:tc>
              <w:tc>
                <w:tcPr>
                  <w:tcW w:w="1314" w:type="dxa"/>
                  <w:tcBorders>
                    <w:tl2br w:val="nil"/>
                    <w:tr2bl w:val="nil"/>
                  </w:tcBorders>
                  <w:noWrap w:val="0"/>
                  <w:vAlign w:val="center"/>
                </w:tcPr>
                <w:p w14:paraId="3457E42F">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2.87 </w:t>
                  </w:r>
                </w:p>
              </w:tc>
            </w:tr>
            <w:tr w14:paraId="76DF70FE">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4CD83479">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restart"/>
                  <w:tcBorders>
                    <w:tl2br w:val="nil"/>
                    <w:tr2bl w:val="nil"/>
                  </w:tcBorders>
                  <w:noWrap w:val="0"/>
                  <w:vAlign w:val="center"/>
                </w:tcPr>
                <w:p w14:paraId="1AD5228F">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其中</w:t>
                  </w:r>
                </w:p>
              </w:tc>
              <w:tc>
                <w:tcPr>
                  <w:tcW w:w="1670" w:type="dxa"/>
                  <w:gridSpan w:val="2"/>
                  <w:tcBorders>
                    <w:tl2br w:val="nil"/>
                    <w:tr2bl w:val="nil"/>
                  </w:tcBorders>
                  <w:noWrap w:val="0"/>
                  <w:vAlign w:val="center"/>
                </w:tcPr>
                <w:p w14:paraId="65CC0CE5">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非甲烷总烃</w:t>
                  </w:r>
                </w:p>
              </w:tc>
              <w:tc>
                <w:tcPr>
                  <w:tcW w:w="1151" w:type="dxa"/>
                  <w:tcBorders>
                    <w:tl2br w:val="nil"/>
                    <w:tr2bl w:val="nil"/>
                  </w:tcBorders>
                  <w:noWrap w:val="0"/>
                  <w:vAlign w:val="center"/>
                </w:tcPr>
                <w:p w14:paraId="6156FF52">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0.42</w:t>
                  </w:r>
                </w:p>
              </w:tc>
              <w:tc>
                <w:tcPr>
                  <w:tcW w:w="682" w:type="dxa"/>
                  <w:vMerge w:val="continue"/>
                  <w:tcBorders>
                    <w:tl2br w:val="nil"/>
                    <w:tr2bl w:val="nil"/>
                  </w:tcBorders>
                  <w:noWrap w:val="0"/>
                  <w:vAlign w:val="center"/>
                </w:tcPr>
                <w:p w14:paraId="58F75316">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683" w:type="dxa"/>
                  <w:tcBorders>
                    <w:tl2br w:val="nil"/>
                    <w:tr2bl w:val="nil"/>
                  </w:tcBorders>
                  <w:noWrap w:val="0"/>
                  <w:vAlign w:val="center"/>
                </w:tcPr>
                <w:p w14:paraId="01CC96B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1606" w:type="dxa"/>
                  <w:gridSpan w:val="2"/>
                  <w:tcBorders>
                    <w:tl2br w:val="nil"/>
                    <w:tr2bl w:val="nil"/>
                  </w:tcBorders>
                  <w:noWrap w:val="0"/>
                  <w:vAlign w:val="center"/>
                </w:tcPr>
                <w:p w14:paraId="7DB41961">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二甲苯</w:t>
                  </w:r>
                </w:p>
              </w:tc>
              <w:tc>
                <w:tcPr>
                  <w:tcW w:w="1314" w:type="dxa"/>
                  <w:tcBorders>
                    <w:tl2br w:val="nil"/>
                    <w:tr2bl w:val="nil"/>
                  </w:tcBorders>
                  <w:noWrap w:val="0"/>
                  <w:vAlign w:val="center"/>
                </w:tcPr>
                <w:p w14:paraId="30EECC39">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 xml:space="preserve">1.39 </w:t>
                  </w:r>
                </w:p>
              </w:tc>
            </w:tr>
            <w:tr w14:paraId="03ACFBD0">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695" w:type="dxa"/>
                  <w:vMerge w:val="continue"/>
                  <w:tcBorders>
                    <w:tl2br w:val="nil"/>
                    <w:tr2bl w:val="nil"/>
                  </w:tcBorders>
                  <w:noWrap w:val="0"/>
                  <w:vAlign w:val="center"/>
                </w:tcPr>
                <w:p w14:paraId="6E210A0D">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continue"/>
                  <w:tcBorders>
                    <w:tl2br w:val="nil"/>
                    <w:tr2bl w:val="nil"/>
                  </w:tcBorders>
                  <w:noWrap w:val="0"/>
                  <w:vAlign w:val="center"/>
                </w:tcPr>
                <w:p w14:paraId="2F1117E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772" w:type="dxa"/>
                  <w:tcBorders>
                    <w:tl2br w:val="nil"/>
                    <w:tr2bl w:val="nil"/>
                  </w:tcBorders>
                  <w:noWrap w:val="0"/>
                  <w:vAlign w:val="center"/>
                </w:tcPr>
                <w:p w14:paraId="1581C746">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898" w:type="dxa"/>
                  <w:tcBorders>
                    <w:tl2br w:val="nil"/>
                    <w:tr2bl w:val="nil"/>
                  </w:tcBorders>
                  <w:noWrap w:val="0"/>
                  <w:vAlign w:val="center"/>
                </w:tcPr>
                <w:p w14:paraId="14B2DCA3">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二甲苯</w:t>
                  </w:r>
                </w:p>
              </w:tc>
              <w:tc>
                <w:tcPr>
                  <w:tcW w:w="1151" w:type="dxa"/>
                  <w:tcBorders>
                    <w:tl2br w:val="nil"/>
                    <w:tr2bl w:val="nil"/>
                  </w:tcBorders>
                  <w:noWrap w:val="0"/>
                  <w:vAlign w:val="center"/>
                </w:tcPr>
                <w:p w14:paraId="0830A73D">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0.40</w:t>
                  </w:r>
                </w:p>
              </w:tc>
              <w:tc>
                <w:tcPr>
                  <w:tcW w:w="2971" w:type="dxa"/>
                  <w:gridSpan w:val="4"/>
                  <w:tcBorders>
                    <w:tl2br w:val="nil"/>
                    <w:tr2bl w:val="nil"/>
                  </w:tcBorders>
                  <w:noWrap w:val="0"/>
                  <w:vAlign w:val="center"/>
                </w:tcPr>
                <w:p w14:paraId="1FD6D25A">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4DF63BC6">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0A8B7C23">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tcBorders>
                    <w:tl2br w:val="nil"/>
                    <w:tr2bl w:val="nil"/>
                  </w:tcBorders>
                  <w:noWrap w:val="0"/>
                  <w:vAlign w:val="center"/>
                </w:tcPr>
                <w:p w14:paraId="487547DA">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w:t>
                  </w:r>
                </w:p>
              </w:tc>
              <w:tc>
                <w:tcPr>
                  <w:tcW w:w="2198" w:type="dxa"/>
                  <w:gridSpan w:val="3"/>
                  <w:tcBorders>
                    <w:tl2br w:val="nil"/>
                    <w:tr2bl w:val="nil"/>
                  </w:tcBorders>
                  <w:noWrap w:val="0"/>
                  <w:vAlign w:val="center"/>
                </w:tcPr>
                <w:p w14:paraId="60CC5DAD">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面漆固化剂</w:t>
                  </w:r>
                </w:p>
              </w:tc>
              <w:tc>
                <w:tcPr>
                  <w:tcW w:w="1151" w:type="dxa"/>
                  <w:tcBorders>
                    <w:tl2br w:val="nil"/>
                    <w:tr2bl w:val="nil"/>
                  </w:tcBorders>
                  <w:noWrap w:val="0"/>
                  <w:vAlign w:val="center"/>
                </w:tcPr>
                <w:p w14:paraId="69D2DA2B">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0.7</w:t>
                  </w:r>
                </w:p>
              </w:tc>
              <w:tc>
                <w:tcPr>
                  <w:tcW w:w="2971" w:type="dxa"/>
                  <w:gridSpan w:val="4"/>
                  <w:tcBorders>
                    <w:tl2br w:val="nil"/>
                    <w:tr2bl w:val="nil"/>
                  </w:tcBorders>
                  <w:noWrap w:val="0"/>
                  <w:vAlign w:val="center"/>
                </w:tcPr>
                <w:p w14:paraId="5CCBCCB3">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15C913A1">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417A20E0">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restart"/>
                  <w:tcBorders>
                    <w:tl2br w:val="nil"/>
                    <w:tr2bl w:val="nil"/>
                  </w:tcBorders>
                  <w:shd w:val="clear" w:color="auto" w:fill="auto"/>
                  <w:noWrap w:val="0"/>
                  <w:vAlign w:val="center"/>
                </w:tcPr>
                <w:p w14:paraId="471133A1">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其中</w:t>
                  </w:r>
                </w:p>
                <w:p w14:paraId="294BEB4F">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2198" w:type="dxa"/>
                  <w:gridSpan w:val="3"/>
                  <w:tcBorders>
                    <w:tl2br w:val="nil"/>
                    <w:tr2bl w:val="nil"/>
                  </w:tcBorders>
                  <w:shd w:val="clear" w:color="auto" w:fill="auto"/>
                  <w:noWrap w:val="0"/>
                  <w:vAlign w:val="center"/>
                </w:tcPr>
                <w:p w14:paraId="4A00B3CA">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固态分</w:t>
                  </w:r>
                </w:p>
              </w:tc>
              <w:tc>
                <w:tcPr>
                  <w:tcW w:w="1151" w:type="dxa"/>
                  <w:tcBorders>
                    <w:tl2br w:val="nil"/>
                    <w:tr2bl w:val="nil"/>
                  </w:tcBorders>
                  <w:noWrap w:val="0"/>
                  <w:vAlign w:val="center"/>
                </w:tcPr>
                <w:p w14:paraId="1165DA4E">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0.55</w:t>
                  </w:r>
                </w:p>
              </w:tc>
              <w:tc>
                <w:tcPr>
                  <w:tcW w:w="2971" w:type="dxa"/>
                  <w:gridSpan w:val="4"/>
                  <w:tcBorders>
                    <w:tl2br w:val="nil"/>
                    <w:tr2bl w:val="nil"/>
                  </w:tcBorders>
                  <w:noWrap w:val="0"/>
                  <w:vAlign w:val="center"/>
                </w:tcPr>
                <w:p w14:paraId="5C7AC07B">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5C9E7BC1">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10BE0C97">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3A5A122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2198" w:type="dxa"/>
                  <w:gridSpan w:val="3"/>
                  <w:tcBorders>
                    <w:tl2br w:val="nil"/>
                    <w:tr2bl w:val="nil"/>
                  </w:tcBorders>
                  <w:shd w:val="clear" w:color="auto" w:fill="auto"/>
                  <w:noWrap w:val="0"/>
                  <w:vAlign w:val="center"/>
                </w:tcPr>
                <w:p w14:paraId="0822F0C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挥发分</w:t>
                  </w:r>
                </w:p>
              </w:tc>
              <w:tc>
                <w:tcPr>
                  <w:tcW w:w="1151" w:type="dxa"/>
                  <w:tcBorders>
                    <w:tl2br w:val="nil"/>
                    <w:tr2bl w:val="nil"/>
                  </w:tcBorders>
                  <w:noWrap w:val="0"/>
                  <w:vAlign w:val="center"/>
                </w:tcPr>
                <w:p w14:paraId="0711DEBF">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0.15</w:t>
                  </w:r>
                </w:p>
              </w:tc>
              <w:tc>
                <w:tcPr>
                  <w:tcW w:w="2971" w:type="dxa"/>
                  <w:gridSpan w:val="4"/>
                  <w:tcBorders>
                    <w:tl2br w:val="nil"/>
                    <w:tr2bl w:val="nil"/>
                  </w:tcBorders>
                  <w:noWrap w:val="0"/>
                  <w:vAlign w:val="center"/>
                </w:tcPr>
                <w:p w14:paraId="20AFC376">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391CF8FD">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4F07F82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0C801455">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restart"/>
                  <w:tcBorders>
                    <w:tl2br w:val="nil"/>
                    <w:tr2bl w:val="nil"/>
                  </w:tcBorders>
                  <w:shd w:val="clear" w:color="auto" w:fill="auto"/>
                  <w:noWrap w:val="0"/>
                  <w:vAlign w:val="center"/>
                </w:tcPr>
                <w:p w14:paraId="24C2F6CC">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其中</w:t>
                  </w:r>
                </w:p>
                <w:p w14:paraId="4BCD94DF">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670" w:type="dxa"/>
                  <w:gridSpan w:val="2"/>
                  <w:tcBorders>
                    <w:tl2br w:val="nil"/>
                    <w:tr2bl w:val="nil"/>
                  </w:tcBorders>
                  <w:shd w:val="clear" w:color="auto" w:fill="auto"/>
                  <w:noWrap w:val="0"/>
                  <w:vAlign w:val="center"/>
                </w:tcPr>
                <w:p w14:paraId="47A7BBFD">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非甲烷总烃</w:t>
                  </w:r>
                </w:p>
              </w:tc>
              <w:tc>
                <w:tcPr>
                  <w:tcW w:w="1151" w:type="dxa"/>
                  <w:tcBorders>
                    <w:tl2br w:val="nil"/>
                    <w:tr2bl w:val="nil"/>
                  </w:tcBorders>
                  <w:noWrap w:val="0"/>
                  <w:vAlign w:val="center"/>
                </w:tcPr>
                <w:p w14:paraId="1EF0C9FB">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0.15</w:t>
                  </w:r>
                </w:p>
              </w:tc>
              <w:tc>
                <w:tcPr>
                  <w:tcW w:w="2971" w:type="dxa"/>
                  <w:gridSpan w:val="4"/>
                  <w:tcBorders>
                    <w:tl2br w:val="nil"/>
                    <w:tr2bl w:val="nil"/>
                  </w:tcBorders>
                  <w:noWrap w:val="0"/>
                  <w:vAlign w:val="center"/>
                </w:tcPr>
                <w:p w14:paraId="43BB2246">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1EB3A1F1">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6ABC7365">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4D52BED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continue"/>
                  <w:tcBorders>
                    <w:tl2br w:val="nil"/>
                    <w:tr2bl w:val="nil"/>
                  </w:tcBorders>
                  <w:noWrap w:val="0"/>
                  <w:vAlign w:val="center"/>
                </w:tcPr>
                <w:p w14:paraId="14CAA7F5">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772" w:type="dxa"/>
                  <w:tcBorders>
                    <w:tl2br w:val="nil"/>
                    <w:tr2bl w:val="nil"/>
                  </w:tcBorders>
                  <w:shd w:val="clear" w:color="auto" w:fill="auto"/>
                  <w:noWrap w:val="0"/>
                  <w:vAlign w:val="center"/>
                </w:tcPr>
                <w:p w14:paraId="529543C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其中</w:t>
                  </w:r>
                </w:p>
              </w:tc>
              <w:tc>
                <w:tcPr>
                  <w:tcW w:w="898" w:type="dxa"/>
                  <w:tcBorders>
                    <w:tl2br w:val="nil"/>
                    <w:tr2bl w:val="nil"/>
                  </w:tcBorders>
                  <w:shd w:val="clear" w:color="auto" w:fill="auto"/>
                  <w:noWrap w:val="0"/>
                  <w:vAlign w:val="center"/>
                </w:tcPr>
                <w:p w14:paraId="4FA46E4D">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二甲苯</w:t>
                  </w:r>
                </w:p>
              </w:tc>
              <w:tc>
                <w:tcPr>
                  <w:tcW w:w="1151" w:type="dxa"/>
                  <w:tcBorders>
                    <w:tl2br w:val="nil"/>
                    <w:tr2bl w:val="nil"/>
                  </w:tcBorders>
                  <w:noWrap w:val="0"/>
                  <w:vAlign w:val="center"/>
                </w:tcPr>
                <w:p w14:paraId="44E39A0A">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0.02</w:t>
                  </w:r>
                </w:p>
              </w:tc>
              <w:tc>
                <w:tcPr>
                  <w:tcW w:w="2971" w:type="dxa"/>
                  <w:gridSpan w:val="4"/>
                  <w:tcBorders>
                    <w:tl2br w:val="nil"/>
                    <w:tr2bl w:val="nil"/>
                  </w:tcBorders>
                  <w:noWrap w:val="0"/>
                  <w:vAlign w:val="center"/>
                </w:tcPr>
                <w:p w14:paraId="748DFC26">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752B3223">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187A0CE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tcBorders>
                    <w:tl2br w:val="nil"/>
                    <w:tr2bl w:val="nil"/>
                  </w:tcBorders>
                  <w:noWrap w:val="0"/>
                  <w:vAlign w:val="center"/>
                </w:tcPr>
                <w:p w14:paraId="57396419">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5</w:t>
                  </w:r>
                </w:p>
              </w:tc>
              <w:tc>
                <w:tcPr>
                  <w:tcW w:w="2198" w:type="dxa"/>
                  <w:gridSpan w:val="3"/>
                  <w:tcBorders>
                    <w:tl2br w:val="nil"/>
                    <w:tr2bl w:val="nil"/>
                  </w:tcBorders>
                  <w:noWrap w:val="0"/>
                  <w:vAlign w:val="center"/>
                </w:tcPr>
                <w:p w14:paraId="19D75391">
                  <w:pPr>
                    <w:widowControl/>
                    <w:adjustRightInd w:val="0"/>
                    <w:snapToGrid w:val="0"/>
                    <w:spacing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val="en-US" w:eastAsia="zh-CN"/>
                    </w:rPr>
                    <w:t>底漆</w:t>
                  </w:r>
                  <w:r>
                    <w:rPr>
                      <w:rFonts w:hint="default" w:ascii="Times New Roman" w:hAnsi="Times New Roman" w:eastAsia="宋体" w:cs="Times New Roman"/>
                      <w:color w:val="auto"/>
                      <w:kern w:val="0"/>
                      <w:sz w:val="21"/>
                      <w:szCs w:val="21"/>
                      <w:lang w:eastAsia="zh-CN"/>
                    </w:rPr>
                    <w:t>稀释剂</w:t>
                  </w:r>
                </w:p>
              </w:tc>
              <w:tc>
                <w:tcPr>
                  <w:tcW w:w="1151" w:type="dxa"/>
                  <w:tcBorders>
                    <w:tl2br w:val="nil"/>
                    <w:tr2bl w:val="nil"/>
                  </w:tcBorders>
                  <w:noWrap w:val="0"/>
                  <w:vAlign w:val="center"/>
                </w:tcPr>
                <w:p w14:paraId="7A91453D">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p>
              </w:tc>
              <w:tc>
                <w:tcPr>
                  <w:tcW w:w="2971" w:type="dxa"/>
                  <w:gridSpan w:val="4"/>
                  <w:tcBorders>
                    <w:tl2br w:val="nil"/>
                    <w:tr2bl w:val="nil"/>
                  </w:tcBorders>
                  <w:noWrap w:val="0"/>
                  <w:vAlign w:val="center"/>
                </w:tcPr>
                <w:p w14:paraId="0A34C466">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3FF70902">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5EEB066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restart"/>
                  <w:tcBorders>
                    <w:tl2br w:val="nil"/>
                    <w:tr2bl w:val="nil"/>
                  </w:tcBorders>
                  <w:noWrap w:val="0"/>
                  <w:vAlign w:val="center"/>
                </w:tcPr>
                <w:p w14:paraId="32E3C84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2198" w:type="dxa"/>
                  <w:gridSpan w:val="3"/>
                  <w:tcBorders>
                    <w:tl2br w:val="nil"/>
                    <w:tr2bl w:val="nil"/>
                  </w:tcBorders>
                  <w:noWrap w:val="0"/>
                  <w:vAlign w:val="center"/>
                </w:tcPr>
                <w:p w14:paraId="6ED46D73">
                  <w:pPr>
                    <w:widowControl/>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挥发分</w:t>
                  </w:r>
                </w:p>
              </w:tc>
              <w:tc>
                <w:tcPr>
                  <w:tcW w:w="1151" w:type="dxa"/>
                  <w:tcBorders>
                    <w:tl2br w:val="nil"/>
                    <w:tr2bl w:val="nil"/>
                  </w:tcBorders>
                  <w:noWrap w:val="0"/>
                  <w:vAlign w:val="center"/>
                </w:tcPr>
                <w:p w14:paraId="627BD88E">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p>
              </w:tc>
              <w:tc>
                <w:tcPr>
                  <w:tcW w:w="2971" w:type="dxa"/>
                  <w:gridSpan w:val="4"/>
                  <w:tcBorders>
                    <w:tl2br w:val="nil"/>
                    <w:tr2bl w:val="nil"/>
                  </w:tcBorders>
                  <w:noWrap w:val="0"/>
                  <w:vAlign w:val="center"/>
                </w:tcPr>
                <w:p w14:paraId="06E16B77">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2F6D6CF7">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39D0F87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2E2537D4">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restart"/>
                  <w:tcBorders>
                    <w:tl2br w:val="nil"/>
                    <w:tr2bl w:val="nil"/>
                  </w:tcBorders>
                  <w:noWrap w:val="0"/>
                  <w:vAlign w:val="center"/>
                </w:tcPr>
                <w:p w14:paraId="5D545601">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1670" w:type="dxa"/>
                  <w:gridSpan w:val="2"/>
                  <w:tcBorders>
                    <w:tl2br w:val="nil"/>
                    <w:tr2bl w:val="nil"/>
                  </w:tcBorders>
                  <w:noWrap w:val="0"/>
                  <w:vAlign w:val="center"/>
                </w:tcPr>
                <w:p w14:paraId="527C69F4">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非甲烷总烃</w:t>
                  </w:r>
                </w:p>
              </w:tc>
              <w:tc>
                <w:tcPr>
                  <w:tcW w:w="1151" w:type="dxa"/>
                  <w:tcBorders>
                    <w:tl2br w:val="nil"/>
                    <w:tr2bl w:val="nil"/>
                  </w:tcBorders>
                  <w:noWrap w:val="0"/>
                  <w:vAlign w:val="center"/>
                </w:tcPr>
                <w:p w14:paraId="40C95FFF">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p>
              </w:tc>
              <w:tc>
                <w:tcPr>
                  <w:tcW w:w="2971" w:type="dxa"/>
                  <w:gridSpan w:val="4"/>
                  <w:tcBorders>
                    <w:tl2br w:val="nil"/>
                    <w:tr2bl w:val="nil"/>
                  </w:tcBorders>
                  <w:noWrap w:val="0"/>
                  <w:vAlign w:val="center"/>
                </w:tcPr>
                <w:p w14:paraId="554B3FD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2E45D3E8">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58FDB73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24CCEA45">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vMerge w:val="continue"/>
                  <w:tcBorders>
                    <w:tl2br w:val="nil"/>
                    <w:tr2bl w:val="nil"/>
                  </w:tcBorders>
                  <w:noWrap w:val="0"/>
                  <w:vAlign w:val="center"/>
                </w:tcPr>
                <w:p w14:paraId="13CFCBA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772" w:type="dxa"/>
                  <w:tcBorders>
                    <w:tl2br w:val="nil"/>
                    <w:tr2bl w:val="nil"/>
                  </w:tcBorders>
                  <w:noWrap w:val="0"/>
                  <w:vAlign w:val="center"/>
                </w:tcPr>
                <w:p w14:paraId="16C682E3">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898" w:type="dxa"/>
                  <w:tcBorders>
                    <w:tl2br w:val="nil"/>
                    <w:tr2bl w:val="nil"/>
                  </w:tcBorders>
                  <w:noWrap w:val="0"/>
                  <w:vAlign w:val="center"/>
                </w:tcPr>
                <w:p w14:paraId="51A56FF6">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二甲苯</w:t>
                  </w:r>
                </w:p>
              </w:tc>
              <w:tc>
                <w:tcPr>
                  <w:tcW w:w="1151" w:type="dxa"/>
                  <w:tcBorders>
                    <w:tl2br w:val="nil"/>
                    <w:tr2bl w:val="nil"/>
                  </w:tcBorders>
                  <w:noWrap w:val="0"/>
                  <w:vAlign w:val="center"/>
                </w:tcPr>
                <w:p w14:paraId="40363008">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1.25</w:t>
                  </w:r>
                </w:p>
              </w:tc>
              <w:tc>
                <w:tcPr>
                  <w:tcW w:w="2971" w:type="dxa"/>
                  <w:gridSpan w:val="4"/>
                  <w:tcBorders>
                    <w:tl2br w:val="nil"/>
                    <w:tr2bl w:val="nil"/>
                  </w:tcBorders>
                  <w:noWrap w:val="0"/>
                  <w:vAlign w:val="center"/>
                </w:tcPr>
                <w:p w14:paraId="09E1B9BD">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284D1BD7">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3CD3A930">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tcBorders>
                    <w:tl2br w:val="nil"/>
                    <w:tr2bl w:val="nil"/>
                  </w:tcBorders>
                  <w:noWrap w:val="0"/>
                  <w:vAlign w:val="center"/>
                </w:tcPr>
                <w:p w14:paraId="2C71DB3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6</w:t>
                  </w:r>
                </w:p>
              </w:tc>
              <w:tc>
                <w:tcPr>
                  <w:tcW w:w="2198" w:type="dxa"/>
                  <w:gridSpan w:val="3"/>
                  <w:tcBorders>
                    <w:tl2br w:val="nil"/>
                    <w:tr2bl w:val="nil"/>
                  </w:tcBorders>
                  <w:noWrap w:val="0"/>
                  <w:vAlign w:val="center"/>
                </w:tcPr>
                <w:p w14:paraId="464A3198">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面漆</w:t>
                  </w:r>
                  <w:r>
                    <w:rPr>
                      <w:rFonts w:hint="default" w:ascii="Times New Roman" w:hAnsi="Times New Roman" w:eastAsia="宋体" w:cs="Times New Roman"/>
                      <w:color w:val="auto"/>
                      <w:kern w:val="0"/>
                      <w:sz w:val="21"/>
                      <w:szCs w:val="21"/>
                      <w:lang w:eastAsia="zh-CN"/>
                    </w:rPr>
                    <w:t>稀释剂</w:t>
                  </w:r>
                </w:p>
              </w:tc>
              <w:tc>
                <w:tcPr>
                  <w:tcW w:w="1151" w:type="dxa"/>
                  <w:tcBorders>
                    <w:tl2br w:val="nil"/>
                    <w:tr2bl w:val="nil"/>
                  </w:tcBorders>
                  <w:noWrap w:val="0"/>
                  <w:vAlign w:val="center"/>
                </w:tcPr>
                <w:p w14:paraId="588CBD60">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2971" w:type="dxa"/>
                  <w:gridSpan w:val="4"/>
                  <w:tcBorders>
                    <w:tl2br w:val="nil"/>
                    <w:tr2bl w:val="nil"/>
                  </w:tcBorders>
                  <w:noWrap w:val="0"/>
                  <w:vAlign w:val="center"/>
                </w:tcPr>
                <w:p w14:paraId="56B0A7F3">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0E3EE70C">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273BE98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restart"/>
                  <w:tcBorders>
                    <w:tl2br w:val="nil"/>
                    <w:tr2bl w:val="nil"/>
                  </w:tcBorders>
                  <w:noWrap w:val="0"/>
                  <w:vAlign w:val="center"/>
                </w:tcPr>
                <w:p w14:paraId="4C65F9E3">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2198" w:type="dxa"/>
                  <w:gridSpan w:val="3"/>
                  <w:tcBorders>
                    <w:tl2br w:val="nil"/>
                    <w:tr2bl w:val="nil"/>
                  </w:tcBorders>
                  <w:noWrap w:val="0"/>
                  <w:vAlign w:val="center"/>
                </w:tcPr>
                <w:p w14:paraId="135C9E07">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挥发分</w:t>
                  </w:r>
                </w:p>
              </w:tc>
              <w:tc>
                <w:tcPr>
                  <w:tcW w:w="1151" w:type="dxa"/>
                  <w:tcBorders>
                    <w:tl2br w:val="nil"/>
                    <w:tr2bl w:val="nil"/>
                  </w:tcBorders>
                  <w:noWrap w:val="0"/>
                  <w:vAlign w:val="center"/>
                </w:tcPr>
                <w:p w14:paraId="258D4A09">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2971" w:type="dxa"/>
                  <w:gridSpan w:val="4"/>
                  <w:tcBorders>
                    <w:tl2br w:val="nil"/>
                    <w:tr2bl w:val="nil"/>
                  </w:tcBorders>
                  <w:noWrap w:val="0"/>
                  <w:vAlign w:val="center"/>
                </w:tcPr>
                <w:p w14:paraId="1CA26057">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0C4884FF">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3BA4F7B0">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95" w:type="dxa"/>
                  <w:vMerge w:val="continue"/>
                  <w:tcBorders>
                    <w:tl2br w:val="nil"/>
                    <w:tr2bl w:val="nil"/>
                  </w:tcBorders>
                  <w:noWrap w:val="0"/>
                  <w:vAlign w:val="center"/>
                </w:tcPr>
                <w:p w14:paraId="106F31DB">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528" w:type="dxa"/>
                  <w:tcBorders>
                    <w:tl2br w:val="nil"/>
                    <w:tr2bl w:val="nil"/>
                  </w:tcBorders>
                  <w:noWrap w:val="0"/>
                  <w:vAlign w:val="center"/>
                </w:tcPr>
                <w:p w14:paraId="3B8EA20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其中</w:t>
                  </w:r>
                </w:p>
              </w:tc>
              <w:tc>
                <w:tcPr>
                  <w:tcW w:w="1670" w:type="dxa"/>
                  <w:gridSpan w:val="2"/>
                  <w:tcBorders>
                    <w:tl2br w:val="nil"/>
                    <w:tr2bl w:val="nil"/>
                  </w:tcBorders>
                  <w:noWrap w:val="0"/>
                  <w:vAlign w:val="center"/>
                </w:tcPr>
                <w:p w14:paraId="0DA68638">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非甲烷总烃</w:t>
                  </w:r>
                </w:p>
              </w:tc>
              <w:tc>
                <w:tcPr>
                  <w:tcW w:w="1151" w:type="dxa"/>
                  <w:tcBorders>
                    <w:tl2br w:val="nil"/>
                    <w:tr2bl w:val="nil"/>
                  </w:tcBorders>
                  <w:noWrap w:val="0"/>
                  <w:vAlign w:val="center"/>
                </w:tcPr>
                <w:p w14:paraId="7D6CC02C">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2971" w:type="dxa"/>
                  <w:gridSpan w:val="4"/>
                  <w:tcBorders>
                    <w:tl2br w:val="nil"/>
                    <w:tr2bl w:val="nil"/>
                  </w:tcBorders>
                  <w:noWrap w:val="0"/>
                  <w:vAlign w:val="center"/>
                </w:tcPr>
                <w:p w14:paraId="7B2C1EEE">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p>
              </w:tc>
              <w:tc>
                <w:tcPr>
                  <w:tcW w:w="1314" w:type="dxa"/>
                  <w:tcBorders>
                    <w:tl2br w:val="nil"/>
                    <w:tr2bl w:val="nil"/>
                  </w:tcBorders>
                  <w:noWrap w:val="0"/>
                  <w:vAlign w:val="center"/>
                </w:tcPr>
                <w:p w14:paraId="02ABDDE8">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p>
              </w:tc>
            </w:tr>
            <w:tr w14:paraId="0046E6A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93" w:type="dxa"/>
                  <w:gridSpan w:val="4"/>
                  <w:tcBorders>
                    <w:tl2br w:val="nil"/>
                    <w:tr2bl w:val="nil"/>
                  </w:tcBorders>
                  <w:noWrap w:val="0"/>
                  <w:vAlign w:val="center"/>
                </w:tcPr>
                <w:p w14:paraId="2F0601B0">
                  <w:pPr>
                    <w:widowControl/>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1+2+3</w:t>
                  </w:r>
                  <w:r>
                    <w:rPr>
                      <w:rFonts w:hint="default" w:ascii="Times New Roman" w:hAnsi="Times New Roman" w:eastAsia="宋体" w:cs="Times New Roman"/>
                      <w:color w:val="auto"/>
                      <w:kern w:val="0"/>
                      <w:sz w:val="21"/>
                      <w:szCs w:val="21"/>
                      <w:lang w:val="en-US" w:eastAsia="zh-CN"/>
                    </w:rPr>
                    <w:t>+4+5+6+7+8</w:t>
                  </w:r>
                </w:p>
              </w:tc>
              <w:tc>
                <w:tcPr>
                  <w:tcW w:w="1151" w:type="dxa"/>
                  <w:tcBorders>
                    <w:tl2br w:val="nil"/>
                    <w:tr2bl w:val="nil"/>
                  </w:tcBorders>
                  <w:noWrap w:val="0"/>
                  <w:vAlign w:val="center"/>
                </w:tcPr>
                <w:p w14:paraId="0C33D7F2">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9.5</w:t>
                  </w:r>
                </w:p>
              </w:tc>
              <w:tc>
                <w:tcPr>
                  <w:tcW w:w="2971" w:type="dxa"/>
                  <w:gridSpan w:val="4"/>
                  <w:tcBorders>
                    <w:tl2br w:val="nil"/>
                    <w:tr2bl w:val="nil"/>
                  </w:tcBorders>
                  <w:noWrap w:val="0"/>
                  <w:vAlign w:val="center"/>
                </w:tcPr>
                <w:p w14:paraId="43521470">
                  <w:pPr>
                    <w:widowControl/>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合计</w:t>
                  </w:r>
                </w:p>
              </w:tc>
              <w:tc>
                <w:tcPr>
                  <w:tcW w:w="1314" w:type="dxa"/>
                  <w:tcBorders>
                    <w:tl2br w:val="nil"/>
                    <w:tr2bl w:val="nil"/>
                  </w:tcBorders>
                  <w:noWrap w:val="0"/>
                  <w:vAlign w:val="center"/>
                </w:tcPr>
                <w:p w14:paraId="16610A09">
                  <w:pPr>
                    <w:widowControl/>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9.5</w:t>
                  </w:r>
                </w:p>
              </w:tc>
            </w:tr>
          </w:tbl>
          <w:p w14:paraId="44AE156B">
            <w:pPr>
              <w:spacing w:line="360" w:lineRule="auto"/>
              <w:jc w:val="center"/>
              <w:rPr>
                <w:rFonts w:hint="default" w:ascii="Times New Roman" w:hAnsi="Times New Roman" w:eastAsia="宋体" w:cs="Times New Roman"/>
                <w:b w:val="0"/>
                <w:bCs/>
                <w:color w:val="auto"/>
                <w:kern w:val="0"/>
                <w:sz w:val="24"/>
                <w:szCs w:val="20"/>
                <w:highlight w:val="yellow"/>
                <w:lang w:val="en-US" w:eastAsia="zh-CN"/>
              </w:rPr>
            </w:pPr>
            <w:r>
              <w:rPr>
                <w:rFonts w:hint="default" w:ascii="Times New Roman" w:hAnsi="Times New Roman" w:eastAsia="宋体" w:cs="Times New Roman"/>
                <w:color w:val="auto"/>
              </w:rPr>
              <w:object>
                <v:shape id="_x0000_i1025" o:spt="75" type="#_x0000_t75" style="height:191.65pt;width:418.95pt;" o:ole="t" filled="f" o:preferrelative="t" stroked="f" coordsize="21600,21600">
                  <v:path/>
                  <v:fill on="f" focussize="0,0"/>
                  <v:stroke on="f"/>
                  <v:imagedata r:id="rId10" o:title=""/>
                  <o:lock v:ext="edit" aspectratio="t"/>
                  <w10:wrap type="none"/>
                  <w10:anchorlock/>
                </v:shape>
                <o:OLEObject Type="Embed" ProgID="Visio.Drawing.11" ShapeID="_x0000_i1025" DrawAspect="Content" ObjectID="_1468075725" r:id="rId9">
                  <o:LockedField>false</o:LockedField>
                </o:OLEObject>
              </w:object>
            </w:r>
            <w:r>
              <w:rPr>
                <w:rFonts w:hint="default" w:ascii="Times New Roman" w:hAnsi="Times New Roman" w:eastAsia="宋体" w:cs="Times New Roman"/>
                <w:b/>
                <w:bCs/>
                <w:color w:val="auto"/>
                <w:lang w:val="en-US" w:eastAsia="zh-CN"/>
              </w:rPr>
              <w:t xml:space="preserve">图2-1 </w:t>
            </w:r>
            <w:r>
              <w:rPr>
                <w:rFonts w:hint="default" w:ascii="Times New Roman" w:hAnsi="Times New Roman" w:eastAsia="宋体" w:cs="Times New Roman"/>
                <w:b/>
                <w:bCs/>
                <w:color w:val="auto"/>
                <w:kern w:val="0"/>
                <w:sz w:val="24"/>
                <w:szCs w:val="20"/>
                <w:highlight w:val="none"/>
                <w:lang w:val="en-US" w:eastAsia="zh-CN"/>
              </w:rPr>
              <w:t>油漆平衡图</w:t>
            </w:r>
          </w:p>
          <w:p w14:paraId="69739EC0">
            <w:pPr>
              <w:spacing w:line="360" w:lineRule="auto"/>
              <w:ind w:firstLine="482" w:firstLineChars="200"/>
              <w:rPr>
                <w:rFonts w:hint="default" w:ascii="Times New Roman" w:hAnsi="Times New Roman" w:eastAsia="宋体" w:cs="Times New Roman"/>
                <w:b/>
                <w:color w:val="auto"/>
                <w:kern w:val="0"/>
                <w:sz w:val="24"/>
                <w:szCs w:val="20"/>
              </w:rPr>
            </w:pPr>
            <w:r>
              <w:rPr>
                <w:rFonts w:hint="default" w:ascii="Times New Roman" w:hAnsi="Times New Roman" w:eastAsia="宋体" w:cs="Times New Roman"/>
                <w:b/>
                <w:color w:val="auto"/>
                <w:kern w:val="0"/>
                <w:sz w:val="24"/>
                <w:szCs w:val="20"/>
                <w:lang w:val="en-US" w:eastAsia="zh-CN"/>
              </w:rPr>
              <w:t>4</w:t>
            </w:r>
            <w:r>
              <w:rPr>
                <w:rFonts w:hint="default" w:ascii="Times New Roman" w:hAnsi="Times New Roman" w:eastAsia="宋体" w:cs="Times New Roman"/>
                <w:b/>
                <w:color w:val="auto"/>
                <w:kern w:val="0"/>
                <w:sz w:val="24"/>
                <w:szCs w:val="20"/>
                <w:lang w:eastAsia="zh-CN"/>
              </w:rPr>
              <w:t>、</w:t>
            </w:r>
            <w:r>
              <w:rPr>
                <w:rFonts w:hint="default" w:ascii="Times New Roman" w:hAnsi="Times New Roman" w:eastAsia="宋体" w:cs="Times New Roman"/>
                <w:b/>
                <w:color w:val="auto"/>
                <w:kern w:val="0"/>
                <w:sz w:val="24"/>
                <w:szCs w:val="20"/>
              </w:rPr>
              <w:t>劳动定员及工作制度</w:t>
            </w:r>
          </w:p>
          <w:p w14:paraId="1E53C3F1">
            <w:pPr>
              <w:spacing w:line="360" w:lineRule="auto"/>
              <w:ind w:firstLine="480" w:firstLineChars="200"/>
              <w:rPr>
                <w:rFonts w:hint="default" w:ascii="Times New Roman" w:hAnsi="Times New Roman" w:eastAsia="宋体" w:cs="Times New Roman"/>
                <w:color w:val="auto"/>
                <w:kern w:val="0"/>
                <w:sz w:val="24"/>
                <w:szCs w:val="22"/>
                <w:lang w:val="en-US" w:eastAsia="zh-CN"/>
              </w:rPr>
            </w:pPr>
            <w:r>
              <w:rPr>
                <w:rFonts w:hint="default" w:ascii="Times New Roman" w:hAnsi="Times New Roman" w:eastAsia="宋体" w:cs="Times New Roman"/>
                <w:color w:val="auto"/>
                <w:kern w:val="0"/>
                <w:sz w:val="24"/>
                <w:szCs w:val="22"/>
                <w:lang w:val="en-US" w:eastAsia="zh-CN"/>
              </w:rPr>
              <w:t>本项目不新增劳动定员</w:t>
            </w:r>
            <w:r>
              <w:rPr>
                <w:rFonts w:hint="default" w:ascii="Times New Roman" w:hAnsi="Times New Roman" w:eastAsia="宋体" w:cs="Times New Roman"/>
                <w:color w:val="auto"/>
                <w:kern w:val="0"/>
                <w:sz w:val="24"/>
                <w:szCs w:val="22"/>
              </w:rPr>
              <w:t>，</w:t>
            </w:r>
            <w:r>
              <w:rPr>
                <w:rFonts w:hint="default" w:ascii="Times New Roman" w:hAnsi="Times New Roman" w:eastAsia="宋体" w:cs="Times New Roman"/>
                <w:color w:val="auto"/>
                <w:kern w:val="0"/>
                <w:sz w:val="24"/>
                <w:szCs w:val="22"/>
                <w:lang w:val="en-US" w:eastAsia="zh-CN"/>
              </w:rPr>
              <w:t>全厂实行一班制，</w:t>
            </w:r>
            <w:r>
              <w:rPr>
                <w:rFonts w:hint="default" w:ascii="Times New Roman" w:hAnsi="Times New Roman" w:eastAsia="宋体" w:cs="Times New Roman"/>
                <w:color w:val="auto"/>
                <w:kern w:val="0"/>
                <w:sz w:val="24"/>
                <w:szCs w:val="22"/>
              </w:rPr>
              <w:t>每天工作</w:t>
            </w:r>
            <w:r>
              <w:rPr>
                <w:rFonts w:hint="default" w:ascii="Times New Roman" w:hAnsi="Times New Roman" w:eastAsia="宋体" w:cs="Times New Roman"/>
                <w:color w:val="auto"/>
                <w:kern w:val="0"/>
                <w:sz w:val="24"/>
                <w:szCs w:val="22"/>
                <w:lang w:val="en-US" w:eastAsia="zh-CN"/>
              </w:rPr>
              <w:t>8</w:t>
            </w:r>
            <w:r>
              <w:rPr>
                <w:rFonts w:hint="default" w:ascii="Times New Roman" w:hAnsi="Times New Roman" w:eastAsia="宋体" w:cs="Times New Roman"/>
                <w:color w:val="auto"/>
                <w:kern w:val="0"/>
                <w:sz w:val="24"/>
                <w:szCs w:val="22"/>
              </w:rPr>
              <w:t>h</w:t>
            </w:r>
            <w:r>
              <w:rPr>
                <w:rFonts w:hint="default" w:ascii="Times New Roman" w:hAnsi="Times New Roman" w:eastAsia="宋体" w:cs="Times New Roman"/>
                <w:color w:val="auto"/>
                <w:kern w:val="0"/>
                <w:sz w:val="24"/>
                <w:szCs w:val="22"/>
                <w:lang w:val="zh-TW"/>
              </w:rPr>
              <w:t>，年工作</w:t>
            </w:r>
            <w:r>
              <w:rPr>
                <w:rFonts w:hint="default" w:ascii="Times New Roman" w:hAnsi="Times New Roman" w:eastAsia="宋体" w:cs="Times New Roman"/>
                <w:color w:val="auto"/>
                <w:kern w:val="0"/>
                <w:sz w:val="24"/>
                <w:szCs w:val="22"/>
                <w:lang w:val="en-US" w:eastAsia="zh-CN"/>
              </w:rPr>
              <w:t>300</w:t>
            </w:r>
            <w:r>
              <w:rPr>
                <w:rFonts w:hint="default" w:ascii="Times New Roman" w:hAnsi="Times New Roman" w:eastAsia="宋体" w:cs="Times New Roman"/>
                <w:color w:val="auto"/>
                <w:kern w:val="0"/>
                <w:sz w:val="24"/>
                <w:szCs w:val="22"/>
                <w:lang w:val="zh-TW"/>
              </w:rPr>
              <w:t>天。</w:t>
            </w:r>
            <w:r>
              <w:rPr>
                <w:rFonts w:hint="default" w:ascii="Times New Roman" w:hAnsi="Times New Roman" w:eastAsia="宋体" w:cs="Times New Roman"/>
                <w:color w:val="auto"/>
                <w:kern w:val="0"/>
                <w:sz w:val="24"/>
                <w:szCs w:val="22"/>
                <w:lang w:val="en-US" w:eastAsia="zh-CN"/>
              </w:rPr>
              <w:t>喷漆房每天工作延长至8h，年工作300天。</w:t>
            </w:r>
          </w:p>
          <w:p w14:paraId="7448074B">
            <w:pPr>
              <w:keepNext w:val="0"/>
              <w:keepLines w:val="0"/>
              <w:pageBreakBefore w:val="0"/>
              <w:widowControl w:val="0"/>
              <w:kinsoku/>
              <w:wordWrap/>
              <w:overflowPunct/>
              <w:topLinePunct w:val="0"/>
              <w:bidi w:val="0"/>
              <w:adjustRightInd w:val="0"/>
              <w:snapToGrid/>
              <w:spacing w:line="360" w:lineRule="auto"/>
              <w:ind w:firstLine="482" w:firstLineChars="200"/>
              <w:textAlignment w:val="auto"/>
              <w:rPr>
                <w:rFonts w:hint="default" w:ascii="Times New Roman" w:hAnsi="Times New Roman" w:eastAsia="宋体" w:cs="Times New Roman"/>
                <w:b/>
                <w:bCs/>
                <w:color w:val="auto"/>
                <w:sz w:val="24"/>
                <w:szCs w:val="32"/>
                <w:lang w:val="en-US" w:eastAsia="zh-CN"/>
              </w:rPr>
            </w:pPr>
            <w:r>
              <w:rPr>
                <w:rFonts w:hint="default" w:ascii="Times New Roman" w:hAnsi="Times New Roman" w:eastAsia="宋体" w:cs="Times New Roman"/>
                <w:b/>
                <w:bCs/>
                <w:color w:val="auto"/>
                <w:sz w:val="24"/>
                <w:szCs w:val="32"/>
                <w:lang w:val="en-US" w:eastAsia="zh-CN"/>
              </w:rPr>
              <w:t>5、平面布置合理性分析</w:t>
            </w:r>
          </w:p>
          <w:p w14:paraId="74418D7C">
            <w:pPr>
              <w:keepNext w:val="0"/>
              <w:keepLines w:val="0"/>
              <w:pageBreakBefore w:val="0"/>
              <w:widowControl w:val="0"/>
              <w:kinsoku/>
              <w:wordWrap/>
              <w:overflowPunct/>
              <w:topLinePunct w:val="0"/>
              <w:bidi w:val="0"/>
              <w:adjustRightInd w:val="0"/>
              <w:snapToGrid/>
              <w:spacing w:line="360" w:lineRule="auto"/>
              <w:ind w:left="0" w:right="0" w:firstLine="480" w:firstLineChars="200"/>
              <w:textAlignment w:val="auto"/>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本项目</w:t>
            </w:r>
            <w:r>
              <w:rPr>
                <w:rFonts w:hint="default" w:ascii="Times New Roman" w:hAnsi="Times New Roman" w:eastAsia="宋体" w:cs="Times New Roman"/>
                <w:color w:val="auto"/>
                <w:kern w:val="0"/>
                <w:sz w:val="24"/>
                <w:szCs w:val="20"/>
                <w:lang w:val="en-US" w:eastAsia="zh-CN"/>
              </w:rPr>
              <w:t>TRP车间位于厂区东北角，车间内设有一条TRP洗浆机设备生产线，其中车间南跨为焊接区，中跨由西向东依次为机加、打磨、焊接、组装、喷砂，北跨由西向东依次为焊接、机加。装配车间位于TRP车间西侧。项目平面布置图见附图</w:t>
            </w:r>
            <w:r>
              <w:rPr>
                <w:rFonts w:hint="default" w:ascii="Times New Roman" w:hAnsi="Times New Roman" w:eastAsia="宋体" w:cs="Times New Roman"/>
                <w:color w:val="auto"/>
                <w:kern w:val="0"/>
                <w:sz w:val="24"/>
                <w:szCs w:val="20"/>
                <w:highlight w:val="none"/>
                <w:lang w:val="en-US" w:eastAsia="zh-CN"/>
              </w:rPr>
              <w:t>3</w:t>
            </w:r>
            <w:r>
              <w:rPr>
                <w:rFonts w:hint="default" w:ascii="Times New Roman" w:hAnsi="Times New Roman" w:eastAsia="宋体" w:cs="Times New Roman"/>
                <w:color w:val="auto"/>
                <w:kern w:val="0"/>
                <w:sz w:val="24"/>
                <w:szCs w:val="20"/>
              </w:rPr>
              <w:t>。</w:t>
            </w:r>
          </w:p>
          <w:p w14:paraId="4947329B">
            <w:pPr>
              <w:keepNext w:val="0"/>
              <w:keepLines w:val="0"/>
              <w:pageBreakBefore w:val="0"/>
              <w:widowControl w:val="0"/>
              <w:kinsoku/>
              <w:wordWrap/>
              <w:overflowPunct/>
              <w:topLinePunct w:val="0"/>
              <w:bidi w:val="0"/>
              <w:adjustRightInd w:val="0"/>
              <w:snapToGrid/>
              <w:spacing w:line="360" w:lineRule="auto"/>
              <w:ind w:left="0" w:right="0" w:firstLine="480" w:firstLineChars="200"/>
              <w:textAlignment w:val="auto"/>
              <w:rPr>
                <w:rFonts w:hint="default" w:ascii="Times New Roman" w:hAnsi="Times New Roman" w:eastAsia="宋体" w:cs="Times New Roman"/>
                <w:color w:val="auto"/>
                <w:kern w:val="0"/>
                <w:sz w:val="24"/>
                <w:szCs w:val="20"/>
              </w:rPr>
            </w:pPr>
          </w:p>
          <w:p w14:paraId="5DF6D0ED">
            <w:pPr>
              <w:keepNext w:val="0"/>
              <w:keepLines w:val="0"/>
              <w:pageBreakBefore w:val="0"/>
              <w:widowControl w:val="0"/>
              <w:kinsoku/>
              <w:wordWrap/>
              <w:overflowPunct/>
              <w:topLinePunct w:val="0"/>
              <w:bidi w:val="0"/>
              <w:adjustRightInd w:val="0"/>
              <w:snapToGrid/>
              <w:spacing w:line="360" w:lineRule="auto"/>
              <w:ind w:left="0" w:right="0" w:firstLine="480" w:firstLineChars="200"/>
              <w:textAlignment w:val="auto"/>
              <w:rPr>
                <w:rFonts w:hint="default" w:ascii="Times New Roman" w:hAnsi="Times New Roman" w:eastAsia="宋体" w:cs="Times New Roman"/>
                <w:color w:val="auto"/>
                <w:kern w:val="0"/>
                <w:sz w:val="24"/>
                <w:szCs w:val="20"/>
              </w:rPr>
            </w:pPr>
          </w:p>
          <w:p w14:paraId="60DC7C88">
            <w:pPr>
              <w:keepNext w:val="0"/>
              <w:keepLines w:val="0"/>
              <w:pageBreakBefore w:val="0"/>
              <w:widowControl w:val="0"/>
              <w:kinsoku/>
              <w:wordWrap/>
              <w:overflowPunct/>
              <w:topLinePunct w:val="0"/>
              <w:bidi w:val="0"/>
              <w:adjustRightInd w:val="0"/>
              <w:snapToGrid/>
              <w:spacing w:line="360" w:lineRule="auto"/>
              <w:ind w:right="0"/>
              <w:textAlignment w:val="auto"/>
              <w:rPr>
                <w:rFonts w:hint="default" w:ascii="Times New Roman" w:hAnsi="Times New Roman" w:eastAsia="宋体" w:cs="Times New Roman"/>
                <w:color w:val="auto"/>
                <w:sz w:val="24"/>
                <w:szCs w:val="24"/>
                <w:lang w:eastAsia="zh-CN"/>
              </w:rPr>
            </w:pPr>
          </w:p>
          <w:p w14:paraId="551D4642">
            <w:pPr>
              <w:rPr>
                <w:rFonts w:hint="default" w:ascii="Times New Roman" w:hAnsi="Times New Roman" w:eastAsia="宋体" w:cs="Times New Roman"/>
                <w:color w:val="auto"/>
                <w:lang w:eastAsia="zh-CN"/>
              </w:rPr>
            </w:pPr>
          </w:p>
          <w:p w14:paraId="6547B04C">
            <w:pPr>
              <w:rPr>
                <w:rFonts w:hint="default" w:ascii="Times New Roman" w:hAnsi="Times New Roman" w:eastAsia="宋体" w:cs="Times New Roman"/>
                <w:color w:val="auto"/>
                <w:lang w:eastAsia="zh-CN"/>
              </w:rPr>
            </w:pPr>
          </w:p>
          <w:p w14:paraId="1C1E6342">
            <w:pPr>
              <w:rPr>
                <w:rFonts w:hint="default" w:ascii="Times New Roman" w:hAnsi="Times New Roman" w:eastAsia="宋体" w:cs="Times New Roman"/>
                <w:color w:val="auto"/>
                <w:lang w:val="en-US" w:eastAsia="zh-CN"/>
              </w:rPr>
            </w:pPr>
          </w:p>
          <w:p w14:paraId="081F20A0">
            <w:pPr>
              <w:rPr>
                <w:rFonts w:hint="default" w:ascii="Times New Roman" w:hAnsi="Times New Roman" w:eastAsia="宋体" w:cs="Times New Roman"/>
                <w:color w:val="auto"/>
                <w:lang w:val="en-US" w:eastAsia="zh-CN"/>
              </w:rPr>
            </w:pPr>
          </w:p>
          <w:p w14:paraId="497CB861">
            <w:pPr>
              <w:rPr>
                <w:rFonts w:hint="default" w:ascii="Times New Roman" w:hAnsi="Times New Roman" w:eastAsia="宋体" w:cs="Times New Roman"/>
                <w:color w:val="auto"/>
                <w:lang w:val="en-US" w:eastAsia="zh-CN"/>
              </w:rPr>
            </w:pPr>
          </w:p>
          <w:p w14:paraId="0B0ED1D1">
            <w:pPr>
              <w:rPr>
                <w:rFonts w:hint="default" w:ascii="Times New Roman" w:hAnsi="Times New Roman" w:eastAsia="宋体" w:cs="Times New Roman"/>
                <w:color w:val="auto"/>
                <w:lang w:val="en-US" w:eastAsia="zh-CN"/>
              </w:rPr>
            </w:pPr>
          </w:p>
          <w:p w14:paraId="31D5F7A8">
            <w:pPr>
              <w:rPr>
                <w:rFonts w:hint="default" w:ascii="Times New Roman" w:hAnsi="Times New Roman" w:eastAsia="宋体" w:cs="Times New Roman"/>
                <w:color w:val="auto"/>
                <w:lang w:val="en-US" w:eastAsia="zh-CN"/>
              </w:rPr>
            </w:pPr>
          </w:p>
          <w:p w14:paraId="19029249">
            <w:pPr>
              <w:rPr>
                <w:rFonts w:hint="default" w:ascii="Times New Roman" w:hAnsi="Times New Roman" w:eastAsia="宋体" w:cs="Times New Roman"/>
                <w:color w:val="auto"/>
                <w:lang w:val="en-US" w:eastAsia="zh-CN"/>
              </w:rPr>
            </w:pPr>
          </w:p>
          <w:p w14:paraId="4FA4D689">
            <w:pPr>
              <w:rPr>
                <w:rFonts w:hint="default" w:ascii="Times New Roman" w:hAnsi="Times New Roman" w:eastAsia="宋体" w:cs="Times New Roman"/>
                <w:color w:val="auto"/>
                <w:lang w:val="en-US" w:eastAsia="zh-CN"/>
              </w:rPr>
            </w:pPr>
          </w:p>
          <w:p w14:paraId="1DB69253">
            <w:pPr>
              <w:rPr>
                <w:rFonts w:hint="default" w:ascii="Times New Roman" w:hAnsi="Times New Roman" w:eastAsia="宋体" w:cs="Times New Roman"/>
                <w:color w:val="auto"/>
                <w:lang w:val="en-US" w:eastAsia="zh-CN"/>
              </w:rPr>
            </w:pPr>
          </w:p>
          <w:p w14:paraId="74B43075">
            <w:pPr>
              <w:rPr>
                <w:rFonts w:hint="default" w:ascii="Times New Roman" w:hAnsi="Times New Roman" w:eastAsia="宋体" w:cs="Times New Roman"/>
                <w:color w:val="auto"/>
                <w:lang w:val="en-US" w:eastAsia="zh-CN"/>
              </w:rPr>
            </w:pPr>
          </w:p>
          <w:p w14:paraId="166434A4">
            <w:pPr>
              <w:rPr>
                <w:rFonts w:hint="default" w:ascii="Times New Roman" w:hAnsi="Times New Roman" w:eastAsia="宋体" w:cs="Times New Roman"/>
                <w:color w:val="auto"/>
                <w:lang w:val="en-US" w:eastAsia="zh-CN"/>
              </w:rPr>
            </w:pPr>
          </w:p>
          <w:p w14:paraId="2A27494F">
            <w:pPr>
              <w:rPr>
                <w:rFonts w:hint="default" w:ascii="Times New Roman" w:hAnsi="Times New Roman" w:eastAsia="宋体" w:cs="Times New Roman"/>
                <w:color w:val="auto"/>
                <w:lang w:val="en-US" w:eastAsia="zh-CN"/>
              </w:rPr>
            </w:pPr>
          </w:p>
          <w:p w14:paraId="40D66C86">
            <w:pPr>
              <w:rPr>
                <w:rFonts w:hint="default" w:ascii="Times New Roman" w:hAnsi="Times New Roman" w:eastAsia="宋体" w:cs="Times New Roman"/>
                <w:color w:val="auto"/>
                <w:lang w:val="en-US" w:eastAsia="zh-CN"/>
              </w:rPr>
            </w:pPr>
          </w:p>
          <w:p w14:paraId="089CD867">
            <w:pPr>
              <w:rPr>
                <w:rFonts w:hint="default" w:ascii="Times New Roman" w:hAnsi="Times New Roman" w:eastAsia="宋体" w:cs="Times New Roman"/>
                <w:color w:val="auto"/>
                <w:lang w:val="en-US" w:eastAsia="zh-CN"/>
              </w:rPr>
            </w:pPr>
          </w:p>
          <w:p w14:paraId="1894FC54">
            <w:pPr>
              <w:rPr>
                <w:rFonts w:hint="default" w:ascii="Times New Roman" w:hAnsi="Times New Roman" w:eastAsia="宋体" w:cs="Times New Roman"/>
                <w:color w:val="auto"/>
                <w:lang w:val="en-US" w:eastAsia="zh-CN"/>
              </w:rPr>
            </w:pPr>
          </w:p>
          <w:p w14:paraId="404298DC">
            <w:pPr>
              <w:rPr>
                <w:rFonts w:hint="default" w:ascii="Times New Roman" w:hAnsi="Times New Roman" w:eastAsia="宋体" w:cs="Times New Roman"/>
                <w:color w:val="auto"/>
                <w:lang w:eastAsia="zh-CN"/>
              </w:rPr>
            </w:pPr>
          </w:p>
        </w:tc>
      </w:tr>
      <w:tr w14:paraId="598959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473" w:type="dxa"/>
            <w:vAlign w:val="center"/>
          </w:tcPr>
          <w:p w14:paraId="7AAE0A53">
            <w:pPr>
              <w:widowControl/>
              <w:adjustRightInd w:val="0"/>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rPr>
              <w:t>工艺流程和产排污环节</w:t>
            </w:r>
          </w:p>
        </w:tc>
        <w:tc>
          <w:tcPr>
            <w:tcW w:w="8587" w:type="dxa"/>
          </w:tcPr>
          <w:p w14:paraId="31FDD29B">
            <w:pPr>
              <w:spacing w:line="360" w:lineRule="auto"/>
              <w:ind w:firstLine="482" w:firstLineChars="200"/>
              <w:rPr>
                <w:rFonts w:hint="default" w:ascii="Times New Roman" w:hAnsi="Times New Roman" w:eastAsia="宋体" w:cs="Times New Roman"/>
                <w:b/>
                <w:bCs/>
                <w:color w:val="auto"/>
                <w:kern w:val="0"/>
                <w:sz w:val="24"/>
                <w:szCs w:val="20"/>
              </w:rPr>
            </w:pPr>
            <w:r>
              <w:rPr>
                <w:rFonts w:hint="default" w:ascii="Times New Roman" w:hAnsi="Times New Roman" w:eastAsia="宋体" w:cs="Times New Roman"/>
                <w:b/>
                <w:bCs/>
                <w:color w:val="auto"/>
                <w:kern w:val="0"/>
                <w:sz w:val="24"/>
                <w:szCs w:val="20"/>
                <w:lang w:val="en-US" w:eastAsia="zh-CN"/>
              </w:rPr>
              <w:t>1</w:t>
            </w:r>
            <w:r>
              <w:rPr>
                <w:rFonts w:hint="default" w:ascii="Times New Roman" w:hAnsi="Times New Roman" w:eastAsia="宋体" w:cs="Times New Roman"/>
                <w:b/>
                <w:bCs/>
                <w:color w:val="auto"/>
                <w:kern w:val="0"/>
                <w:sz w:val="24"/>
                <w:szCs w:val="20"/>
              </w:rPr>
              <w:t>、施工期工艺流程</w:t>
            </w:r>
          </w:p>
          <w:p w14:paraId="32C0D2C8">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项目施工期主要为车间设备安装，施工过程中主要产生少量的设备安装废气、噪声和固废及施工人员生活污水。</w:t>
            </w:r>
          </w:p>
          <w:p w14:paraId="2B451EA5">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项目施工期较短，施工量较小，施工结束后污染也随之消失，对环境影响较小。</w:t>
            </w:r>
          </w:p>
          <w:p w14:paraId="4685CCF0">
            <w:pPr>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drawing>
                <wp:inline distT="0" distB="0" distL="114300" distR="114300">
                  <wp:extent cx="2950210" cy="1057910"/>
                  <wp:effectExtent l="0" t="0" r="0" b="8890"/>
                  <wp:docPr id="12" name="ECB019B1-382A-4266-B25C-5B523AA43C14-1" descr="C:/Users/Administrator/AppData/Local/Temp/wps.Qdzwzs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CB019B1-382A-4266-B25C-5B523AA43C14-1" descr="C:/Users/Administrator/AppData/Local/Temp/wps.Qdzwzswps"/>
                          <pic:cNvPicPr>
                            <a:picLocks noChangeAspect="1"/>
                          </pic:cNvPicPr>
                        </pic:nvPicPr>
                        <pic:blipFill>
                          <a:blip r:embed="rId11"/>
                          <a:srcRect t="24467" b="16567"/>
                          <a:stretch>
                            <a:fillRect/>
                          </a:stretch>
                        </pic:blipFill>
                        <pic:spPr>
                          <a:xfrm>
                            <a:off x="0" y="0"/>
                            <a:ext cx="2950210" cy="1057910"/>
                          </a:xfrm>
                          <a:prstGeom prst="rect">
                            <a:avLst/>
                          </a:prstGeom>
                        </pic:spPr>
                      </pic:pic>
                    </a:graphicData>
                  </a:graphic>
                </wp:inline>
              </w:drawing>
            </w:r>
          </w:p>
          <w:p w14:paraId="4615837C">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图2-2   施工期生产工艺流程及产污环节图</w:t>
            </w:r>
          </w:p>
          <w:p w14:paraId="01E7D069">
            <w:pPr>
              <w:spacing w:line="360" w:lineRule="auto"/>
              <w:ind w:firstLine="482" w:firstLineChars="200"/>
              <w:rPr>
                <w:rFonts w:hint="default" w:ascii="Times New Roman" w:hAnsi="Times New Roman" w:eastAsia="宋体" w:cs="Times New Roman"/>
                <w:b/>
                <w:bCs/>
                <w:color w:val="auto"/>
                <w:kern w:val="0"/>
                <w:sz w:val="24"/>
                <w:szCs w:val="20"/>
                <w:highlight w:val="none"/>
              </w:rPr>
            </w:pPr>
            <w:r>
              <w:rPr>
                <w:rFonts w:hint="default" w:ascii="Times New Roman" w:hAnsi="Times New Roman" w:eastAsia="宋体" w:cs="Times New Roman"/>
                <w:b/>
                <w:bCs/>
                <w:color w:val="auto"/>
                <w:kern w:val="0"/>
                <w:sz w:val="24"/>
                <w:szCs w:val="20"/>
                <w:highlight w:val="none"/>
                <w:lang w:val="en-US" w:eastAsia="zh-CN"/>
              </w:rPr>
              <w:t>2</w:t>
            </w:r>
            <w:r>
              <w:rPr>
                <w:rFonts w:hint="default" w:ascii="Times New Roman" w:hAnsi="Times New Roman" w:eastAsia="宋体" w:cs="Times New Roman"/>
                <w:b/>
                <w:bCs/>
                <w:color w:val="auto"/>
                <w:kern w:val="0"/>
                <w:sz w:val="24"/>
                <w:szCs w:val="20"/>
                <w:highlight w:val="none"/>
              </w:rPr>
              <w:t>、营运期工艺流程</w:t>
            </w:r>
          </w:p>
          <w:p w14:paraId="2C4C2FE4">
            <w:pPr>
              <w:spacing w:line="360" w:lineRule="auto"/>
              <w:ind w:firstLine="480" w:firstLineChars="200"/>
              <w:rPr>
                <w:rFonts w:hint="default" w:ascii="Times New Roman" w:hAnsi="Times New Roman" w:eastAsia="宋体" w:cs="Times New Roman"/>
                <w:color w:val="auto"/>
                <w:kern w:val="0"/>
                <w:sz w:val="24"/>
                <w:highlight w:val="yellow"/>
              </w:rPr>
            </w:pPr>
            <w:r>
              <w:rPr>
                <w:rFonts w:hint="default" w:ascii="Times New Roman" w:hAnsi="Times New Roman" w:eastAsia="宋体" w:cs="Times New Roman"/>
                <w:color w:val="auto"/>
                <w:kern w:val="0"/>
                <w:sz w:val="24"/>
                <w:highlight w:val="none"/>
              </w:rPr>
              <w:t>工艺流程及产污环节如下图所示：</w:t>
            </w:r>
          </w:p>
          <w:p w14:paraId="0FF2C21F">
            <w:pPr>
              <w:spacing w:line="24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b/>
                <w:bCs/>
                <w:color w:val="auto"/>
                <w:sz w:val="21"/>
                <w:szCs w:val="21"/>
                <w:lang w:val="en-US" w:eastAsia="zh-CN"/>
              </w:rPr>
              <w:object>
                <v:shape id="_x0000_i1026" o:spt="75" type="#_x0000_t75" style="height:239.35pt;width:404.55pt;" o:ole="t" filled="f" o:preferrelative="t" stroked="f" coordsize="21600,21600">
                  <v:path/>
                  <v:fill on="f" focussize="0,0"/>
                  <v:stroke on="f"/>
                  <v:imagedata r:id="rId13" o:title=""/>
                  <o:lock v:ext="edit" aspectratio="f"/>
                  <w10:wrap type="none"/>
                  <w10:anchorlock/>
                </v:shape>
                <o:OLEObject Type="Embed" ProgID="Visio.Drawing.11" ShapeID="_x0000_i1026" DrawAspect="Content" ObjectID="_1468075726" r:id="rId12">
                  <o:LockedField>false</o:LockedField>
                </o:OLEObject>
              </w:object>
            </w:r>
          </w:p>
          <w:p w14:paraId="027BBD13">
            <w:pPr>
              <w:spacing w:line="24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b/>
                <w:bCs/>
                <w:color w:val="auto"/>
                <w:szCs w:val="21"/>
              </w:rPr>
              <w:t>图2-3   工艺流程及产排污环节图</w:t>
            </w:r>
          </w:p>
          <w:p w14:paraId="06C47E6A">
            <w:pPr>
              <w:spacing w:line="360" w:lineRule="auto"/>
              <w:ind w:firstLine="480" w:firstLineChars="200"/>
              <w:jc w:val="left"/>
              <w:rPr>
                <w:rFonts w:hint="default" w:ascii="Times New Roman" w:hAnsi="Times New Roman" w:eastAsia="宋体" w:cs="Times New Roman"/>
                <w:color w:val="auto"/>
                <w:kern w:val="0"/>
                <w:sz w:val="24"/>
                <w:szCs w:val="22"/>
              </w:rPr>
            </w:pPr>
            <w:r>
              <w:rPr>
                <w:rFonts w:hint="default" w:ascii="Times New Roman" w:hAnsi="Times New Roman" w:eastAsia="宋体" w:cs="Times New Roman"/>
                <w:color w:val="auto"/>
                <w:kern w:val="0"/>
                <w:sz w:val="24"/>
                <w:szCs w:val="22"/>
              </w:rPr>
              <w:t>工艺流程简述：</w:t>
            </w:r>
          </w:p>
          <w:p w14:paraId="114DBAEE">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（1）车床加工</w:t>
            </w:r>
          </w:p>
          <w:p w14:paraId="1ACA79A7">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本项目采用车床对辊壳及组装中间品进行加工，主要涉及车、铣、镗等，加工过程采用切削液进行冷却和抑尘，加工过程无废气污染物产生。该工段产生的污染物包括废切削液S1、废边角料S2、金属碎屑S3和噪声N。</w:t>
            </w:r>
          </w:p>
          <w:p w14:paraId="120841DF">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（2）焊接</w:t>
            </w:r>
          </w:p>
          <w:p w14:paraId="4D312017">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本项目针对不同焊接部件，分别采用二保焊、氩弧焊、埋弧焊的工艺，对需要焊接的零件进行焊接，焊接位于焊接操作台（焊接站）进行，该工段产生的污染物包括焊接烟尘G1、焊渣S4和噪声N。</w:t>
            </w:r>
          </w:p>
          <w:p w14:paraId="209F6722">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（3）喷砂</w:t>
            </w:r>
          </w:p>
          <w:p w14:paraId="031D05E9">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本项目喷砂不涉及清洗等预处理工序，采用自动喷砂机对辊壳进行喷砂处理，喷砂操作位于密闭空间，设备自带一套喷砂除尘设施，在设备内自动吹砂。该工段产生的污染物包括喷砂粉尘S2和噪声N。</w:t>
            </w:r>
          </w:p>
          <w:p w14:paraId="4B5E334F">
            <w:pPr>
              <w:spacing w:line="360" w:lineRule="auto"/>
              <w:ind w:firstLine="480" w:firstLineChars="200"/>
              <w:rPr>
                <w:rFonts w:hint="default" w:ascii="Times New Roman" w:hAnsi="Times New Roman" w:eastAsia="宋体" w:cs="Times New Roman"/>
                <w:b w:val="0"/>
                <w:bCs w:val="0"/>
                <w:color w:val="auto"/>
                <w:spacing w:val="0"/>
                <w:sz w:val="24"/>
                <w:szCs w:val="24"/>
                <w:highlight w:val="none"/>
                <w:lang w:val="en-US" w:eastAsia="zh-CN"/>
              </w:rPr>
            </w:pPr>
            <w:r>
              <w:rPr>
                <w:rFonts w:hint="default" w:ascii="Times New Roman" w:hAnsi="Times New Roman" w:eastAsia="宋体" w:cs="Times New Roman"/>
                <w:b w:val="0"/>
                <w:bCs w:val="0"/>
                <w:color w:val="auto"/>
                <w:spacing w:val="0"/>
                <w:sz w:val="24"/>
                <w:szCs w:val="24"/>
                <w:highlight w:val="none"/>
                <w:lang w:val="en-US" w:eastAsia="zh-CN"/>
              </w:rPr>
              <w:t>（4）装配</w:t>
            </w:r>
          </w:p>
          <w:p w14:paraId="1F58DAB0">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highlight w:val="none"/>
                <w:lang w:val="en-US" w:eastAsia="zh-CN"/>
              </w:rPr>
              <w:t>本项目对加工好的零件进行热装和组装，热装采用半自动热装机进行，热源为电加热。该工</w:t>
            </w:r>
            <w:r>
              <w:rPr>
                <w:rFonts w:hint="default" w:ascii="Times New Roman" w:hAnsi="Times New Roman" w:eastAsia="宋体" w:cs="Times New Roman"/>
                <w:b w:val="0"/>
                <w:bCs w:val="0"/>
                <w:color w:val="auto"/>
                <w:spacing w:val="0"/>
                <w:sz w:val="24"/>
                <w:szCs w:val="24"/>
                <w:lang w:val="en-US" w:eastAsia="zh-CN"/>
              </w:rPr>
              <w:t>段无污染物产生。</w:t>
            </w:r>
          </w:p>
          <w:p w14:paraId="5F05ACCF">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（5）喷漆</w:t>
            </w:r>
          </w:p>
          <w:p w14:paraId="19AC87D1">
            <w:pPr>
              <w:spacing w:line="360" w:lineRule="auto"/>
              <w:ind w:firstLine="480" w:firstLineChars="200"/>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本项目机架依托现有工程喷漆房进行喷漆处理，调漆位于喷漆房内进行，喷漆采用高压无气喷涂工艺。该工段产生的污染物包括喷漆废气G3、漆渣S5、废油漆桶S6、噪声N。</w:t>
            </w:r>
          </w:p>
          <w:p w14:paraId="05F318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w:t>
            </w:r>
            <w:r>
              <w:rPr>
                <w:rFonts w:hint="default" w:ascii="Times New Roman" w:hAnsi="Times New Roman" w:eastAsia="宋体" w:cs="Times New Roman"/>
                <w:b/>
                <w:bCs/>
                <w:color w:val="auto"/>
                <w:sz w:val="24"/>
                <w:szCs w:val="24"/>
                <w:highlight w:val="none"/>
                <w:lang w:val="en-US" w:eastAsia="zh-CN"/>
              </w:rPr>
              <w:t>2-7</w:t>
            </w:r>
            <w:r>
              <w:rPr>
                <w:rFonts w:hint="default" w:ascii="Times New Roman" w:hAnsi="Times New Roman" w:eastAsia="宋体" w:cs="Times New Roman"/>
                <w:b/>
                <w:bCs/>
                <w:color w:val="auto"/>
                <w:sz w:val="24"/>
                <w:szCs w:val="24"/>
                <w:highlight w:val="none"/>
              </w:rPr>
              <w:t xml:space="preserve"> 营运期主要污染工序</w:t>
            </w:r>
          </w:p>
          <w:tbl>
            <w:tblPr>
              <w:tblStyle w:val="19"/>
              <w:tblW w:w="4925"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1266"/>
              <w:gridCol w:w="1461"/>
              <w:gridCol w:w="1950"/>
              <w:gridCol w:w="3564"/>
            </w:tblGrid>
            <w:tr w14:paraId="7FE214B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tcBorders>
                    <w:tl2br w:val="nil"/>
                    <w:tr2bl w:val="nil"/>
                  </w:tcBorders>
                  <w:noWrap w:val="0"/>
                  <w:vAlign w:val="center"/>
                </w:tcPr>
                <w:p w14:paraId="074C75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污染类别</w:t>
                  </w:r>
                </w:p>
              </w:tc>
              <w:tc>
                <w:tcPr>
                  <w:tcW w:w="1461" w:type="dxa"/>
                  <w:tcBorders>
                    <w:tl2br w:val="nil"/>
                    <w:tr2bl w:val="nil"/>
                  </w:tcBorders>
                  <w:noWrap w:val="0"/>
                  <w:vAlign w:val="center"/>
                </w:tcPr>
                <w:p w14:paraId="15E6E7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污染源名称</w:t>
                  </w:r>
                </w:p>
              </w:tc>
              <w:tc>
                <w:tcPr>
                  <w:tcW w:w="1950" w:type="dxa"/>
                  <w:tcBorders>
                    <w:tl2br w:val="nil"/>
                    <w:tr2bl w:val="nil"/>
                  </w:tcBorders>
                  <w:noWrap w:val="0"/>
                  <w:vAlign w:val="center"/>
                </w:tcPr>
                <w:p w14:paraId="0A91E4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产生工序</w:t>
                  </w:r>
                </w:p>
              </w:tc>
              <w:tc>
                <w:tcPr>
                  <w:tcW w:w="3564" w:type="dxa"/>
                  <w:tcBorders>
                    <w:tl2br w:val="nil"/>
                    <w:tr2bl w:val="nil"/>
                  </w:tcBorders>
                  <w:noWrap w:val="0"/>
                  <w:vAlign w:val="center"/>
                </w:tcPr>
                <w:p w14:paraId="33E4E5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主要污染因子</w:t>
                  </w:r>
                </w:p>
              </w:tc>
            </w:tr>
            <w:tr w14:paraId="1EE54AB7">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restart"/>
                  <w:tcBorders>
                    <w:tl2br w:val="nil"/>
                    <w:tr2bl w:val="nil"/>
                  </w:tcBorders>
                  <w:noWrap w:val="0"/>
                  <w:vAlign w:val="center"/>
                </w:tcPr>
                <w:p w14:paraId="799F96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废气</w:t>
                  </w:r>
                </w:p>
              </w:tc>
              <w:tc>
                <w:tcPr>
                  <w:tcW w:w="1461" w:type="dxa"/>
                  <w:tcBorders>
                    <w:tl2br w:val="nil"/>
                    <w:tr2bl w:val="nil"/>
                  </w:tcBorders>
                  <w:noWrap w:val="0"/>
                  <w:vAlign w:val="center"/>
                </w:tcPr>
                <w:p w14:paraId="46E8C1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焊接烟尘</w:t>
                  </w:r>
                </w:p>
              </w:tc>
              <w:tc>
                <w:tcPr>
                  <w:tcW w:w="1950" w:type="dxa"/>
                  <w:tcBorders>
                    <w:tl2br w:val="nil"/>
                    <w:tr2bl w:val="nil"/>
                  </w:tcBorders>
                  <w:noWrap w:val="0"/>
                  <w:vAlign w:val="center"/>
                </w:tcPr>
                <w:p w14:paraId="10CB5D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焊接</w:t>
                  </w:r>
                </w:p>
              </w:tc>
              <w:tc>
                <w:tcPr>
                  <w:tcW w:w="3564" w:type="dxa"/>
                  <w:tcBorders>
                    <w:tl2br w:val="nil"/>
                    <w:tr2bl w:val="nil"/>
                  </w:tcBorders>
                  <w:noWrap w:val="0"/>
                  <w:vAlign w:val="center"/>
                </w:tcPr>
                <w:p w14:paraId="3C2208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颗粒物</w:t>
                  </w:r>
                </w:p>
              </w:tc>
            </w:tr>
            <w:tr w14:paraId="2587883E">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continue"/>
                  <w:tcBorders>
                    <w:tl2br w:val="nil"/>
                    <w:tr2bl w:val="nil"/>
                  </w:tcBorders>
                  <w:noWrap w:val="0"/>
                  <w:vAlign w:val="center"/>
                </w:tcPr>
                <w:p w14:paraId="7263C7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p>
              </w:tc>
              <w:tc>
                <w:tcPr>
                  <w:tcW w:w="1461" w:type="dxa"/>
                  <w:tcBorders>
                    <w:tl2br w:val="nil"/>
                    <w:tr2bl w:val="nil"/>
                  </w:tcBorders>
                  <w:noWrap w:val="0"/>
                  <w:vAlign w:val="center"/>
                </w:tcPr>
                <w:p w14:paraId="5B5481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喷砂粉尘</w:t>
                  </w:r>
                </w:p>
              </w:tc>
              <w:tc>
                <w:tcPr>
                  <w:tcW w:w="1950" w:type="dxa"/>
                  <w:tcBorders>
                    <w:tl2br w:val="nil"/>
                    <w:tr2bl w:val="nil"/>
                  </w:tcBorders>
                  <w:noWrap w:val="0"/>
                  <w:vAlign w:val="center"/>
                </w:tcPr>
                <w:p w14:paraId="366D88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喷砂</w:t>
                  </w:r>
                </w:p>
              </w:tc>
              <w:tc>
                <w:tcPr>
                  <w:tcW w:w="3564" w:type="dxa"/>
                  <w:tcBorders>
                    <w:tl2br w:val="nil"/>
                    <w:tr2bl w:val="nil"/>
                  </w:tcBorders>
                  <w:noWrap w:val="0"/>
                  <w:vAlign w:val="center"/>
                </w:tcPr>
                <w:p w14:paraId="78037F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颗粒物</w:t>
                  </w:r>
                </w:p>
              </w:tc>
            </w:tr>
            <w:tr w14:paraId="739B4F46">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continue"/>
                  <w:tcBorders>
                    <w:tl2br w:val="nil"/>
                    <w:tr2bl w:val="nil"/>
                  </w:tcBorders>
                  <w:noWrap w:val="0"/>
                  <w:vAlign w:val="center"/>
                </w:tcPr>
                <w:p w14:paraId="2C2D87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p>
              </w:tc>
              <w:tc>
                <w:tcPr>
                  <w:tcW w:w="1461" w:type="dxa"/>
                  <w:tcBorders>
                    <w:tl2br w:val="nil"/>
                    <w:tr2bl w:val="nil"/>
                  </w:tcBorders>
                  <w:noWrap w:val="0"/>
                  <w:vAlign w:val="center"/>
                </w:tcPr>
                <w:p w14:paraId="7FC2A0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喷漆废气</w:t>
                  </w:r>
                </w:p>
              </w:tc>
              <w:tc>
                <w:tcPr>
                  <w:tcW w:w="1950" w:type="dxa"/>
                  <w:tcBorders>
                    <w:tl2br w:val="nil"/>
                    <w:tr2bl w:val="nil"/>
                  </w:tcBorders>
                  <w:noWrap w:val="0"/>
                  <w:vAlign w:val="center"/>
                </w:tcPr>
                <w:p w14:paraId="77A374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喷漆</w:t>
                  </w:r>
                </w:p>
              </w:tc>
              <w:tc>
                <w:tcPr>
                  <w:tcW w:w="3564" w:type="dxa"/>
                  <w:tcBorders>
                    <w:tl2br w:val="nil"/>
                    <w:tr2bl w:val="nil"/>
                  </w:tcBorders>
                  <w:noWrap w:val="0"/>
                  <w:vAlign w:val="center"/>
                </w:tcPr>
                <w:p w14:paraId="7B5090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颗粒物、非甲烷总烃、二甲苯</w:t>
                  </w:r>
                </w:p>
              </w:tc>
            </w:tr>
            <w:tr w14:paraId="00A205FE">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tcBorders>
                    <w:tl2br w:val="nil"/>
                    <w:tr2bl w:val="nil"/>
                  </w:tcBorders>
                  <w:noWrap w:val="0"/>
                  <w:vAlign w:val="center"/>
                </w:tcPr>
                <w:p w14:paraId="22EBE8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噪声</w:t>
                  </w:r>
                </w:p>
              </w:tc>
              <w:tc>
                <w:tcPr>
                  <w:tcW w:w="1461" w:type="dxa"/>
                  <w:tcBorders>
                    <w:tl2br w:val="nil"/>
                    <w:tr2bl w:val="nil"/>
                  </w:tcBorders>
                  <w:noWrap w:val="0"/>
                  <w:vAlign w:val="center"/>
                </w:tcPr>
                <w:p w14:paraId="6F04EC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设备运行噪声</w:t>
                  </w:r>
                </w:p>
              </w:tc>
              <w:tc>
                <w:tcPr>
                  <w:tcW w:w="1950" w:type="dxa"/>
                  <w:tcBorders>
                    <w:tl2br w:val="nil"/>
                    <w:tr2bl w:val="nil"/>
                  </w:tcBorders>
                  <w:noWrap w:val="0"/>
                  <w:vAlign w:val="center"/>
                </w:tcPr>
                <w:p w14:paraId="077222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车床加工、焊接、喷砂、抛光、喷漆</w:t>
                  </w:r>
                </w:p>
              </w:tc>
              <w:tc>
                <w:tcPr>
                  <w:tcW w:w="3564" w:type="dxa"/>
                  <w:tcBorders>
                    <w:tl2br w:val="nil"/>
                    <w:tr2bl w:val="nil"/>
                  </w:tcBorders>
                  <w:noWrap w:val="0"/>
                  <w:vAlign w:val="center"/>
                </w:tcPr>
                <w:p w14:paraId="43AFF1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噪声</w:t>
                  </w:r>
                </w:p>
              </w:tc>
            </w:tr>
            <w:tr w14:paraId="75237620">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restart"/>
                  <w:tcBorders>
                    <w:tl2br w:val="nil"/>
                    <w:tr2bl w:val="nil"/>
                  </w:tcBorders>
                  <w:noWrap w:val="0"/>
                  <w:vAlign w:val="center"/>
                </w:tcPr>
                <w:p w14:paraId="6B5EC1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固废</w:t>
                  </w:r>
                </w:p>
              </w:tc>
              <w:tc>
                <w:tcPr>
                  <w:tcW w:w="1461" w:type="dxa"/>
                  <w:vMerge w:val="restart"/>
                  <w:tcBorders>
                    <w:tl2br w:val="nil"/>
                    <w:tr2bl w:val="nil"/>
                  </w:tcBorders>
                  <w:noWrap w:val="0"/>
                  <w:vAlign w:val="center"/>
                </w:tcPr>
                <w:p w14:paraId="61F3B3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一般工业固体废物</w:t>
                  </w:r>
                </w:p>
              </w:tc>
              <w:tc>
                <w:tcPr>
                  <w:tcW w:w="1950" w:type="dxa"/>
                  <w:tcBorders>
                    <w:tl2br w:val="nil"/>
                    <w:tr2bl w:val="nil"/>
                  </w:tcBorders>
                  <w:noWrap w:val="0"/>
                  <w:vAlign w:val="center"/>
                </w:tcPr>
                <w:p w14:paraId="5E3851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车床加工</w:t>
                  </w:r>
                </w:p>
              </w:tc>
              <w:tc>
                <w:tcPr>
                  <w:tcW w:w="3564" w:type="dxa"/>
                  <w:tcBorders>
                    <w:tl2br w:val="nil"/>
                    <w:tr2bl w:val="nil"/>
                  </w:tcBorders>
                  <w:noWrap w:val="0"/>
                  <w:vAlign w:val="center"/>
                </w:tcPr>
                <w:p w14:paraId="373C06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val="0"/>
                      <w:bCs w:val="0"/>
                      <w:color w:val="auto"/>
                      <w:spacing w:val="0"/>
                      <w:sz w:val="24"/>
                      <w:szCs w:val="24"/>
                      <w:lang w:val="en-US" w:eastAsia="zh-CN"/>
                    </w:rPr>
                    <w:t>废边角料、金属碎屑、焊渣</w:t>
                  </w:r>
                </w:p>
              </w:tc>
            </w:tr>
            <w:tr w14:paraId="71A0ADD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continue"/>
                  <w:tcBorders>
                    <w:tl2br w:val="nil"/>
                    <w:tr2bl w:val="nil"/>
                  </w:tcBorders>
                  <w:noWrap w:val="0"/>
                  <w:vAlign w:val="center"/>
                </w:tcPr>
                <w:p w14:paraId="2FC687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rPr>
                  </w:pPr>
                </w:p>
              </w:tc>
              <w:tc>
                <w:tcPr>
                  <w:tcW w:w="1461" w:type="dxa"/>
                  <w:vMerge w:val="continue"/>
                  <w:tcBorders>
                    <w:tl2br w:val="nil"/>
                    <w:tr2bl w:val="nil"/>
                  </w:tcBorders>
                  <w:noWrap w:val="0"/>
                  <w:vAlign w:val="center"/>
                </w:tcPr>
                <w:p w14:paraId="2A02E8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p>
              </w:tc>
              <w:tc>
                <w:tcPr>
                  <w:tcW w:w="1950" w:type="dxa"/>
                  <w:tcBorders>
                    <w:tl2br w:val="nil"/>
                    <w:tr2bl w:val="nil"/>
                  </w:tcBorders>
                  <w:noWrap w:val="0"/>
                  <w:vAlign w:val="center"/>
                </w:tcPr>
                <w:p w14:paraId="4DD813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废气处理</w:t>
                  </w:r>
                </w:p>
              </w:tc>
              <w:tc>
                <w:tcPr>
                  <w:tcW w:w="3564" w:type="dxa"/>
                  <w:tcBorders>
                    <w:tl2br w:val="nil"/>
                    <w:tr2bl w:val="nil"/>
                  </w:tcBorders>
                  <w:noWrap w:val="0"/>
                  <w:vAlign w:val="center"/>
                </w:tcPr>
                <w:p w14:paraId="745C73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除尘器收尘、废催化剂</w:t>
                  </w:r>
                </w:p>
              </w:tc>
            </w:tr>
            <w:tr w14:paraId="423398E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continue"/>
                  <w:tcBorders>
                    <w:tl2br w:val="nil"/>
                    <w:tr2bl w:val="nil"/>
                  </w:tcBorders>
                  <w:noWrap w:val="0"/>
                  <w:vAlign w:val="center"/>
                </w:tcPr>
                <w:p w14:paraId="5095E8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rPr>
                  </w:pPr>
                </w:p>
              </w:tc>
              <w:tc>
                <w:tcPr>
                  <w:tcW w:w="1461" w:type="dxa"/>
                  <w:vMerge w:val="restart"/>
                  <w:tcBorders>
                    <w:tl2br w:val="nil"/>
                    <w:tr2bl w:val="nil"/>
                  </w:tcBorders>
                  <w:noWrap w:val="0"/>
                  <w:vAlign w:val="center"/>
                </w:tcPr>
                <w:p w14:paraId="7A6CA2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危险废物</w:t>
                  </w:r>
                </w:p>
              </w:tc>
              <w:tc>
                <w:tcPr>
                  <w:tcW w:w="1950" w:type="dxa"/>
                  <w:tcBorders>
                    <w:tl2br w:val="nil"/>
                    <w:tr2bl w:val="nil"/>
                  </w:tcBorders>
                  <w:noWrap w:val="0"/>
                  <w:vAlign w:val="center"/>
                </w:tcPr>
                <w:p w14:paraId="44D350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车床加工</w:t>
                  </w:r>
                </w:p>
              </w:tc>
              <w:tc>
                <w:tcPr>
                  <w:tcW w:w="3564" w:type="dxa"/>
                  <w:tcBorders>
                    <w:tl2br w:val="nil"/>
                    <w:tr2bl w:val="nil"/>
                  </w:tcBorders>
                  <w:noWrap w:val="0"/>
                  <w:vAlign w:val="center"/>
                </w:tcPr>
                <w:p w14:paraId="78BD57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 w:val="0"/>
                      <w:bCs w:val="0"/>
                      <w:color w:val="auto"/>
                      <w:spacing w:val="0"/>
                      <w:sz w:val="24"/>
                      <w:szCs w:val="24"/>
                      <w:lang w:val="en-US" w:eastAsia="zh-CN"/>
                    </w:rPr>
                    <w:t>废切削液</w:t>
                  </w:r>
                </w:p>
              </w:tc>
            </w:tr>
            <w:tr w14:paraId="327336E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continue"/>
                  <w:tcBorders>
                    <w:tl2br w:val="nil"/>
                    <w:tr2bl w:val="nil"/>
                  </w:tcBorders>
                  <w:noWrap w:val="0"/>
                  <w:vAlign w:val="center"/>
                </w:tcPr>
                <w:p w14:paraId="2C4CD0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rPr>
                  </w:pPr>
                </w:p>
              </w:tc>
              <w:tc>
                <w:tcPr>
                  <w:tcW w:w="1461" w:type="dxa"/>
                  <w:vMerge w:val="continue"/>
                  <w:tcBorders>
                    <w:tl2br w:val="nil"/>
                    <w:tr2bl w:val="nil"/>
                  </w:tcBorders>
                  <w:noWrap w:val="0"/>
                  <w:vAlign w:val="center"/>
                </w:tcPr>
                <w:p w14:paraId="4B3A8A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p>
              </w:tc>
              <w:tc>
                <w:tcPr>
                  <w:tcW w:w="1950" w:type="dxa"/>
                  <w:tcBorders>
                    <w:tl2br w:val="nil"/>
                    <w:tr2bl w:val="nil"/>
                  </w:tcBorders>
                  <w:noWrap w:val="0"/>
                  <w:vAlign w:val="center"/>
                </w:tcPr>
                <w:p w14:paraId="4370AB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喷漆</w:t>
                  </w:r>
                </w:p>
              </w:tc>
              <w:tc>
                <w:tcPr>
                  <w:tcW w:w="3564" w:type="dxa"/>
                  <w:tcBorders>
                    <w:tl2br w:val="nil"/>
                    <w:tr2bl w:val="nil"/>
                  </w:tcBorders>
                  <w:noWrap w:val="0"/>
                  <w:vAlign w:val="center"/>
                </w:tcPr>
                <w:p w14:paraId="6D374D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油漆桶、油漆渣</w:t>
                  </w:r>
                </w:p>
              </w:tc>
            </w:tr>
            <w:tr w14:paraId="0943128B">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continue"/>
                  <w:tcBorders>
                    <w:tl2br w:val="nil"/>
                    <w:tr2bl w:val="nil"/>
                  </w:tcBorders>
                  <w:noWrap w:val="0"/>
                  <w:vAlign w:val="center"/>
                </w:tcPr>
                <w:p w14:paraId="644818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rPr>
                  </w:pPr>
                </w:p>
              </w:tc>
              <w:tc>
                <w:tcPr>
                  <w:tcW w:w="1461" w:type="dxa"/>
                  <w:vMerge w:val="continue"/>
                  <w:tcBorders>
                    <w:tl2br w:val="nil"/>
                    <w:tr2bl w:val="nil"/>
                  </w:tcBorders>
                  <w:noWrap w:val="0"/>
                  <w:vAlign w:val="center"/>
                </w:tcPr>
                <w:p w14:paraId="14CE51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p>
              </w:tc>
              <w:tc>
                <w:tcPr>
                  <w:tcW w:w="1950" w:type="dxa"/>
                  <w:tcBorders>
                    <w:tl2br w:val="nil"/>
                    <w:tr2bl w:val="nil"/>
                  </w:tcBorders>
                  <w:noWrap w:val="0"/>
                  <w:vAlign w:val="center"/>
                </w:tcPr>
                <w:p w14:paraId="7EF604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设备维修</w:t>
                  </w:r>
                </w:p>
              </w:tc>
              <w:tc>
                <w:tcPr>
                  <w:tcW w:w="3564" w:type="dxa"/>
                  <w:tcBorders>
                    <w:tl2br w:val="nil"/>
                    <w:tr2bl w:val="nil"/>
                  </w:tcBorders>
                  <w:noWrap w:val="0"/>
                  <w:vAlign w:val="center"/>
                </w:tcPr>
                <w:p w14:paraId="44B9BF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废润滑油、含油废手套及抹布</w:t>
                  </w:r>
                </w:p>
              </w:tc>
            </w:tr>
            <w:tr w14:paraId="40A1E033">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jc w:val="center"/>
              </w:trPr>
              <w:tc>
                <w:tcPr>
                  <w:tcW w:w="1266" w:type="dxa"/>
                  <w:vMerge w:val="continue"/>
                  <w:tcBorders>
                    <w:tl2br w:val="nil"/>
                    <w:tr2bl w:val="nil"/>
                  </w:tcBorders>
                  <w:noWrap w:val="0"/>
                  <w:vAlign w:val="center"/>
                </w:tcPr>
                <w:p w14:paraId="037518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rPr>
                  </w:pPr>
                </w:p>
              </w:tc>
              <w:tc>
                <w:tcPr>
                  <w:tcW w:w="1461" w:type="dxa"/>
                  <w:vMerge w:val="continue"/>
                  <w:tcBorders>
                    <w:tl2br w:val="nil"/>
                    <w:tr2bl w:val="nil"/>
                  </w:tcBorders>
                  <w:noWrap w:val="0"/>
                  <w:vAlign w:val="center"/>
                </w:tcPr>
                <w:p w14:paraId="572FAC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p>
              </w:tc>
              <w:tc>
                <w:tcPr>
                  <w:tcW w:w="1950" w:type="dxa"/>
                  <w:tcBorders>
                    <w:tl2br w:val="nil"/>
                    <w:tr2bl w:val="nil"/>
                  </w:tcBorders>
                  <w:noWrap w:val="0"/>
                  <w:vAlign w:val="center"/>
                </w:tcPr>
                <w:p w14:paraId="754D49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废气处理</w:t>
                  </w:r>
                </w:p>
              </w:tc>
              <w:tc>
                <w:tcPr>
                  <w:tcW w:w="3564" w:type="dxa"/>
                  <w:tcBorders>
                    <w:tl2br w:val="nil"/>
                    <w:tr2bl w:val="nil"/>
                  </w:tcBorders>
                  <w:noWrap w:val="0"/>
                  <w:vAlign w:val="center"/>
                </w:tcPr>
                <w:p w14:paraId="51424A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pacing w:val="0"/>
                      <w:sz w:val="24"/>
                      <w:szCs w:val="24"/>
                      <w:lang w:val="en-US" w:eastAsia="zh-CN"/>
                    </w:rPr>
                  </w:pPr>
                  <w:r>
                    <w:rPr>
                      <w:rFonts w:hint="default" w:ascii="Times New Roman" w:hAnsi="Times New Roman" w:eastAsia="宋体" w:cs="Times New Roman"/>
                      <w:b w:val="0"/>
                      <w:bCs w:val="0"/>
                      <w:color w:val="auto"/>
                      <w:spacing w:val="0"/>
                      <w:sz w:val="24"/>
                      <w:szCs w:val="24"/>
                      <w:lang w:val="en-US" w:eastAsia="zh-CN"/>
                    </w:rPr>
                    <w:t>废滤芯、废活性炭</w:t>
                  </w:r>
                </w:p>
              </w:tc>
            </w:tr>
          </w:tbl>
          <w:p w14:paraId="150644FE">
            <w:pPr>
              <w:adjustRightInd w:val="0"/>
              <w:spacing w:line="360" w:lineRule="auto"/>
              <w:ind w:firstLine="480" w:firstLineChars="200"/>
              <w:jc w:val="left"/>
              <w:rPr>
                <w:rFonts w:hint="default" w:ascii="Times New Roman" w:hAnsi="Times New Roman" w:eastAsia="宋体" w:cs="Times New Roman"/>
                <w:color w:val="auto"/>
                <w:kern w:val="0"/>
                <w:sz w:val="24"/>
                <w:szCs w:val="22"/>
                <w:lang w:val="en-US" w:eastAsia="zh-CN"/>
              </w:rPr>
            </w:pPr>
          </w:p>
          <w:p w14:paraId="7766D693">
            <w:pPr>
              <w:adjustRightInd w:val="0"/>
              <w:spacing w:line="360" w:lineRule="auto"/>
              <w:ind w:firstLine="480" w:firstLineChars="200"/>
              <w:jc w:val="left"/>
              <w:rPr>
                <w:rFonts w:hint="default" w:ascii="Times New Roman" w:hAnsi="Times New Roman" w:eastAsia="宋体" w:cs="Times New Roman"/>
                <w:color w:val="auto"/>
                <w:kern w:val="0"/>
                <w:sz w:val="24"/>
                <w:szCs w:val="22"/>
                <w:lang w:val="en-US" w:eastAsia="zh-CN"/>
              </w:rPr>
            </w:pPr>
          </w:p>
          <w:p w14:paraId="78A1FB2B">
            <w:pPr>
              <w:adjustRightInd w:val="0"/>
              <w:spacing w:line="360" w:lineRule="auto"/>
              <w:jc w:val="left"/>
              <w:rPr>
                <w:rFonts w:hint="default" w:ascii="Times New Roman" w:hAnsi="Times New Roman" w:eastAsia="宋体" w:cs="Times New Roman"/>
                <w:color w:val="auto"/>
                <w:kern w:val="0"/>
                <w:sz w:val="24"/>
                <w:szCs w:val="22"/>
                <w:lang w:val="en-US" w:eastAsia="zh-CN"/>
              </w:rPr>
            </w:pPr>
          </w:p>
          <w:p w14:paraId="334E7DC1">
            <w:pPr>
              <w:adjustRightInd w:val="0"/>
              <w:spacing w:line="360" w:lineRule="auto"/>
              <w:jc w:val="left"/>
              <w:rPr>
                <w:rFonts w:hint="default" w:ascii="Times New Roman" w:hAnsi="Times New Roman" w:eastAsia="宋体" w:cs="Times New Roman"/>
                <w:color w:val="auto"/>
                <w:kern w:val="0"/>
                <w:sz w:val="24"/>
                <w:szCs w:val="22"/>
                <w:lang w:val="en-US" w:eastAsia="zh-CN"/>
              </w:rPr>
            </w:pPr>
          </w:p>
          <w:p w14:paraId="4F1F3BC9">
            <w:pPr>
              <w:adjustRightInd w:val="0"/>
              <w:spacing w:line="360" w:lineRule="auto"/>
              <w:jc w:val="left"/>
              <w:rPr>
                <w:rFonts w:hint="default" w:ascii="Times New Roman" w:hAnsi="Times New Roman" w:eastAsia="宋体" w:cs="Times New Roman"/>
                <w:color w:val="auto"/>
                <w:kern w:val="0"/>
                <w:sz w:val="24"/>
                <w:szCs w:val="22"/>
                <w:lang w:val="en-US" w:eastAsia="zh-CN"/>
              </w:rPr>
            </w:pPr>
          </w:p>
          <w:p w14:paraId="1EDC3605">
            <w:pPr>
              <w:adjustRightInd w:val="0"/>
              <w:spacing w:line="360" w:lineRule="auto"/>
              <w:jc w:val="left"/>
              <w:rPr>
                <w:rFonts w:hint="default" w:ascii="Times New Roman" w:hAnsi="Times New Roman" w:eastAsia="宋体" w:cs="Times New Roman"/>
                <w:color w:val="auto"/>
                <w:kern w:val="0"/>
                <w:sz w:val="24"/>
                <w:szCs w:val="22"/>
                <w:lang w:val="en-US" w:eastAsia="zh-CN"/>
              </w:rPr>
            </w:pPr>
          </w:p>
          <w:p w14:paraId="220D5023">
            <w:pPr>
              <w:adjustRightInd w:val="0"/>
              <w:spacing w:line="360" w:lineRule="auto"/>
              <w:jc w:val="left"/>
              <w:rPr>
                <w:rFonts w:hint="default" w:ascii="Times New Roman" w:hAnsi="Times New Roman" w:eastAsia="宋体" w:cs="Times New Roman"/>
                <w:color w:val="auto"/>
                <w:kern w:val="0"/>
                <w:sz w:val="24"/>
                <w:szCs w:val="22"/>
                <w:lang w:val="en-US" w:eastAsia="zh-CN"/>
              </w:rPr>
            </w:pPr>
          </w:p>
        </w:tc>
      </w:tr>
      <w:tr w14:paraId="34B1C1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40" w:hRule="atLeast"/>
          <w:jc w:val="center"/>
        </w:trPr>
        <w:tc>
          <w:tcPr>
            <w:tcW w:w="473" w:type="dxa"/>
            <w:vAlign w:val="center"/>
          </w:tcPr>
          <w:p w14:paraId="401E3B3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bCs/>
                <w:color w:val="auto"/>
                <w:sz w:val="24"/>
              </w:rPr>
              <w:t>与项目有关的原有环境污染问题</w:t>
            </w:r>
          </w:p>
        </w:tc>
        <w:tc>
          <w:tcPr>
            <w:tcW w:w="8587" w:type="dxa"/>
            <w:vAlign w:val="top"/>
          </w:tcPr>
          <w:p w14:paraId="2BF92C6E">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1、现有工程环保手续履行概况</w:t>
            </w:r>
          </w:p>
          <w:p w14:paraId="2E123710">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维美德造纸机械技术（西安）有限公司自2009 年起先后对空间车间、锅炉房及辐射采暖、综合楼、宽幅纸机部件制造能力提升投资项目等分别进行了分项的环境影响评价报告表，并进行了验收，2019年对喷砂房除尘设施进行了废气处理设施改造，部件西喷漆房废气处理设施进行了改造，并填写了登记表备案。环评及验收手续履行情况见表2-8。</w:t>
            </w:r>
          </w:p>
          <w:p w14:paraId="62659D2A">
            <w:pPr>
              <w:spacing w:line="240" w:lineRule="auto"/>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表2-8 环保手续一览表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3051"/>
              <w:gridCol w:w="2325"/>
              <w:gridCol w:w="2326"/>
            </w:tblGrid>
            <w:tr w14:paraId="48D1C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4" w:type="pct"/>
                  <w:noWrap w:val="0"/>
                  <w:vAlign w:val="center"/>
                </w:tcPr>
                <w:p w14:paraId="661BD3D7">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序号</w:t>
                  </w:r>
                </w:p>
              </w:tc>
              <w:tc>
                <w:tcPr>
                  <w:tcW w:w="1824" w:type="pct"/>
                  <w:noWrap w:val="0"/>
                  <w:vAlign w:val="center"/>
                </w:tcPr>
                <w:p w14:paraId="13DE40F2">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项目名称</w:t>
                  </w:r>
                </w:p>
              </w:tc>
              <w:tc>
                <w:tcPr>
                  <w:tcW w:w="1390" w:type="pct"/>
                  <w:noWrap w:val="0"/>
                  <w:vAlign w:val="center"/>
                </w:tcPr>
                <w:p w14:paraId="17E377FB">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环保</w:t>
                  </w:r>
                  <w:r>
                    <w:rPr>
                      <w:rFonts w:hint="default" w:ascii="Times New Roman" w:hAnsi="Times New Roman" w:eastAsia="宋体" w:cs="Times New Roman"/>
                      <w:color w:val="auto"/>
                      <w:sz w:val="21"/>
                      <w:szCs w:val="21"/>
                      <w:highlight w:val="none"/>
                    </w:rPr>
                    <w:t>手续</w:t>
                  </w:r>
                </w:p>
              </w:tc>
              <w:tc>
                <w:tcPr>
                  <w:tcW w:w="1390" w:type="pct"/>
                  <w:noWrap w:val="0"/>
                  <w:vAlign w:val="center"/>
                </w:tcPr>
                <w:p w14:paraId="44F5EBA5">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验收手续</w:t>
                  </w:r>
                </w:p>
              </w:tc>
            </w:tr>
            <w:tr w14:paraId="628A0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4" w:type="pct"/>
                  <w:noWrap w:val="0"/>
                  <w:vAlign w:val="center"/>
                </w:tcPr>
                <w:p w14:paraId="78EA31EC">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824" w:type="pct"/>
                  <w:noWrap w:val="0"/>
                  <w:vAlign w:val="center"/>
                </w:tcPr>
                <w:p w14:paraId="57E2AB79">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维美德西安造纸机械有限公司空气车间扩建工程建设项目环境影响报告表</w:t>
                  </w:r>
                </w:p>
              </w:tc>
              <w:tc>
                <w:tcPr>
                  <w:tcW w:w="1390" w:type="pct"/>
                  <w:noWrap w:val="0"/>
                  <w:vAlign w:val="center"/>
                </w:tcPr>
                <w:p w14:paraId="1B5D15D1">
                  <w:pPr>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市环未批复[2009]14号</w:t>
                  </w:r>
                </w:p>
              </w:tc>
              <w:tc>
                <w:tcPr>
                  <w:tcW w:w="1390" w:type="pct"/>
                  <w:noWrap w:val="0"/>
                  <w:vAlign w:val="center"/>
                </w:tcPr>
                <w:p w14:paraId="6FBDCB8B">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市环批复[2013]457 号</w:t>
                  </w:r>
                </w:p>
              </w:tc>
            </w:tr>
            <w:tr w14:paraId="6DADA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4" w:type="pct"/>
                  <w:noWrap w:val="0"/>
                  <w:vAlign w:val="center"/>
                </w:tcPr>
                <w:p w14:paraId="49D098F5">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824" w:type="pct"/>
                  <w:noWrap w:val="0"/>
                  <w:vAlign w:val="center"/>
                </w:tcPr>
                <w:p w14:paraId="5A8025C4">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维美德西安造纸机械有限公司新建综合楼建设项目环境影响报告表</w:t>
                  </w:r>
                </w:p>
              </w:tc>
              <w:tc>
                <w:tcPr>
                  <w:tcW w:w="1390" w:type="pct"/>
                  <w:noWrap w:val="0"/>
                  <w:vAlign w:val="center"/>
                </w:tcPr>
                <w:p w14:paraId="12DF4CB9">
                  <w:pPr>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市环未批复[2009]15 号</w:t>
                  </w:r>
                </w:p>
              </w:tc>
              <w:tc>
                <w:tcPr>
                  <w:tcW w:w="1390" w:type="pct"/>
                  <w:noWrap w:val="0"/>
                  <w:vAlign w:val="center"/>
                </w:tcPr>
                <w:p w14:paraId="370F8476">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市环批复</w:t>
                  </w:r>
                </w:p>
                <w:p w14:paraId="584911CE">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[2013]458 号</w:t>
                  </w:r>
                </w:p>
              </w:tc>
            </w:tr>
            <w:tr w14:paraId="6638B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4" w:type="pct"/>
                  <w:noWrap w:val="0"/>
                  <w:vAlign w:val="center"/>
                </w:tcPr>
                <w:p w14:paraId="2C3CFE0A">
                  <w:pPr>
                    <w:bidi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824" w:type="pct"/>
                  <w:noWrap w:val="0"/>
                  <w:vAlign w:val="center"/>
                </w:tcPr>
                <w:p w14:paraId="7C63229E">
                  <w:pPr>
                    <w:bidi w:val="0"/>
                    <w:spacing w:line="240" w:lineRule="auto"/>
                    <w:jc w:val="center"/>
                    <w:rPr>
                      <w:rFonts w:hint="default" w:ascii="Times New Roman" w:hAnsi="Times New Roman" w:eastAsia="宋体" w:cs="Times New Roman"/>
                      <w:color w:val="auto"/>
                      <w:sz w:val="21"/>
                      <w:szCs w:val="21"/>
                      <w:highlight w:val="none"/>
                      <w:lang w:val="en-GB" w:eastAsia="zh-CN"/>
                    </w:rPr>
                  </w:pPr>
                  <w:r>
                    <w:rPr>
                      <w:rFonts w:hint="default" w:ascii="Times New Roman" w:hAnsi="Times New Roman" w:eastAsia="宋体" w:cs="Times New Roman"/>
                      <w:color w:val="auto"/>
                      <w:sz w:val="21"/>
                      <w:szCs w:val="21"/>
                      <w:highlight w:val="none"/>
                      <w:lang w:val="en-GB" w:eastAsia="zh-CN"/>
                    </w:rPr>
                    <w:t>维美德造纸机械技术(西安)有限公司燃气锅炉房及辐射采暖项目环境影响报告表</w:t>
                  </w:r>
                </w:p>
              </w:tc>
              <w:tc>
                <w:tcPr>
                  <w:tcW w:w="1390" w:type="pct"/>
                  <w:noWrap w:val="0"/>
                  <w:vAlign w:val="center"/>
                </w:tcPr>
                <w:p w14:paraId="1F1A98ED">
                  <w:pPr>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市环沣渭批复[2015]16 号</w:t>
                  </w:r>
                </w:p>
              </w:tc>
              <w:tc>
                <w:tcPr>
                  <w:tcW w:w="1390" w:type="pct"/>
                  <w:noWrap w:val="0"/>
                  <w:vAlign w:val="center"/>
                </w:tcPr>
                <w:p w14:paraId="6BFA2DAA">
                  <w:pPr>
                    <w:bidi w:val="0"/>
                    <w:spacing w:line="240" w:lineRule="auto"/>
                    <w:jc w:val="center"/>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zh-CN" w:eastAsia="zh-CN"/>
                    </w:rPr>
                    <w:t>市环沣渭验[2017]1号</w:t>
                  </w:r>
                </w:p>
              </w:tc>
            </w:tr>
            <w:tr w14:paraId="536C4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4" w:type="pct"/>
                  <w:noWrap w:val="0"/>
                  <w:vAlign w:val="center"/>
                </w:tcPr>
                <w:p w14:paraId="584E0EC9">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824" w:type="pct"/>
                  <w:noWrap w:val="0"/>
                  <w:vAlign w:val="center"/>
                </w:tcPr>
                <w:p w14:paraId="09E51017">
                  <w:pPr>
                    <w:bidi w:val="0"/>
                    <w:spacing w:line="240" w:lineRule="auto"/>
                    <w:jc w:val="center"/>
                    <w:rPr>
                      <w:rFonts w:hint="default" w:ascii="Times New Roman" w:hAnsi="Times New Roman" w:eastAsia="宋体" w:cs="Times New Roman"/>
                      <w:color w:val="auto"/>
                      <w:sz w:val="21"/>
                      <w:szCs w:val="21"/>
                      <w:lang w:val="zh-CN" w:eastAsia="en-US"/>
                    </w:rPr>
                  </w:pPr>
                  <w:r>
                    <w:rPr>
                      <w:rFonts w:hint="default" w:ascii="Times New Roman" w:hAnsi="Times New Roman" w:eastAsia="宋体" w:cs="Times New Roman"/>
                      <w:color w:val="auto"/>
                      <w:sz w:val="21"/>
                      <w:szCs w:val="21"/>
                      <w:lang w:val="zh-CN" w:eastAsia="en-US"/>
                    </w:rPr>
                    <w:t>喷砂房除尘设备提升改造项目</w:t>
                  </w:r>
                </w:p>
              </w:tc>
              <w:tc>
                <w:tcPr>
                  <w:tcW w:w="1390" w:type="pct"/>
                  <w:noWrap w:val="0"/>
                  <w:vAlign w:val="center"/>
                </w:tcPr>
                <w:p w14:paraId="24F311E9">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环境影响登记表（备案号:20196199000200000256）</w:t>
                  </w:r>
                </w:p>
              </w:tc>
              <w:tc>
                <w:tcPr>
                  <w:tcW w:w="1390" w:type="pct"/>
                  <w:noWrap w:val="0"/>
                  <w:vAlign w:val="center"/>
                </w:tcPr>
                <w:p w14:paraId="268252A2">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14:paraId="3836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4" w:type="pct"/>
                  <w:noWrap w:val="0"/>
                  <w:vAlign w:val="center"/>
                </w:tcPr>
                <w:p w14:paraId="2659740A">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824" w:type="pct"/>
                  <w:noWrap w:val="0"/>
                  <w:vAlign w:val="center"/>
                </w:tcPr>
                <w:p w14:paraId="0E9C4C48">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部件车间1号喷漆房废气处理设施改造项目</w:t>
                  </w:r>
                </w:p>
              </w:tc>
              <w:tc>
                <w:tcPr>
                  <w:tcW w:w="1390" w:type="pct"/>
                  <w:noWrap w:val="0"/>
                  <w:vAlign w:val="center"/>
                </w:tcPr>
                <w:p w14:paraId="46CAD09A">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环境影响登记表(备案号:20196199000200000688)</w:t>
                  </w:r>
                </w:p>
              </w:tc>
              <w:tc>
                <w:tcPr>
                  <w:tcW w:w="1390" w:type="pct"/>
                  <w:noWrap w:val="0"/>
                  <w:vAlign w:val="center"/>
                </w:tcPr>
                <w:p w14:paraId="4D960121">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14:paraId="48614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4" w:type="pct"/>
                  <w:noWrap w:val="0"/>
                  <w:vAlign w:val="center"/>
                </w:tcPr>
                <w:p w14:paraId="11225960">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824" w:type="pct"/>
                  <w:noWrap w:val="0"/>
                  <w:vAlign w:val="center"/>
                </w:tcPr>
                <w:p w14:paraId="4B60EE0A">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维美德造纸机械技术(西安)有限公司宽幅纸机部件制造能力提升投资项目</w:t>
                  </w:r>
                </w:p>
              </w:tc>
              <w:tc>
                <w:tcPr>
                  <w:tcW w:w="1390" w:type="pct"/>
                  <w:noWrap w:val="0"/>
                  <w:vAlign w:val="center"/>
                </w:tcPr>
                <w:p w14:paraId="52ECE022">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陕西咸审服准(2021)116号</w:t>
                  </w:r>
                </w:p>
              </w:tc>
              <w:tc>
                <w:tcPr>
                  <w:tcW w:w="1390" w:type="pct"/>
                  <w:noWrap w:val="0"/>
                  <w:vAlign w:val="center"/>
                </w:tcPr>
                <w:p w14:paraId="005CE1CD">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2021年8月自助验收</w:t>
                  </w:r>
                </w:p>
              </w:tc>
            </w:tr>
            <w:tr w14:paraId="0AB13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4" w:type="pct"/>
                  <w:noWrap w:val="0"/>
                  <w:vAlign w:val="center"/>
                </w:tcPr>
                <w:p w14:paraId="515F739D">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1824" w:type="pct"/>
                  <w:noWrap w:val="0"/>
                  <w:vAlign w:val="center"/>
                </w:tcPr>
                <w:p w14:paraId="6A2D350F">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排污许可证</w:t>
                  </w:r>
                </w:p>
              </w:tc>
              <w:tc>
                <w:tcPr>
                  <w:tcW w:w="1390" w:type="pct"/>
                  <w:noWrap w:val="0"/>
                  <w:vAlign w:val="center"/>
                </w:tcPr>
                <w:p w14:paraId="71F73300">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许可证编号：</w:t>
                  </w:r>
                </w:p>
                <w:p w14:paraId="6ABD40DA">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91610000623100112A001V</w:t>
                  </w:r>
                </w:p>
              </w:tc>
              <w:tc>
                <w:tcPr>
                  <w:tcW w:w="1390" w:type="pct"/>
                  <w:noWrap w:val="0"/>
                  <w:vAlign w:val="center"/>
                </w:tcPr>
                <w:p w14:paraId="1548FCBB">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2019.6.19首次申请</w:t>
                  </w:r>
                </w:p>
                <w:p w14:paraId="42B1CBD3">
                  <w:pPr>
                    <w:bidi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2023.05.19重新申请</w:t>
                  </w:r>
                </w:p>
              </w:tc>
            </w:tr>
          </w:tbl>
          <w:p w14:paraId="7FEE437E">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2、现有项目污染情况</w:t>
            </w:r>
          </w:p>
          <w:p w14:paraId="678521C7">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根据厂区原有项目环境影响评价、竣工环境保护验收、排污许可证及自行监测报告，现有项目污染物排放情况如下所示：</w:t>
            </w:r>
          </w:p>
          <w:p w14:paraId="3B1301E1">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（1）废气</w:t>
            </w:r>
          </w:p>
          <w:p w14:paraId="3900C9C0">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fldChar w:fldCharType="begin"/>
            </w:r>
            <w:r>
              <w:rPr>
                <w:rFonts w:hint="default" w:ascii="Times New Roman" w:hAnsi="Times New Roman" w:eastAsia="宋体" w:cs="Times New Roman"/>
                <w:color w:val="auto"/>
                <w:sz w:val="24"/>
                <w:szCs w:val="24"/>
                <w:highlight w:val="none"/>
                <w:lang w:val="en-US" w:eastAsia="zh-CN"/>
              </w:rPr>
              <w:instrText xml:space="preserve"> = 1 \* GB3 \* MERGEFORMAT </w:instrText>
            </w:r>
            <w:r>
              <w:rPr>
                <w:rFonts w:hint="default" w:ascii="Times New Roman" w:hAnsi="Times New Roman" w:eastAsia="宋体" w:cs="Times New Roman"/>
                <w:color w:val="auto"/>
                <w:sz w:val="24"/>
                <w:szCs w:val="24"/>
                <w:highlight w:val="none"/>
                <w:lang w:val="en-US" w:eastAsia="zh-CN"/>
              </w:rPr>
              <w:fldChar w:fldCharType="separate"/>
            </w:r>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color w:val="auto"/>
                <w:sz w:val="24"/>
                <w:szCs w:val="24"/>
                <w:highlight w:val="none"/>
                <w:lang w:val="en-US" w:eastAsia="zh-CN"/>
              </w:rPr>
              <w:fldChar w:fldCharType="end"/>
            </w:r>
            <w:r>
              <w:rPr>
                <w:rFonts w:hint="default" w:ascii="Times New Roman" w:hAnsi="Times New Roman" w:eastAsia="宋体" w:cs="Times New Roman"/>
                <w:color w:val="auto"/>
                <w:sz w:val="24"/>
                <w:szCs w:val="24"/>
                <w:highlight w:val="none"/>
                <w:lang w:val="en-US" w:eastAsia="zh-CN"/>
              </w:rPr>
              <w:t>锅炉烟气（DA005）</w:t>
            </w:r>
          </w:p>
          <w:p w14:paraId="4CACD3C0">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现有工程设置一台WNS1.75-90/65-Q型常压热水锅炉，锅炉采用天然气作为清洁能源，设置低氮燃烧器，排气筒高度为8m。本次评价收集2024年监测报告，监测单位为陕西润卓环境技术有限公司，监测时间为2024年1月8日，监测项目为氮氧化物。监测结果见表2-9。</w:t>
            </w:r>
          </w:p>
          <w:p w14:paraId="5FCF9766">
            <w:pPr>
              <w:bidi w:val="0"/>
              <w:jc w:val="center"/>
              <w:rPr>
                <w:rFonts w:hint="default" w:ascii="Times New Roman" w:hAnsi="Times New Roman" w:eastAsia="宋体" w:cs="Times New Roman"/>
                <w:b/>
                <w:bCs/>
                <w:color w:val="auto"/>
              </w:rPr>
            </w:pPr>
          </w:p>
          <w:p w14:paraId="777AAD18">
            <w:pPr>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lang w:val="en-US" w:eastAsia="zh-CN"/>
              </w:rPr>
              <w:t xml:space="preserve">2-9 </w:t>
            </w:r>
            <w:r>
              <w:rPr>
                <w:rFonts w:hint="default" w:ascii="Times New Roman" w:hAnsi="Times New Roman" w:eastAsia="宋体" w:cs="Times New Roman"/>
                <w:b/>
                <w:bCs/>
                <w:color w:val="auto"/>
              </w:rPr>
              <w:t>锅炉废气监测结果一览表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8"/>
              <w:gridCol w:w="5583"/>
            </w:tblGrid>
            <w:tr w14:paraId="1235B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dxa"/>
                  <w:vMerge w:val="restart"/>
                  <w:noWrap w:val="0"/>
                  <w:vAlign w:val="center"/>
                </w:tcPr>
                <w:p w14:paraId="56A4424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w:t>
                  </w:r>
                </w:p>
              </w:tc>
              <w:tc>
                <w:tcPr>
                  <w:tcW w:w="2651" w:type="dxa"/>
                  <w:noWrap w:val="0"/>
                  <w:vAlign w:val="center"/>
                </w:tcPr>
                <w:p w14:paraId="71E2E0B9">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r>
            <w:tr w14:paraId="190D8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dxa"/>
                  <w:vMerge w:val="continue"/>
                  <w:noWrap w:val="0"/>
                  <w:vAlign w:val="center"/>
                </w:tcPr>
                <w:p w14:paraId="44482D3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2651" w:type="dxa"/>
                  <w:noWrap w:val="0"/>
                  <w:vAlign w:val="center"/>
                </w:tcPr>
                <w:p w14:paraId="6DDBB4F2">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氮氧化物（mg/m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r>
            <w:tr w14:paraId="2257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dxa"/>
                  <w:noWrap w:val="0"/>
                  <w:vAlign w:val="center"/>
                </w:tcPr>
                <w:p w14:paraId="7572454F">
                  <w:pPr>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DA005</w:t>
                  </w:r>
                </w:p>
              </w:tc>
              <w:tc>
                <w:tcPr>
                  <w:tcW w:w="2651" w:type="dxa"/>
                  <w:noWrap w:val="0"/>
                  <w:vAlign w:val="center"/>
                </w:tcPr>
                <w:p w14:paraId="4693116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34.6</w:t>
                  </w:r>
                </w:p>
              </w:tc>
            </w:tr>
            <w:tr w14:paraId="5F3F1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dxa"/>
                  <w:noWrap w:val="0"/>
                  <w:vAlign w:val="center"/>
                </w:tcPr>
                <w:p w14:paraId="368D9E62">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标准限值</w:t>
                  </w:r>
                </w:p>
              </w:tc>
              <w:tc>
                <w:tcPr>
                  <w:tcW w:w="2651" w:type="dxa"/>
                  <w:noWrap w:val="0"/>
                  <w:vAlign w:val="center"/>
                </w:tcPr>
                <w:p w14:paraId="6AF0D9C2">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w:t>
                  </w:r>
                </w:p>
              </w:tc>
            </w:tr>
          </w:tbl>
          <w:p w14:paraId="3EB93F96">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根据监测结果可知，锅炉废气排放口氮氧化物排放浓度满足《锅炉大气污染物排放标准》（DB61/1226-2018）表3标准限值要求。</w:t>
            </w:r>
          </w:p>
          <w:p w14:paraId="41871CD8">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 2 \* GB3 \* MERGEFORMAT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eastAsia="宋体" w:cs="Times New Roman"/>
                <w:color w:val="auto"/>
              </w:rPr>
              <w:t>②</w:t>
            </w:r>
            <w:r>
              <w:rPr>
                <w:rFonts w:hint="default" w:ascii="Times New Roman" w:hAnsi="Times New Roman" w:eastAsia="宋体" w:cs="Times New Roman"/>
                <w:color w:val="auto"/>
                <w:sz w:val="24"/>
                <w:szCs w:val="24"/>
                <w:lang w:val="en-US" w:eastAsia="zh-CN"/>
              </w:rPr>
              <w:fldChar w:fldCharType="end"/>
            </w:r>
            <w:r>
              <w:rPr>
                <w:rFonts w:hint="default" w:ascii="Times New Roman" w:hAnsi="Times New Roman" w:eastAsia="宋体" w:cs="Times New Roman"/>
                <w:color w:val="auto"/>
                <w:sz w:val="24"/>
                <w:szCs w:val="24"/>
                <w:lang w:val="en-US" w:eastAsia="zh-CN"/>
              </w:rPr>
              <w:t>喷漆废气（DA002、DA001）</w:t>
            </w:r>
          </w:p>
          <w:p w14:paraId="47303AB1">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现有工程设置2个喷漆房，喷漆废气采用“</w:t>
            </w:r>
            <w:r>
              <w:rPr>
                <w:rFonts w:hint="default" w:ascii="Times New Roman" w:hAnsi="Times New Roman" w:eastAsia="宋体" w:cs="Times New Roman"/>
                <w:bCs/>
                <w:color w:val="auto"/>
                <w:kern w:val="0"/>
                <w:sz w:val="24"/>
                <w:szCs w:val="20"/>
                <w:lang w:val="en-US" w:eastAsia="zh-CN"/>
              </w:rPr>
              <w:t>干式过滤+活性炭吸附浓缩+催化燃烧”的工艺进行处理，处理后通过15m高排气筒排放。</w:t>
            </w:r>
            <w:r>
              <w:rPr>
                <w:rFonts w:hint="default" w:ascii="Times New Roman" w:hAnsi="Times New Roman" w:eastAsia="宋体" w:cs="Times New Roman"/>
                <w:color w:val="auto"/>
                <w:sz w:val="24"/>
                <w:szCs w:val="24"/>
                <w:highlight w:val="none"/>
                <w:lang w:val="en-US" w:eastAsia="zh-CN"/>
              </w:rPr>
              <w:t>本次评价收集2024年监测报告，监测单位为陕西润卓环境技术有限公司，监测时间为2024年6月5日、2024年4月17日，监测项目为颗粒物、非甲烷总通过、苯、甲苯、二甲苯。监测结果见表2-10。</w:t>
            </w:r>
          </w:p>
          <w:p w14:paraId="1C59F8D2">
            <w:pPr>
              <w:bidi w:val="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表2-10 喷漆废气监测结果一览表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82"/>
              <w:gridCol w:w="1382"/>
              <w:gridCol w:w="1382"/>
              <w:gridCol w:w="1382"/>
              <w:gridCol w:w="1383"/>
            </w:tblGrid>
            <w:tr w14:paraId="24844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0" w:type="dxa"/>
                  <w:vMerge w:val="restart"/>
                  <w:noWrap w:val="0"/>
                  <w:vAlign w:val="center"/>
                </w:tcPr>
                <w:p w14:paraId="46DEA335">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w:t>
                  </w:r>
                </w:p>
              </w:tc>
              <w:tc>
                <w:tcPr>
                  <w:tcW w:w="6911" w:type="dxa"/>
                  <w:gridSpan w:val="5"/>
                  <w:noWrap w:val="0"/>
                  <w:vAlign w:val="center"/>
                </w:tcPr>
                <w:p w14:paraId="449E4ADB">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r>
            <w:tr w14:paraId="3C77F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0" w:type="dxa"/>
                  <w:vMerge w:val="continue"/>
                  <w:noWrap w:val="0"/>
                  <w:vAlign w:val="center"/>
                </w:tcPr>
                <w:p w14:paraId="5974740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382" w:type="dxa"/>
                  <w:noWrap w:val="0"/>
                  <w:vAlign w:val="center"/>
                </w:tcPr>
                <w:p w14:paraId="116BFE06">
                  <w:pPr>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颗粒物</w:t>
                  </w:r>
                </w:p>
              </w:tc>
              <w:tc>
                <w:tcPr>
                  <w:tcW w:w="1382" w:type="dxa"/>
                  <w:noWrap w:val="0"/>
                  <w:vAlign w:val="center"/>
                </w:tcPr>
                <w:p w14:paraId="35542DC7">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1382" w:type="dxa"/>
                  <w:noWrap w:val="0"/>
                  <w:vAlign w:val="center"/>
                </w:tcPr>
                <w:p w14:paraId="0EBCA14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苯</w:t>
                  </w:r>
                </w:p>
              </w:tc>
              <w:tc>
                <w:tcPr>
                  <w:tcW w:w="1382" w:type="dxa"/>
                  <w:noWrap w:val="0"/>
                  <w:vAlign w:val="center"/>
                </w:tcPr>
                <w:p w14:paraId="0E77A0C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甲苯</w:t>
                  </w:r>
                </w:p>
              </w:tc>
              <w:tc>
                <w:tcPr>
                  <w:tcW w:w="1383" w:type="dxa"/>
                  <w:noWrap w:val="0"/>
                  <w:vAlign w:val="center"/>
                </w:tcPr>
                <w:p w14:paraId="7EA251C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二甲苯</w:t>
                  </w:r>
                </w:p>
              </w:tc>
            </w:tr>
            <w:tr w14:paraId="6883F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0" w:type="dxa"/>
                  <w:noWrap w:val="0"/>
                  <w:vAlign w:val="center"/>
                </w:tcPr>
                <w:p w14:paraId="14E7EAC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DA00</w:t>
                  </w:r>
                  <w:r>
                    <w:rPr>
                      <w:rFonts w:hint="default" w:ascii="Times New Roman" w:hAnsi="Times New Roman" w:eastAsia="宋体" w:cs="Times New Roman"/>
                      <w:color w:val="auto"/>
                      <w:sz w:val="21"/>
                      <w:szCs w:val="21"/>
                      <w:lang w:val="en-US" w:eastAsia="zh-CN"/>
                    </w:rPr>
                    <w:t>2（西喷漆房）</w:t>
                  </w:r>
                </w:p>
              </w:tc>
              <w:tc>
                <w:tcPr>
                  <w:tcW w:w="1382" w:type="dxa"/>
                  <w:noWrap w:val="0"/>
                  <w:vAlign w:val="center"/>
                </w:tcPr>
                <w:p w14:paraId="1BBE4FDD">
                  <w:pPr>
                    <w:adjustRightInd w:val="0"/>
                    <w:snapToGrid w:val="0"/>
                    <w:spacing w:line="240" w:lineRule="auto"/>
                    <w:ind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4.6mg/m</w:t>
                  </w:r>
                  <w:r>
                    <w:rPr>
                      <w:rFonts w:hint="default" w:ascii="Times New Roman" w:hAnsi="Times New Roman" w:eastAsia="宋体" w:cs="Times New Roman"/>
                      <w:color w:val="auto"/>
                      <w:sz w:val="21"/>
                      <w:szCs w:val="21"/>
                      <w:vertAlign w:val="superscript"/>
                      <w:lang w:val="en-US" w:eastAsia="zh-CN"/>
                    </w:rPr>
                    <w:t>3</w:t>
                  </w:r>
                </w:p>
                <w:p w14:paraId="15567BD0">
                  <w:pPr>
                    <w:adjustRightInd w:val="0"/>
                    <w:snapToGrid w:val="0"/>
                    <w:spacing w:line="240" w:lineRule="auto"/>
                    <w:ind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0.240kg/h</w:t>
                  </w:r>
                </w:p>
              </w:tc>
              <w:tc>
                <w:tcPr>
                  <w:tcW w:w="1382" w:type="dxa"/>
                  <w:noWrap w:val="0"/>
                  <w:vAlign w:val="center"/>
                </w:tcPr>
                <w:p w14:paraId="4D0C35D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6.64mg/m</w:t>
                  </w:r>
                  <w:r>
                    <w:rPr>
                      <w:rFonts w:hint="default" w:ascii="Times New Roman" w:hAnsi="Times New Roman" w:eastAsia="宋体" w:cs="Times New Roman"/>
                      <w:color w:val="auto"/>
                      <w:sz w:val="21"/>
                      <w:szCs w:val="21"/>
                      <w:vertAlign w:val="superscript"/>
                      <w:lang w:val="en-US" w:eastAsia="zh-CN"/>
                    </w:rPr>
                    <w:t>3</w:t>
                  </w:r>
                </w:p>
              </w:tc>
              <w:tc>
                <w:tcPr>
                  <w:tcW w:w="1382" w:type="dxa"/>
                  <w:noWrap w:val="0"/>
                  <w:vAlign w:val="center"/>
                </w:tcPr>
                <w:p w14:paraId="3DBE304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0.0924mg/m</w:t>
                  </w:r>
                  <w:r>
                    <w:rPr>
                      <w:rFonts w:hint="default" w:ascii="Times New Roman" w:hAnsi="Times New Roman" w:eastAsia="宋体" w:cs="Times New Roman"/>
                      <w:color w:val="auto"/>
                      <w:sz w:val="21"/>
                      <w:szCs w:val="21"/>
                      <w:vertAlign w:val="superscript"/>
                      <w:lang w:val="en-US" w:eastAsia="zh-CN"/>
                    </w:rPr>
                    <w:t>3</w:t>
                  </w:r>
                </w:p>
              </w:tc>
              <w:tc>
                <w:tcPr>
                  <w:tcW w:w="1382" w:type="dxa"/>
                  <w:noWrap w:val="0"/>
                  <w:vAlign w:val="center"/>
                </w:tcPr>
                <w:p w14:paraId="44C84DAE">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1383" w:type="dxa"/>
                  <w:noWrap w:val="0"/>
                  <w:vAlign w:val="center"/>
                </w:tcPr>
                <w:p w14:paraId="7A7BDDE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r>
            <w:tr w14:paraId="5A5FA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0" w:type="dxa"/>
                  <w:noWrap w:val="0"/>
                  <w:vAlign w:val="center"/>
                </w:tcPr>
                <w:p w14:paraId="60FBB34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DA001（辊子喷漆房）</w:t>
                  </w:r>
                </w:p>
              </w:tc>
              <w:tc>
                <w:tcPr>
                  <w:tcW w:w="1382" w:type="dxa"/>
                  <w:noWrap w:val="0"/>
                  <w:vAlign w:val="center"/>
                </w:tcPr>
                <w:p w14:paraId="160F43C7">
                  <w:pPr>
                    <w:adjustRightInd w:val="0"/>
                    <w:snapToGrid w:val="0"/>
                    <w:spacing w:line="240" w:lineRule="auto"/>
                    <w:ind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5.7mg/m</w:t>
                  </w:r>
                  <w:r>
                    <w:rPr>
                      <w:rFonts w:hint="default" w:ascii="Times New Roman" w:hAnsi="Times New Roman" w:eastAsia="宋体" w:cs="Times New Roman"/>
                      <w:color w:val="auto"/>
                      <w:sz w:val="21"/>
                      <w:szCs w:val="21"/>
                      <w:vertAlign w:val="superscript"/>
                      <w:lang w:val="en-US" w:eastAsia="zh-CN"/>
                    </w:rPr>
                    <w:t>3</w:t>
                  </w:r>
                </w:p>
                <w:p w14:paraId="6116D95D">
                  <w:pPr>
                    <w:adjustRightInd w:val="0"/>
                    <w:snapToGrid w:val="0"/>
                    <w:spacing w:line="240" w:lineRule="auto"/>
                    <w:ind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0.0714kg/h</w:t>
                  </w:r>
                </w:p>
              </w:tc>
              <w:tc>
                <w:tcPr>
                  <w:tcW w:w="1382" w:type="dxa"/>
                  <w:noWrap w:val="0"/>
                  <w:vAlign w:val="center"/>
                </w:tcPr>
                <w:p w14:paraId="10B2F1A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3.15mg/m</w:t>
                  </w:r>
                  <w:r>
                    <w:rPr>
                      <w:rFonts w:hint="default" w:ascii="Times New Roman" w:hAnsi="Times New Roman" w:eastAsia="宋体" w:cs="Times New Roman"/>
                      <w:color w:val="auto"/>
                      <w:sz w:val="21"/>
                      <w:szCs w:val="21"/>
                      <w:vertAlign w:val="superscript"/>
                      <w:lang w:val="en-US" w:eastAsia="zh-CN"/>
                    </w:rPr>
                    <w:t>3</w:t>
                  </w:r>
                </w:p>
              </w:tc>
              <w:tc>
                <w:tcPr>
                  <w:tcW w:w="1382" w:type="dxa"/>
                  <w:noWrap w:val="0"/>
                  <w:vAlign w:val="center"/>
                </w:tcPr>
                <w:p w14:paraId="7F69393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0.0983mg/m</w:t>
                  </w:r>
                  <w:r>
                    <w:rPr>
                      <w:rFonts w:hint="default" w:ascii="Times New Roman" w:hAnsi="Times New Roman" w:eastAsia="宋体" w:cs="Times New Roman"/>
                      <w:color w:val="auto"/>
                      <w:sz w:val="21"/>
                      <w:szCs w:val="21"/>
                      <w:vertAlign w:val="superscript"/>
                      <w:lang w:val="en-US" w:eastAsia="zh-CN"/>
                    </w:rPr>
                    <w:t>3</w:t>
                  </w:r>
                </w:p>
              </w:tc>
              <w:tc>
                <w:tcPr>
                  <w:tcW w:w="1382" w:type="dxa"/>
                  <w:noWrap w:val="0"/>
                  <w:vAlign w:val="center"/>
                </w:tcPr>
                <w:p w14:paraId="1F18262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1383" w:type="dxa"/>
                  <w:noWrap w:val="0"/>
                  <w:vAlign w:val="center"/>
                </w:tcPr>
                <w:p w14:paraId="4002D60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r>
            <w:tr w14:paraId="3684B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0" w:type="dxa"/>
                  <w:noWrap w:val="0"/>
                  <w:vAlign w:val="center"/>
                </w:tcPr>
                <w:p w14:paraId="22B89F9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标准限值</w:t>
                  </w:r>
                </w:p>
              </w:tc>
              <w:tc>
                <w:tcPr>
                  <w:tcW w:w="1382" w:type="dxa"/>
                  <w:noWrap w:val="0"/>
                  <w:vAlign w:val="center"/>
                </w:tcPr>
                <w:p w14:paraId="682D8712">
                  <w:pPr>
                    <w:adjustRightInd w:val="0"/>
                    <w:snapToGrid w:val="0"/>
                    <w:spacing w:line="240" w:lineRule="auto"/>
                    <w:ind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120mg/m</w:t>
                  </w:r>
                  <w:r>
                    <w:rPr>
                      <w:rFonts w:hint="default" w:ascii="Times New Roman" w:hAnsi="Times New Roman" w:eastAsia="宋体" w:cs="Times New Roman"/>
                      <w:color w:val="auto"/>
                      <w:sz w:val="21"/>
                      <w:szCs w:val="21"/>
                      <w:vertAlign w:val="superscript"/>
                      <w:lang w:val="en-US" w:eastAsia="zh-CN"/>
                    </w:rPr>
                    <w:t>3</w:t>
                  </w:r>
                </w:p>
                <w:p w14:paraId="3BCFCC9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vertAlign w:val="baseline"/>
                      <w:lang w:val="en-US" w:eastAsia="zh-CN"/>
                    </w:rPr>
                    <w:t>3.5kg/h</w:t>
                  </w:r>
                </w:p>
              </w:tc>
              <w:tc>
                <w:tcPr>
                  <w:tcW w:w="1382" w:type="dxa"/>
                  <w:noWrap w:val="0"/>
                  <w:vAlign w:val="center"/>
                </w:tcPr>
                <w:p w14:paraId="46CE477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50mg/m</w:t>
                  </w:r>
                  <w:r>
                    <w:rPr>
                      <w:rFonts w:hint="default" w:ascii="Times New Roman" w:hAnsi="Times New Roman" w:eastAsia="宋体" w:cs="Times New Roman"/>
                      <w:color w:val="auto"/>
                      <w:sz w:val="21"/>
                      <w:szCs w:val="21"/>
                      <w:vertAlign w:val="superscript"/>
                      <w:lang w:val="en-US" w:eastAsia="zh-CN"/>
                    </w:rPr>
                    <w:t>3</w:t>
                  </w:r>
                </w:p>
              </w:tc>
              <w:tc>
                <w:tcPr>
                  <w:tcW w:w="1382" w:type="dxa"/>
                  <w:noWrap w:val="0"/>
                  <w:vAlign w:val="center"/>
                </w:tcPr>
                <w:p w14:paraId="5B3091D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1mg/m</w:t>
                  </w:r>
                  <w:r>
                    <w:rPr>
                      <w:rFonts w:hint="default" w:ascii="Times New Roman" w:hAnsi="Times New Roman" w:eastAsia="宋体" w:cs="Times New Roman"/>
                      <w:color w:val="auto"/>
                      <w:sz w:val="21"/>
                      <w:szCs w:val="21"/>
                      <w:vertAlign w:val="superscript"/>
                      <w:lang w:val="en-US" w:eastAsia="zh-CN"/>
                    </w:rPr>
                    <w:t>3</w:t>
                  </w:r>
                </w:p>
              </w:tc>
              <w:tc>
                <w:tcPr>
                  <w:tcW w:w="1382" w:type="dxa"/>
                  <w:noWrap w:val="0"/>
                  <w:vAlign w:val="center"/>
                </w:tcPr>
                <w:p w14:paraId="63EB49D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5mg/m</w:t>
                  </w:r>
                  <w:r>
                    <w:rPr>
                      <w:rFonts w:hint="default" w:ascii="Times New Roman" w:hAnsi="Times New Roman" w:eastAsia="宋体" w:cs="Times New Roman"/>
                      <w:color w:val="auto"/>
                      <w:sz w:val="21"/>
                      <w:szCs w:val="21"/>
                      <w:vertAlign w:val="superscript"/>
                      <w:lang w:val="en-US" w:eastAsia="zh-CN"/>
                    </w:rPr>
                    <w:t>3</w:t>
                  </w:r>
                </w:p>
              </w:tc>
              <w:tc>
                <w:tcPr>
                  <w:tcW w:w="1383" w:type="dxa"/>
                  <w:noWrap w:val="0"/>
                  <w:vAlign w:val="center"/>
                </w:tcPr>
                <w:p w14:paraId="551FC00F">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15mg/m</w:t>
                  </w:r>
                  <w:r>
                    <w:rPr>
                      <w:rFonts w:hint="default" w:ascii="Times New Roman" w:hAnsi="Times New Roman" w:eastAsia="宋体" w:cs="Times New Roman"/>
                      <w:color w:val="auto"/>
                      <w:sz w:val="21"/>
                      <w:szCs w:val="21"/>
                      <w:vertAlign w:val="superscript"/>
                      <w:lang w:val="en-US" w:eastAsia="zh-CN"/>
                    </w:rPr>
                    <w:t>3</w:t>
                  </w:r>
                </w:p>
              </w:tc>
            </w:tr>
          </w:tbl>
          <w:p w14:paraId="5DEA058E">
            <w:pPr>
              <w:spacing w:line="360" w:lineRule="auto"/>
              <w:ind w:left="0" w:leftChars="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根据监测结果可知，喷漆废气中颗粒物排放浓度和排放速率均满足《大气污染物综合排放标准》（GB16297-1996）表</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lang w:val="en-US" w:eastAsia="zh-CN"/>
              </w:rPr>
              <w:t>二级标准要求，非甲烷总烃、苯、甲苯、二甲苯排放浓度满足《挥发性有机物排放控制标准》（DB 61/T1061-2017）表1标准要求。</w:t>
            </w:r>
          </w:p>
          <w:p w14:paraId="5EAB65C4">
            <w:pPr>
              <w:spacing w:line="360" w:lineRule="auto"/>
              <w:ind w:firstLine="480"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kern w:val="0"/>
                <w:sz w:val="24"/>
                <w:highlight w:val="none"/>
                <w:lang w:val="en-US" w:eastAsia="zh-CN"/>
              </w:rPr>
              <w:t>③焊接废气（DA003）</w:t>
            </w:r>
          </w:p>
          <w:p w14:paraId="02C77AC7">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现有工程对部分焊接区域设置集中处理措施，设置一套中央烟尘净化器，处理后通过</w:t>
            </w:r>
            <w:r>
              <w:rPr>
                <w:rFonts w:hint="default" w:ascii="Times New Roman" w:hAnsi="Times New Roman" w:eastAsia="宋体" w:cs="Times New Roman"/>
                <w:bCs/>
                <w:color w:val="auto"/>
                <w:kern w:val="0"/>
                <w:sz w:val="24"/>
                <w:szCs w:val="20"/>
                <w:lang w:val="en-US" w:eastAsia="zh-CN"/>
              </w:rPr>
              <w:t>15m高排气筒排放。</w:t>
            </w:r>
            <w:r>
              <w:rPr>
                <w:rFonts w:hint="default" w:ascii="Times New Roman" w:hAnsi="Times New Roman" w:eastAsia="宋体" w:cs="Times New Roman"/>
                <w:color w:val="auto"/>
                <w:sz w:val="24"/>
                <w:szCs w:val="24"/>
                <w:highlight w:val="none"/>
                <w:lang w:val="en-US" w:eastAsia="zh-CN"/>
              </w:rPr>
              <w:t>本次评价收集2024年监测报告，监测单位为陕西润卓环境技术有限公司，监测时间为2024年4月17日，监测项目为颗粒物。监测结果见表2-11。</w:t>
            </w:r>
          </w:p>
          <w:p w14:paraId="551EE2AC">
            <w:pPr>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lang w:val="en-US" w:eastAsia="zh-CN"/>
              </w:rPr>
              <w:t>2-11 焊接</w:t>
            </w:r>
            <w:r>
              <w:rPr>
                <w:rFonts w:hint="default" w:ascii="Times New Roman" w:hAnsi="Times New Roman" w:eastAsia="宋体" w:cs="Times New Roman"/>
                <w:b/>
                <w:bCs/>
                <w:color w:val="auto"/>
              </w:rPr>
              <w:t>废气监测结果一览表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8"/>
              <w:gridCol w:w="2791"/>
              <w:gridCol w:w="2792"/>
            </w:tblGrid>
            <w:tr w14:paraId="69E10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78" w:type="dxa"/>
                  <w:vMerge w:val="restart"/>
                  <w:noWrap w:val="0"/>
                  <w:vAlign w:val="center"/>
                </w:tcPr>
                <w:p w14:paraId="478F1ABD">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w:t>
                  </w:r>
                </w:p>
              </w:tc>
              <w:tc>
                <w:tcPr>
                  <w:tcW w:w="5583" w:type="dxa"/>
                  <w:gridSpan w:val="2"/>
                  <w:noWrap w:val="0"/>
                  <w:vAlign w:val="center"/>
                </w:tcPr>
                <w:p w14:paraId="4D7095AD">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颗粒物</w:t>
                  </w:r>
                  <w:r>
                    <w:rPr>
                      <w:rFonts w:hint="default" w:ascii="Times New Roman" w:hAnsi="Times New Roman" w:eastAsia="宋体" w:cs="Times New Roman"/>
                      <w:color w:val="auto"/>
                      <w:sz w:val="21"/>
                      <w:szCs w:val="21"/>
                    </w:rPr>
                    <w:t>监测结果</w:t>
                  </w:r>
                </w:p>
              </w:tc>
            </w:tr>
            <w:tr w14:paraId="36F37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78" w:type="dxa"/>
                  <w:vMerge w:val="continue"/>
                  <w:noWrap w:val="0"/>
                  <w:vAlign w:val="center"/>
                </w:tcPr>
                <w:p w14:paraId="544B342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2791" w:type="dxa"/>
                  <w:noWrap w:val="0"/>
                  <w:vAlign w:val="center"/>
                </w:tcPr>
                <w:p w14:paraId="0D718B3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排放浓度</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c>
                <w:tcPr>
                  <w:tcW w:w="2792" w:type="dxa"/>
                  <w:noWrap w:val="0"/>
                  <w:vAlign w:val="center"/>
                </w:tcPr>
                <w:p w14:paraId="142C69B6">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排放速率</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r>
            <w:tr w14:paraId="4ACA8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78" w:type="dxa"/>
                  <w:noWrap w:val="0"/>
                  <w:vAlign w:val="center"/>
                </w:tcPr>
                <w:p w14:paraId="7D1B9D4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DA00</w:t>
                  </w:r>
                  <w:r>
                    <w:rPr>
                      <w:rFonts w:hint="default" w:ascii="Times New Roman" w:hAnsi="Times New Roman" w:eastAsia="宋体" w:cs="Times New Roman"/>
                      <w:color w:val="auto"/>
                      <w:sz w:val="21"/>
                      <w:szCs w:val="21"/>
                      <w:lang w:val="en-US" w:eastAsia="zh-CN"/>
                    </w:rPr>
                    <w:t>3</w:t>
                  </w:r>
                </w:p>
              </w:tc>
              <w:tc>
                <w:tcPr>
                  <w:tcW w:w="2791" w:type="dxa"/>
                  <w:noWrap w:val="0"/>
                  <w:vAlign w:val="center"/>
                </w:tcPr>
                <w:p w14:paraId="6AA0ACD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w:t>
                  </w:r>
                </w:p>
              </w:tc>
              <w:tc>
                <w:tcPr>
                  <w:tcW w:w="2792" w:type="dxa"/>
                  <w:noWrap w:val="0"/>
                  <w:vAlign w:val="center"/>
                </w:tcPr>
                <w:p w14:paraId="434C4E6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0.00436</w:t>
                  </w:r>
                </w:p>
              </w:tc>
            </w:tr>
            <w:tr w14:paraId="6503D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78" w:type="dxa"/>
                  <w:noWrap w:val="0"/>
                  <w:vAlign w:val="center"/>
                </w:tcPr>
                <w:p w14:paraId="7995E5B2">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标准限值</w:t>
                  </w:r>
                </w:p>
              </w:tc>
              <w:tc>
                <w:tcPr>
                  <w:tcW w:w="2791" w:type="dxa"/>
                  <w:noWrap w:val="0"/>
                  <w:vAlign w:val="center"/>
                </w:tcPr>
                <w:p w14:paraId="23C1FF7F">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120</w:t>
                  </w:r>
                </w:p>
              </w:tc>
              <w:tc>
                <w:tcPr>
                  <w:tcW w:w="2792" w:type="dxa"/>
                  <w:noWrap w:val="0"/>
                  <w:vAlign w:val="center"/>
                </w:tcPr>
                <w:p w14:paraId="013DB62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w:t>
                  </w:r>
                </w:p>
              </w:tc>
            </w:tr>
          </w:tbl>
          <w:p w14:paraId="40B2FD0A">
            <w:pPr>
              <w:spacing w:line="360" w:lineRule="auto"/>
              <w:ind w:left="0" w:leftChars="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根据监测结果可知，焊接废气中颗粒物排放浓度和排放速率均满足《大气污染物综合排放标准》（GB16297-1996）表2二级标准要求。</w:t>
            </w:r>
          </w:p>
          <w:p w14:paraId="67C1EA10">
            <w:pPr>
              <w:spacing w:line="360" w:lineRule="auto"/>
              <w:ind w:left="0" w:leftChars="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 4 \* GB3 \* MERGEFORMAT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eastAsia="宋体" w:cs="Times New Roman"/>
                <w:color w:val="auto"/>
              </w:rPr>
              <w:t>④</w:t>
            </w:r>
            <w:r>
              <w:rPr>
                <w:rFonts w:hint="default" w:ascii="Times New Roman" w:hAnsi="Times New Roman" w:eastAsia="宋体" w:cs="Times New Roman"/>
                <w:color w:val="auto"/>
                <w:sz w:val="24"/>
                <w:szCs w:val="24"/>
                <w:lang w:val="en-US" w:eastAsia="zh-CN"/>
              </w:rPr>
              <w:fldChar w:fldCharType="end"/>
            </w:r>
            <w:r>
              <w:rPr>
                <w:rFonts w:hint="default" w:ascii="Times New Roman" w:hAnsi="Times New Roman" w:eastAsia="宋体" w:cs="Times New Roman"/>
                <w:color w:val="auto"/>
                <w:sz w:val="24"/>
                <w:szCs w:val="24"/>
                <w:lang w:val="en-US" w:eastAsia="zh-CN"/>
              </w:rPr>
              <w:t>酸洗废气（DA004）</w:t>
            </w:r>
          </w:p>
          <w:p w14:paraId="036E9F80">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lang w:val="en-US" w:eastAsia="zh-CN"/>
              </w:rPr>
              <w:t>现有工程酸洗工序产生的酸洗废气采用喷淋塔处理后通过15m高排气筒排放。</w:t>
            </w:r>
            <w:r>
              <w:rPr>
                <w:rFonts w:hint="default" w:ascii="Times New Roman" w:hAnsi="Times New Roman" w:eastAsia="宋体" w:cs="Times New Roman"/>
                <w:color w:val="auto"/>
                <w:sz w:val="24"/>
                <w:szCs w:val="24"/>
                <w:highlight w:val="none"/>
                <w:lang w:val="en-US" w:eastAsia="zh-CN"/>
              </w:rPr>
              <w:t>本次评价收集2024年监测报告，监测单位为陕西润卓环境技术有限公司，监测时间为2024年4月17日，监测项目为氮氧化物、氟化物。监测结果见表2-12。</w:t>
            </w:r>
          </w:p>
          <w:p w14:paraId="4456079C">
            <w:pPr>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lang w:val="en-US" w:eastAsia="zh-CN"/>
              </w:rPr>
              <w:t>2-12 酸洗</w:t>
            </w:r>
            <w:r>
              <w:rPr>
                <w:rFonts w:hint="default" w:ascii="Times New Roman" w:hAnsi="Times New Roman" w:eastAsia="宋体" w:cs="Times New Roman"/>
                <w:b/>
                <w:bCs/>
                <w:color w:val="auto"/>
              </w:rPr>
              <w:t>废气监测结果一览表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3329"/>
              <w:gridCol w:w="3329"/>
            </w:tblGrid>
            <w:tr w14:paraId="6A14B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vMerge w:val="restart"/>
                  <w:noWrap w:val="0"/>
                  <w:vAlign w:val="center"/>
                </w:tcPr>
                <w:p w14:paraId="584E74E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w:t>
                  </w:r>
                </w:p>
              </w:tc>
              <w:tc>
                <w:tcPr>
                  <w:tcW w:w="6658" w:type="dxa"/>
                  <w:gridSpan w:val="2"/>
                  <w:noWrap w:val="0"/>
                  <w:vAlign w:val="center"/>
                </w:tcPr>
                <w:p w14:paraId="1E0E364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r>
            <w:tr w14:paraId="39278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vMerge w:val="continue"/>
                  <w:noWrap w:val="0"/>
                  <w:vAlign w:val="center"/>
                </w:tcPr>
                <w:p w14:paraId="54DC937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3329" w:type="dxa"/>
                  <w:noWrap w:val="0"/>
                  <w:vAlign w:val="center"/>
                </w:tcPr>
                <w:p w14:paraId="4575620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氮氧化物</w:t>
                  </w:r>
                </w:p>
              </w:tc>
              <w:tc>
                <w:tcPr>
                  <w:tcW w:w="3329" w:type="dxa"/>
                  <w:noWrap w:val="0"/>
                  <w:vAlign w:val="center"/>
                </w:tcPr>
                <w:p w14:paraId="3111484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氟化物</w:t>
                  </w:r>
                </w:p>
              </w:tc>
            </w:tr>
            <w:tr w14:paraId="1AFD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noWrap w:val="0"/>
                  <w:vAlign w:val="center"/>
                </w:tcPr>
                <w:p w14:paraId="48C1610E">
                  <w:pPr>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DA00</w:t>
                  </w:r>
                  <w:r>
                    <w:rPr>
                      <w:rFonts w:hint="default" w:ascii="Times New Roman" w:hAnsi="Times New Roman" w:eastAsia="宋体" w:cs="Times New Roman"/>
                      <w:color w:val="auto"/>
                      <w:sz w:val="21"/>
                      <w:szCs w:val="21"/>
                      <w:lang w:val="en-US" w:eastAsia="zh-CN"/>
                    </w:rPr>
                    <w:t>4</w:t>
                  </w:r>
                </w:p>
              </w:tc>
              <w:tc>
                <w:tcPr>
                  <w:tcW w:w="3329" w:type="dxa"/>
                  <w:noWrap w:val="0"/>
                  <w:vAlign w:val="center"/>
                </w:tcPr>
                <w:p w14:paraId="4F0222F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，0.0397kg/h</w:t>
                  </w:r>
                </w:p>
              </w:tc>
              <w:tc>
                <w:tcPr>
                  <w:tcW w:w="3329" w:type="dxa"/>
                  <w:noWrap w:val="0"/>
                  <w:vAlign w:val="center"/>
                </w:tcPr>
                <w:p w14:paraId="2A69AA2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0.763mg/m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，0.0738kg/h</w:t>
                  </w:r>
                </w:p>
              </w:tc>
            </w:tr>
            <w:tr w14:paraId="59C76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3" w:type="dxa"/>
                  <w:noWrap w:val="0"/>
                  <w:vAlign w:val="center"/>
                </w:tcPr>
                <w:p w14:paraId="3E315D5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标准限值</w:t>
                  </w:r>
                </w:p>
              </w:tc>
              <w:tc>
                <w:tcPr>
                  <w:tcW w:w="3329" w:type="dxa"/>
                  <w:noWrap w:val="0"/>
                  <w:vAlign w:val="center"/>
                </w:tcPr>
                <w:p w14:paraId="0CCD6F86">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240mg/m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，0.77kg/h</w:t>
                  </w:r>
                </w:p>
              </w:tc>
              <w:tc>
                <w:tcPr>
                  <w:tcW w:w="3329" w:type="dxa"/>
                  <w:noWrap w:val="0"/>
                  <w:vAlign w:val="center"/>
                </w:tcPr>
                <w:p w14:paraId="193585FC">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，0.10kg/h</w:t>
                  </w:r>
                </w:p>
              </w:tc>
            </w:tr>
          </w:tbl>
          <w:p w14:paraId="5CB12AFF">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根据监测结果可知，酸洗废气中氮氧化物、氟化物排放浓度和排放速率均满足《大气污染物综合排放标准》（GB16297-1996）表2二级标准要求。</w:t>
            </w:r>
          </w:p>
          <w:p w14:paraId="201C02D3">
            <w:pPr>
              <w:spacing w:line="360" w:lineRule="auto"/>
              <w:ind w:left="0" w:leftChars="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 5 \* GB3 \* MERGEFORMAT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eastAsia="宋体" w:cs="Times New Roman"/>
                <w:color w:val="auto"/>
              </w:rPr>
              <w:t>⑤</w:t>
            </w:r>
            <w:r>
              <w:rPr>
                <w:rFonts w:hint="default" w:ascii="Times New Roman" w:hAnsi="Times New Roman" w:eastAsia="宋体" w:cs="Times New Roman"/>
                <w:color w:val="auto"/>
                <w:sz w:val="24"/>
                <w:szCs w:val="24"/>
                <w:lang w:val="en-US" w:eastAsia="zh-CN"/>
              </w:rPr>
              <w:fldChar w:fldCharType="end"/>
            </w:r>
            <w:r>
              <w:rPr>
                <w:rFonts w:hint="default" w:ascii="Times New Roman" w:hAnsi="Times New Roman" w:eastAsia="宋体" w:cs="Times New Roman"/>
                <w:color w:val="auto"/>
                <w:sz w:val="24"/>
                <w:szCs w:val="24"/>
                <w:lang w:val="en-US" w:eastAsia="zh-CN"/>
              </w:rPr>
              <w:t>无组织废气</w:t>
            </w:r>
          </w:p>
          <w:p w14:paraId="71CFEF44">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lang w:val="en-US" w:eastAsia="zh-CN"/>
              </w:rPr>
              <w:t>现有工程部分焊接区域焊接烟尘采用移动式焊烟除尘器处理后无组织排放，切割烟尘采用用移动式焊烟除尘器处理后无组织排放，喷砂粉尘采用滤筒除尘器处理后车间内无组织排放。</w:t>
            </w:r>
            <w:r>
              <w:rPr>
                <w:rFonts w:hint="default" w:ascii="Times New Roman" w:hAnsi="Times New Roman" w:eastAsia="宋体" w:cs="Times New Roman"/>
                <w:color w:val="auto"/>
                <w:sz w:val="24"/>
                <w:szCs w:val="24"/>
                <w:highlight w:val="none"/>
                <w:lang w:val="en-US" w:eastAsia="zh-CN"/>
              </w:rPr>
              <w:t>本次评价收集2024年监测报告，监测单位为陕西润卓环境技术有限公司，监测时间为2024年3月22日，监测项目为无组织废气中的颗粒物、非甲烷总烃、二甲苯，监测点位为辊子车间和喷漆车间上下风向共计4个监测点位。监测结果见表2-13。</w:t>
            </w:r>
          </w:p>
          <w:p w14:paraId="1891B65D">
            <w:pPr>
              <w:bidi w:val="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表2-13 无组织废气监测结果一览表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1393"/>
              <w:gridCol w:w="1393"/>
              <w:gridCol w:w="1393"/>
              <w:gridCol w:w="1394"/>
              <w:gridCol w:w="1395"/>
            </w:tblGrid>
            <w:tr w14:paraId="4E9D9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restart"/>
                  <w:vAlign w:val="center"/>
                </w:tcPr>
                <w:p w14:paraId="46F3F20D">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污染物名称</w:t>
                  </w:r>
                </w:p>
              </w:tc>
              <w:tc>
                <w:tcPr>
                  <w:tcW w:w="1393" w:type="dxa"/>
                  <w:vMerge w:val="restart"/>
                  <w:vAlign w:val="center"/>
                </w:tcPr>
                <w:p w14:paraId="3CAF74E0">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监测时间</w:t>
                  </w:r>
                </w:p>
              </w:tc>
              <w:tc>
                <w:tcPr>
                  <w:tcW w:w="5575" w:type="dxa"/>
                  <w:gridSpan w:val="4"/>
                  <w:vAlign w:val="center"/>
                </w:tcPr>
                <w:p w14:paraId="265E8102">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r>
            <w:tr w14:paraId="6DDF2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15D136F3">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Merge w:val="continue"/>
                  <w:vAlign w:val="center"/>
                </w:tcPr>
                <w:p w14:paraId="34AD604B">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72777643">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w:t>
                  </w:r>
                </w:p>
              </w:tc>
              <w:tc>
                <w:tcPr>
                  <w:tcW w:w="1393" w:type="dxa"/>
                  <w:vAlign w:val="center"/>
                </w:tcPr>
                <w:p w14:paraId="7C1F1509">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w:t>
                  </w:r>
                </w:p>
              </w:tc>
              <w:tc>
                <w:tcPr>
                  <w:tcW w:w="1394" w:type="dxa"/>
                  <w:vAlign w:val="center"/>
                </w:tcPr>
                <w:p w14:paraId="098FFB2E">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w:t>
                  </w:r>
                </w:p>
              </w:tc>
              <w:tc>
                <w:tcPr>
                  <w:tcW w:w="1395" w:type="dxa"/>
                  <w:vAlign w:val="center"/>
                </w:tcPr>
                <w:p w14:paraId="3C14D29A">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w:t>
                  </w:r>
                </w:p>
              </w:tc>
            </w:tr>
            <w:tr w14:paraId="671D8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restart"/>
                  <w:vAlign w:val="center"/>
                </w:tcPr>
                <w:p w14:paraId="7E579F8A">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p>
              </w:tc>
              <w:tc>
                <w:tcPr>
                  <w:tcW w:w="1393" w:type="dxa"/>
                  <w:vAlign w:val="center"/>
                </w:tcPr>
                <w:p w14:paraId="51B3D3CF">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1393" w:type="dxa"/>
                  <w:vAlign w:val="center"/>
                </w:tcPr>
                <w:p w14:paraId="73337840">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1.07</w:t>
                  </w:r>
                </w:p>
              </w:tc>
              <w:tc>
                <w:tcPr>
                  <w:tcW w:w="1393" w:type="dxa"/>
                  <w:vAlign w:val="center"/>
                </w:tcPr>
                <w:p w14:paraId="31280B1B">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0.83</w:t>
                  </w:r>
                </w:p>
              </w:tc>
              <w:tc>
                <w:tcPr>
                  <w:tcW w:w="1394" w:type="dxa"/>
                  <w:vAlign w:val="center"/>
                </w:tcPr>
                <w:p w14:paraId="3C5ECA13">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0.76</w:t>
                  </w:r>
                </w:p>
              </w:tc>
              <w:tc>
                <w:tcPr>
                  <w:tcW w:w="1395" w:type="dxa"/>
                  <w:vAlign w:val="center"/>
                </w:tcPr>
                <w:p w14:paraId="5C5FB1DD">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0.97</w:t>
                  </w:r>
                </w:p>
              </w:tc>
            </w:tr>
            <w:tr w14:paraId="708E6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3370FB97">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7C833CCD">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1393" w:type="dxa"/>
                  <w:vAlign w:val="center"/>
                </w:tcPr>
                <w:p w14:paraId="6EC2421C">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0.80</w:t>
                  </w:r>
                </w:p>
              </w:tc>
              <w:tc>
                <w:tcPr>
                  <w:tcW w:w="1393" w:type="dxa"/>
                  <w:vAlign w:val="center"/>
                </w:tcPr>
                <w:p w14:paraId="3B80B0F4">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0.68</w:t>
                  </w:r>
                </w:p>
              </w:tc>
              <w:tc>
                <w:tcPr>
                  <w:tcW w:w="1394" w:type="dxa"/>
                  <w:vAlign w:val="center"/>
                </w:tcPr>
                <w:p w14:paraId="7EC10765">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0.85</w:t>
                  </w:r>
                </w:p>
              </w:tc>
              <w:tc>
                <w:tcPr>
                  <w:tcW w:w="1395" w:type="dxa"/>
                  <w:vAlign w:val="center"/>
                </w:tcPr>
                <w:p w14:paraId="076A186A">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0.71</w:t>
                  </w:r>
                </w:p>
              </w:tc>
            </w:tr>
            <w:tr w14:paraId="5B86E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14D76E8A">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05144A45">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1393" w:type="dxa"/>
                  <w:vAlign w:val="center"/>
                </w:tcPr>
                <w:p w14:paraId="199D3D26">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0.93</w:t>
                  </w:r>
                </w:p>
              </w:tc>
              <w:tc>
                <w:tcPr>
                  <w:tcW w:w="1393" w:type="dxa"/>
                  <w:vAlign w:val="center"/>
                </w:tcPr>
                <w:p w14:paraId="022685B8">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0.72</w:t>
                  </w:r>
                </w:p>
              </w:tc>
              <w:tc>
                <w:tcPr>
                  <w:tcW w:w="1394" w:type="dxa"/>
                  <w:vAlign w:val="center"/>
                </w:tcPr>
                <w:p w14:paraId="6503C7E5">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1.01</w:t>
                  </w:r>
                </w:p>
              </w:tc>
              <w:tc>
                <w:tcPr>
                  <w:tcW w:w="1395" w:type="dxa"/>
                  <w:vAlign w:val="center"/>
                </w:tcPr>
                <w:p w14:paraId="36B74D1C">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0.89</w:t>
                  </w:r>
                </w:p>
              </w:tc>
            </w:tr>
            <w:tr w14:paraId="3D83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1CC4B520">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602C10B4">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1393" w:type="dxa"/>
                  <w:vAlign w:val="center"/>
                </w:tcPr>
                <w:p w14:paraId="41FC7A44">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0.74</w:t>
                  </w:r>
                </w:p>
              </w:tc>
              <w:tc>
                <w:tcPr>
                  <w:tcW w:w="1393" w:type="dxa"/>
                  <w:vAlign w:val="center"/>
                </w:tcPr>
                <w:p w14:paraId="26A448BA">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0.90</w:t>
                  </w:r>
                </w:p>
              </w:tc>
              <w:tc>
                <w:tcPr>
                  <w:tcW w:w="1394" w:type="dxa"/>
                  <w:vAlign w:val="center"/>
                </w:tcPr>
                <w:p w14:paraId="41E12911">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0.82</w:t>
                  </w:r>
                </w:p>
              </w:tc>
              <w:tc>
                <w:tcPr>
                  <w:tcW w:w="1395" w:type="dxa"/>
                  <w:vAlign w:val="center"/>
                </w:tcPr>
                <w:p w14:paraId="7C5F30DE">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0.80</w:t>
                  </w:r>
                </w:p>
              </w:tc>
            </w:tr>
            <w:tr w14:paraId="6C140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restart"/>
                  <w:vAlign w:val="center"/>
                </w:tcPr>
                <w:p w14:paraId="6423D08E">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颗粒物</w:t>
                  </w:r>
                </w:p>
              </w:tc>
              <w:tc>
                <w:tcPr>
                  <w:tcW w:w="1393" w:type="dxa"/>
                  <w:vAlign w:val="center"/>
                </w:tcPr>
                <w:p w14:paraId="23C23E74">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1393" w:type="dxa"/>
                  <w:vAlign w:val="center"/>
                </w:tcPr>
                <w:p w14:paraId="77449EEA">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0.589</w:t>
                  </w:r>
                </w:p>
              </w:tc>
              <w:tc>
                <w:tcPr>
                  <w:tcW w:w="1393" w:type="dxa"/>
                  <w:vAlign w:val="center"/>
                </w:tcPr>
                <w:p w14:paraId="16D81955">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0.658</w:t>
                  </w:r>
                </w:p>
              </w:tc>
              <w:tc>
                <w:tcPr>
                  <w:tcW w:w="1394" w:type="dxa"/>
                  <w:shd w:val="clear" w:color="auto" w:fill="auto"/>
                  <w:vAlign w:val="center"/>
                </w:tcPr>
                <w:p w14:paraId="4D8CDEB5">
                  <w:pPr>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0.528</w:t>
                  </w:r>
                </w:p>
              </w:tc>
              <w:tc>
                <w:tcPr>
                  <w:tcW w:w="1395" w:type="dxa"/>
                  <w:shd w:val="clear" w:color="auto" w:fill="auto"/>
                  <w:vAlign w:val="center"/>
                </w:tcPr>
                <w:p w14:paraId="097A2DC1">
                  <w:pPr>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0.454</w:t>
                  </w:r>
                </w:p>
              </w:tc>
            </w:tr>
            <w:tr w14:paraId="49954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6CF4E592">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3E0FA89E">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1393" w:type="dxa"/>
                  <w:vAlign w:val="center"/>
                </w:tcPr>
                <w:p w14:paraId="68E384EA">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0.542</w:t>
                  </w:r>
                </w:p>
              </w:tc>
              <w:tc>
                <w:tcPr>
                  <w:tcW w:w="1393" w:type="dxa"/>
                  <w:vAlign w:val="center"/>
                </w:tcPr>
                <w:p w14:paraId="3B8196FC">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0.664</w:t>
                  </w:r>
                </w:p>
              </w:tc>
              <w:tc>
                <w:tcPr>
                  <w:tcW w:w="1394" w:type="dxa"/>
                  <w:shd w:val="clear" w:color="auto" w:fill="auto"/>
                  <w:vAlign w:val="center"/>
                </w:tcPr>
                <w:p w14:paraId="18B0CBEE">
                  <w:pPr>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0.531</w:t>
                  </w:r>
                </w:p>
              </w:tc>
              <w:tc>
                <w:tcPr>
                  <w:tcW w:w="1395" w:type="dxa"/>
                  <w:shd w:val="clear" w:color="auto" w:fill="auto"/>
                  <w:vAlign w:val="center"/>
                </w:tcPr>
                <w:p w14:paraId="63ECB16A">
                  <w:pPr>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0.517</w:t>
                  </w:r>
                </w:p>
              </w:tc>
            </w:tr>
            <w:tr w14:paraId="531C7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0653B042">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5C4111C5">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1393" w:type="dxa"/>
                  <w:vAlign w:val="center"/>
                </w:tcPr>
                <w:p w14:paraId="491E9C70">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0.558</w:t>
                  </w:r>
                </w:p>
              </w:tc>
              <w:tc>
                <w:tcPr>
                  <w:tcW w:w="1393" w:type="dxa"/>
                  <w:vAlign w:val="center"/>
                </w:tcPr>
                <w:p w14:paraId="21BC434A">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0.670</w:t>
                  </w:r>
                </w:p>
              </w:tc>
              <w:tc>
                <w:tcPr>
                  <w:tcW w:w="1394" w:type="dxa"/>
                  <w:shd w:val="clear" w:color="auto" w:fill="auto"/>
                  <w:vAlign w:val="center"/>
                </w:tcPr>
                <w:p w14:paraId="06619244">
                  <w:pPr>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0.544</w:t>
                  </w:r>
                </w:p>
              </w:tc>
              <w:tc>
                <w:tcPr>
                  <w:tcW w:w="1395" w:type="dxa"/>
                  <w:shd w:val="clear" w:color="auto" w:fill="auto"/>
                  <w:vAlign w:val="center"/>
                </w:tcPr>
                <w:p w14:paraId="536B241D">
                  <w:pPr>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0.584</w:t>
                  </w:r>
                </w:p>
              </w:tc>
            </w:tr>
            <w:tr w14:paraId="56C74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6D99C677">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2AB2D20D">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1393" w:type="dxa"/>
                  <w:vAlign w:val="center"/>
                </w:tcPr>
                <w:p w14:paraId="18A74991">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0.548</w:t>
                  </w:r>
                </w:p>
              </w:tc>
              <w:tc>
                <w:tcPr>
                  <w:tcW w:w="1393" w:type="dxa"/>
                  <w:vAlign w:val="center"/>
                </w:tcPr>
                <w:p w14:paraId="7BC9E30D">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0.630</w:t>
                  </w:r>
                </w:p>
              </w:tc>
              <w:tc>
                <w:tcPr>
                  <w:tcW w:w="1394" w:type="dxa"/>
                  <w:vAlign w:val="center"/>
                </w:tcPr>
                <w:p w14:paraId="01398F9D">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0.563</w:t>
                  </w:r>
                </w:p>
              </w:tc>
              <w:tc>
                <w:tcPr>
                  <w:tcW w:w="1395" w:type="dxa"/>
                  <w:shd w:val="clear" w:color="auto" w:fill="auto"/>
                  <w:vAlign w:val="center"/>
                </w:tcPr>
                <w:p w14:paraId="3C230E3E">
                  <w:pPr>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0.470</w:t>
                  </w:r>
                </w:p>
              </w:tc>
            </w:tr>
            <w:tr w14:paraId="1DD94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restart"/>
                  <w:vAlign w:val="center"/>
                </w:tcPr>
                <w:p w14:paraId="440A3042">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二甲苯</w:t>
                  </w:r>
                </w:p>
              </w:tc>
              <w:tc>
                <w:tcPr>
                  <w:tcW w:w="1393" w:type="dxa"/>
                  <w:vAlign w:val="center"/>
                </w:tcPr>
                <w:p w14:paraId="3600F8CC">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1393" w:type="dxa"/>
                  <w:vAlign w:val="center"/>
                </w:tcPr>
                <w:p w14:paraId="114A6A98">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3" w:type="dxa"/>
                  <w:vAlign w:val="center"/>
                </w:tcPr>
                <w:p w14:paraId="1D5A7746">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4" w:type="dxa"/>
                  <w:vAlign w:val="center"/>
                </w:tcPr>
                <w:p w14:paraId="23D55EB7">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5" w:type="dxa"/>
                  <w:vAlign w:val="center"/>
                </w:tcPr>
                <w:p w14:paraId="04D9E961">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r>
            <w:tr w14:paraId="0B00F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52CBD0EE">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10C22552">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1393" w:type="dxa"/>
                  <w:vAlign w:val="center"/>
                </w:tcPr>
                <w:p w14:paraId="1D51F70D">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3" w:type="dxa"/>
                  <w:vAlign w:val="center"/>
                </w:tcPr>
                <w:p w14:paraId="13D4D40B">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4" w:type="dxa"/>
                  <w:vAlign w:val="center"/>
                </w:tcPr>
                <w:p w14:paraId="0FAB871A">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5" w:type="dxa"/>
                  <w:vAlign w:val="center"/>
                </w:tcPr>
                <w:p w14:paraId="37F96ED5">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r>
            <w:tr w14:paraId="04B99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617983BD">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46960D14">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1393" w:type="dxa"/>
                  <w:vAlign w:val="center"/>
                </w:tcPr>
                <w:p w14:paraId="69F0F405">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3" w:type="dxa"/>
                  <w:vAlign w:val="center"/>
                </w:tcPr>
                <w:p w14:paraId="25C19A39">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4" w:type="dxa"/>
                  <w:vAlign w:val="center"/>
                </w:tcPr>
                <w:p w14:paraId="594C4EB6">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5" w:type="dxa"/>
                  <w:vAlign w:val="center"/>
                </w:tcPr>
                <w:p w14:paraId="706130B1">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r>
            <w:tr w14:paraId="7C1B3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vMerge w:val="continue"/>
                  <w:vAlign w:val="center"/>
                </w:tcPr>
                <w:p w14:paraId="3F13FCD9">
                  <w:p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1393" w:type="dxa"/>
                  <w:vAlign w:val="center"/>
                </w:tcPr>
                <w:p w14:paraId="6C150CC3">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1393" w:type="dxa"/>
                  <w:vAlign w:val="center"/>
                </w:tcPr>
                <w:p w14:paraId="75814657">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3" w:type="dxa"/>
                  <w:vAlign w:val="center"/>
                </w:tcPr>
                <w:p w14:paraId="27A9A91B">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4" w:type="dxa"/>
                  <w:vAlign w:val="center"/>
                </w:tcPr>
                <w:p w14:paraId="4774DAD6">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c>
                <w:tcPr>
                  <w:tcW w:w="1395" w:type="dxa"/>
                  <w:vAlign w:val="center"/>
                </w:tcPr>
                <w:p w14:paraId="246BBD52">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ND</w:t>
                  </w:r>
                </w:p>
              </w:tc>
            </w:tr>
          </w:tbl>
          <w:p w14:paraId="1656B569">
            <w:pPr>
              <w:spacing w:line="360" w:lineRule="auto"/>
              <w:ind w:left="0" w:leftChars="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根据监测结果可知，厂房外非甲烷总烃无组织排放浓度满《挥发性有机物无组织排放控制标准》（GB 37822-2019）表A.1特别排放限值要求。</w:t>
            </w:r>
          </w:p>
          <w:p w14:paraId="46921B1F">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fldChar w:fldCharType="begin"/>
            </w:r>
            <w:r>
              <w:rPr>
                <w:rFonts w:hint="default" w:ascii="Times New Roman" w:hAnsi="Times New Roman" w:eastAsia="宋体" w:cs="Times New Roman"/>
                <w:color w:val="auto"/>
                <w:sz w:val="24"/>
                <w:szCs w:val="24"/>
                <w:lang w:val="en-US" w:eastAsia="zh-CN"/>
              </w:rPr>
              <w:instrText xml:space="preserve"> = 6 \* GB3 \* MERGEFORMAT </w:instrText>
            </w:r>
            <w:r>
              <w:rPr>
                <w:rFonts w:hint="default" w:ascii="Times New Roman" w:hAnsi="Times New Roman" w:eastAsia="宋体" w:cs="Times New Roman"/>
                <w:color w:val="auto"/>
                <w:sz w:val="24"/>
                <w:szCs w:val="24"/>
                <w:lang w:val="en-US" w:eastAsia="zh-CN"/>
              </w:rPr>
              <w:fldChar w:fldCharType="separate"/>
            </w:r>
            <w:r>
              <w:rPr>
                <w:rFonts w:hint="default" w:ascii="Times New Roman" w:hAnsi="Times New Roman" w:eastAsia="宋体" w:cs="Times New Roman"/>
                <w:color w:val="auto"/>
              </w:rPr>
              <w:t>⑥</w:t>
            </w:r>
            <w:r>
              <w:rPr>
                <w:rFonts w:hint="default" w:ascii="Times New Roman" w:hAnsi="Times New Roman" w:eastAsia="宋体" w:cs="Times New Roman"/>
                <w:color w:val="auto"/>
                <w:sz w:val="24"/>
                <w:szCs w:val="24"/>
                <w:lang w:val="en-US" w:eastAsia="zh-CN"/>
              </w:rPr>
              <w:fldChar w:fldCharType="end"/>
            </w:r>
            <w:r>
              <w:rPr>
                <w:rFonts w:hint="default" w:ascii="Times New Roman" w:hAnsi="Times New Roman" w:eastAsia="宋体" w:cs="Times New Roman"/>
                <w:color w:val="auto"/>
                <w:sz w:val="24"/>
                <w:szCs w:val="24"/>
                <w:lang w:val="en-US" w:eastAsia="zh-CN"/>
              </w:rPr>
              <w:t>食堂油烟</w:t>
            </w:r>
          </w:p>
          <w:p w14:paraId="03D77021">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现有工程食堂油烟采用XH-U静电型油雾净化器处理后通过烟道排放。</w:t>
            </w:r>
            <w:r>
              <w:rPr>
                <w:rFonts w:hint="default" w:ascii="Times New Roman" w:hAnsi="Times New Roman" w:eastAsia="宋体" w:cs="Times New Roman"/>
                <w:color w:val="auto"/>
                <w:sz w:val="24"/>
                <w:szCs w:val="24"/>
                <w:highlight w:val="none"/>
                <w:lang w:val="en-US" w:eastAsia="zh-CN"/>
              </w:rPr>
              <w:t>本次评价收集2024年监测报告，监测单位为陕西润卓环境技术有限公司，监测时间为2024年6月5日，监测项目为油烟。监测结果见表2-14。</w:t>
            </w:r>
          </w:p>
          <w:p w14:paraId="4F76D582">
            <w:pPr>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lang w:val="en-US" w:eastAsia="zh-CN"/>
              </w:rPr>
              <w:t>2-14 食堂油烟</w:t>
            </w:r>
            <w:r>
              <w:rPr>
                <w:rFonts w:hint="default" w:ascii="Times New Roman" w:hAnsi="Times New Roman" w:eastAsia="宋体" w:cs="Times New Roman"/>
                <w:b/>
                <w:bCs/>
                <w:color w:val="auto"/>
              </w:rPr>
              <w:t>监测结果一览表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8"/>
              <w:gridCol w:w="5583"/>
            </w:tblGrid>
            <w:tr w14:paraId="04140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319" w:type="dxa"/>
                  <w:vMerge w:val="restart"/>
                  <w:noWrap w:val="0"/>
                  <w:vAlign w:val="center"/>
                </w:tcPr>
                <w:p w14:paraId="7203C06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排放口</w:t>
                  </w:r>
                </w:p>
              </w:tc>
              <w:tc>
                <w:tcPr>
                  <w:tcW w:w="2651" w:type="dxa"/>
                  <w:noWrap w:val="0"/>
                  <w:vAlign w:val="center"/>
                </w:tcPr>
                <w:p w14:paraId="1E2E9138">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r>
            <w:tr w14:paraId="79B9E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dxa"/>
                  <w:vMerge w:val="continue"/>
                  <w:noWrap w:val="0"/>
                  <w:vAlign w:val="center"/>
                </w:tcPr>
                <w:p w14:paraId="5ACAD0E6">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2651" w:type="dxa"/>
                  <w:noWrap w:val="0"/>
                  <w:vAlign w:val="center"/>
                </w:tcPr>
                <w:p w14:paraId="3071F9DB">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油烟</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w:t>
                  </w:r>
                </w:p>
              </w:tc>
            </w:tr>
            <w:tr w14:paraId="15D8C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dxa"/>
                  <w:noWrap w:val="0"/>
                  <w:vAlign w:val="center"/>
                </w:tcPr>
                <w:p w14:paraId="721EDBC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食堂油烟烟道</w:t>
                  </w:r>
                </w:p>
              </w:tc>
              <w:tc>
                <w:tcPr>
                  <w:tcW w:w="2651" w:type="dxa"/>
                  <w:noWrap w:val="0"/>
                  <w:vAlign w:val="center"/>
                </w:tcPr>
                <w:p w14:paraId="730EC24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1.82</w:t>
                  </w:r>
                </w:p>
              </w:tc>
            </w:tr>
            <w:tr w14:paraId="64DAB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dxa"/>
                  <w:noWrap w:val="0"/>
                  <w:vAlign w:val="center"/>
                </w:tcPr>
                <w:p w14:paraId="55E05747">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标准限值</w:t>
                  </w:r>
                </w:p>
              </w:tc>
              <w:tc>
                <w:tcPr>
                  <w:tcW w:w="2651" w:type="dxa"/>
                  <w:noWrap w:val="0"/>
                  <w:vAlign w:val="center"/>
                </w:tcPr>
                <w:p w14:paraId="3DC5304E">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r>
          </w:tbl>
          <w:p w14:paraId="50262EB7">
            <w:pPr>
              <w:spacing w:line="360" w:lineRule="auto"/>
              <w:ind w:firstLine="480" w:firstLineChars="200"/>
              <w:rPr>
                <w:rFonts w:hint="default" w:ascii="Times New Roman" w:hAnsi="Times New Roman" w:eastAsia="宋体" w:cs="Times New Roman"/>
                <w:color w:val="auto"/>
                <w:kern w:val="0"/>
                <w:sz w:val="24"/>
                <w:highlight w:val="none"/>
                <w:lang w:val="en-US" w:eastAsia="zh-CN"/>
              </w:rPr>
            </w:pPr>
            <w:r>
              <w:rPr>
                <w:rFonts w:hint="default" w:ascii="Times New Roman" w:hAnsi="Times New Roman" w:eastAsia="宋体" w:cs="Times New Roman"/>
                <w:color w:val="auto"/>
                <w:sz w:val="24"/>
                <w:szCs w:val="24"/>
                <w:lang w:val="en-US" w:eastAsia="zh-CN"/>
              </w:rPr>
              <w:t>根据监测结果可知，食堂油烟排放浓度满足《饮食业油烟排放标准（试行）》（GB18483-2001）中表2最高允许排放浓度限值要求。</w:t>
            </w:r>
          </w:p>
          <w:p w14:paraId="0A51866A">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（2）废水</w:t>
            </w:r>
          </w:p>
          <w:p w14:paraId="0439342C">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现有工程综合废水主要为生活污水、食堂废水、车间冲洗水。食堂废水经隔油池处理后，生活污水经化粪池处理，车间冲洗废水经隔油池+沉淀池处理后，综合废水经市政管网排入西安市第六污水处理厂处理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szCs w:val="24"/>
                <w:highlight w:val="none"/>
                <w:lang w:val="en-US" w:eastAsia="zh-CN"/>
              </w:rPr>
              <w:t>本次评价收集2024年监测报告，监测单位为陕西润卓环境技术有限公司，采样时间为2024年4月17日，监</w:t>
            </w:r>
            <w:r>
              <w:rPr>
                <w:rFonts w:hint="default" w:ascii="Times New Roman" w:hAnsi="Times New Roman" w:eastAsia="宋体" w:cs="Times New Roman"/>
                <w:color w:val="auto"/>
                <w:sz w:val="24"/>
                <w:lang w:val="en-US" w:eastAsia="zh-CN"/>
              </w:rPr>
              <w:t>测结果见表</w:t>
            </w:r>
            <w:r>
              <w:rPr>
                <w:rFonts w:hint="default" w:ascii="Times New Roman" w:hAnsi="Times New Roman" w:eastAsia="宋体" w:cs="Times New Roman"/>
                <w:color w:val="auto"/>
                <w:kern w:val="0"/>
                <w:sz w:val="24"/>
                <w:lang w:val="en-US" w:eastAsia="zh-CN"/>
              </w:rPr>
              <w:t>2-15。</w:t>
            </w:r>
          </w:p>
          <w:p w14:paraId="0208FC3A">
            <w:pPr>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lang w:val="en-US" w:eastAsia="zh-CN"/>
              </w:rPr>
              <w:t>2-</w:t>
            </w:r>
            <w:r>
              <w:rPr>
                <w:rFonts w:hint="default" w:ascii="Times New Roman" w:hAnsi="Times New Roman" w:eastAsia="宋体" w:cs="Times New Roman"/>
                <w:b/>
                <w:bCs/>
                <w:color w:val="auto"/>
              </w:rPr>
              <w:t>1</w:t>
            </w:r>
            <w:r>
              <w:rPr>
                <w:rFonts w:hint="default" w:ascii="Times New Roman" w:hAnsi="Times New Roman" w:eastAsia="宋体" w:cs="Times New Roman"/>
                <w:b/>
                <w:bCs/>
                <w:color w:val="auto"/>
                <w:lang w:val="en-US" w:eastAsia="zh-CN"/>
              </w:rPr>
              <w:t xml:space="preserve">5 </w:t>
            </w:r>
            <w:r>
              <w:rPr>
                <w:rFonts w:hint="default" w:ascii="Times New Roman" w:hAnsi="Times New Roman" w:eastAsia="宋体" w:cs="Times New Roman"/>
                <w:b/>
                <w:bCs/>
                <w:color w:val="auto"/>
              </w:rPr>
              <w:t>厂区废水总排口水质监测结果单位：mg/L</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826"/>
              <w:gridCol w:w="929"/>
              <w:gridCol w:w="929"/>
              <w:gridCol w:w="929"/>
              <w:gridCol w:w="929"/>
              <w:gridCol w:w="930"/>
              <w:gridCol w:w="930"/>
              <w:gridCol w:w="930"/>
            </w:tblGrid>
            <w:tr w14:paraId="7AA99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5" w:type="dxa"/>
                  <w:noWrap w:val="0"/>
                  <w:vAlign w:val="center"/>
                </w:tcPr>
                <w:p w14:paraId="5EA7ED0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监测项目</w:t>
                  </w:r>
                </w:p>
              </w:tc>
              <w:tc>
                <w:tcPr>
                  <w:tcW w:w="630" w:type="dxa"/>
                  <w:noWrap w:val="0"/>
                  <w:vAlign w:val="center"/>
                </w:tcPr>
                <w:p w14:paraId="25A8D00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pH</w:t>
                  </w:r>
                </w:p>
              </w:tc>
              <w:tc>
                <w:tcPr>
                  <w:tcW w:w="709" w:type="dxa"/>
                  <w:noWrap w:val="0"/>
                  <w:vAlign w:val="center"/>
                </w:tcPr>
                <w:p w14:paraId="4AAEC80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COD</w:t>
                  </w:r>
                </w:p>
              </w:tc>
              <w:tc>
                <w:tcPr>
                  <w:tcW w:w="709" w:type="dxa"/>
                  <w:noWrap w:val="0"/>
                  <w:vAlign w:val="center"/>
                </w:tcPr>
                <w:p w14:paraId="47DA903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p>
              </w:tc>
              <w:tc>
                <w:tcPr>
                  <w:tcW w:w="709" w:type="dxa"/>
                  <w:noWrap w:val="0"/>
                  <w:vAlign w:val="center"/>
                </w:tcPr>
                <w:p w14:paraId="4C52FA1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SS</w:t>
                  </w:r>
                </w:p>
              </w:tc>
              <w:tc>
                <w:tcPr>
                  <w:tcW w:w="709" w:type="dxa"/>
                  <w:noWrap w:val="0"/>
                  <w:vAlign w:val="center"/>
                </w:tcPr>
                <w:p w14:paraId="5EB3081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氨氮</w:t>
                  </w:r>
                </w:p>
              </w:tc>
              <w:tc>
                <w:tcPr>
                  <w:tcW w:w="709" w:type="dxa"/>
                  <w:noWrap w:val="0"/>
                  <w:vAlign w:val="center"/>
                </w:tcPr>
                <w:p w14:paraId="67CAE81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总氮</w:t>
                  </w:r>
                </w:p>
              </w:tc>
              <w:tc>
                <w:tcPr>
                  <w:tcW w:w="709" w:type="dxa"/>
                  <w:noWrap w:val="0"/>
                  <w:vAlign w:val="center"/>
                </w:tcPr>
                <w:p w14:paraId="26FA9A6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总磷</w:t>
                  </w:r>
                </w:p>
              </w:tc>
              <w:tc>
                <w:tcPr>
                  <w:tcW w:w="709" w:type="dxa"/>
                  <w:noWrap w:val="0"/>
                  <w:vAlign w:val="center"/>
                </w:tcPr>
                <w:p w14:paraId="197D59E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石油类</w:t>
                  </w:r>
                </w:p>
              </w:tc>
            </w:tr>
            <w:tr w14:paraId="0825B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5" w:type="dxa"/>
                  <w:noWrap w:val="0"/>
                  <w:vAlign w:val="center"/>
                </w:tcPr>
                <w:p w14:paraId="178A8C1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2024.4.17</w:t>
                  </w:r>
                </w:p>
              </w:tc>
              <w:tc>
                <w:tcPr>
                  <w:tcW w:w="630" w:type="dxa"/>
                  <w:noWrap w:val="0"/>
                  <w:vAlign w:val="center"/>
                </w:tcPr>
                <w:p w14:paraId="7F5977BC">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7.8~8.0</w:t>
                  </w:r>
                </w:p>
              </w:tc>
              <w:tc>
                <w:tcPr>
                  <w:tcW w:w="709" w:type="dxa"/>
                  <w:noWrap w:val="0"/>
                  <w:vAlign w:val="center"/>
                </w:tcPr>
                <w:p w14:paraId="48A421E5">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w:t>
                  </w:r>
                </w:p>
              </w:tc>
              <w:tc>
                <w:tcPr>
                  <w:tcW w:w="709" w:type="dxa"/>
                  <w:noWrap w:val="0"/>
                  <w:vAlign w:val="center"/>
                </w:tcPr>
                <w:p w14:paraId="46EB2916">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8.5</w:t>
                  </w:r>
                </w:p>
              </w:tc>
              <w:tc>
                <w:tcPr>
                  <w:tcW w:w="709" w:type="dxa"/>
                  <w:noWrap w:val="0"/>
                  <w:vAlign w:val="center"/>
                </w:tcPr>
                <w:p w14:paraId="06DBEB1C">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709" w:type="dxa"/>
                  <w:noWrap w:val="0"/>
                  <w:vAlign w:val="center"/>
                </w:tcPr>
                <w:p w14:paraId="294DCDE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22.5</w:t>
                  </w:r>
                </w:p>
              </w:tc>
              <w:tc>
                <w:tcPr>
                  <w:tcW w:w="709" w:type="dxa"/>
                  <w:noWrap w:val="0"/>
                  <w:vAlign w:val="center"/>
                </w:tcPr>
                <w:p w14:paraId="73738A76">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25.4</w:t>
                  </w:r>
                </w:p>
              </w:tc>
              <w:tc>
                <w:tcPr>
                  <w:tcW w:w="709" w:type="dxa"/>
                  <w:noWrap w:val="0"/>
                  <w:vAlign w:val="center"/>
                </w:tcPr>
                <w:p w14:paraId="4C729CD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1.37</w:t>
                  </w:r>
                </w:p>
              </w:tc>
              <w:tc>
                <w:tcPr>
                  <w:tcW w:w="709" w:type="dxa"/>
                  <w:noWrap w:val="0"/>
                  <w:vAlign w:val="center"/>
                </w:tcPr>
                <w:p w14:paraId="3118FD92">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1.14</w:t>
                  </w:r>
                </w:p>
              </w:tc>
            </w:tr>
            <w:tr w14:paraId="5B666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5" w:type="dxa"/>
                  <w:noWrap w:val="0"/>
                  <w:vAlign w:val="center"/>
                </w:tcPr>
                <w:p w14:paraId="49B97AC6">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标准限值</w:t>
                  </w:r>
                </w:p>
              </w:tc>
              <w:tc>
                <w:tcPr>
                  <w:tcW w:w="630" w:type="dxa"/>
                  <w:noWrap w:val="0"/>
                  <w:vAlign w:val="center"/>
                </w:tcPr>
                <w:p w14:paraId="4AB4ED1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6~9</w:t>
                  </w:r>
                </w:p>
              </w:tc>
              <w:tc>
                <w:tcPr>
                  <w:tcW w:w="709" w:type="dxa"/>
                  <w:noWrap w:val="0"/>
                  <w:vAlign w:val="center"/>
                </w:tcPr>
                <w:p w14:paraId="6CF5F756">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c>
                <w:tcPr>
                  <w:tcW w:w="709" w:type="dxa"/>
                  <w:noWrap w:val="0"/>
                  <w:vAlign w:val="center"/>
                </w:tcPr>
                <w:p w14:paraId="5DB102B5">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709" w:type="dxa"/>
                  <w:noWrap w:val="0"/>
                  <w:vAlign w:val="center"/>
                </w:tcPr>
                <w:p w14:paraId="2F605E9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400</w:t>
                  </w:r>
                </w:p>
              </w:tc>
              <w:tc>
                <w:tcPr>
                  <w:tcW w:w="709" w:type="dxa"/>
                  <w:noWrap w:val="0"/>
                  <w:vAlign w:val="center"/>
                </w:tcPr>
                <w:p w14:paraId="298E2F4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w:t>
                  </w:r>
                </w:p>
              </w:tc>
              <w:tc>
                <w:tcPr>
                  <w:tcW w:w="709" w:type="dxa"/>
                  <w:noWrap w:val="0"/>
                  <w:vAlign w:val="center"/>
                </w:tcPr>
                <w:p w14:paraId="215D27F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w:t>
                  </w:r>
                </w:p>
              </w:tc>
              <w:tc>
                <w:tcPr>
                  <w:tcW w:w="709" w:type="dxa"/>
                  <w:noWrap w:val="0"/>
                  <w:vAlign w:val="center"/>
                </w:tcPr>
                <w:p w14:paraId="2475A1C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709" w:type="dxa"/>
                  <w:noWrap w:val="0"/>
                  <w:vAlign w:val="center"/>
                </w:tcPr>
                <w:p w14:paraId="5A73A7B5">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r>
          </w:tbl>
          <w:p w14:paraId="08ADB60D">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根据监测结果可知，现有工程综合废水</w:t>
            </w:r>
            <w:r>
              <w:rPr>
                <w:rFonts w:hint="default" w:ascii="Times New Roman" w:hAnsi="Times New Roman" w:eastAsia="宋体" w:cs="Times New Roman"/>
                <w:color w:val="auto"/>
                <w:sz w:val="24"/>
              </w:rPr>
              <w:t>处理后</w:t>
            </w:r>
            <w:r>
              <w:rPr>
                <w:rFonts w:hint="default" w:ascii="Times New Roman" w:hAnsi="Times New Roman" w:eastAsia="宋体" w:cs="Times New Roman"/>
                <w:color w:val="auto"/>
                <w:kern w:val="0"/>
                <w:sz w:val="24"/>
                <w:lang w:val="en-US" w:eastAsia="zh-CN"/>
              </w:rPr>
              <w:t>各项指标均满足《污水综合排放标准》（GB8978-1996）三级标准和《污水排入城镇下水道水质标准》（GB/T31962-2015）B级标准要求。</w:t>
            </w:r>
          </w:p>
          <w:p w14:paraId="762CA0C3">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（3）噪声</w:t>
            </w:r>
          </w:p>
          <w:p w14:paraId="4D5036FC">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现有工程噪声主要为生产设备运行产生的噪声，夜间不进行生产。</w:t>
            </w:r>
            <w:r>
              <w:rPr>
                <w:rFonts w:hint="default" w:ascii="Times New Roman" w:hAnsi="Times New Roman" w:eastAsia="宋体" w:cs="Times New Roman"/>
                <w:color w:val="auto"/>
                <w:sz w:val="24"/>
                <w:szCs w:val="24"/>
                <w:highlight w:val="none"/>
                <w:lang w:val="en-US" w:eastAsia="zh-CN"/>
              </w:rPr>
              <w:t>本次评价收集2024年监测报告，监测单位为陕西润卓环境技术有限公司，监测时间为2024年4月17日</w:t>
            </w:r>
            <w:r>
              <w:rPr>
                <w:rFonts w:hint="default" w:ascii="Times New Roman" w:hAnsi="Times New Roman" w:eastAsia="宋体" w:cs="Times New Roman"/>
                <w:color w:val="auto"/>
                <w:kern w:val="0"/>
                <w:sz w:val="24"/>
                <w:lang w:val="en-US" w:eastAsia="zh-CN"/>
              </w:rPr>
              <w:t>。监测结果见表2-16。</w:t>
            </w:r>
          </w:p>
          <w:p w14:paraId="019CE95C">
            <w:pPr>
              <w:jc w:val="right"/>
              <w:rPr>
                <w:rFonts w:hint="default" w:ascii="Times New Roman" w:hAnsi="Times New Roman" w:eastAsia="宋体" w:cs="Times New Roman"/>
                <w:bCs/>
                <w:color w:val="auto"/>
                <w:szCs w:val="22"/>
                <w:lang w:val="en-US" w:eastAsia="zh-CN"/>
              </w:rPr>
            </w:pPr>
            <w:r>
              <w:rPr>
                <w:rFonts w:hint="default" w:ascii="Times New Roman" w:hAnsi="Times New Roman" w:eastAsia="宋体" w:cs="Times New Roman"/>
                <w:b/>
                <w:bCs w:val="0"/>
                <w:color w:val="auto"/>
                <w:szCs w:val="22"/>
                <w:lang w:val="en-US" w:eastAsia="zh-CN"/>
              </w:rPr>
              <w:t>表2-16 厂区噪声监测结果         单位：dB（A）</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23"/>
              <w:gridCol w:w="2667"/>
              <w:gridCol w:w="2671"/>
            </w:tblGrid>
            <w:tr w14:paraId="2DE9C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23" w:type="dxa"/>
                  <w:vMerge w:val="restart"/>
                  <w:noWrap w:val="0"/>
                  <w:vAlign w:val="center"/>
                </w:tcPr>
                <w:p w14:paraId="2F1F51D1">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监测</w:t>
                  </w:r>
                </w:p>
                <w:p w14:paraId="704356D7">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点位</w:t>
                  </w:r>
                </w:p>
              </w:tc>
              <w:tc>
                <w:tcPr>
                  <w:tcW w:w="5338" w:type="dxa"/>
                  <w:gridSpan w:val="2"/>
                  <w:noWrap w:val="0"/>
                  <w:vAlign w:val="center"/>
                </w:tcPr>
                <w:p w14:paraId="612E176B">
                  <w:pPr>
                    <w:spacing w:line="240" w:lineRule="auto"/>
                    <w:jc w:val="center"/>
                    <w:rPr>
                      <w:rFonts w:hint="default" w:ascii="Times New Roman" w:hAnsi="Times New Roman" w:eastAsia="宋体" w:cs="Times New Roman"/>
                      <w:bCs/>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vertAlign w:val="baseline"/>
                      <w:lang w:val="en-US" w:eastAsia="zh-CN"/>
                    </w:rPr>
                    <w:t>监测结果</w:t>
                  </w:r>
                </w:p>
              </w:tc>
            </w:tr>
            <w:tr w14:paraId="7F33E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23" w:type="dxa"/>
                  <w:vMerge w:val="continue"/>
                  <w:noWrap w:val="0"/>
                  <w:vAlign w:val="center"/>
                </w:tcPr>
                <w:p w14:paraId="120D77FB">
                  <w:pPr>
                    <w:spacing w:line="240" w:lineRule="auto"/>
                    <w:jc w:val="center"/>
                    <w:rPr>
                      <w:rFonts w:hint="default" w:ascii="Times New Roman" w:hAnsi="Times New Roman" w:eastAsia="宋体" w:cs="Times New Roman"/>
                      <w:bCs/>
                      <w:color w:val="auto"/>
                      <w:sz w:val="21"/>
                      <w:szCs w:val="21"/>
                      <w:vertAlign w:val="baseline"/>
                      <w:lang w:val="en-US" w:eastAsia="zh-CN"/>
                    </w:rPr>
                  </w:pPr>
                </w:p>
              </w:tc>
              <w:tc>
                <w:tcPr>
                  <w:tcW w:w="2667" w:type="dxa"/>
                  <w:noWrap w:val="0"/>
                  <w:vAlign w:val="center"/>
                </w:tcPr>
                <w:p w14:paraId="1D3DBDED">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昼间</w:t>
                  </w:r>
                </w:p>
              </w:tc>
              <w:tc>
                <w:tcPr>
                  <w:tcW w:w="2671" w:type="dxa"/>
                  <w:noWrap w:val="0"/>
                  <w:vAlign w:val="center"/>
                </w:tcPr>
                <w:p w14:paraId="3B864902">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夜间</w:t>
                  </w:r>
                </w:p>
              </w:tc>
            </w:tr>
            <w:tr w14:paraId="493E3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23" w:type="dxa"/>
                  <w:noWrap w:val="0"/>
                  <w:vAlign w:val="center"/>
                </w:tcPr>
                <w:p w14:paraId="7D251278">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北厂界</w:t>
                  </w:r>
                </w:p>
              </w:tc>
              <w:tc>
                <w:tcPr>
                  <w:tcW w:w="2667" w:type="dxa"/>
                  <w:noWrap w:val="0"/>
                  <w:vAlign w:val="center"/>
                </w:tcPr>
                <w:p w14:paraId="2DDD1B6F">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58</w:t>
                  </w:r>
                </w:p>
              </w:tc>
              <w:tc>
                <w:tcPr>
                  <w:tcW w:w="2671" w:type="dxa"/>
                  <w:noWrap w:val="0"/>
                  <w:vAlign w:val="center"/>
                </w:tcPr>
                <w:p w14:paraId="02F8B707">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w:t>
                  </w:r>
                </w:p>
              </w:tc>
            </w:tr>
            <w:tr w14:paraId="75C2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23" w:type="dxa"/>
                  <w:noWrap w:val="0"/>
                  <w:vAlign w:val="center"/>
                </w:tcPr>
                <w:p w14:paraId="767AFFED">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西厂界</w:t>
                  </w:r>
                </w:p>
              </w:tc>
              <w:tc>
                <w:tcPr>
                  <w:tcW w:w="2667" w:type="dxa"/>
                  <w:noWrap w:val="0"/>
                  <w:vAlign w:val="center"/>
                </w:tcPr>
                <w:p w14:paraId="0E7D2F41">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56</w:t>
                  </w:r>
                </w:p>
              </w:tc>
              <w:tc>
                <w:tcPr>
                  <w:tcW w:w="2671" w:type="dxa"/>
                  <w:noWrap w:val="0"/>
                  <w:vAlign w:val="center"/>
                </w:tcPr>
                <w:p w14:paraId="63FE78DA">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w:t>
                  </w:r>
                </w:p>
              </w:tc>
            </w:tr>
            <w:tr w14:paraId="44329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23" w:type="dxa"/>
                  <w:noWrap w:val="0"/>
                  <w:vAlign w:val="center"/>
                </w:tcPr>
                <w:p w14:paraId="770CB18B">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南厂界</w:t>
                  </w:r>
                </w:p>
              </w:tc>
              <w:tc>
                <w:tcPr>
                  <w:tcW w:w="2667" w:type="dxa"/>
                  <w:noWrap w:val="0"/>
                  <w:vAlign w:val="center"/>
                </w:tcPr>
                <w:p w14:paraId="127FD628">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56</w:t>
                  </w:r>
                </w:p>
              </w:tc>
              <w:tc>
                <w:tcPr>
                  <w:tcW w:w="2671" w:type="dxa"/>
                  <w:noWrap w:val="0"/>
                  <w:vAlign w:val="center"/>
                </w:tcPr>
                <w:p w14:paraId="5088C672">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w:t>
                  </w:r>
                </w:p>
              </w:tc>
            </w:tr>
            <w:tr w14:paraId="6C2B4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23" w:type="dxa"/>
                  <w:noWrap w:val="0"/>
                  <w:vAlign w:val="center"/>
                </w:tcPr>
                <w:p w14:paraId="0EA97208">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东厂界</w:t>
                  </w:r>
                </w:p>
              </w:tc>
              <w:tc>
                <w:tcPr>
                  <w:tcW w:w="2667" w:type="dxa"/>
                  <w:noWrap w:val="0"/>
                  <w:vAlign w:val="center"/>
                </w:tcPr>
                <w:p w14:paraId="0ADADB74">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55</w:t>
                  </w:r>
                </w:p>
              </w:tc>
              <w:tc>
                <w:tcPr>
                  <w:tcW w:w="2671" w:type="dxa"/>
                  <w:noWrap w:val="0"/>
                  <w:vAlign w:val="center"/>
                </w:tcPr>
                <w:p w14:paraId="2251D2A5">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w:t>
                  </w:r>
                </w:p>
              </w:tc>
            </w:tr>
            <w:tr w14:paraId="4EE10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23" w:type="dxa"/>
                  <w:noWrap w:val="0"/>
                  <w:vAlign w:val="center"/>
                </w:tcPr>
                <w:p w14:paraId="1625161C">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标准值</w:t>
                  </w:r>
                </w:p>
              </w:tc>
              <w:tc>
                <w:tcPr>
                  <w:tcW w:w="2667" w:type="dxa"/>
                  <w:noWrap w:val="0"/>
                  <w:vAlign w:val="center"/>
                </w:tcPr>
                <w:p w14:paraId="7AF8BF40">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60</w:t>
                  </w:r>
                </w:p>
              </w:tc>
              <w:tc>
                <w:tcPr>
                  <w:tcW w:w="2671" w:type="dxa"/>
                  <w:noWrap w:val="0"/>
                  <w:vAlign w:val="center"/>
                </w:tcPr>
                <w:p w14:paraId="5AEA6415">
                  <w:pPr>
                    <w:spacing w:line="240" w:lineRule="auto"/>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50</w:t>
                  </w:r>
                </w:p>
              </w:tc>
            </w:tr>
          </w:tbl>
          <w:p w14:paraId="7B01858F">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根据监测结果可知，现有工程厂界噪声均满足《工业企业厂界环境噪声排放标准》（GB12348-2008）中的2类标准要求。</w:t>
            </w:r>
          </w:p>
          <w:p w14:paraId="1C78AD55">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（4）固体废物</w:t>
            </w:r>
          </w:p>
          <w:p w14:paraId="7F5CF2EC">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根据2023年竣工环境保护验收数据，现有工程固体废物实际产生及处置情况见表2-17。</w:t>
            </w:r>
          </w:p>
          <w:p w14:paraId="473E112B">
            <w:pPr>
              <w:bidi w:val="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w:t>
            </w:r>
            <w:r>
              <w:rPr>
                <w:rFonts w:hint="default" w:ascii="Times New Roman" w:hAnsi="Times New Roman" w:eastAsia="宋体" w:cs="Times New Roman"/>
                <w:b/>
                <w:bCs/>
                <w:color w:val="auto"/>
                <w:lang w:val="en-US" w:eastAsia="zh-CN"/>
              </w:rPr>
              <w:t xml:space="preserve">2-17 </w:t>
            </w:r>
            <w:r>
              <w:rPr>
                <w:rFonts w:hint="default" w:ascii="Times New Roman" w:hAnsi="Times New Roman" w:eastAsia="宋体" w:cs="Times New Roman"/>
                <w:b/>
                <w:bCs/>
                <w:color w:val="auto"/>
              </w:rPr>
              <w:t>固废产生及处置情况一览表</w:t>
            </w:r>
          </w:p>
          <w:tbl>
            <w:tblPr>
              <w:tblStyle w:val="2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108"/>
              <w:gridCol w:w="2853"/>
              <w:gridCol w:w="1318"/>
              <w:gridCol w:w="2079"/>
            </w:tblGrid>
            <w:tr w14:paraId="2DE15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noWrap w:val="0"/>
                  <w:vAlign w:val="center"/>
                </w:tcPr>
                <w:p w14:paraId="41A3802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序号</w:t>
                  </w:r>
                </w:p>
              </w:tc>
              <w:tc>
                <w:tcPr>
                  <w:tcW w:w="3961" w:type="dxa"/>
                  <w:gridSpan w:val="2"/>
                  <w:noWrap w:val="0"/>
                  <w:vAlign w:val="center"/>
                </w:tcPr>
                <w:p w14:paraId="123CBA4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固废种类</w:t>
                  </w:r>
                </w:p>
              </w:tc>
              <w:tc>
                <w:tcPr>
                  <w:tcW w:w="1318" w:type="dxa"/>
                  <w:noWrap w:val="0"/>
                  <w:vAlign w:val="center"/>
                </w:tcPr>
                <w:p w14:paraId="4F598E92">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产生量（t/a）</w:t>
                  </w:r>
                </w:p>
              </w:tc>
              <w:tc>
                <w:tcPr>
                  <w:tcW w:w="2079" w:type="dxa"/>
                  <w:noWrap w:val="0"/>
                  <w:vAlign w:val="center"/>
                </w:tcPr>
                <w:p w14:paraId="0D596FE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处置去向</w:t>
                  </w:r>
                </w:p>
              </w:tc>
            </w:tr>
            <w:tr w14:paraId="5DB2D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noWrap w:val="0"/>
                  <w:vAlign w:val="center"/>
                </w:tcPr>
                <w:p w14:paraId="5BA1EDE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w:t>
                  </w:r>
                </w:p>
              </w:tc>
              <w:tc>
                <w:tcPr>
                  <w:tcW w:w="3961" w:type="dxa"/>
                  <w:gridSpan w:val="2"/>
                  <w:noWrap w:val="0"/>
                  <w:vAlign w:val="center"/>
                </w:tcPr>
                <w:p w14:paraId="07CC19E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生活垃圾</w:t>
                  </w:r>
                </w:p>
              </w:tc>
              <w:tc>
                <w:tcPr>
                  <w:tcW w:w="1318" w:type="dxa"/>
                  <w:noWrap w:val="0"/>
                  <w:vAlign w:val="center"/>
                </w:tcPr>
                <w:p w14:paraId="6D3175E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w:t>
                  </w:r>
                </w:p>
              </w:tc>
              <w:tc>
                <w:tcPr>
                  <w:tcW w:w="2079" w:type="dxa"/>
                  <w:noWrap w:val="0"/>
                  <w:vAlign w:val="center"/>
                </w:tcPr>
                <w:p w14:paraId="01A6DC7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分类收集，交由环卫部门处置</w:t>
                  </w:r>
                </w:p>
              </w:tc>
            </w:tr>
            <w:tr w14:paraId="0495E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restart"/>
                  <w:noWrap w:val="0"/>
                  <w:vAlign w:val="center"/>
                </w:tcPr>
                <w:p w14:paraId="429636E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2</w:t>
                  </w:r>
                </w:p>
              </w:tc>
              <w:tc>
                <w:tcPr>
                  <w:tcW w:w="1108" w:type="dxa"/>
                  <w:vMerge w:val="restart"/>
                  <w:noWrap w:val="0"/>
                  <w:vAlign w:val="center"/>
                </w:tcPr>
                <w:p w14:paraId="5014E64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一般固废</w:t>
                  </w:r>
                </w:p>
              </w:tc>
              <w:tc>
                <w:tcPr>
                  <w:tcW w:w="2853" w:type="dxa"/>
                  <w:noWrap w:val="0"/>
                  <w:vAlign w:val="center"/>
                </w:tcPr>
                <w:p w14:paraId="680B5489">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废边角料</w:t>
                  </w:r>
                </w:p>
              </w:tc>
              <w:tc>
                <w:tcPr>
                  <w:tcW w:w="1318" w:type="dxa"/>
                  <w:vMerge w:val="restart"/>
                  <w:noWrap w:val="0"/>
                  <w:vAlign w:val="center"/>
                </w:tcPr>
                <w:p w14:paraId="7D97A927">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458.285</w:t>
                  </w:r>
                </w:p>
              </w:tc>
              <w:tc>
                <w:tcPr>
                  <w:tcW w:w="2079" w:type="dxa"/>
                  <w:vMerge w:val="restart"/>
                  <w:noWrap w:val="0"/>
                  <w:vAlign w:val="center"/>
                </w:tcPr>
                <w:p w14:paraId="105617D5">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作为一般固废处置</w:t>
                  </w:r>
                </w:p>
              </w:tc>
            </w:tr>
            <w:tr w14:paraId="203B4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72693A8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7C37777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853" w:type="dxa"/>
                  <w:noWrap w:val="0"/>
                  <w:vAlign w:val="center"/>
                </w:tcPr>
                <w:p w14:paraId="6AEA77B5">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废金属屑</w:t>
                  </w:r>
                </w:p>
              </w:tc>
              <w:tc>
                <w:tcPr>
                  <w:tcW w:w="1318" w:type="dxa"/>
                  <w:vMerge w:val="continue"/>
                  <w:noWrap w:val="0"/>
                  <w:vAlign w:val="center"/>
                </w:tcPr>
                <w:p w14:paraId="2CBB9FDA">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079" w:type="dxa"/>
                  <w:vMerge w:val="continue"/>
                  <w:noWrap w:val="0"/>
                  <w:vAlign w:val="center"/>
                </w:tcPr>
                <w:p w14:paraId="70E1BFC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r>
            <w:tr w14:paraId="66316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70724C0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70F43E2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853" w:type="dxa"/>
                  <w:noWrap w:val="0"/>
                  <w:vAlign w:val="center"/>
                </w:tcPr>
                <w:p w14:paraId="771A74E8">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焊渣、废焊丝</w:t>
                  </w:r>
                </w:p>
              </w:tc>
              <w:tc>
                <w:tcPr>
                  <w:tcW w:w="1318" w:type="dxa"/>
                  <w:vMerge w:val="continue"/>
                  <w:noWrap w:val="0"/>
                  <w:vAlign w:val="center"/>
                </w:tcPr>
                <w:p w14:paraId="2F35E481">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079" w:type="dxa"/>
                  <w:vMerge w:val="continue"/>
                  <w:noWrap w:val="0"/>
                  <w:vAlign w:val="center"/>
                </w:tcPr>
                <w:p w14:paraId="7730B14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r>
            <w:tr w14:paraId="5AB41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6F3A3F2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7BFDD4D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853" w:type="dxa"/>
                  <w:noWrap w:val="0"/>
                  <w:vAlign w:val="center"/>
                </w:tcPr>
                <w:p w14:paraId="44567204">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废包装材料</w:t>
                  </w:r>
                </w:p>
              </w:tc>
              <w:tc>
                <w:tcPr>
                  <w:tcW w:w="1318" w:type="dxa"/>
                  <w:noWrap w:val="0"/>
                  <w:vAlign w:val="center"/>
                </w:tcPr>
                <w:p w14:paraId="2C6F5AD6">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5.4</w:t>
                  </w:r>
                </w:p>
              </w:tc>
              <w:tc>
                <w:tcPr>
                  <w:tcW w:w="2079" w:type="dxa"/>
                  <w:vMerge w:val="continue"/>
                  <w:noWrap w:val="0"/>
                  <w:vAlign w:val="center"/>
                </w:tcPr>
                <w:p w14:paraId="29CE87C6">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r>
            <w:tr w14:paraId="64CF1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4A7BCA0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32E93FE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853" w:type="dxa"/>
                  <w:noWrap w:val="0"/>
                  <w:vAlign w:val="center"/>
                </w:tcPr>
                <w:p w14:paraId="03F369E9">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废催化剂</w:t>
                  </w:r>
                </w:p>
              </w:tc>
              <w:tc>
                <w:tcPr>
                  <w:tcW w:w="1318" w:type="dxa"/>
                  <w:noWrap w:val="0"/>
                  <w:vAlign w:val="center"/>
                </w:tcPr>
                <w:p w14:paraId="14FAA73F">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0.32t/3a</w:t>
                  </w:r>
                </w:p>
              </w:tc>
              <w:tc>
                <w:tcPr>
                  <w:tcW w:w="2079" w:type="dxa"/>
                  <w:noWrap w:val="0"/>
                  <w:vAlign w:val="center"/>
                </w:tcPr>
                <w:p w14:paraId="15E321BC">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厂家回收</w:t>
                  </w:r>
                </w:p>
              </w:tc>
            </w:tr>
            <w:tr w14:paraId="31EC2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restart"/>
                  <w:noWrap w:val="0"/>
                  <w:vAlign w:val="center"/>
                </w:tcPr>
                <w:p w14:paraId="64EA529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w:t>
                  </w:r>
                </w:p>
              </w:tc>
              <w:tc>
                <w:tcPr>
                  <w:tcW w:w="1108" w:type="dxa"/>
                  <w:vMerge w:val="restart"/>
                  <w:noWrap w:val="0"/>
                  <w:vAlign w:val="center"/>
                </w:tcPr>
                <w:p w14:paraId="382D1277">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危险</w:t>
                  </w:r>
                </w:p>
                <w:p w14:paraId="41FFC80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废物</w:t>
                  </w:r>
                </w:p>
              </w:tc>
              <w:tc>
                <w:tcPr>
                  <w:tcW w:w="2853" w:type="dxa"/>
                  <w:shd w:val="clear" w:color="auto" w:fill="auto"/>
                  <w:noWrap w:val="0"/>
                  <w:vAlign w:val="center"/>
                </w:tcPr>
                <w:p w14:paraId="47B1139A">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含油废抹布</w:t>
                  </w:r>
                </w:p>
              </w:tc>
              <w:tc>
                <w:tcPr>
                  <w:tcW w:w="1318" w:type="dxa"/>
                  <w:shd w:val="clear" w:color="auto" w:fill="auto"/>
                  <w:noWrap w:val="0"/>
                  <w:vAlign w:val="center"/>
                </w:tcPr>
                <w:p w14:paraId="1B5D5898">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p>
              </w:tc>
              <w:tc>
                <w:tcPr>
                  <w:tcW w:w="2079" w:type="dxa"/>
                  <w:vMerge w:val="restart"/>
                  <w:noWrap w:val="0"/>
                  <w:vAlign w:val="center"/>
                </w:tcPr>
                <w:p w14:paraId="1BEF0D9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委</w:t>
                  </w:r>
                  <w:r>
                    <w:rPr>
                      <w:rFonts w:hint="default" w:ascii="Times New Roman" w:hAnsi="Times New Roman" w:eastAsia="宋体" w:cs="Times New Roman"/>
                      <w:color w:val="auto"/>
                      <w:sz w:val="21"/>
                      <w:szCs w:val="21"/>
                      <w:highlight w:val="none"/>
                      <w:lang w:val="en-US" w:eastAsia="zh-CN"/>
                    </w:rPr>
                    <w:t>托陕西新天地固体废物综合处置有限公司处置</w:t>
                  </w:r>
                </w:p>
              </w:tc>
            </w:tr>
            <w:tr w14:paraId="48BA1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757DABC5">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5FCF717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853" w:type="dxa"/>
                  <w:shd w:val="clear" w:color="auto" w:fill="auto"/>
                  <w:noWrap w:val="0"/>
                  <w:vAlign w:val="center"/>
                </w:tcPr>
                <w:p w14:paraId="026937A5">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废切削液</w:t>
                  </w:r>
                </w:p>
              </w:tc>
              <w:tc>
                <w:tcPr>
                  <w:tcW w:w="1318" w:type="dxa"/>
                  <w:shd w:val="clear" w:color="auto" w:fill="auto"/>
                  <w:noWrap w:val="0"/>
                  <w:vAlign w:val="center"/>
                </w:tcPr>
                <w:p w14:paraId="5809B0BB">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11.925</w:t>
                  </w:r>
                </w:p>
              </w:tc>
              <w:tc>
                <w:tcPr>
                  <w:tcW w:w="2079" w:type="dxa"/>
                  <w:vMerge w:val="continue"/>
                  <w:noWrap w:val="0"/>
                  <w:vAlign w:val="center"/>
                </w:tcPr>
                <w:p w14:paraId="27FC6F5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r>
            <w:tr w14:paraId="684B5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4728D54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2D9C7B92">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853" w:type="dxa"/>
                  <w:shd w:val="clear" w:color="auto" w:fill="auto"/>
                  <w:noWrap w:val="0"/>
                  <w:vAlign w:val="center"/>
                </w:tcPr>
                <w:p w14:paraId="017B1C30">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废润滑油</w:t>
                  </w:r>
                </w:p>
              </w:tc>
              <w:tc>
                <w:tcPr>
                  <w:tcW w:w="1318" w:type="dxa"/>
                  <w:shd w:val="clear" w:color="auto" w:fill="auto"/>
                  <w:noWrap w:val="0"/>
                  <w:vAlign w:val="center"/>
                </w:tcPr>
                <w:p w14:paraId="6D508EBA">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5.56</w:t>
                  </w:r>
                </w:p>
              </w:tc>
              <w:tc>
                <w:tcPr>
                  <w:tcW w:w="2079" w:type="dxa"/>
                  <w:vMerge w:val="continue"/>
                  <w:noWrap w:val="0"/>
                  <w:vAlign w:val="center"/>
                </w:tcPr>
                <w:p w14:paraId="583B235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r>
            <w:tr w14:paraId="1617D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0CC94E6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5880B515">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853" w:type="dxa"/>
                  <w:shd w:val="clear" w:color="auto" w:fill="auto"/>
                  <w:noWrap w:val="0"/>
                  <w:vAlign w:val="center"/>
                </w:tcPr>
                <w:p w14:paraId="44E709E1">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废槽液、槽渣</w:t>
                  </w:r>
                </w:p>
              </w:tc>
              <w:tc>
                <w:tcPr>
                  <w:tcW w:w="1318" w:type="dxa"/>
                  <w:shd w:val="clear" w:color="auto" w:fill="auto"/>
                  <w:noWrap w:val="0"/>
                  <w:vAlign w:val="center"/>
                </w:tcPr>
                <w:p w14:paraId="151F37BD">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p>
              </w:tc>
              <w:tc>
                <w:tcPr>
                  <w:tcW w:w="2079" w:type="dxa"/>
                  <w:vMerge w:val="continue"/>
                  <w:noWrap w:val="0"/>
                  <w:vAlign w:val="center"/>
                </w:tcPr>
                <w:p w14:paraId="20D8A66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r>
            <w:tr w14:paraId="06CFD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0D945F0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1D3D805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853" w:type="dxa"/>
                  <w:shd w:val="clear" w:color="auto" w:fill="auto"/>
                  <w:noWrap w:val="0"/>
                  <w:vAlign w:val="center"/>
                </w:tcPr>
                <w:p w14:paraId="127B6B9A">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酸洗废水处理污泥</w:t>
                  </w:r>
                </w:p>
              </w:tc>
              <w:tc>
                <w:tcPr>
                  <w:tcW w:w="1318" w:type="dxa"/>
                  <w:shd w:val="clear" w:color="auto" w:fill="auto"/>
                  <w:noWrap w:val="0"/>
                  <w:vAlign w:val="center"/>
                </w:tcPr>
                <w:p w14:paraId="438380E6">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3.475</w:t>
                  </w:r>
                </w:p>
              </w:tc>
              <w:tc>
                <w:tcPr>
                  <w:tcW w:w="2079" w:type="dxa"/>
                  <w:vMerge w:val="continue"/>
                  <w:noWrap w:val="0"/>
                  <w:vAlign w:val="center"/>
                </w:tcPr>
                <w:p w14:paraId="123E71B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r>
            <w:tr w14:paraId="727EA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74DAF8DF">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7E8A207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853" w:type="dxa"/>
                  <w:shd w:val="clear" w:color="auto" w:fill="auto"/>
                  <w:noWrap w:val="0"/>
                  <w:vAlign w:val="center"/>
                </w:tcPr>
                <w:p w14:paraId="7A43D460">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废活性炭</w:t>
                  </w:r>
                </w:p>
              </w:tc>
              <w:tc>
                <w:tcPr>
                  <w:tcW w:w="1318" w:type="dxa"/>
                  <w:shd w:val="clear" w:color="auto" w:fill="auto"/>
                  <w:noWrap w:val="0"/>
                  <w:vAlign w:val="center"/>
                </w:tcPr>
                <w:p w14:paraId="0C0FCA7D">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8.83</w:t>
                  </w:r>
                </w:p>
              </w:tc>
              <w:tc>
                <w:tcPr>
                  <w:tcW w:w="2079" w:type="dxa"/>
                  <w:vMerge w:val="continue"/>
                  <w:noWrap w:val="0"/>
                  <w:vAlign w:val="center"/>
                </w:tcPr>
                <w:p w14:paraId="15789B2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r>
            <w:tr w14:paraId="75EB9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5097C59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79C7340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853" w:type="dxa"/>
                  <w:shd w:val="clear" w:color="auto" w:fill="auto"/>
                  <w:noWrap w:val="0"/>
                  <w:vAlign w:val="center"/>
                </w:tcPr>
                <w:p w14:paraId="0E491249">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漆渣</w:t>
                  </w:r>
                </w:p>
              </w:tc>
              <w:tc>
                <w:tcPr>
                  <w:tcW w:w="1318" w:type="dxa"/>
                  <w:shd w:val="clear" w:color="auto" w:fill="auto"/>
                  <w:noWrap w:val="0"/>
                  <w:vAlign w:val="center"/>
                </w:tcPr>
                <w:p w14:paraId="3CBBD7DD">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5.723</w:t>
                  </w:r>
                </w:p>
              </w:tc>
              <w:tc>
                <w:tcPr>
                  <w:tcW w:w="2079" w:type="dxa"/>
                  <w:vMerge w:val="continue"/>
                  <w:noWrap w:val="0"/>
                  <w:vAlign w:val="center"/>
                </w:tcPr>
                <w:p w14:paraId="2C88F5B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r>
            <w:tr w14:paraId="65BF6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dxa"/>
                  <w:vMerge w:val="continue"/>
                  <w:noWrap w:val="0"/>
                  <w:vAlign w:val="center"/>
                </w:tcPr>
                <w:p w14:paraId="623BEE73">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1108" w:type="dxa"/>
                  <w:vMerge w:val="continue"/>
                  <w:noWrap w:val="0"/>
                  <w:vAlign w:val="center"/>
                </w:tcPr>
                <w:p w14:paraId="4E7E769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853" w:type="dxa"/>
                  <w:shd w:val="clear" w:color="auto" w:fill="auto"/>
                  <w:noWrap w:val="0"/>
                  <w:vAlign w:val="center"/>
                </w:tcPr>
                <w:p w14:paraId="3CAA0849">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废油漆桶</w:t>
                  </w:r>
                </w:p>
              </w:tc>
              <w:tc>
                <w:tcPr>
                  <w:tcW w:w="1318" w:type="dxa"/>
                  <w:shd w:val="clear" w:color="auto" w:fill="auto"/>
                  <w:noWrap w:val="0"/>
                  <w:vAlign w:val="center"/>
                </w:tcPr>
                <w:p w14:paraId="0CFB2178">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14.195</w:t>
                  </w:r>
                </w:p>
              </w:tc>
              <w:tc>
                <w:tcPr>
                  <w:tcW w:w="2079" w:type="dxa"/>
                  <w:vMerge w:val="continue"/>
                  <w:noWrap w:val="0"/>
                  <w:vAlign w:val="center"/>
                </w:tcPr>
                <w:p w14:paraId="0B1DE6DF">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r>
          </w:tbl>
          <w:p w14:paraId="69561730">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3、现有工程污染物排放汇总表</w:t>
            </w:r>
          </w:p>
          <w:p w14:paraId="5BEFE0D7">
            <w:pPr>
              <w:keepNext w:val="0"/>
              <w:keepLines w:val="0"/>
              <w:pageBreakBefore w:val="0"/>
              <w:widowControl w:val="0"/>
              <w:kinsoku/>
              <w:wordWrap/>
              <w:overflowPunct/>
              <w:topLinePunct w:val="0"/>
              <w:autoSpaceDE/>
              <w:autoSpaceDN/>
              <w:bidi w:val="0"/>
              <w:adjustRightInd w:val="0"/>
              <w:snapToGrid w:val="0"/>
              <w:ind w:left="0" w:leftChars="0" w:firstLine="422" w:firstLineChars="200"/>
              <w:jc w:val="center"/>
              <w:textAlignment w:val="auto"/>
              <w:rPr>
                <w:rFonts w:hint="default" w:ascii="Times New Roman" w:hAnsi="Times New Roman" w:eastAsia="宋体" w:cs="Times New Roman"/>
                <w:b/>
                <w:bCs w:val="0"/>
                <w:color w:val="auto"/>
                <w:spacing w:val="0"/>
                <w:kern w:val="21"/>
                <w:sz w:val="21"/>
                <w:szCs w:val="21"/>
                <w:highlight w:val="none"/>
                <w:lang w:val="en-US" w:eastAsia="zh-CN"/>
              </w:rPr>
            </w:pPr>
            <w:r>
              <w:rPr>
                <w:rFonts w:hint="default" w:ascii="Times New Roman" w:hAnsi="Times New Roman" w:eastAsia="宋体" w:cs="Times New Roman"/>
                <w:b/>
                <w:bCs w:val="0"/>
                <w:color w:val="auto"/>
                <w:spacing w:val="0"/>
                <w:kern w:val="21"/>
                <w:sz w:val="21"/>
                <w:szCs w:val="21"/>
                <w:highlight w:val="none"/>
                <w:lang w:val="en-US" w:eastAsia="zh-CN"/>
              </w:rPr>
              <w:t>表2-18 现有工程“三废”排放汇总表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3549"/>
              <w:gridCol w:w="3259"/>
            </w:tblGrid>
            <w:tr w14:paraId="0CFC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noWrap w:val="0"/>
                  <w:vAlign w:val="center"/>
                </w:tcPr>
                <w:p w14:paraId="1AF3B6A0">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污染物</w:t>
                  </w:r>
                  <w:r>
                    <w:rPr>
                      <w:rFonts w:hint="default" w:ascii="Times New Roman" w:hAnsi="Times New Roman" w:eastAsia="宋体" w:cs="Times New Roman"/>
                      <w:color w:val="auto"/>
                      <w:sz w:val="21"/>
                      <w:szCs w:val="21"/>
                      <w:lang w:val="en-US"/>
                    </w:rPr>
                    <w:t>种类</w:t>
                  </w:r>
                </w:p>
              </w:tc>
              <w:tc>
                <w:tcPr>
                  <w:tcW w:w="2122" w:type="pct"/>
                  <w:noWrap w:val="0"/>
                  <w:vAlign w:val="center"/>
                </w:tcPr>
                <w:p w14:paraId="577D65F8">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排放因子</w:t>
                  </w:r>
                </w:p>
              </w:tc>
              <w:tc>
                <w:tcPr>
                  <w:tcW w:w="1948" w:type="pct"/>
                  <w:noWrap w:val="0"/>
                  <w:vAlign w:val="center"/>
                </w:tcPr>
                <w:p w14:paraId="72025543">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排放量</w:t>
                  </w:r>
                </w:p>
              </w:tc>
            </w:tr>
            <w:tr w14:paraId="668FA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restart"/>
                  <w:noWrap w:val="0"/>
                  <w:vAlign w:val="center"/>
                </w:tcPr>
                <w:p w14:paraId="7901B594">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废水</w:t>
                  </w:r>
                </w:p>
              </w:tc>
              <w:tc>
                <w:tcPr>
                  <w:tcW w:w="2122" w:type="pct"/>
                  <w:noWrap w:val="0"/>
                  <w:vAlign w:val="center"/>
                </w:tcPr>
                <w:p w14:paraId="572F67CC">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废水</w:t>
                  </w:r>
                  <w:r>
                    <w:rPr>
                      <w:rFonts w:hint="default" w:ascii="Times New Roman" w:hAnsi="Times New Roman" w:eastAsia="宋体" w:cs="Times New Roman"/>
                      <w:color w:val="auto"/>
                      <w:sz w:val="21"/>
                      <w:szCs w:val="21"/>
                      <w:lang w:val="en-US" w:eastAsia="zh-CN"/>
                    </w:rPr>
                    <w:t>排放</w:t>
                  </w:r>
                  <w:r>
                    <w:rPr>
                      <w:rFonts w:hint="default" w:ascii="Times New Roman" w:hAnsi="Times New Roman" w:eastAsia="宋体" w:cs="Times New Roman"/>
                      <w:color w:val="auto"/>
                      <w:sz w:val="21"/>
                      <w:szCs w:val="21"/>
                      <w:lang w:val="en-US"/>
                    </w:rPr>
                    <w:t>量</w:t>
                  </w:r>
                </w:p>
              </w:tc>
              <w:tc>
                <w:tcPr>
                  <w:tcW w:w="1948" w:type="pct"/>
                  <w:noWrap w:val="0"/>
                  <w:vAlign w:val="center"/>
                </w:tcPr>
                <w:p w14:paraId="741B8CB1">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kern w:val="0"/>
                      <w:szCs w:val="21"/>
                      <w:lang w:val="en-US" w:eastAsia="zh-CN"/>
                    </w:rPr>
                    <w:t>56488</w:t>
                  </w:r>
                  <w:r>
                    <w:rPr>
                      <w:rFonts w:hint="default" w:ascii="Times New Roman" w:hAnsi="Times New Roman" w:eastAsia="宋体" w:cs="Times New Roman"/>
                      <w:color w:val="auto"/>
                      <w:kern w:val="0"/>
                      <w:szCs w:val="21"/>
                    </w:rPr>
                    <w:t>t/a</w:t>
                  </w:r>
                </w:p>
              </w:tc>
            </w:tr>
            <w:tr w14:paraId="79045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continue"/>
                  <w:noWrap w:val="0"/>
                  <w:vAlign w:val="center"/>
                </w:tcPr>
                <w:p w14:paraId="41BC28CA">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122" w:type="pct"/>
                  <w:noWrap w:val="0"/>
                  <w:vAlign w:val="center"/>
                </w:tcPr>
                <w:p w14:paraId="1694415A">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COD</w:t>
                  </w:r>
                </w:p>
              </w:tc>
              <w:tc>
                <w:tcPr>
                  <w:tcW w:w="1948" w:type="pct"/>
                  <w:noWrap w:val="0"/>
                  <w:vAlign w:val="center"/>
                </w:tcPr>
                <w:p w14:paraId="078360BF">
                  <w:pPr>
                    <w:pStyle w:val="35"/>
                    <w:adjustRightInd w:val="0"/>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4.046t/a</w:t>
                  </w:r>
                </w:p>
              </w:tc>
            </w:tr>
            <w:tr w14:paraId="08519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continue"/>
                  <w:noWrap w:val="0"/>
                  <w:vAlign w:val="center"/>
                </w:tcPr>
                <w:p w14:paraId="2EE3DD35">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122" w:type="pct"/>
                  <w:noWrap w:val="0"/>
                  <w:vAlign w:val="center"/>
                </w:tcPr>
                <w:p w14:paraId="646932EB">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氨氮</w:t>
                  </w:r>
                </w:p>
              </w:tc>
              <w:tc>
                <w:tcPr>
                  <w:tcW w:w="1948" w:type="pct"/>
                  <w:noWrap w:val="0"/>
                  <w:vAlign w:val="center"/>
                </w:tcPr>
                <w:p w14:paraId="74511A94">
                  <w:pPr>
                    <w:pStyle w:val="35"/>
                    <w:adjustRightInd w:val="0"/>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0.625t/a</w:t>
                  </w:r>
                </w:p>
              </w:tc>
            </w:tr>
            <w:tr w14:paraId="0B816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restart"/>
                  <w:noWrap w:val="0"/>
                  <w:vAlign w:val="center"/>
                </w:tcPr>
                <w:p w14:paraId="04DE1D0D">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废气</w:t>
                  </w:r>
                </w:p>
              </w:tc>
              <w:tc>
                <w:tcPr>
                  <w:tcW w:w="2122" w:type="pct"/>
                  <w:noWrap w:val="0"/>
                  <w:vAlign w:val="center"/>
                </w:tcPr>
                <w:p w14:paraId="5A054BAE">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颗粒物</w:t>
                  </w:r>
                </w:p>
              </w:tc>
              <w:tc>
                <w:tcPr>
                  <w:tcW w:w="1948" w:type="pct"/>
                  <w:noWrap w:val="0"/>
                  <w:vAlign w:val="center"/>
                </w:tcPr>
                <w:p w14:paraId="04A2B879">
                  <w:pPr>
                    <w:adjustRightInd w:val="0"/>
                    <w:snapToGrid w:val="0"/>
                    <w:spacing w:line="240" w:lineRule="auto"/>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1.775</w:t>
                  </w:r>
                  <w:r>
                    <w:rPr>
                      <w:rFonts w:hint="default" w:ascii="Times New Roman" w:hAnsi="Times New Roman" w:eastAsia="宋体" w:cs="Times New Roman"/>
                      <w:color w:val="auto"/>
                      <w:kern w:val="0"/>
                      <w:sz w:val="21"/>
                      <w:szCs w:val="21"/>
                    </w:rPr>
                    <w:t>t/a</w:t>
                  </w:r>
                </w:p>
              </w:tc>
            </w:tr>
            <w:tr w14:paraId="01409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continue"/>
                  <w:noWrap w:val="0"/>
                  <w:vAlign w:val="center"/>
                </w:tcPr>
                <w:p w14:paraId="2EFB9021">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122" w:type="pct"/>
                  <w:noWrap w:val="0"/>
                  <w:vAlign w:val="center"/>
                </w:tcPr>
                <w:p w14:paraId="2D662D4B">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非甲烷总烃</w:t>
                  </w:r>
                </w:p>
              </w:tc>
              <w:tc>
                <w:tcPr>
                  <w:tcW w:w="1948" w:type="pct"/>
                  <w:noWrap w:val="0"/>
                  <w:vAlign w:val="center"/>
                </w:tcPr>
                <w:p w14:paraId="47A0576D">
                  <w:pPr>
                    <w:adjustRightInd w:val="0"/>
                    <w:snapToGrid w:val="0"/>
                    <w:spacing w:line="240" w:lineRule="auto"/>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kern w:val="0"/>
                      <w:sz w:val="21"/>
                      <w:szCs w:val="21"/>
                      <w:lang w:val="en-US" w:eastAsia="zh-CN"/>
                    </w:rPr>
                    <w:t>1.004</w:t>
                  </w:r>
                  <w:r>
                    <w:rPr>
                      <w:rFonts w:hint="default" w:ascii="Times New Roman" w:hAnsi="Times New Roman" w:eastAsia="宋体" w:cs="Times New Roman"/>
                      <w:color w:val="auto"/>
                      <w:kern w:val="0"/>
                      <w:sz w:val="21"/>
                      <w:szCs w:val="21"/>
                    </w:rPr>
                    <w:t>t/a</w:t>
                  </w:r>
                </w:p>
              </w:tc>
            </w:tr>
            <w:tr w14:paraId="3D461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continue"/>
                  <w:noWrap w:val="0"/>
                  <w:vAlign w:val="center"/>
                </w:tcPr>
                <w:p w14:paraId="6F88DFC1">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122" w:type="pct"/>
                  <w:noWrap w:val="0"/>
                  <w:vAlign w:val="center"/>
                </w:tcPr>
                <w:p w14:paraId="4F051A1E">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二甲苯</w:t>
                  </w:r>
                </w:p>
              </w:tc>
              <w:tc>
                <w:tcPr>
                  <w:tcW w:w="1948" w:type="pct"/>
                  <w:noWrap w:val="0"/>
                  <w:vAlign w:val="center"/>
                </w:tcPr>
                <w:p w14:paraId="5FE594BF">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0.637t</w:t>
                  </w:r>
                  <w:r>
                    <w:rPr>
                      <w:rFonts w:hint="default" w:ascii="Times New Roman" w:hAnsi="Times New Roman" w:eastAsia="宋体" w:cs="Times New Roman"/>
                      <w:color w:val="auto"/>
                      <w:kern w:val="0"/>
                      <w:sz w:val="21"/>
                      <w:szCs w:val="21"/>
                    </w:rPr>
                    <w:t>/a</w:t>
                  </w:r>
                </w:p>
              </w:tc>
            </w:tr>
            <w:tr w14:paraId="5DC23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continue"/>
                  <w:noWrap w:val="0"/>
                  <w:vAlign w:val="center"/>
                </w:tcPr>
                <w:p w14:paraId="74C4BEA8">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122" w:type="pct"/>
                  <w:noWrap w:val="0"/>
                  <w:vAlign w:val="center"/>
                </w:tcPr>
                <w:p w14:paraId="091DC7E1">
                  <w:pPr>
                    <w:pStyle w:val="15"/>
                    <w:spacing w:line="240" w:lineRule="auto"/>
                    <w:ind w:left="0" w:lef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氮氧化物</w:t>
                  </w:r>
                </w:p>
              </w:tc>
              <w:tc>
                <w:tcPr>
                  <w:tcW w:w="1948" w:type="pct"/>
                  <w:noWrap w:val="0"/>
                  <w:vAlign w:val="center"/>
                </w:tcPr>
                <w:p w14:paraId="0E1EB91E">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kern w:val="0"/>
                      <w:sz w:val="21"/>
                      <w:szCs w:val="21"/>
                      <w:lang w:val="en-US" w:eastAsia="zh-CN"/>
                    </w:rPr>
                    <w:t>0.134t</w:t>
                  </w:r>
                  <w:r>
                    <w:rPr>
                      <w:rFonts w:hint="default" w:ascii="Times New Roman" w:hAnsi="Times New Roman" w:eastAsia="宋体" w:cs="Times New Roman"/>
                      <w:color w:val="auto"/>
                      <w:kern w:val="0"/>
                      <w:sz w:val="21"/>
                      <w:szCs w:val="21"/>
                    </w:rPr>
                    <w:t>/a</w:t>
                  </w:r>
                </w:p>
              </w:tc>
            </w:tr>
            <w:tr w14:paraId="3E94B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continue"/>
                  <w:noWrap w:val="0"/>
                  <w:vAlign w:val="center"/>
                </w:tcPr>
                <w:p w14:paraId="6D831076">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122" w:type="pct"/>
                  <w:noWrap w:val="0"/>
                  <w:vAlign w:val="center"/>
                </w:tcPr>
                <w:p w14:paraId="6A0010D8">
                  <w:pPr>
                    <w:pStyle w:val="15"/>
                    <w:spacing w:line="240" w:lineRule="auto"/>
                    <w:ind w:left="0" w:lef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氟化物</w:t>
                  </w:r>
                </w:p>
              </w:tc>
              <w:tc>
                <w:tcPr>
                  <w:tcW w:w="1948" w:type="pct"/>
                  <w:noWrap w:val="0"/>
                  <w:vAlign w:val="center"/>
                </w:tcPr>
                <w:p w14:paraId="19688B75">
                  <w:pPr>
                    <w:pStyle w:val="35"/>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0.03t</w:t>
                  </w:r>
                  <w:r>
                    <w:rPr>
                      <w:rFonts w:hint="default" w:ascii="Times New Roman" w:hAnsi="Times New Roman" w:eastAsia="宋体" w:cs="Times New Roman"/>
                      <w:color w:val="auto"/>
                      <w:kern w:val="0"/>
                      <w:sz w:val="21"/>
                      <w:szCs w:val="21"/>
                    </w:rPr>
                    <w:t>/a</w:t>
                  </w:r>
                </w:p>
              </w:tc>
            </w:tr>
            <w:tr w14:paraId="7F544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restart"/>
                  <w:noWrap w:val="0"/>
                  <w:vAlign w:val="center"/>
                </w:tcPr>
                <w:p w14:paraId="70E44DD2">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固废</w:t>
                  </w:r>
                </w:p>
              </w:tc>
              <w:tc>
                <w:tcPr>
                  <w:tcW w:w="2122" w:type="pct"/>
                  <w:noWrap w:val="0"/>
                  <w:vAlign w:val="center"/>
                </w:tcPr>
                <w:p w14:paraId="23FE112F">
                  <w:pPr>
                    <w:pStyle w:val="15"/>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生活垃圾</w:t>
                  </w:r>
                </w:p>
              </w:tc>
              <w:tc>
                <w:tcPr>
                  <w:tcW w:w="1948" w:type="pct"/>
                  <w:noWrap w:val="0"/>
                  <w:vAlign w:val="center"/>
                </w:tcPr>
                <w:p w14:paraId="78554F32">
                  <w:pPr>
                    <w:pStyle w:val="35"/>
                    <w:adjustRightInd w:val="0"/>
                    <w:snapToGrid w:val="0"/>
                    <w:spacing w:line="240" w:lineRule="auto"/>
                    <w:ind w:firstLine="0" w:firstLineChars="0"/>
                    <w:jc w:val="center"/>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kern w:val="2"/>
                      <w:sz w:val="21"/>
                      <w:szCs w:val="21"/>
                      <w:lang w:val="en-US" w:eastAsia="zh-CN"/>
                    </w:rPr>
                    <w:t>9.0</w:t>
                  </w:r>
                  <w:r>
                    <w:rPr>
                      <w:rFonts w:hint="default" w:ascii="Times New Roman" w:hAnsi="Times New Roman" w:eastAsia="宋体" w:cs="Times New Roman"/>
                      <w:color w:val="auto"/>
                      <w:sz w:val="21"/>
                      <w:szCs w:val="21"/>
                    </w:rPr>
                    <w:t xml:space="preserve"> t/a</w:t>
                  </w:r>
                </w:p>
              </w:tc>
            </w:tr>
            <w:tr w14:paraId="620AD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continue"/>
                  <w:noWrap w:val="0"/>
                  <w:vAlign w:val="center"/>
                </w:tcPr>
                <w:p w14:paraId="238F23CB">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122" w:type="pct"/>
                  <w:noWrap w:val="0"/>
                  <w:vAlign w:val="center"/>
                </w:tcPr>
                <w:p w14:paraId="16CC9864">
                  <w:pPr>
                    <w:pStyle w:val="15"/>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一般工业固体废物</w:t>
                  </w:r>
                </w:p>
              </w:tc>
              <w:tc>
                <w:tcPr>
                  <w:tcW w:w="1948" w:type="pct"/>
                  <w:noWrap w:val="0"/>
                  <w:vAlign w:val="center"/>
                </w:tcPr>
                <w:p w14:paraId="44EB5E23">
                  <w:pPr>
                    <w:adjustRightInd w:val="0"/>
                    <w:snapToGrid w:val="0"/>
                    <w:spacing w:line="240" w:lineRule="auto"/>
                    <w:jc w:val="center"/>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1"/>
                      <w:szCs w:val="21"/>
                      <w:lang w:val="en-US" w:eastAsia="zh-CN"/>
                    </w:rPr>
                    <w:t>463.79</w:t>
                  </w:r>
                  <w:r>
                    <w:rPr>
                      <w:rFonts w:hint="default" w:ascii="Times New Roman" w:hAnsi="Times New Roman" w:eastAsia="宋体" w:cs="Times New Roman"/>
                      <w:color w:val="auto"/>
                      <w:kern w:val="0"/>
                      <w:sz w:val="21"/>
                      <w:szCs w:val="21"/>
                    </w:rPr>
                    <w:t xml:space="preserve"> t/a</w:t>
                  </w:r>
                </w:p>
              </w:tc>
            </w:tr>
            <w:tr w14:paraId="13487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pct"/>
                  <w:vMerge w:val="continue"/>
                  <w:noWrap w:val="0"/>
                  <w:vAlign w:val="center"/>
                </w:tcPr>
                <w:p w14:paraId="7ADD2C0B">
                  <w:pPr>
                    <w:pStyle w:val="35"/>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rPr>
                  </w:pPr>
                </w:p>
              </w:tc>
              <w:tc>
                <w:tcPr>
                  <w:tcW w:w="2122" w:type="pct"/>
                  <w:noWrap w:val="0"/>
                  <w:vAlign w:val="center"/>
                </w:tcPr>
                <w:p w14:paraId="4F671AED">
                  <w:pPr>
                    <w:pStyle w:val="15"/>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危险废物</w:t>
                  </w:r>
                </w:p>
              </w:tc>
              <w:tc>
                <w:tcPr>
                  <w:tcW w:w="1948" w:type="pct"/>
                  <w:noWrap w:val="0"/>
                  <w:vAlign w:val="center"/>
                </w:tcPr>
                <w:p w14:paraId="6C5AC2E9">
                  <w:pPr>
                    <w:adjustRightInd w:val="0"/>
                    <w:snapToGrid w:val="0"/>
                    <w:spacing w:line="240" w:lineRule="auto"/>
                    <w:jc w:val="center"/>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1"/>
                      <w:szCs w:val="21"/>
                      <w:lang w:val="en-US" w:eastAsia="zh-CN"/>
                    </w:rPr>
                    <w:t>65.71</w:t>
                  </w:r>
                  <w:r>
                    <w:rPr>
                      <w:rFonts w:hint="default" w:ascii="Times New Roman" w:hAnsi="Times New Roman" w:eastAsia="宋体" w:cs="Times New Roman"/>
                      <w:color w:val="auto"/>
                      <w:kern w:val="0"/>
                      <w:sz w:val="21"/>
                      <w:szCs w:val="21"/>
                    </w:rPr>
                    <w:t xml:space="preserve"> t/a</w:t>
                  </w:r>
                </w:p>
              </w:tc>
            </w:tr>
          </w:tbl>
          <w:p w14:paraId="248211E4">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4、现有项目存在的环保问题及“以新带老”整改措施要求</w:t>
            </w:r>
          </w:p>
          <w:p w14:paraId="1EEF9CB6">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本项目各项污染物均按照环评要求，采取有效的环保措施，并达标排放，不存在环保问题。</w:t>
            </w:r>
          </w:p>
          <w:p w14:paraId="4AFB23C8">
            <w:pPr>
              <w:spacing w:line="360" w:lineRule="auto"/>
              <w:ind w:firstLine="480" w:firstLineChars="200"/>
              <w:rPr>
                <w:rFonts w:hint="default" w:ascii="Times New Roman" w:hAnsi="Times New Roman" w:eastAsia="宋体" w:cs="Times New Roman"/>
                <w:b/>
                <w:bCs w:val="0"/>
                <w:color w:val="auto"/>
                <w:spacing w:val="0"/>
                <w:kern w:val="21"/>
                <w:sz w:val="21"/>
                <w:szCs w:val="21"/>
                <w:lang w:val="en-US" w:eastAsia="zh-CN"/>
              </w:rPr>
            </w:pPr>
            <w:r>
              <w:rPr>
                <w:rFonts w:hint="default" w:ascii="Times New Roman" w:hAnsi="Times New Roman" w:eastAsia="宋体" w:cs="Times New Roman"/>
                <w:color w:val="auto"/>
                <w:kern w:val="0"/>
                <w:sz w:val="24"/>
                <w:lang w:val="en-US" w:eastAsia="zh-CN"/>
              </w:rPr>
              <w:t>维美德造纸机械技术(西安)有限公司为进一步提高环境管理水平，拟对喷砂工段（西喷漆房旁）进行改造，对</w:t>
            </w:r>
            <w:r>
              <w:rPr>
                <w:rFonts w:hint="default" w:ascii="Times New Roman" w:hAnsi="Times New Roman" w:eastAsia="宋体" w:cs="Times New Roman"/>
                <w:color w:val="auto"/>
                <w:sz w:val="24"/>
                <w:szCs w:val="24"/>
                <w:lang w:val="en-US" w:eastAsia="zh-CN"/>
              </w:rPr>
              <w:t>滤筒除尘器处理后的废气增加排气筒，编号为DA006。对危废贮存库进行改造，将出入口改为1个。停用辊子喷漆房，将原辊子喷漆内喷漆作业移至西喷漆房内完成。以新带老措施见表2-19</w:t>
            </w:r>
            <w:r>
              <w:rPr>
                <w:rFonts w:hint="default" w:ascii="Times New Roman" w:hAnsi="Times New Roman" w:eastAsia="宋体" w:cs="Times New Roman"/>
                <w:color w:val="auto"/>
                <w:kern w:val="0"/>
                <w:sz w:val="24"/>
                <w:lang w:val="en-US" w:eastAsia="zh-CN"/>
              </w:rPr>
              <w:t>。</w:t>
            </w:r>
          </w:p>
          <w:p w14:paraId="648FC8F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b/>
                <w:bCs w:val="0"/>
                <w:color w:val="auto"/>
                <w:spacing w:val="0"/>
                <w:kern w:val="21"/>
                <w:sz w:val="21"/>
                <w:szCs w:val="21"/>
                <w:lang w:val="en-US" w:eastAsia="zh-CN"/>
              </w:rPr>
            </w:pPr>
            <w:r>
              <w:rPr>
                <w:rFonts w:hint="default" w:ascii="Times New Roman" w:hAnsi="Times New Roman" w:eastAsia="宋体" w:cs="Times New Roman"/>
                <w:b/>
                <w:bCs w:val="0"/>
                <w:color w:val="auto"/>
                <w:spacing w:val="0"/>
                <w:kern w:val="21"/>
                <w:sz w:val="21"/>
                <w:szCs w:val="21"/>
                <w:lang w:val="en-US" w:eastAsia="zh-CN"/>
              </w:rPr>
              <w:t>表2-19 现有工程以新带老措施</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119"/>
            </w:tblGrid>
            <w:tr w14:paraId="6F1D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2" w:type="dxa"/>
                  <w:noWrap w:val="0"/>
                  <w:vAlign w:val="center"/>
                </w:tcPr>
                <w:p w14:paraId="78DBC26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1"/>
                      <w:szCs w:val="21"/>
                      <w:vertAlign w:val="baseline"/>
                      <w:lang w:val="en-US" w:eastAsia="zh-CN"/>
                    </w:rPr>
                  </w:pPr>
                  <w:r>
                    <w:rPr>
                      <w:rFonts w:hint="default" w:ascii="Times New Roman" w:hAnsi="Times New Roman" w:eastAsia="宋体" w:cs="Times New Roman"/>
                      <w:bCs/>
                      <w:color w:val="auto"/>
                      <w:spacing w:val="0"/>
                      <w:kern w:val="21"/>
                      <w:sz w:val="21"/>
                      <w:szCs w:val="21"/>
                      <w:vertAlign w:val="baseline"/>
                      <w:lang w:val="en-US" w:eastAsia="zh-CN"/>
                    </w:rPr>
                    <w:t>改造区域</w:t>
                  </w:r>
                </w:p>
              </w:tc>
              <w:tc>
                <w:tcPr>
                  <w:tcW w:w="6119" w:type="dxa"/>
                  <w:noWrap w:val="0"/>
                  <w:vAlign w:val="center"/>
                </w:tcPr>
                <w:p w14:paraId="66E01F1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1"/>
                      <w:szCs w:val="21"/>
                      <w:vertAlign w:val="baseline"/>
                      <w:lang w:val="en-US" w:eastAsia="zh-CN"/>
                    </w:rPr>
                  </w:pPr>
                  <w:r>
                    <w:rPr>
                      <w:rFonts w:hint="default" w:ascii="Times New Roman" w:hAnsi="Times New Roman" w:eastAsia="宋体" w:cs="Times New Roman"/>
                      <w:bCs/>
                      <w:color w:val="auto"/>
                      <w:spacing w:val="0"/>
                      <w:kern w:val="21"/>
                      <w:sz w:val="21"/>
                      <w:szCs w:val="21"/>
                      <w:vertAlign w:val="baseline"/>
                      <w:lang w:val="en-US" w:eastAsia="zh-CN"/>
                    </w:rPr>
                    <w:t>以新带老措施</w:t>
                  </w:r>
                </w:p>
              </w:tc>
            </w:tr>
            <w:tr w14:paraId="66D47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2" w:type="dxa"/>
                  <w:noWrap w:val="0"/>
                  <w:vAlign w:val="center"/>
                </w:tcPr>
                <w:p w14:paraId="5A89A8F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1"/>
                      <w:szCs w:val="21"/>
                      <w:vertAlign w:val="baseline"/>
                      <w:lang w:val="en-US" w:eastAsia="zh-CN"/>
                    </w:rPr>
                  </w:pPr>
                  <w:r>
                    <w:rPr>
                      <w:rFonts w:hint="default" w:ascii="Times New Roman" w:hAnsi="Times New Roman" w:eastAsia="宋体" w:cs="Times New Roman"/>
                      <w:bCs/>
                      <w:color w:val="auto"/>
                      <w:spacing w:val="0"/>
                      <w:kern w:val="21"/>
                      <w:sz w:val="21"/>
                      <w:szCs w:val="21"/>
                      <w:vertAlign w:val="baseline"/>
                      <w:lang w:val="en-US" w:eastAsia="zh-CN"/>
                    </w:rPr>
                    <w:t>喷砂间</w:t>
                  </w:r>
                </w:p>
              </w:tc>
              <w:tc>
                <w:tcPr>
                  <w:tcW w:w="6119" w:type="dxa"/>
                  <w:noWrap w:val="0"/>
                  <w:vAlign w:val="center"/>
                </w:tcPr>
                <w:p w14:paraId="62EC56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1"/>
                      <w:szCs w:val="21"/>
                      <w:vertAlign w:val="baseline"/>
                      <w:lang w:val="en-US" w:eastAsia="zh-CN"/>
                    </w:rPr>
                  </w:pPr>
                  <w:r>
                    <w:rPr>
                      <w:rFonts w:hint="default" w:ascii="Times New Roman" w:hAnsi="Times New Roman" w:eastAsia="宋体" w:cs="Times New Roman"/>
                      <w:bCs/>
                      <w:color w:val="auto"/>
                      <w:spacing w:val="0"/>
                      <w:kern w:val="21"/>
                      <w:sz w:val="21"/>
                      <w:szCs w:val="21"/>
                      <w:vertAlign w:val="baseline"/>
                      <w:lang w:val="en-US" w:eastAsia="zh-CN"/>
                    </w:rPr>
                    <w:t>将喷砂废气（西喷漆房旁）处理措施由“滤筒除尘器+无组织排放”改为“滤筒除尘器+15m高排气筒排放”，喷砂废气经处理后有组织颗粒物排放浓度和排放速率满足《大气污染物综合排放标准》（GB16297-1996）表2二级标准要求。</w:t>
                  </w:r>
                </w:p>
              </w:tc>
            </w:tr>
            <w:tr w14:paraId="65281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2" w:type="dxa"/>
                  <w:noWrap w:val="0"/>
                  <w:vAlign w:val="center"/>
                </w:tcPr>
                <w:p w14:paraId="03546ED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1"/>
                      <w:szCs w:val="21"/>
                      <w:vertAlign w:val="baseline"/>
                      <w:lang w:val="en-US" w:eastAsia="zh-CN"/>
                    </w:rPr>
                  </w:pPr>
                  <w:r>
                    <w:rPr>
                      <w:rFonts w:hint="default" w:ascii="Times New Roman" w:hAnsi="Times New Roman" w:eastAsia="宋体" w:cs="Times New Roman"/>
                      <w:bCs/>
                      <w:color w:val="auto"/>
                      <w:spacing w:val="0"/>
                      <w:kern w:val="21"/>
                      <w:sz w:val="21"/>
                      <w:szCs w:val="21"/>
                      <w:vertAlign w:val="baseline"/>
                      <w:lang w:val="en-US" w:eastAsia="zh-CN"/>
                    </w:rPr>
                    <w:t>危废暂存库</w:t>
                  </w:r>
                </w:p>
              </w:tc>
              <w:tc>
                <w:tcPr>
                  <w:tcW w:w="6119" w:type="dxa"/>
                  <w:noWrap w:val="0"/>
                  <w:vAlign w:val="center"/>
                </w:tcPr>
                <w:p w14:paraId="083ED81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改为1个出入口。</w:t>
                  </w:r>
                </w:p>
              </w:tc>
            </w:tr>
            <w:tr w14:paraId="13565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2" w:type="dxa"/>
                  <w:noWrap w:val="0"/>
                  <w:vAlign w:val="center"/>
                </w:tcPr>
                <w:p w14:paraId="74DCD65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pacing w:val="0"/>
                      <w:kern w:val="21"/>
                      <w:sz w:val="21"/>
                      <w:szCs w:val="21"/>
                      <w:vertAlign w:val="baseline"/>
                      <w:lang w:val="en-US" w:eastAsia="zh-CN"/>
                    </w:rPr>
                  </w:pPr>
                  <w:r>
                    <w:rPr>
                      <w:rFonts w:hint="default" w:ascii="Times New Roman" w:hAnsi="Times New Roman" w:eastAsia="宋体" w:cs="Times New Roman"/>
                      <w:bCs/>
                      <w:color w:val="auto"/>
                      <w:spacing w:val="0"/>
                      <w:kern w:val="21"/>
                      <w:sz w:val="21"/>
                      <w:szCs w:val="21"/>
                      <w:vertAlign w:val="baseline"/>
                      <w:lang w:val="en-US" w:eastAsia="zh-CN"/>
                    </w:rPr>
                    <w:t>辊子喷漆房</w:t>
                  </w:r>
                </w:p>
              </w:tc>
              <w:tc>
                <w:tcPr>
                  <w:tcW w:w="6119" w:type="dxa"/>
                  <w:noWrap w:val="0"/>
                  <w:vAlign w:val="center"/>
                </w:tcPr>
                <w:p w14:paraId="068A71B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近期停用，远期拆除。</w:t>
                  </w:r>
                </w:p>
              </w:tc>
            </w:tr>
          </w:tbl>
          <w:p w14:paraId="3D95725D">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本项目以新带老措施实施后，污染物排放量无明显变化，喷砂废气由无组织排放改为有组织排放，对区域环境影响减小。本次评价不再对以上内容进行分析。</w:t>
            </w:r>
          </w:p>
          <w:p w14:paraId="7A40CC4E">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152EDA09">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4EC0114B">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63A7A3F1">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4F9D6F27">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700BF5EF">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0F6FAE1B">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642A3AC8">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62F1C093">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p w14:paraId="58C53544">
            <w:pPr>
              <w:spacing w:line="360" w:lineRule="auto"/>
              <w:ind w:left="0" w:leftChars="0" w:firstLine="420" w:firstLineChars="175"/>
              <w:jc w:val="left"/>
              <w:rPr>
                <w:rFonts w:hint="default" w:ascii="Times New Roman" w:hAnsi="Times New Roman" w:eastAsia="宋体" w:cs="Times New Roman"/>
                <w:bCs/>
                <w:color w:val="auto"/>
                <w:sz w:val="24"/>
                <w:lang w:val="en-US" w:eastAsia="zh-CN"/>
              </w:rPr>
            </w:pPr>
          </w:p>
        </w:tc>
      </w:tr>
    </w:tbl>
    <w:p w14:paraId="2E2B3AFE">
      <w:pPr>
        <w:jc w:val="center"/>
        <w:rPr>
          <w:rFonts w:hint="default" w:ascii="Times New Roman" w:hAnsi="Times New Roman" w:eastAsia="宋体" w:cs="Times New Roman"/>
          <w:snapToGrid w:val="0"/>
          <w:color w:val="auto"/>
          <w:sz w:val="36"/>
          <w:szCs w:val="36"/>
        </w:rPr>
        <w:sectPr>
          <w:pgSz w:w="11906" w:h="16838"/>
          <w:pgMar w:top="1531" w:right="1531" w:bottom="153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48701021">
      <w:pPr>
        <w:widowControl/>
        <w:spacing w:before="100" w:beforeAutospacing="1" w:after="100" w:afterAutospacing="1"/>
        <w:jc w:val="center"/>
        <w:outlineLvl w:val="0"/>
        <w:rPr>
          <w:rFonts w:hint="default" w:ascii="Times New Roman" w:hAnsi="Times New Roman" w:eastAsia="宋体" w:cs="Times New Roman"/>
          <w:snapToGrid w:val="0"/>
          <w:color w:val="auto"/>
          <w:kern w:val="0"/>
          <w:sz w:val="30"/>
          <w:szCs w:val="30"/>
        </w:rPr>
      </w:pPr>
      <w:r>
        <w:rPr>
          <w:rFonts w:hint="default" w:ascii="Times New Roman" w:hAnsi="Times New Roman" w:eastAsia="宋体" w:cs="Times New Roman"/>
          <w:snapToGrid w:val="0"/>
          <w:color w:val="auto"/>
          <w:kern w:val="0"/>
          <w:sz w:val="30"/>
          <w:szCs w:val="30"/>
        </w:rPr>
        <w:t>三、区域环境质量现状、环境保护目标及评价标准</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3"/>
        <w:gridCol w:w="8486"/>
      </w:tblGrid>
      <w:tr w14:paraId="279CA6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5DF4124A">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区域</w:t>
            </w:r>
          </w:p>
          <w:p w14:paraId="225CD821">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环境</w:t>
            </w:r>
          </w:p>
          <w:p w14:paraId="1359CBA1">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质量</w:t>
            </w:r>
          </w:p>
          <w:p w14:paraId="523938FB">
            <w:pPr>
              <w:adjustRightInd w:val="0"/>
              <w:snapToGrid w:val="0"/>
              <w:spacing w:line="36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rPr>
              <w:t>现状</w:t>
            </w:r>
          </w:p>
        </w:tc>
        <w:tc>
          <w:tcPr>
            <w:tcW w:w="8486" w:type="dxa"/>
            <w:vAlign w:val="center"/>
          </w:tcPr>
          <w:p w14:paraId="3151DF7D">
            <w:pPr>
              <w:spacing w:line="360" w:lineRule="auto"/>
              <w:ind w:firstLine="482" w:firstLineChars="200"/>
              <w:rPr>
                <w:rFonts w:hint="default" w:ascii="Times New Roman" w:hAnsi="Times New Roman" w:eastAsia="宋体" w:cs="Times New Roman"/>
                <w:b/>
                <w:bCs/>
                <w:color w:val="auto"/>
                <w:kern w:val="0"/>
                <w:sz w:val="24"/>
                <w:szCs w:val="22"/>
              </w:rPr>
            </w:pPr>
            <w:r>
              <w:rPr>
                <w:rFonts w:hint="default" w:ascii="Times New Roman" w:hAnsi="Times New Roman" w:eastAsia="宋体" w:cs="Times New Roman"/>
                <w:b/>
                <w:bCs/>
                <w:color w:val="auto"/>
                <w:kern w:val="0"/>
                <w:sz w:val="24"/>
                <w:szCs w:val="22"/>
              </w:rPr>
              <w:t>1、环境空气质量</w:t>
            </w:r>
          </w:p>
          <w:p w14:paraId="74B4CAD3">
            <w:pPr>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（1）基本污染物</w:t>
            </w:r>
          </w:p>
          <w:p w14:paraId="0C9D91F3">
            <w:pPr>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根据</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环境影响评价技术导则</w:t>
            </w:r>
            <w:r>
              <w:rPr>
                <w:rFonts w:hint="default" w:ascii="Times New Roman" w:hAnsi="Times New Roman" w:eastAsia="宋体" w:cs="Times New Roman"/>
                <w:color w:val="auto"/>
                <w:kern w:val="0"/>
                <w:sz w:val="24"/>
                <w:lang w:val="en-US" w:eastAsia="zh-CN"/>
              </w:rPr>
              <w:t xml:space="preserve"> </w:t>
            </w:r>
            <w:r>
              <w:rPr>
                <w:rFonts w:hint="default" w:ascii="Times New Roman" w:hAnsi="Times New Roman" w:eastAsia="宋体" w:cs="Times New Roman"/>
                <w:color w:val="auto"/>
                <w:kern w:val="0"/>
                <w:sz w:val="24"/>
              </w:rPr>
              <w:t>大气环境</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（HJ2.2-2018），基本污染物环境质量现状数据优先采用国家或地方生态环境主管部门公开发布的评价基准年环境质量公告或环境质量报告中的数据或结论。</w:t>
            </w:r>
          </w:p>
          <w:p w14:paraId="5B82E26D">
            <w:pPr>
              <w:spacing w:line="360" w:lineRule="auto"/>
              <w:ind w:firstLine="422"/>
              <w:contextualSpacing/>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本项目位于西咸新区沣东新城阿房四路4号维美德造纸机械技术(西安)有限公司厂内，根据大气功能区划，项目所在地为二类功能区，环境空气质量标准执行《环境空气质量标准》（GB3095-2012）二级标准要求。</w:t>
            </w:r>
          </w:p>
          <w:p w14:paraId="4F651816">
            <w:pPr>
              <w:spacing w:line="360" w:lineRule="auto"/>
              <w:ind w:firstLine="422"/>
              <w:contextualSpacing/>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本项目空气环境质量现状引用陕西省生态环境厅办公室于2024年1月19日发布的《2023年12月及1~12月全省环境空气质量状况》中空气常规六项污染物监测结果，对区域环境空气质量现状进行分析，统计结果见下表。</w:t>
            </w:r>
          </w:p>
          <w:p w14:paraId="329B7219">
            <w:pPr>
              <w:contextualSpacing/>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表3-1   本项目所在地达标区判定情况一览表（单位：μg/m</w:t>
            </w:r>
            <w:r>
              <w:rPr>
                <w:rFonts w:hint="default" w:ascii="Times New Roman" w:hAnsi="Times New Roman" w:eastAsia="宋体" w:cs="Times New Roman"/>
                <w:b/>
                <w:bCs/>
                <w:color w:val="auto"/>
                <w:kern w:val="0"/>
                <w:szCs w:val="21"/>
                <w:vertAlign w:val="superscript"/>
              </w:rPr>
              <w:t>3</w:t>
            </w:r>
            <w:r>
              <w:rPr>
                <w:rFonts w:hint="default" w:ascii="Times New Roman" w:hAnsi="Times New Roman" w:eastAsia="宋体" w:cs="Times New Roman"/>
                <w:b/>
                <w:bCs/>
                <w:color w:val="auto"/>
                <w:kern w:val="0"/>
                <w:szCs w:val="21"/>
              </w:rPr>
              <w:t>）</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730"/>
              <w:gridCol w:w="3266"/>
              <w:gridCol w:w="714"/>
              <w:gridCol w:w="636"/>
              <w:gridCol w:w="1102"/>
              <w:gridCol w:w="911"/>
            </w:tblGrid>
            <w:tr w14:paraId="580EE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45" w:type="pct"/>
                  <w:vMerge w:val="restart"/>
                  <w:vAlign w:val="center"/>
                </w:tcPr>
                <w:p w14:paraId="4A863542">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区县名称</w:t>
                  </w:r>
                </w:p>
              </w:tc>
              <w:tc>
                <w:tcPr>
                  <w:tcW w:w="442" w:type="pct"/>
                  <w:vMerge w:val="restart"/>
                  <w:vAlign w:val="center"/>
                </w:tcPr>
                <w:p w14:paraId="05E8B533">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污染物</w:t>
                  </w:r>
                </w:p>
              </w:tc>
              <w:tc>
                <w:tcPr>
                  <w:tcW w:w="1976" w:type="pct"/>
                  <w:vMerge w:val="restart"/>
                  <w:vAlign w:val="center"/>
                </w:tcPr>
                <w:p w14:paraId="48F1652D">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年评价指标</w:t>
                  </w:r>
                </w:p>
              </w:tc>
              <w:tc>
                <w:tcPr>
                  <w:tcW w:w="432" w:type="pct"/>
                  <w:vMerge w:val="restart"/>
                  <w:vAlign w:val="center"/>
                </w:tcPr>
                <w:p w14:paraId="1D32764F">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评价标准</w:t>
                  </w:r>
                </w:p>
              </w:tc>
              <w:tc>
                <w:tcPr>
                  <w:tcW w:w="385" w:type="pct"/>
                  <w:vMerge w:val="restart"/>
                  <w:vAlign w:val="center"/>
                </w:tcPr>
                <w:p w14:paraId="563D36BC">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现状浓度</w:t>
                  </w:r>
                </w:p>
              </w:tc>
              <w:tc>
                <w:tcPr>
                  <w:tcW w:w="667" w:type="pct"/>
                  <w:vMerge w:val="restart"/>
                  <w:vAlign w:val="center"/>
                </w:tcPr>
                <w:p w14:paraId="02FE297A">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最大浓度占标率</w:t>
                  </w:r>
                </w:p>
              </w:tc>
              <w:tc>
                <w:tcPr>
                  <w:tcW w:w="551" w:type="pct"/>
                  <w:vMerge w:val="restart"/>
                  <w:vAlign w:val="center"/>
                </w:tcPr>
                <w:p w14:paraId="7D1595AE">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p w14:paraId="6418F60E">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情况</w:t>
                  </w:r>
                </w:p>
              </w:tc>
            </w:tr>
            <w:tr w14:paraId="4CBC8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45" w:type="pct"/>
                  <w:vMerge w:val="continue"/>
                  <w:vAlign w:val="center"/>
                </w:tcPr>
                <w:p w14:paraId="34A43942">
                  <w:pPr>
                    <w:widowControl/>
                    <w:jc w:val="center"/>
                    <w:rPr>
                      <w:rFonts w:hint="default" w:ascii="Times New Roman" w:hAnsi="Times New Roman" w:eastAsia="宋体" w:cs="Times New Roman"/>
                      <w:color w:val="auto"/>
                      <w:kern w:val="0"/>
                      <w:szCs w:val="21"/>
                    </w:rPr>
                  </w:pPr>
                </w:p>
              </w:tc>
              <w:tc>
                <w:tcPr>
                  <w:tcW w:w="442" w:type="pct"/>
                  <w:vMerge w:val="continue"/>
                  <w:vAlign w:val="center"/>
                </w:tcPr>
                <w:p w14:paraId="6CFFFFCF">
                  <w:pPr>
                    <w:widowControl/>
                    <w:jc w:val="center"/>
                    <w:rPr>
                      <w:rFonts w:hint="default" w:ascii="Times New Roman" w:hAnsi="Times New Roman" w:eastAsia="宋体" w:cs="Times New Roman"/>
                      <w:color w:val="auto"/>
                      <w:kern w:val="0"/>
                      <w:szCs w:val="21"/>
                    </w:rPr>
                  </w:pPr>
                </w:p>
              </w:tc>
              <w:tc>
                <w:tcPr>
                  <w:tcW w:w="1976" w:type="pct"/>
                  <w:vMerge w:val="continue"/>
                  <w:vAlign w:val="center"/>
                </w:tcPr>
                <w:p w14:paraId="1AEE27BA">
                  <w:pPr>
                    <w:widowControl/>
                    <w:jc w:val="center"/>
                    <w:rPr>
                      <w:rFonts w:hint="default" w:ascii="Times New Roman" w:hAnsi="Times New Roman" w:eastAsia="宋体" w:cs="Times New Roman"/>
                      <w:color w:val="auto"/>
                      <w:kern w:val="0"/>
                      <w:szCs w:val="21"/>
                    </w:rPr>
                  </w:pPr>
                </w:p>
              </w:tc>
              <w:tc>
                <w:tcPr>
                  <w:tcW w:w="432" w:type="pct"/>
                  <w:vMerge w:val="continue"/>
                  <w:vAlign w:val="center"/>
                </w:tcPr>
                <w:p w14:paraId="73EA2DCD">
                  <w:pPr>
                    <w:widowControl/>
                    <w:jc w:val="center"/>
                    <w:rPr>
                      <w:rFonts w:hint="default" w:ascii="Times New Roman" w:hAnsi="Times New Roman" w:eastAsia="宋体" w:cs="Times New Roman"/>
                      <w:color w:val="auto"/>
                      <w:kern w:val="0"/>
                      <w:szCs w:val="21"/>
                    </w:rPr>
                  </w:pPr>
                </w:p>
              </w:tc>
              <w:tc>
                <w:tcPr>
                  <w:tcW w:w="385" w:type="pct"/>
                  <w:vMerge w:val="continue"/>
                  <w:vAlign w:val="center"/>
                </w:tcPr>
                <w:p w14:paraId="577D8ECD">
                  <w:pPr>
                    <w:widowControl/>
                    <w:jc w:val="center"/>
                    <w:rPr>
                      <w:rFonts w:hint="default" w:ascii="Times New Roman" w:hAnsi="Times New Roman" w:eastAsia="宋体" w:cs="Times New Roman"/>
                      <w:color w:val="auto"/>
                      <w:kern w:val="0"/>
                      <w:szCs w:val="21"/>
                    </w:rPr>
                  </w:pPr>
                </w:p>
              </w:tc>
              <w:tc>
                <w:tcPr>
                  <w:tcW w:w="667" w:type="pct"/>
                  <w:vMerge w:val="continue"/>
                  <w:vAlign w:val="center"/>
                </w:tcPr>
                <w:p w14:paraId="070B3CCA">
                  <w:pPr>
                    <w:widowControl/>
                    <w:jc w:val="center"/>
                    <w:rPr>
                      <w:rFonts w:hint="default" w:ascii="Times New Roman" w:hAnsi="Times New Roman" w:eastAsia="宋体" w:cs="Times New Roman"/>
                      <w:color w:val="auto"/>
                      <w:kern w:val="0"/>
                      <w:szCs w:val="21"/>
                    </w:rPr>
                  </w:pPr>
                </w:p>
              </w:tc>
              <w:tc>
                <w:tcPr>
                  <w:tcW w:w="551" w:type="pct"/>
                  <w:vMerge w:val="continue"/>
                  <w:vAlign w:val="center"/>
                </w:tcPr>
                <w:p w14:paraId="3CB9A7E0">
                  <w:pPr>
                    <w:widowControl/>
                    <w:jc w:val="center"/>
                    <w:rPr>
                      <w:rFonts w:hint="default" w:ascii="Times New Roman" w:hAnsi="Times New Roman" w:eastAsia="宋体" w:cs="Times New Roman"/>
                      <w:color w:val="auto"/>
                      <w:kern w:val="0"/>
                      <w:szCs w:val="21"/>
                    </w:rPr>
                  </w:pPr>
                </w:p>
              </w:tc>
            </w:tr>
            <w:tr w14:paraId="7EC2D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restart"/>
                  <w:vAlign w:val="center"/>
                </w:tcPr>
                <w:p w14:paraId="6BD9BCC1">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西咸</w:t>
                  </w:r>
                </w:p>
                <w:p w14:paraId="45AC9CF9">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新区</w:t>
                  </w:r>
                </w:p>
              </w:tc>
              <w:tc>
                <w:tcPr>
                  <w:tcW w:w="442" w:type="pct"/>
                  <w:vAlign w:val="center"/>
                </w:tcPr>
                <w:p w14:paraId="03E53931">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PM</w:t>
                  </w:r>
                  <w:r>
                    <w:rPr>
                      <w:rFonts w:hint="default" w:ascii="Times New Roman" w:hAnsi="Times New Roman" w:eastAsia="宋体" w:cs="Times New Roman"/>
                      <w:color w:val="auto"/>
                      <w:kern w:val="0"/>
                      <w:szCs w:val="21"/>
                      <w:vertAlign w:val="subscript"/>
                    </w:rPr>
                    <w:t>2.5</w:t>
                  </w:r>
                </w:p>
              </w:tc>
              <w:tc>
                <w:tcPr>
                  <w:tcW w:w="1976" w:type="pct"/>
                  <w:vAlign w:val="center"/>
                </w:tcPr>
                <w:p w14:paraId="35812B4F">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年平均质量浓度</w:t>
                  </w:r>
                </w:p>
              </w:tc>
              <w:tc>
                <w:tcPr>
                  <w:tcW w:w="432" w:type="pct"/>
                  <w:vAlign w:val="center"/>
                </w:tcPr>
                <w:p w14:paraId="62EEA727">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35</w:t>
                  </w:r>
                </w:p>
              </w:tc>
              <w:tc>
                <w:tcPr>
                  <w:tcW w:w="385" w:type="pct"/>
                  <w:vAlign w:val="center"/>
                </w:tcPr>
                <w:p w14:paraId="7598795B">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48</w:t>
                  </w:r>
                </w:p>
              </w:tc>
              <w:tc>
                <w:tcPr>
                  <w:tcW w:w="667" w:type="pct"/>
                  <w:vAlign w:val="center"/>
                </w:tcPr>
                <w:p w14:paraId="48063A07">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137%</w:t>
                  </w:r>
                </w:p>
              </w:tc>
              <w:tc>
                <w:tcPr>
                  <w:tcW w:w="551" w:type="pct"/>
                  <w:vAlign w:val="center"/>
                </w:tcPr>
                <w:p w14:paraId="625955E4">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不达标</w:t>
                  </w:r>
                </w:p>
              </w:tc>
            </w:tr>
            <w:tr w14:paraId="34866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vAlign w:val="center"/>
                </w:tcPr>
                <w:p w14:paraId="09C70420">
                  <w:pPr>
                    <w:widowControl/>
                    <w:jc w:val="center"/>
                    <w:rPr>
                      <w:rFonts w:hint="default" w:ascii="Times New Roman" w:hAnsi="Times New Roman" w:eastAsia="宋体" w:cs="Times New Roman"/>
                      <w:color w:val="auto"/>
                      <w:kern w:val="0"/>
                      <w:szCs w:val="21"/>
                    </w:rPr>
                  </w:pPr>
                </w:p>
              </w:tc>
              <w:tc>
                <w:tcPr>
                  <w:tcW w:w="442" w:type="pct"/>
                  <w:vAlign w:val="center"/>
                </w:tcPr>
                <w:p w14:paraId="1A70B129">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PM</w:t>
                  </w:r>
                  <w:r>
                    <w:rPr>
                      <w:rFonts w:hint="default" w:ascii="Times New Roman" w:hAnsi="Times New Roman" w:eastAsia="宋体" w:cs="Times New Roman"/>
                      <w:color w:val="auto"/>
                      <w:kern w:val="0"/>
                      <w:szCs w:val="21"/>
                      <w:vertAlign w:val="subscript"/>
                    </w:rPr>
                    <w:t>10</w:t>
                  </w:r>
                </w:p>
              </w:tc>
              <w:tc>
                <w:tcPr>
                  <w:tcW w:w="1976" w:type="pct"/>
                  <w:vAlign w:val="center"/>
                </w:tcPr>
                <w:p w14:paraId="5DA73351">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年平均质量浓度</w:t>
                  </w:r>
                </w:p>
              </w:tc>
              <w:tc>
                <w:tcPr>
                  <w:tcW w:w="432" w:type="pct"/>
                  <w:vAlign w:val="center"/>
                </w:tcPr>
                <w:p w14:paraId="6B35A92A">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70</w:t>
                  </w:r>
                </w:p>
              </w:tc>
              <w:tc>
                <w:tcPr>
                  <w:tcW w:w="385" w:type="pct"/>
                  <w:vAlign w:val="center"/>
                </w:tcPr>
                <w:p w14:paraId="49878731">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82</w:t>
                  </w:r>
                </w:p>
              </w:tc>
              <w:tc>
                <w:tcPr>
                  <w:tcW w:w="667" w:type="pct"/>
                  <w:vAlign w:val="center"/>
                </w:tcPr>
                <w:p w14:paraId="1ADF1962">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117%</w:t>
                  </w:r>
                </w:p>
              </w:tc>
              <w:tc>
                <w:tcPr>
                  <w:tcW w:w="551" w:type="pct"/>
                  <w:vAlign w:val="center"/>
                </w:tcPr>
                <w:p w14:paraId="23E6CBA0">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不达标</w:t>
                  </w:r>
                </w:p>
              </w:tc>
            </w:tr>
            <w:tr w14:paraId="16330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vAlign w:val="center"/>
                </w:tcPr>
                <w:p w14:paraId="0CB6EE7E">
                  <w:pPr>
                    <w:widowControl/>
                    <w:jc w:val="center"/>
                    <w:rPr>
                      <w:rFonts w:hint="default" w:ascii="Times New Roman" w:hAnsi="Times New Roman" w:eastAsia="宋体" w:cs="Times New Roman"/>
                      <w:color w:val="auto"/>
                      <w:kern w:val="0"/>
                      <w:szCs w:val="21"/>
                    </w:rPr>
                  </w:pPr>
                </w:p>
              </w:tc>
              <w:tc>
                <w:tcPr>
                  <w:tcW w:w="442" w:type="pct"/>
                  <w:vAlign w:val="center"/>
                </w:tcPr>
                <w:p w14:paraId="5E2B069A">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SO</w:t>
                  </w:r>
                  <w:r>
                    <w:rPr>
                      <w:rFonts w:hint="default" w:ascii="Times New Roman" w:hAnsi="Times New Roman" w:eastAsia="宋体" w:cs="Times New Roman"/>
                      <w:color w:val="auto"/>
                      <w:kern w:val="0"/>
                      <w:szCs w:val="21"/>
                      <w:vertAlign w:val="subscript"/>
                    </w:rPr>
                    <w:t>2</w:t>
                  </w:r>
                </w:p>
              </w:tc>
              <w:tc>
                <w:tcPr>
                  <w:tcW w:w="1976" w:type="pct"/>
                  <w:vAlign w:val="center"/>
                </w:tcPr>
                <w:p w14:paraId="40E51CE8">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年平均质量浓度</w:t>
                  </w:r>
                </w:p>
              </w:tc>
              <w:tc>
                <w:tcPr>
                  <w:tcW w:w="432" w:type="pct"/>
                  <w:vAlign w:val="center"/>
                </w:tcPr>
                <w:p w14:paraId="46599071">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385" w:type="pct"/>
                  <w:vAlign w:val="center"/>
                </w:tcPr>
                <w:p w14:paraId="53C5A823">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7</w:t>
                  </w:r>
                </w:p>
              </w:tc>
              <w:tc>
                <w:tcPr>
                  <w:tcW w:w="667" w:type="pct"/>
                  <w:vAlign w:val="center"/>
                </w:tcPr>
                <w:p w14:paraId="38F58842">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12%</w:t>
                  </w:r>
                </w:p>
              </w:tc>
              <w:tc>
                <w:tcPr>
                  <w:tcW w:w="551" w:type="pct"/>
                  <w:vAlign w:val="center"/>
                </w:tcPr>
                <w:p w14:paraId="1F09793A">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43E7C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vAlign w:val="center"/>
                </w:tcPr>
                <w:p w14:paraId="38BCAFD3">
                  <w:pPr>
                    <w:widowControl/>
                    <w:jc w:val="center"/>
                    <w:rPr>
                      <w:rFonts w:hint="default" w:ascii="Times New Roman" w:hAnsi="Times New Roman" w:eastAsia="宋体" w:cs="Times New Roman"/>
                      <w:color w:val="auto"/>
                      <w:kern w:val="0"/>
                      <w:szCs w:val="21"/>
                    </w:rPr>
                  </w:pPr>
                </w:p>
              </w:tc>
              <w:tc>
                <w:tcPr>
                  <w:tcW w:w="442" w:type="pct"/>
                  <w:vAlign w:val="center"/>
                </w:tcPr>
                <w:p w14:paraId="53A02E83">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NO</w:t>
                  </w:r>
                  <w:r>
                    <w:rPr>
                      <w:rFonts w:hint="default" w:ascii="Times New Roman" w:hAnsi="Times New Roman" w:eastAsia="宋体" w:cs="Times New Roman"/>
                      <w:color w:val="auto"/>
                      <w:kern w:val="0"/>
                      <w:szCs w:val="21"/>
                      <w:vertAlign w:val="subscript"/>
                    </w:rPr>
                    <w:t>2</w:t>
                  </w:r>
                </w:p>
              </w:tc>
              <w:tc>
                <w:tcPr>
                  <w:tcW w:w="1976" w:type="pct"/>
                  <w:vAlign w:val="center"/>
                </w:tcPr>
                <w:p w14:paraId="0B51DBA7">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年平均质量浓度</w:t>
                  </w:r>
                </w:p>
              </w:tc>
              <w:tc>
                <w:tcPr>
                  <w:tcW w:w="432" w:type="pct"/>
                  <w:vAlign w:val="center"/>
                </w:tcPr>
                <w:p w14:paraId="000D6F30">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40</w:t>
                  </w:r>
                </w:p>
              </w:tc>
              <w:tc>
                <w:tcPr>
                  <w:tcW w:w="385" w:type="pct"/>
                  <w:vAlign w:val="center"/>
                </w:tcPr>
                <w:p w14:paraId="16592D2C">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37</w:t>
                  </w:r>
                </w:p>
              </w:tc>
              <w:tc>
                <w:tcPr>
                  <w:tcW w:w="667" w:type="pct"/>
                  <w:vAlign w:val="center"/>
                </w:tcPr>
                <w:p w14:paraId="13CE05E5">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93%</w:t>
                  </w:r>
                </w:p>
              </w:tc>
              <w:tc>
                <w:tcPr>
                  <w:tcW w:w="551" w:type="pct"/>
                  <w:vAlign w:val="center"/>
                </w:tcPr>
                <w:p w14:paraId="4D996D71">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104F6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vAlign w:val="center"/>
                </w:tcPr>
                <w:p w14:paraId="4179D276">
                  <w:pPr>
                    <w:widowControl/>
                    <w:jc w:val="center"/>
                    <w:rPr>
                      <w:rFonts w:hint="default" w:ascii="Times New Roman" w:hAnsi="Times New Roman" w:eastAsia="宋体" w:cs="Times New Roman"/>
                      <w:color w:val="auto"/>
                      <w:kern w:val="0"/>
                      <w:szCs w:val="21"/>
                    </w:rPr>
                  </w:pPr>
                </w:p>
              </w:tc>
              <w:tc>
                <w:tcPr>
                  <w:tcW w:w="442" w:type="pct"/>
                  <w:vAlign w:val="center"/>
                </w:tcPr>
                <w:p w14:paraId="4F292ABF">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CO</w:t>
                  </w:r>
                </w:p>
              </w:tc>
              <w:tc>
                <w:tcPr>
                  <w:tcW w:w="3281" w:type="dxa"/>
                  <w:vAlign w:val="center"/>
                </w:tcPr>
                <w:p w14:paraId="35EF097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val="en-US" w:eastAsia="zh-CN"/>
                    </w:rPr>
                    <w:t>第95百分位浓度</w:t>
                  </w:r>
                </w:p>
              </w:tc>
              <w:tc>
                <w:tcPr>
                  <w:tcW w:w="432" w:type="pct"/>
                  <w:vAlign w:val="center"/>
                </w:tcPr>
                <w:p w14:paraId="55782B68">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4000</w:t>
                  </w:r>
                </w:p>
              </w:tc>
              <w:tc>
                <w:tcPr>
                  <w:tcW w:w="385" w:type="pct"/>
                  <w:vAlign w:val="center"/>
                </w:tcPr>
                <w:p w14:paraId="3DCA2746">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1300</w:t>
                  </w:r>
                </w:p>
              </w:tc>
              <w:tc>
                <w:tcPr>
                  <w:tcW w:w="667" w:type="pct"/>
                  <w:vAlign w:val="center"/>
                </w:tcPr>
                <w:p w14:paraId="4AA518F9">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33%</w:t>
                  </w:r>
                </w:p>
              </w:tc>
              <w:tc>
                <w:tcPr>
                  <w:tcW w:w="551" w:type="pct"/>
                  <w:vAlign w:val="center"/>
                </w:tcPr>
                <w:p w14:paraId="5B324E3A">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1A1D5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5" w:type="pct"/>
                  <w:vMerge w:val="continue"/>
                  <w:vAlign w:val="center"/>
                </w:tcPr>
                <w:p w14:paraId="6EE94880">
                  <w:pPr>
                    <w:widowControl/>
                    <w:jc w:val="center"/>
                    <w:rPr>
                      <w:rFonts w:hint="default" w:ascii="Times New Roman" w:hAnsi="Times New Roman" w:eastAsia="宋体" w:cs="Times New Roman"/>
                      <w:color w:val="auto"/>
                      <w:kern w:val="0"/>
                      <w:szCs w:val="21"/>
                    </w:rPr>
                  </w:pPr>
                </w:p>
              </w:tc>
              <w:tc>
                <w:tcPr>
                  <w:tcW w:w="442" w:type="pct"/>
                  <w:vAlign w:val="center"/>
                </w:tcPr>
                <w:p w14:paraId="234C0FC9">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O</w:t>
                  </w:r>
                  <w:r>
                    <w:rPr>
                      <w:rFonts w:hint="default" w:ascii="Times New Roman" w:hAnsi="Times New Roman" w:eastAsia="宋体" w:cs="Times New Roman"/>
                      <w:color w:val="auto"/>
                      <w:kern w:val="0"/>
                      <w:szCs w:val="21"/>
                      <w:vertAlign w:val="subscript"/>
                    </w:rPr>
                    <w:t>3</w:t>
                  </w:r>
                </w:p>
              </w:tc>
              <w:tc>
                <w:tcPr>
                  <w:tcW w:w="3281" w:type="dxa"/>
                  <w:vAlign w:val="center"/>
                </w:tcPr>
                <w:p w14:paraId="6A4D82F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val="en-US" w:eastAsia="zh-CN"/>
                    </w:rPr>
                    <w:t>第90百分位浓度</w:t>
                  </w:r>
                </w:p>
              </w:tc>
              <w:tc>
                <w:tcPr>
                  <w:tcW w:w="432" w:type="pct"/>
                  <w:vAlign w:val="center"/>
                </w:tcPr>
                <w:p w14:paraId="40298CB8">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160</w:t>
                  </w:r>
                </w:p>
              </w:tc>
              <w:tc>
                <w:tcPr>
                  <w:tcW w:w="385" w:type="pct"/>
                  <w:vAlign w:val="center"/>
                </w:tcPr>
                <w:p w14:paraId="302FF118">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163</w:t>
                  </w:r>
                </w:p>
              </w:tc>
              <w:tc>
                <w:tcPr>
                  <w:tcW w:w="667" w:type="pct"/>
                  <w:vAlign w:val="center"/>
                </w:tcPr>
                <w:p w14:paraId="33E7E3D0">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102%</w:t>
                  </w:r>
                </w:p>
              </w:tc>
              <w:tc>
                <w:tcPr>
                  <w:tcW w:w="551" w:type="pct"/>
                  <w:vAlign w:val="center"/>
                </w:tcPr>
                <w:p w14:paraId="5CA9E45F">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eastAsia="zh-CN"/>
                    </w:rPr>
                    <w:t>不</w:t>
                  </w:r>
                  <w:r>
                    <w:rPr>
                      <w:rFonts w:hint="default" w:ascii="Times New Roman" w:hAnsi="Times New Roman" w:eastAsia="宋体" w:cs="Times New Roman"/>
                      <w:color w:val="auto"/>
                      <w:kern w:val="0"/>
                      <w:szCs w:val="21"/>
                    </w:rPr>
                    <w:t>达标</w:t>
                  </w:r>
                </w:p>
              </w:tc>
            </w:tr>
          </w:tbl>
          <w:p w14:paraId="31940A1C">
            <w:pPr>
              <w:widowControl/>
              <w:tabs>
                <w:tab w:val="left" w:pos="3555"/>
              </w:tabs>
              <w:spacing w:line="360" w:lineRule="auto"/>
              <w:ind w:firstLine="480" w:firstLineChars="20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0"/>
                <w:sz w:val="24"/>
                <w:szCs w:val="20"/>
              </w:rPr>
              <w:t>环境空气常规六项指标中，SO</w:t>
            </w:r>
            <w:r>
              <w:rPr>
                <w:rFonts w:hint="default" w:ascii="Times New Roman" w:hAnsi="Times New Roman" w:eastAsia="宋体" w:cs="Times New Roman"/>
                <w:color w:val="auto"/>
                <w:kern w:val="0"/>
                <w:sz w:val="24"/>
                <w:szCs w:val="20"/>
                <w:vertAlign w:val="subscript"/>
              </w:rPr>
              <w:t>2</w:t>
            </w:r>
            <w:r>
              <w:rPr>
                <w:rFonts w:hint="default" w:ascii="Times New Roman" w:hAnsi="Times New Roman" w:eastAsia="宋体" w:cs="Times New Roman"/>
                <w:color w:val="auto"/>
                <w:kern w:val="0"/>
                <w:sz w:val="24"/>
                <w:szCs w:val="20"/>
              </w:rPr>
              <w:t>年平均质量浓度、NO</w:t>
            </w:r>
            <w:r>
              <w:rPr>
                <w:rFonts w:hint="default" w:ascii="Times New Roman" w:hAnsi="Times New Roman" w:eastAsia="宋体" w:cs="Times New Roman"/>
                <w:color w:val="auto"/>
                <w:kern w:val="0"/>
                <w:sz w:val="24"/>
                <w:szCs w:val="20"/>
                <w:vertAlign w:val="subscript"/>
              </w:rPr>
              <w:t>2</w:t>
            </w:r>
            <w:r>
              <w:rPr>
                <w:rFonts w:hint="default" w:ascii="Times New Roman" w:hAnsi="Times New Roman" w:eastAsia="宋体" w:cs="Times New Roman"/>
                <w:color w:val="auto"/>
                <w:kern w:val="0"/>
                <w:sz w:val="24"/>
                <w:szCs w:val="20"/>
              </w:rPr>
              <w:t>年平均质量浓度、CO</w:t>
            </w:r>
            <w:r>
              <w:rPr>
                <w:rFonts w:hint="default" w:ascii="Times New Roman" w:hAnsi="Times New Roman" w:eastAsia="宋体" w:cs="Times New Roman"/>
                <w:color w:val="auto"/>
                <w:kern w:val="0"/>
                <w:sz w:val="24"/>
                <w:szCs w:val="20"/>
                <w:lang w:val="en-US" w:eastAsia="zh-CN"/>
              </w:rPr>
              <w:t>第95百分位浓度</w:t>
            </w:r>
            <w:r>
              <w:rPr>
                <w:rFonts w:hint="default" w:ascii="Times New Roman" w:hAnsi="Times New Roman" w:eastAsia="宋体" w:cs="Times New Roman"/>
                <w:color w:val="auto"/>
                <w:kern w:val="0"/>
                <w:sz w:val="24"/>
                <w:szCs w:val="20"/>
              </w:rPr>
              <w:t>达到《环境空气质量标准》（GB3095-2012）二级标准要求，PM</w:t>
            </w:r>
            <w:r>
              <w:rPr>
                <w:rFonts w:hint="default" w:ascii="Times New Roman" w:hAnsi="Times New Roman" w:eastAsia="宋体" w:cs="Times New Roman"/>
                <w:color w:val="auto"/>
                <w:kern w:val="0"/>
                <w:sz w:val="24"/>
                <w:szCs w:val="20"/>
                <w:vertAlign w:val="subscript"/>
              </w:rPr>
              <w:t>2.5</w:t>
            </w:r>
            <w:r>
              <w:rPr>
                <w:rFonts w:hint="default" w:ascii="Times New Roman" w:hAnsi="Times New Roman" w:eastAsia="宋体" w:cs="Times New Roman"/>
                <w:color w:val="auto"/>
                <w:kern w:val="0"/>
                <w:sz w:val="24"/>
                <w:szCs w:val="20"/>
              </w:rPr>
              <w:t>年平均质量浓度、PM</w:t>
            </w:r>
            <w:r>
              <w:rPr>
                <w:rFonts w:hint="default" w:ascii="Times New Roman" w:hAnsi="Times New Roman" w:eastAsia="宋体" w:cs="Times New Roman"/>
                <w:color w:val="auto"/>
                <w:kern w:val="0"/>
                <w:sz w:val="24"/>
                <w:szCs w:val="20"/>
                <w:vertAlign w:val="subscript"/>
              </w:rPr>
              <w:t>10</w:t>
            </w:r>
            <w:r>
              <w:rPr>
                <w:rFonts w:hint="default" w:ascii="Times New Roman" w:hAnsi="Times New Roman" w:eastAsia="宋体" w:cs="Times New Roman"/>
                <w:color w:val="auto"/>
                <w:kern w:val="0"/>
                <w:sz w:val="24"/>
                <w:szCs w:val="20"/>
              </w:rPr>
              <w:t>年平均质量浓、O</w:t>
            </w:r>
            <w:r>
              <w:rPr>
                <w:rFonts w:hint="default" w:ascii="Times New Roman" w:hAnsi="Times New Roman" w:eastAsia="宋体" w:cs="Times New Roman"/>
                <w:color w:val="auto"/>
                <w:kern w:val="0"/>
                <w:sz w:val="24"/>
                <w:szCs w:val="20"/>
                <w:vertAlign w:val="subscript"/>
              </w:rPr>
              <w:t>3</w:t>
            </w:r>
            <w:r>
              <w:rPr>
                <w:rFonts w:hint="default" w:ascii="Times New Roman" w:hAnsi="Times New Roman" w:eastAsia="宋体" w:cs="Times New Roman"/>
                <w:color w:val="auto"/>
                <w:kern w:val="0"/>
                <w:sz w:val="24"/>
                <w:szCs w:val="20"/>
                <w:vertAlign w:val="baseline"/>
                <w:lang w:val="en-US" w:eastAsia="zh-CN"/>
              </w:rPr>
              <w:t>第95百分位浓</w:t>
            </w:r>
            <w:r>
              <w:rPr>
                <w:rFonts w:hint="default" w:ascii="Times New Roman" w:hAnsi="Times New Roman" w:eastAsia="宋体" w:cs="Times New Roman"/>
                <w:color w:val="auto"/>
                <w:kern w:val="0"/>
                <w:sz w:val="24"/>
                <w:szCs w:val="20"/>
              </w:rPr>
              <w:t>度超过《环境空气质量标准》（GB3095-2012）二级标准要求，本项目所在区域属于不达标区域。</w:t>
            </w:r>
          </w:p>
          <w:p w14:paraId="04BB6AB8">
            <w:pPr>
              <w:spacing w:line="360" w:lineRule="auto"/>
              <w:ind w:firstLine="480" w:firstLineChars="200"/>
              <w:contextualSpacing/>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lang w:val="en-US" w:eastAsia="zh-CN"/>
              </w:rPr>
              <w:t>2）特征污染物</w:t>
            </w:r>
          </w:p>
          <w:p w14:paraId="7229865D">
            <w:pPr>
              <w:spacing w:line="360" w:lineRule="auto"/>
              <w:ind w:firstLine="480" w:firstLineChars="200"/>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24"/>
              </w:rPr>
              <w:t>本项目产生的特征污染物主要为总悬浮颗粒物（TSP）</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非甲烷总烃</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二甲苯</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总悬浮颗粒物（TSP）</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非甲烷总烃</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二甲苯监测数据</w:t>
            </w:r>
            <w:r>
              <w:rPr>
                <w:rFonts w:hint="default" w:ascii="Times New Roman" w:hAnsi="Times New Roman" w:eastAsia="宋体" w:cs="Times New Roman"/>
                <w:color w:val="auto"/>
                <w:sz w:val="24"/>
                <w:szCs w:val="24"/>
              </w:rPr>
              <w:t>引用《西安ABB电力电容器有限公司电力电容器生产线建设</w:t>
            </w:r>
            <w:r>
              <w:rPr>
                <w:rFonts w:hint="default" w:ascii="Times New Roman" w:hAnsi="Times New Roman" w:eastAsia="宋体" w:cs="Times New Roman"/>
                <w:color w:val="auto"/>
                <w:sz w:val="24"/>
                <w:szCs w:val="32"/>
              </w:rPr>
              <w:t>项目环境质量现状监测报告》（泽希检测</w:t>
            </w: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rPr>
              <w:t>综</w:t>
            </w: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rPr>
              <w:t>202111094号）</w:t>
            </w: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lang w:val="en-US" w:eastAsia="zh-CN"/>
              </w:rPr>
              <w:t>具体见附件4，</w:t>
            </w:r>
            <w:r>
              <w:rPr>
                <w:rFonts w:hint="default" w:ascii="Times New Roman" w:hAnsi="Times New Roman" w:eastAsia="宋体" w:cs="Times New Roman"/>
                <w:color w:val="auto"/>
                <w:sz w:val="24"/>
                <w:szCs w:val="32"/>
              </w:rPr>
              <w:t>监测点位为本项目</w:t>
            </w:r>
            <w:r>
              <w:rPr>
                <w:rFonts w:hint="default" w:ascii="Times New Roman" w:hAnsi="Times New Roman" w:eastAsia="宋体" w:cs="Times New Roman"/>
                <w:color w:val="auto"/>
                <w:sz w:val="24"/>
                <w:szCs w:val="32"/>
                <w:lang w:val="en-US" w:eastAsia="zh-CN"/>
              </w:rPr>
              <w:t>西北侧4989</w:t>
            </w:r>
            <w:r>
              <w:rPr>
                <w:rFonts w:hint="default" w:ascii="Times New Roman" w:hAnsi="Times New Roman" w:eastAsia="宋体" w:cs="Times New Roman"/>
                <w:color w:val="auto"/>
                <w:sz w:val="24"/>
                <w:szCs w:val="32"/>
              </w:rPr>
              <w:t>m</w:t>
            </w:r>
            <w:r>
              <w:rPr>
                <w:rFonts w:hint="default" w:ascii="Times New Roman" w:hAnsi="Times New Roman" w:eastAsia="宋体" w:cs="Times New Roman"/>
                <w:color w:val="auto"/>
                <w:sz w:val="24"/>
                <w:szCs w:val="32"/>
                <w:lang w:eastAsia="zh-CN"/>
              </w:rPr>
              <w:t>，</w:t>
            </w:r>
            <w:r>
              <w:rPr>
                <w:rFonts w:hint="default" w:ascii="Times New Roman" w:hAnsi="Times New Roman" w:eastAsia="宋体" w:cs="Times New Roman"/>
                <w:color w:val="auto"/>
                <w:sz w:val="24"/>
                <w:szCs w:val="32"/>
                <w:lang w:val="en-US" w:eastAsia="zh-CN"/>
              </w:rPr>
              <w:t>位于5km范围内，</w:t>
            </w:r>
            <w:r>
              <w:rPr>
                <w:rFonts w:hint="default" w:ascii="Times New Roman" w:hAnsi="Times New Roman" w:eastAsia="宋体" w:cs="Times New Roman"/>
                <w:color w:val="auto"/>
                <w:sz w:val="24"/>
                <w:szCs w:val="32"/>
              </w:rPr>
              <w:t>监测日期为202</w:t>
            </w:r>
            <w:r>
              <w:rPr>
                <w:rFonts w:hint="default" w:ascii="Times New Roman" w:hAnsi="Times New Roman" w:eastAsia="宋体" w:cs="Times New Roman"/>
                <w:color w:val="auto"/>
                <w:sz w:val="24"/>
                <w:szCs w:val="32"/>
                <w:lang w:val="en-US" w:eastAsia="zh-CN"/>
              </w:rPr>
              <w:t>1</w:t>
            </w:r>
            <w:r>
              <w:rPr>
                <w:rFonts w:hint="default" w:ascii="Times New Roman" w:hAnsi="Times New Roman" w:eastAsia="宋体" w:cs="Times New Roman"/>
                <w:color w:val="auto"/>
                <w:sz w:val="24"/>
                <w:szCs w:val="32"/>
              </w:rPr>
              <w:t>年</w:t>
            </w:r>
            <w:r>
              <w:rPr>
                <w:rFonts w:hint="default" w:ascii="Times New Roman" w:hAnsi="Times New Roman" w:eastAsia="宋体" w:cs="Times New Roman"/>
                <w:color w:val="auto"/>
                <w:sz w:val="24"/>
                <w:szCs w:val="32"/>
                <w:lang w:val="en-US" w:eastAsia="zh-CN"/>
              </w:rPr>
              <w:t>11</w:t>
            </w:r>
            <w:r>
              <w:rPr>
                <w:rFonts w:hint="default" w:ascii="Times New Roman" w:hAnsi="Times New Roman" w:eastAsia="宋体" w:cs="Times New Roman"/>
                <w:color w:val="auto"/>
                <w:sz w:val="24"/>
                <w:szCs w:val="32"/>
              </w:rPr>
              <w:t>月</w:t>
            </w:r>
            <w:r>
              <w:rPr>
                <w:rFonts w:hint="default" w:ascii="Times New Roman" w:hAnsi="Times New Roman" w:eastAsia="宋体" w:cs="Times New Roman"/>
                <w:color w:val="auto"/>
                <w:sz w:val="24"/>
                <w:szCs w:val="32"/>
                <w:lang w:val="en-US" w:eastAsia="zh-CN"/>
              </w:rPr>
              <w:t>23</w:t>
            </w:r>
            <w:r>
              <w:rPr>
                <w:rFonts w:hint="default" w:ascii="Times New Roman" w:hAnsi="Times New Roman" w:eastAsia="宋体" w:cs="Times New Roman"/>
                <w:color w:val="auto"/>
                <w:sz w:val="24"/>
                <w:szCs w:val="32"/>
              </w:rPr>
              <w:t>日至</w:t>
            </w:r>
            <w:r>
              <w:rPr>
                <w:rFonts w:hint="default" w:ascii="Times New Roman" w:hAnsi="Times New Roman" w:eastAsia="宋体" w:cs="Times New Roman"/>
                <w:color w:val="auto"/>
                <w:sz w:val="24"/>
                <w:szCs w:val="32"/>
                <w:lang w:val="en-US" w:eastAsia="zh-CN"/>
              </w:rPr>
              <w:t>11</w:t>
            </w:r>
            <w:r>
              <w:rPr>
                <w:rFonts w:hint="default" w:ascii="Times New Roman" w:hAnsi="Times New Roman" w:eastAsia="宋体" w:cs="Times New Roman"/>
                <w:color w:val="auto"/>
                <w:sz w:val="24"/>
                <w:szCs w:val="32"/>
              </w:rPr>
              <w:t>月</w:t>
            </w:r>
            <w:r>
              <w:rPr>
                <w:rFonts w:hint="default" w:ascii="Times New Roman" w:hAnsi="Times New Roman" w:eastAsia="宋体" w:cs="Times New Roman"/>
                <w:color w:val="auto"/>
                <w:sz w:val="24"/>
                <w:szCs w:val="32"/>
                <w:lang w:val="en-US" w:eastAsia="zh-CN"/>
              </w:rPr>
              <w:t>29</w:t>
            </w:r>
            <w:r>
              <w:rPr>
                <w:rFonts w:hint="default" w:ascii="Times New Roman" w:hAnsi="Times New Roman" w:eastAsia="宋体" w:cs="Times New Roman"/>
                <w:color w:val="auto"/>
                <w:sz w:val="24"/>
                <w:szCs w:val="32"/>
              </w:rPr>
              <w:t>日，监测数据在有效期</w:t>
            </w:r>
            <w:r>
              <w:rPr>
                <w:rFonts w:hint="default" w:ascii="Times New Roman" w:hAnsi="Times New Roman" w:eastAsia="宋体" w:cs="Times New Roman"/>
                <w:color w:val="auto"/>
                <w:sz w:val="24"/>
                <w:szCs w:val="32"/>
                <w:lang w:val="en-US" w:eastAsia="zh-CN"/>
              </w:rPr>
              <w:t>内</w:t>
            </w:r>
            <w:r>
              <w:rPr>
                <w:rFonts w:hint="default" w:ascii="Times New Roman" w:hAnsi="Times New Roman" w:eastAsia="宋体" w:cs="Times New Roman"/>
                <w:color w:val="auto"/>
                <w:sz w:val="24"/>
                <w:szCs w:val="32"/>
              </w:rPr>
              <w:t>，</w:t>
            </w:r>
            <w:r>
              <w:rPr>
                <w:rFonts w:hint="default" w:ascii="Times New Roman" w:hAnsi="Times New Roman" w:eastAsia="宋体" w:cs="Times New Roman"/>
                <w:color w:val="auto"/>
                <w:sz w:val="24"/>
                <w:szCs w:val="32"/>
                <w:lang w:val="en-US" w:eastAsia="zh-CN"/>
              </w:rPr>
              <w:t>因此，</w:t>
            </w:r>
            <w:r>
              <w:rPr>
                <w:rFonts w:hint="default" w:ascii="Times New Roman" w:hAnsi="Times New Roman" w:eastAsia="宋体" w:cs="Times New Roman"/>
                <w:color w:val="auto"/>
                <w:sz w:val="24"/>
                <w:szCs w:val="32"/>
              </w:rPr>
              <w:t>本次监测数据引用合理。</w:t>
            </w:r>
          </w:p>
          <w:p w14:paraId="4423AE65">
            <w:pPr>
              <w:spacing w:line="360" w:lineRule="auto"/>
              <w:ind w:firstLine="480" w:firstLineChars="200"/>
              <w:rPr>
                <w:rFonts w:hint="default" w:ascii="Times New Roman" w:hAnsi="Times New Roman" w:eastAsia="宋体" w:cs="Times New Roman"/>
                <w:color w:val="auto"/>
                <w:sz w:val="24"/>
                <w:szCs w:val="32"/>
                <w:lang w:val="en-US" w:eastAsia="zh-CN"/>
              </w:rPr>
            </w:pPr>
            <w:r>
              <w:rPr>
                <w:rFonts w:hint="default" w:ascii="Times New Roman" w:hAnsi="Times New Roman" w:eastAsia="宋体" w:cs="Times New Roman"/>
                <w:color w:val="auto"/>
                <w:sz w:val="24"/>
                <w:szCs w:val="32"/>
                <w:lang w:val="en-US" w:eastAsia="zh-CN"/>
              </w:rPr>
              <w:t>引用的特征污染物监测数据具体见下表：</w:t>
            </w:r>
          </w:p>
          <w:p w14:paraId="59EAEF31">
            <w:pPr>
              <w:contextualSpacing/>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表3-2  特征污染物监测结果一览表</w:t>
            </w:r>
          </w:p>
          <w:tbl>
            <w:tblPr>
              <w:tblStyle w:val="19"/>
              <w:tblW w:w="4998"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262"/>
              <w:gridCol w:w="853"/>
              <w:gridCol w:w="878"/>
              <w:gridCol w:w="8"/>
              <w:gridCol w:w="856"/>
              <w:gridCol w:w="10"/>
              <w:gridCol w:w="852"/>
              <w:gridCol w:w="21"/>
              <w:gridCol w:w="893"/>
              <w:gridCol w:w="923"/>
              <w:gridCol w:w="817"/>
            </w:tblGrid>
            <w:tr w14:paraId="77FD5571">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restart"/>
                  <w:tcBorders>
                    <w:tl2br w:val="nil"/>
                    <w:tr2bl w:val="nil"/>
                  </w:tcBorders>
                  <w:noWrap w:val="0"/>
                  <w:vAlign w:val="center"/>
                </w:tcPr>
                <w:p w14:paraId="46421D30">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污染物</w:t>
                  </w:r>
                </w:p>
              </w:tc>
              <w:tc>
                <w:tcPr>
                  <w:tcW w:w="763" w:type="pct"/>
                  <w:vMerge w:val="restart"/>
                  <w:tcBorders>
                    <w:tl2br w:val="nil"/>
                    <w:tr2bl w:val="nil"/>
                  </w:tcBorders>
                  <w:noWrap w:val="0"/>
                  <w:vAlign w:val="center"/>
                </w:tcPr>
                <w:p w14:paraId="52F89574">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采样日期</w:t>
                  </w:r>
                </w:p>
              </w:tc>
              <w:tc>
                <w:tcPr>
                  <w:tcW w:w="516" w:type="pct"/>
                  <w:vMerge w:val="restart"/>
                  <w:tcBorders>
                    <w:tl2br w:val="nil"/>
                    <w:tr2bl w:val="nil"/>
                  </w:tcBorders>
                  <w:noWrap w:val="0"/>
                  <w:vAlign w:val="center"/>
                </w:tcPr>
                <w:p w14:paraId="6BEE0772">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单位</w:t>
                  </w:r>
                </w:p>
              </w:tc>
              <w:tc>
                <w:tcPr>
                  <w:tcW w:w="2128" w:type="pct"/>
                  <w:gridSpan w:val="7"/>
                  <w:tcBorders>
                    <w:tl2br w:val="nil"/>
                    <w:tr2bl w:val="nil"/>
                  </w:tcBorders>
                  <w:noWrap w:val="0"/>
                  <w:vAlign w:val="center"/>
                </w:tcPr>
                <w:p w14:paraId="0BCB1AC3">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val="en-US" w:eastAsia="zh-CN"/>
                    </w:rPr>
                    <w:t>监测</w:t>
                  </w:r>
                  <w:r>
                    <w:rPr>
                      <w:rFonts w:hint="default" w:ascii="Times New Roman" w:hAnsi="Times New Roman" w:eastAsia="宋体" w:cs="Times New Roman"/>
                      <w:color w:val="auto"/>
                      <w:kern w:val="0"/>
                      <w:szCs w:val="21"/>
                    </w:rPr>
                    <w:t>结果</w:t>
                  </w:r>
                </w:p>
              </w:tc>
              <w:tc>
                <w:tcPr>
                  <w:tcW w:w="558" w:type="pct"/>
                  <w:vMerge w:val="restart"/>
                  <w:tcBorders>
                    <w:tl2br w:val="nil"/>
                    <w:tr2bl w:val="nil"/>
                  </w:tcBorders>
                  <w:noWrap w:val="0"/>
                  <w:vAlign w:val="center"/>
                </w:tcPr>
                <w:p w14:paraId="08FA7598">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标准值</w:t>
                  </w:r>
                </w:p>
              </w:tc>
              <w:tc>
                <w:tcPr>
                  <w:tcW w:w="494" w:type="pct"/>
                  <w:vMerge w:val="restart"/>
                  <w:tcBorders>
                    <w:tl2br w:val="nil"/>
                    <w:tr2bl w:val="nil"/>
                  </w:tcBorders>
                  <w:noWrap w:val="0"/>
                  <w:vAlign w:val="center"/>
                </w:tcPr>
                <w:p w14:paraId="0D5CB844">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达标情况</w:t>
                  </w:r>
                </w:p>
              </w:tc>
            </w:tr>
            <w:tr w14:paraId="6081EC35">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7F7EC5A9">
                  <w:pPr>
                    <w:widowControl/>
                    <w:spacing w:line="240" w:lineRule="auto"/>
                    <w:jc w:val="center"/>
                    <w:rPr>
                      <w:rFonts w:hint="default" w:ascii="Times New Roman" w:hAnsi="Times New Roman" w:eastAsia="宋体" w:cs="Times New Roman"/>
                      <w:color w:val="auto"/>
                      <w:kern w:val="0"/>
                      <w:szCs w:val="21"/>
                    </w:rPr>
                  </w:pPr>
                </w:p>
              </w:tc>
              <w:tc>
                <w:tcPr>
                  <w:tcW w:w="763" w:type="pct"/>
                  <w:vMerge w:val="continue"/>
                  <w:tcBorders>
                    <w:tl2br w:val="nil"/>
                    <w:tr2bl w:val="nil"/>
                  </w:tcBorders>
                  <w:noWrap w:val="0"/>
                  <w:vAlign w:val="center"/>
                </w:tcPr>
                <w:p w14:paraId="345E6F39">
                  <w:pPr>
                    <w:widowControl/>
                    <w:spacing w:line="240" w:lineRule="auto"/>
                    <w:jc w:val="center"/>
                    <w:rPr>
                      <w:rFonts w:hint="default" w:ascii="Times New Roman" w:hAnsi="Times New Roman" w:eastAsia="宋体" w:cs="Times New Roman"/>
                      <w:color w:val="auto"/>
                      <w:kern w:val="0"/>
                      <w:szCs w:val="21"/>
                    </w:rPr>
                  </w:pPr>
                </w:p>
              </w:tc>
              <w:tc>
                <w:tcPr>
                  <w:tcW w:w="516" w:type="pct"/>
                  <w:vMerge w:val="continue"/>
                  <w:tcBorders>
                    <w:tl2br w:val="nil"/>
                    <w:tr2bl w:val="nil"/>
                  </w:tcBorders>
                  <w:noWrap w:val="0"/>
                  <w:vAlign w:val="center"/>
                </w:tcPr>
                <w:p w14:paraId="5169A11F">
                  <w:pPr>
                    <w:widowControl/>
                    <w:spacing w:line="240" w:lineRule="auto"/>
                    <w:jc w:val="center"/>
                    <w:rPr>
                      <w:rFonts w:hint="default" w:ascii="Times New Roman" w:hAnsi="Times New Roman" w:eastAsia="宋体" w:cs="Times New Roman"/>
                      <w:color w:val="auto"/>
                      <w:kern w:val="0"/>
                      <w:szCs w:val="21"/>
                    </w:rPr>
                  </w:pPr>
                </w:p>
              </w:tc>
              <w:tc>
                <w:tcPr>
                  <w:tcW w:w="536" w:type="pct"/>
                  <w:gridSpan w:val="2"/>
                  <w:tcBorders>
                    <w:tl2br w:val="nil"/>
                    <w:tr2bl w:val="nil"/>
                  </w:tcBorders>
                  <w:noWrap w:val="0"/>
                  <w:vAlign w:val="center"/>
                </w:tcPr>
                <w:p w14:paraId="5CEA6429">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第1次</w:t>
                  </w:r>
                </w:p>
              </w:tc>
              <w:tc>
                <w:tcPr>
                  <w:tcW w:w="518" w:type="pct"/>
                  <w:tcBorders>
                    <w:tl2br w:val="nil"/>
                    <w:tr2bl w:val="nil"/>
                  </w:tcBorders>
                  <w:noWrap w:val="0"/>
                  <w:vAlign w:val="center"/>
                </w:tcPr>
                <w:p w14:paraId="3574397A">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第2次</w:t>
                  </w:r>
                </w:p>
              </w:tc>
              <w:tc>
                <w:tcPr>
                  <w:tcW w:w="521" w:type="pct"/>
                  <w:gridSpan w:val="2"/>
                  <w:tcBorders>
                    <w:tl2br w:val="nil"/>
                    <w:tr2bl w:val="nil"/>
                  </w:tcBorders>
                  <w:noWrap w:val="0"/>
                  <w:vAlign w:val="center"/>
                </w:tcPr>
                <w:p w14:paraId="25F804FA">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第3次</w:t>
                  </w:r>
                </w:p>
              </w:tc>
              <w:tc>
                <w:tcPr>
                  <w:tcW w:w="553" w:type="pct"/>
                  <w:gridSpan w:val="2"/>
                  <w:tcBorders>
                    <w:tl2br w:val="nil"/>
                    <w:tr2bl w:val="nil"/>
                  </w:tcBorders>
                  <w:noWrap w:val="0"/>
                  <w:vAlign w:val="center"/>
                </w:tcPr>
                <w:p w14:paraId="0532F1FB">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第4次</w:t>
                  </w:r>
                </w:p>
              </w:tc>
              <w:tc>
                <w:tcPr>
                  <w:tcW w:w="558" w:type="pct"/>
                  <w:vMerge w:val="continue"/>
                  <w:tcBorders>
                    <w:tl2br w:val="nil"/>
                    <w:tr2bl w:val="nil"/>
                  </w:tcBorders>
                  <w:noWrap w:val="0"/>
                  <w:vAlign w:val="center"/>
                </w:tcPr>
                <w:p w14:paraId="5B53220E">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5172B0F3">
                  <w:pPr>
                    <w:widowControl/>
                    <w:spacing w:line="240" w:lineRule="auto"/>
                    <w:jc w:val="center"/>
                    <w:rPr>
                      <w:rFonts w:hint="default" w:ascii="Times New Roman" w:hAnsi="Times New Roman" w:eastAsia="宋体" w:cs="Times New Roman"/>
                      <w:color w:val="auto"/>
                      <w:kern w:val="0"/>
                      <w:szCs w:val="21"/>
                    </w:rPr>
                  </w:pPr>
                </w:p>
              </w:tc>
            </w:tr>
            <w:tr w14:paraId="46C75D47">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restart"/>
                  <w:tcBorders>
                    <w:tl2br w:val="nil"/>
                    <w:tr2bl w:val="nil"/>
                  </w:tcBorders>
                  <w:noWrap w:val="0"/>
                  <w:vAlign w:val="center"/>
                </w:tcPr>
                <w:p w14:paraId="1CE9D58D">
                  <w:pPr>
                    <w:widowControl/>
                    <w:spacing w:line="240" w:lineRule="auto"/>
                    <w:jc w:val="center"/>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二甲苯</w:t>
                  </w:r>
                </w:p>
              </w:tc>
              <w:tc>
                <w:tcPr>
                  <w:tcW w:w="763" w:type="pct"/>
                  <w:tcBorders>
                    <w:tl2br w:val="nil"/>
                    <w:tr2bl w:val="nil"/>
                  </w:tcBorders>
                  <w:noWrap w:val="0"/>
                  <w:vAlign w:val="center"/>
                </w:tcPr>
                <w:p w14:paraId="758E8CA6">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日</w:t>
                  </w:r>
                </w:p>
              </w:tc>
              <w:tc>
                <w:tcPr>
                  <w:tcW w:w="516" w:type="pct"/>
                  <w:vMerge w:val="restart"/>
                  <w:tcBorders>
                    <w:tl2br w:val="nil"/>
                    <w:tr2bl w:val="nil"/>
                  </w:tcBorders>
                  <w:noWrap w:val="0"/>
                  <w:vAlign w:val="center"/>
                </w:tcPr>
                <w:p w14:paraId="62C428F8">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val="en-US" w:eastAsia="zh-CN"/>
                    </w:rPr>
                    <w:t>m</w:t>
                  </w:r>
                  <w:r>
                    <w:rPr>
                      <w:rFonts w:hint="default" w:ascii="Times New Roman" w:hAnsi="Times New Roman" w:eastAsia="宋体" w:cs="Times New Roman"/>
                      <w:color w:val="auto"/>
                      <w:kern w:val="0"/>
                      <w:szCs w:val="21"/>
                    </w:rPr>
                    <w:t>g/m</w:t>
                  </w:r>
                  <w:r>
                    <w:rPr>
                      <w:rFonts w:hint="default" w:ascii="Times New Roman" w:hAnsi="Times New Roman" w:eastAsia="宋体" w:cs="Times New Roman"/>
                      <w:color w:val="auto"/>
                      <w:kern w:val="0"/>
                      <w:szCs w:val="21"/>
                      <w:vertAlign w:val="superscript"/>
                    </w:rPr>
                    <w:t>3</w:t>
                  </w:r>
                </w:p>
              </w:tc>
              <w:tc>
                <w:tcPr>
                  <w:tcW w:w="2128" w:type="pct"/>
                  <w:gridSpan w:val="7"/>
                  <w:tcBorders>
                    <w:tl2br w:val="nil"/>
                    <w:tr2bl w:val="nil"/>
                  </w:tcBorders>
                  <w:noWrap w:val="0"/>
                  <w:vAlign w:val="center"/>
                </w:tcPr>
                <w:p w14:paraId="2ECD15B8">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1.5×10-3ND</w:t>
                  </w:r>
                </w:p>
              </w:tc>
              <w:tc>
                <w:tcPr>
                  <w:tcW w:w="558" w:type="pct"/>
                  <w:vMerge w:val="restart"/>
                  <w:tcBorders>
                    <w:tl2br w:val="nil"/>
                    <w:tr2bl w:val="nil"/>
                  </w:tcBorders>
                  <w:noWrap w:val="0"/>
                  <w:vAlign w:val="center"/>
                </w:tcPr>
                <w:p w14:paraId="390ACCFA">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0.2</w:t>
                  </w:r>
                </w:p>
              </w:tc>
              <w:tc>
                <w:tcPr>
                  <w:tcW w:w="494" w:type="pct"/>
                  <w:vMerge w:val="restart"/>
                  <w:tcBorders>
                    <w:tl2br w:val="nil"/>
                    <w:tr2bl w:val="nil"/>
                  </w:tcBorders>
                  <w:noWrap w:val="0"/>
                  <w:vAlign w:val="center"/>
                </w:tcPr>
                <w:p w14:paraId="6407BC14">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06CA34A6">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5C386064">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2FE4CE69">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4</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0DF719DD">
                  <w:pPr>
                    <w:widowControl/>
                    <w:spacing w:line="240" w:lineRule="auto"/>
                    <w:jc w:val="center"/>
                    <w:rPr>
                      <w:rFonts w:hint="default" w:ascii="Times New Roman" w:hAnsi="Times New Roman" w:eastAsia="宋体" w:cs="Times New Roman"/>
                      <w:color w:val="auto"/>
                      <w:kern w:val="0"/>
                      <w:szCs w:val="21"/>
                    </w:rPr>
                  </w:pPr>
                </w:p>
              </w:tc>
              <w:tc>
                <w:tcPr>
                  <w:tcW w:w="2128" w:type="pct"/>
                  <w:gridSpan w:val="7"/>
                  <w:tcBorders>
                    <w:tl2br w:val="nil"/>
                    <w:tr2bl w:val="nil"/>
                  </w:tcBorders>
                  <w:noWrap w:val="0"/>
                  <w:vAlign w:val="center"/>
                </w:tcPr>
                <w:p w14:paraId="3C2CD81F">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1.5×10-3ND</w:t>
                  </w:r>
                </w:p>
              </w:tc>
              <w:tc>
                <w:tcPr>
                  <w:tcW w:w="558" w:type="pct"/>
                  <w:vMerge w:val="continue"/>
                  <w:tcBorders>
                    <w:tl2br w:val="nil"/>
                    <w:tr2bl w:val="nil"/>
                  </w:tcBorders>
                  <w:noWrap w:val="0"/>
                  <w:vAlign w:val="center"/>
                </w:tcPr>
                <w:p w14:paraId="4EA9B92E">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0CC0846C">
                  <w:pPr>
                    <w:widowControl/>
                    <w:spacing w:line="240" w:lineRule="auto"/>
                    <w:jc w:val="center"/>
                    <w:rPr>
                      <w:rFonts w:hint="default" w:ascii="Times New Roman" w:hAnsi="Times New Roman" w:eastAsia="宋体" w:cs="Times New Roman"/>
                      <w:color w:val="auto"/>
                      <w:kern w:val="0"/>
                      <w:szCs w:val="21"/>
                    </w:rPr>
                  </w:pPr>
                </w:p>
              </w:tc>
            </w:tr>
            <w:tr w14:paraId="646E8B6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578BAC7B">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106C5754">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2DACDB56">
                  <w:pPr>
                    <w:widowControl/>
                    <w:spacing w:line="240" w:lineRule="auto"/>
                    <w:jc w:val="center"/>
                    <w:rPr>
                      <w:rFonts w:hint="default" w:ascii="Times New Roman" w:hAnsi="Times New Roman" w:eastAsia="宋体" w:cs="Times New Roman"/>
                      <w:color w:val="auto"/>
                      <w:kern w:val="0"/>
                      <w:szCs w:val="21"/>
                    </w:rPr>
                  </w:pPr>
                </w:p>
              </w:tc>
              <w:tc>
                <w:tcPr>
                  <w:tcW w:w="2128" w:type="pct"/>
                  <w:gridSpan w:val="7"/>
                  <w:tcBorders>
                    <w:tl2br w:val="nil"/>
                    <w:tr2bl w:val="nil"/>
                  </w:tcBorders>
                  <w:noWrap w:val="0"/>
                  <w:vAlign w:val="center"/>
                </w:tcPr>
                <w:p w14:paraId="7344B1C3">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1.5×10-3ND</w:t>
                  </w:r>
                </w:p>
              </w:tc>
              <w:tc>
                <w:tcPr>
                  <w:tcW w:w="558" w:type="pct"/>
                  <w:vMerge w:val="continue"/>
                  <w:tcBorders>
                    <w:tl2br w:val="nil"/>
                    <w:tr2bl w:val="nil"/>
                  </w:tcBorders>
                  <w:noWrap w:val="0"/>
                  <w:vAlign w:val="center"/>
                </w:tcPr>
                <w:p w14:paraId="40DF9F59">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7F8E4D67">
                  <w:pPr>
                    <w:widowControl/>
                    <w:spacing w:line="240" w:lineRule="auto"/>
                    <w:jc w:val="center"/>
                    <w:rPr>
                      <w:rFonts w:hint="default" w:ascii="Times New Roman" w:hAnsi="Times New Roman" w:eastAsia="宋体" w:cs="Times New Roman"/>
                      <w:color w:val="auto"/>
                      <w:kern w:val="0"/>
                      <w:szCs w:val="21"/>
                    </w:rPr>
                  </w:pPr>
                </w:p>
              </w:tc>
            </w:tr>
            <w:tr w14:paraId="2D071A47">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7C5E6356">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2EFC326D">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6</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3558A737">
                  <w:pPr>
                    <w:widowControl/>
                    <w:spacing w:line="240" w:lineRule="auto"/>
                    <w:jc w:val="center"/>
                    <w:rPr>
                      <w:rFonts w:hint="default" w:ascii="Times New Roman" w:hAnsi="Times New Roman" w:eastAsia="宋体" w:cs="Times New Roman"/>
                      <w:color w:val="auto"/>
                      <w:kern w:val="0"/>
                      <w:szCs w:val="21"/>
                    </w:rPr>
                  </w:pPr>
                </w:p>
              </w:tc>
              <w:tc>
                <w:tcPr>
                  <w:tcW w:w="2128" w:type="pct"/>
                  <w:gridSpan w:val="7"/>
                  <w:tcBorders>
                    <w:tl2br w:val="nil"/>
                    <w:tr2bl w:val="nil"/>
                  </w:tcBorders>
                  <w:noWrap w:val="0"/>
                  <w:vAlign w:val="center"/>
                </w:tcPr>
                <w:p w14:paraId="7549B709">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1.5×10-3ND</w:t>
                  </w:r>
                </w:p>
              </w:tc>
              <w:tc>
                <w:tcPr>
                  <w:tcW w:w="558" w:type="pct"/>
                  <w:vMerge w:val="continue"/>
                  <w:tcBorders>
                    <w:tl2br w:val="nil"/>
                    <w:tr2bl w:val="nil"/>
                  </w:tcBorders>
                  <w:noWrap w:val="0"/>
                  <w:vAlign w:val="center"/>
                </w:tcPr>
                <w:p w14:paraId="327D506A">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703D0238">
                  <w:pPr>
                    <w:widowControl/>
                    <w:spacing w:line="240" w:lineRule="auto"/>
                    <w:jc w:val="center"/>
                    <w:rPr>
                      <w:rFonts w:hint="default" w:ascii="Times New Roman" w:hAnsi="Times New Roman" w:eastAsia="宋体" w:cs="Times New Roman"/>
                      <w:color w:val="auto"/>
                      <w:kern w:val="0"/>
                      <w:szCs w:val="21"/>
                    </w:rPr>
                  </w:pPr>
                </w:p>
              </w:tc>
            </w:tr>
            <w:tr w14:paraId="7C06B06A">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33A5F270">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77F8BB11">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7</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6820ED65">
                  <w:pPr>
                    <w:widowControl/>
                    <w:spacing w:line="240" w:lineRule="auto"/>
                    <w:jc w:val="center"/>
                    <w:rPr>
                      <w:rFonts w:hint="default" w:ascii="Times New Roman" w:hAnsi="Times New Roman" w:eastAsia="宋体" w:cs="Times New Roman"/>
                      <w:color w:val="auto"/>
                      <w:kern w:val="0"/>
                      <w:szCs w:val="21"/>
                    </w:rPr>
                  </w:pPr>
                </w:p>
              </w:tc>
              <w:tc>
                <w:tcPr>
                  <w:tcW w:w="2128" w:type="pct"/>
                  <w:gridSpan w:val="7"/>
                  <w:tcBorders>
                    <w:tl2br w:val="nil"/>
                    <w:tr2bl w:val="nil"/>
                  </w:tcBorders>
                  <w:noWrap w:val="0"/>
                  <w:vAlign w:val="center"/>
                </w:tcPr>
                <w:p w14:paraId="66194523">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1.5×10-3ND</w:t>
                  </w:r>
                </w:p>
              </w:tc>
              <w:tc>
                <w:tcPr>
                  <w:tcW w:w="558" w:type="pct"/>
                  <w:vMerge w:val="continue"/>
                  <w:tcBorders>
                    <w:tl2br w:val="nil"/>
                    <w:tr2bl w:val="nil"/>
                  </w:tcBorders>
                  <w:noWrap w:val="0"/>
                  <w:vAlign w:val="center"/>
                </w:tcPr>
                <w:p w14:paraId="263B2E1E">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26550FD8">
                  <w:pPr>
                    <w:widowControl/>
                    <w:spacing w:line="240" w:lineRule="auto"/>
                    <w:jc w:val="center"/>
                    <w:rPr>
                      <w:rFonts w:hint="default" w:ascii="Times New Roman" w:hAnsi="Times New Roman" w:eastAsia="宋体" w:cs="Times New Roman"/>
                      <w:color w:val="auto"/>
                      <w:kern w:val="0"/>
                      <w:szCs w:val="21"/>
                    </w:rPr>
                  </w:pPr>
                </w:p>
              </w:tc>
            </w:tr>
            <w:tr w14:paraId="324AA80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4364C712">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15F5DD24">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8</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6E7B3DB3">
                  <w:pPr>
                    <w:widowControl/>
                    <w:spacing w:line="240" w:lineRule="auto"/>
                    <w:jc w:val="center"/>
                    <w:rPr>
                      <w:rFonts w:hint="default" w:ascii="Times New Roman" w:hAnsi="Times New Roman" w:eastAsia="宋体" w:cs="Times New Roman"/>
                      <w:color w:val="auto"/>
                      <w:kern w:val="0"/>
                      <w:szCs w:val="21"/>
                    </w:rPr>
                  </w:pPr>
                </w:p>
              </w:tc>
              <w:tc>
                <w:tcPr>
                  <w:tcW w:w="2128" w:type="pct"/>
                  <w:gridSpan w:val="7"/>
                  <w:tcBorders>
                    <w:tl2br w:val="nil"/>
                    <w:tr2bl w:val="nil"/>
                  </w:tcBorders>
                  <w:noWrap w:val="0"/>
                  <w:vAlign w:val="center"/>
                </w:tcPr>
                <w:p w14:paraId="3914999B">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1.5×10-3ND</w:t>
                  </w:r>
                </w:p>
              </w:tc>
              <w:tc>
                <w:tcPr>
                  <w:tcW w:w="558" w:type="pct"/>
                  <w:vMerge w:val="continue"/>
                  <w:tcBorders>
                    <w:tl2br w:val="nil"/>
                    <w:tr2bl w:val="nil"/>
                  </w:tcBorders>
                  <w:noWrap w:val="0"/>
                  <w:vAlign w:val="center"/>
                </w:tcPr>
                <w:p w14:paraId="026FB78D">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2ADBAA46">
                  <w:pPr>
                    <w:widowControl/>
                    <w:spacing w:line="240" w:lineRule="auto"/>
                    <w:jc w:val="center"/>
                    <w:rPr>
                      <w:rFonts w:hint="default" w:ascii="Times New Roman" w:hAnsi="Times New Roman" w:eastAsia="宋体" w:cs="Times New Roman"/>
                      <w:color w:val="auto"/>
                      <w:kern w:val="0"/>
                      <w:szCs w:val="21"/>
                    </w:rPr>
                  </w:pPr>
                </w:p>
              </w:tc>
            </w:tr>
            <w:tr w14:paraId="3C9DCA2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018E11B0">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79DD9D88">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9</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35C59514">
                  <w:pPr>
                    <w:widowControl/>
                    <w:spacing w:line="240" w:lineRule="auto"/>
                    <w:jc w:val="center"/>
                    <w:rPr>
                      <w:rFonts w:hint="default" w:ascii="Times New Roman" w:hAnsi="Times New Roman" w:eastAsia="宋体" w:cs="Times New Roman"/>
                      <w:color w:val="auto"/>
                      <w:kern w:val="0"/>
                      <w:szCs w:val="21"/>
                    </w:rPr>
                  </w:pPr>
                </w:p>
              </w:tc>
              <w:tc>
                <w:tcPr>
                  <w:tcW w:w="2128" w:type="pct"/>
                  <w:gridSpan w:val="7"/>
                  <w:tcBorders>
                    <w:tl2br w:val="nil"/>
                    <w:tr2bl w:val="nil"/>
                  </w:tcBorders>
                  <w:noWrap w:val="0"/>
                  <w:vAlign w:val="center"/>
                </w:tcPr>
                <w:p w14:paraId="0016AB2C">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1.5×10-3ND</w:t>
                  </w:r>
                </w:p>
              </w:tc>
              <w:tc>
                <w:tcPr>
                  <w:tcW w:w="558" w:type="pct"/>
                  <w:vMerge w:val="continue"/>
                  <w:tcBorders>
                    <w:tl2br w:val="nil"/>
                    <w:tr2bl w:val="nil"/>
                  </w:tcBorders>
                  <w:noWrap w:val="0"/>
                  <w:vAlign w:val="center"/>
                </w:tcPr>
                <w:p w14:paraId="5B161EAE">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788CB4AE">
                  <w:pPr>
                    <w:widowControl/>
                    <w:spacing w:line="240" w:lineRule="auto"/>
                    <w:jc w:val="center"/>
                    <w:rPr>
                      <w:rFonts w:hint="default" w:ascii="Times New Roman" w:hAnsi="Times New Roman" w:eastAsia="宋体" w:cs="Times New Roman"/>
                      <w:color w:val="auto"/>
                      <w:kern w:val="0"/>
                      <w:szCs w:val="21"/>
                    </w:rPr>
                  </w:pPr>
                </w:p>
              </w:tc>
            </w:tr>
            <w:tr w14:paraId="3474D35D">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restart"/>
                  <w:tcBorders>
                    <w:tl2br w:val="nil"/>
                    <w:tr2bl w:val="nil"/>
                  </w:tcBorders>
                  <w:noWrap w:val="0"/>
                  <w:vAlign w:val="center"/>
                </w:tcPr>
                <w:p w14:paraId="54F9220D">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非甲烷总烃</w:t>
                  </w:r>
                </w:p>
              </w:tc>
              <w:tc>
                <w:tcPr>
                  <w:tcW w:w="763" w:type="pct"/>
                  <w:tcBorders>
                    <w:tl2br w:val="nil"/>
                    <w:tr2bl w:val="nil"/>
                  </w:tcBorders>
                  <w:noWrap w:val="0"/>
                  <w:vAlign w:val="center"/>
                </w:tcPr>
                <w:p w14:paraId="3D9E99D2">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7F968C1C">
                  <w:pPr>
                    <w:widowControl/>
                    <w:spacing w:line="240" w:lineRule="auto"/>
                    <w:jc w:val="center"/>
                    <w:rPr>
                      <w:rFonts w:hint="default" w:ascii="Times New Roman" w:hAnsi="Times New Roman" w:eastAsia="宋体" w:cs="Times New Roman"/>
                      <w:color w:val="auto"/>
                      <w:kern w:val="0"/>
                      <w:szCs w:val="21"/>
                    </w:rPr>
                  </w:pPr>
                </w:p>
              </w:tc>
              <w:tc>
                <w:tcPr>
                  <w:tcW w:w="531" w:type="pct"/>
                  <w:tcBorders>
                    <w:tl2br w:val="nil"/>
                    <w:tr2bl w:val="nil"/>
                  </w:tcBorders>
                  <w:noWrap w:val="0"/>
                  <w:vAlign w:val="center"/>
                </w:tcPr>
                <w:p w14:paraId="390A238D">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0.42</w:t>
                  </w:r>
                </w:p>
              </w:tc>
              <w:tc>
                <w:tcPr>
                  <w:tcW w:w="529" w:type="pct"/>
                  <w:gridSpan w:val="3"/>
                  <w:tcBorders>
                    <w:tl2br w:val="nil"/>
                    <w:tr2bl w:val="nil"/>
                  </w:tcBorders>
                  <w:noWrap w:val="0"/>
                  <w:vAlign w:val="center"/>
                </w:tcPr>
                <w:p w14:paraId="4F0C0604">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0.51</w:t>
                  </w:r>
                </w:p>
              </w:tc>
              <w:tc>
                <w:tcPr>
                  <w:tcW w:w="528" w:type="pct"/>
                  <w:gridSpan w:val="2"/>
                  <w:tcBorders>
                    <w:tl2br w:val="nil"/>
                    <w:tr2bl w:val="nil"/>
                  </w:tcBorders>
                  <w:noWrap w:val="0"/>
                  <w:vAlign w:val="center"/>
                </w:tcPr>
                <w:p w14:paraId="288204CA">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0.57</w:t>
                  </w:r>
                </w:p>
              </w:tc>
              <w:tc>
                <w:tcPr>
                  <w:tcW w:w="539" w:type="pct"/>
                  <w:tcBorders>
                    <w:tl2br w:val="nil"/>
                    <w:tr2bl w:val="nil"/>
                  </w:tcBorders>
                  <w:noWrap w:val="0"/>
                  <w:vAlign w:val="center"/>
                </w:tcPr>
                <w:p w14:paraId="1C5E4732">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0.49</w:t>
                  </w:r>
                </w:p>
              </w:tc>
              <w:tc>
                <w:tcPr>
                  <w:tcW w:w="558" w:type="pct"/>
                  <w:vMerge w:val="restart"/>
                  <w:tcBorders>
                    <w:tl2br w:val="nil"/>
                    <w:tr2bl w:val="nil"/>
                  </w:tcBorders>
                  <w:noWrap w:val="0"/>
                  <w:vAlign w:val="center"/>
                </w:tcPr>
                <w:p w14:paraId="0E8FEE88">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2.0</w:t>
                  </w:r>
                </w:p>
              </w:tc>
              <w:tc>
                <w:tcPr>
                  <w:tcW w:w="494" w:type="pct"/>
                  <w:vMerge w:val="restart"/>
                  <w:tcBorders>
                    <w:tl2br w:val="nil"/>
                    <w:tr2bl w:val="nil"/>
                  </w:tcBorders>
                  <w:noWrap w:val="0"/>
                  <w:vAlign w:val="center"/>
                </w:tcPr>
                <w:p w14:paraId="7FD20A3C">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69FBCF8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6010524D">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00E325D5">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4</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48B1944F">
                  <w:pPr>
                    <w:widowControl/>
                    <w:spacing w:line="240" w:lineRule="auto"/>
                    <w:jc w:val="center"/>
                    <w:rPr>
                      <w:rFonts w:hint="default" w:ascii="Times New Roman" w:hAnsi="Times New Roman" w:eastAsia="宋体" w:cs="Times New Roman"/>
                      <w:color w:val="auto"/>
                      <w:kern w:val="0"/>
                      <w:szCs w:val="21"/>
                    </w:rPr>
                  </w:pPr>
                </w:p>
              </w:tc>
              <w:tc>
                <w:tcPr>
                  <w:tcW w:w="531" w:type="pct"/>
                  <w:tcBorders>
                    <w:tl2br w:val="nil"/>
                    <w:tr2bl w:val="nil"/>
                  </w:tcBorders>
                  <w:noWrap w:val="0"/>
                  <w:vAlign w:val="center"/>
                </w:tcPr>
                <w:p w14:paraId="1CA6013B">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0.54</w:t>
                  </w:r>
                </w:p>
              </w:tc>
              <w:tc>
                <w:tcPr>
                  <w:tcW w:w="529" w:type="pct"/>
                  <w:gridSpan w:val="3"/>
                  <w:tcBorders>
                    <w:tl2br w:val="nil"/>
                    <w:tr2bl w:val="nil"/>
                  </w:tcBorders>
                  <w:noWrap w:val="0"/>
                  <w:vAlign w:val="center"/>
                </w:tcPr>
                <w:p w14:paraId="1DDDCBFF">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0.45</w:t>
                  </w:r>
                </w:p>
              </w:tc>
              <w:tc>
                <w:tcPr>
                  <w:tcW w:w="528" w:type="pct"/>
                  <w:gridSpan w:val="2"/>
                  <w:tcBorders>
                    <w:tl2br w:val="nil"/>
                    <w:tr2bl w:val="nil"/>
                  </w:tcBorders>
                  <w:noWrap w:val="0"/>
                  <w:vAlign w:val="center"/>
                </w:tcPr>
                <w:p w14:paraId="1CF17DE7">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0.49</w:t>
                  </w:r>
                </w:p>
              </w:tc>
              <w:tc>
                <w:tcPr>
                  <w:tcW w:w="539" w:type="pct"/>
                  <w:tcBorders>
                    <w:tl2br w:val="nil"/>
                    <w:tr2bl w:val="nil"/>
                  </w:tcBorders>
                  <w:noWrap w:val="0"/>
                  <w:vAlign w:val="center"/>
                </w:tcPr>
                <w:p w14:paraId="65F95F86">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0.58</w:t>
                  </w:r>
                </w:p>
              </w:tc>
              <w:tc>
                <w:tcPr>
                  <w:tcW w:w="558" w:type="pct"/>
                  <w:vMerge w:val="continue"/>
                  <w:tcBorders>
                    <w:tl2br w:val="nil"/>
                    <w:tr2bl w:val="nil"/>
                  </w:tcBorders>
                  <w:noWrap w:val="0"/>
                  <w:vAlign w:val="center"/>
                </w:tcPr>
                <w:p w14:paraId="0ABE1966">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4E4EB97B">
                  <w:pPr>
                    <w:widowControl/>
                    <w:spacing w:line="240" w:lineRule="auto"/>
                    <w:jc w:val="center"/>
                    <w:rPr>
                      <w:rFonts w:hint="default" w:ascii="Times New Roman" w:hAnsi="Times New Roman" w:eastAsia="宋体" w:cs="Times New Roman"/>
                      <w:color w:val="auto"/>
                      <w:kern w:val="0"/>
                      <w:szCs w:val="21"/>
                    </w:rPr>
                  </w:pPr>
                </w:p>
              </w:tc>
            </w:tr>
            <w:tr w14:paraId="64D8282E">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2AD85E4C">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1496C587">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6359A4A4">
                  <w:pPr>
                    <w:widowControl/>
                    <w:spacing w:line="240" w:lineRule="auto"/>
                    <w:jc w:val="center"/>
                    <w:rPr>
                      <w:rFonts w:hint="default" w:ascii="Times New Roman" w:hAnsi="Times New Roman" w:eastAsia="宋体" w:cs="Times New Roman"/>
                      <w:color w:val="auto"/>
                      <w:kern w:val="0"/>
                      <w:szCs w:val="21"/>
                    </w:rPr>
                  </w:pPr>
                </w:p>
              </w:tc>
              <w:tc>
                <w:tcPr>
                  <w:tcW w:w="531" w:type="pct"/>
                  <w:tcBorders>
                    <w:tl2br w:val="nil"/>
                    <w:tr2bl w:val="nil"/>
                  </w:tcBorders>
                  <w:noWrap w:val="0"/>
                  <w:vAlign w:val="center"/>
                </w:tcPr>
                <w:p w14:paraId="7E893684">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0.41</w:t>
                  </w:r>
                </w:p>
              </w:tc>
              <w:tc>
                <w:tcPr>
                  <w:tcW w:w="529" w:type="pct"/>
                  <w:gridSpan w:val="3"/>
                  <w:tcBorders>
                    <w:tl2br w:val="nil"/>
                    <w:tr2bl w:val="nil"/>
                  </w:tcBorders>
                  <w:noWrap w:val="0"/>
                  <w:vAlign w:val="center"/>
                </w:tcPr>
                <w:p w14:paraId="71F7C901">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0.52</w:t>
                  </w:r>
                </w:p>
              </w:tc>
              <w:tc>
                <w:tcPr>
                  <w:tcW w:w="528" w:type="pct"/>
                  <w:gridSpan w:val="2"/>
                  <w:tcBorders>
                    <w:tl2br w:val="nil"/>
                    <w:tr2bl w:val="nil"/>
                  </w:tcBorders>
                  <w:noWrap w:val="0"/>
                  <w:vAlign w:val="center"/>
                </w:tcPr>
                <w:p w14:paraId="01092508">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0.58</w:t>
                  </w:r>
                </w:p>
              </w:tc>
              <w:tc>
                <w:tcPr>
                  <w:tcW w:w="539" w:type="pct"/>
                  <w:tcBorders>
                    <w:tl2br w:val="nil"/>
                    <w:tr2bl w:val="nil"/>
                  </w:tcBorders>
                  <w:noWrap w:val="0"/>
                  <w:vAlign w:val="center"/>
                </w:tcPr>
                <w:p w14:paraId="5EFC2A63">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0.47</w:t>
                  </w:r>
                </w:p>
              </w:tc>
              <w:tc>
                <w:tcPr>
                  <w:tcW w:w="558" w:type="pct"/>
                  <w:vMerge w:val="continue"/>
                  <w:tcBorders>
                    <w:tl2br w:val="nil"/>
                    <w:tr2bl w:val="nil"/>
                  </w:tcBorders>
                  <w:noWrap w:val="0"/>
                  <w:vAlign w:val="center"/>
                </w:tcPr>
                <w:p w14:paraId="77826956">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09A97A5A">
                  <w:pPr>
                    <w:widowControl/>
                    <w:spacing w:line="240" w:lineRule="auto"/>
                    <w:jc w:val="center"/>
                    <w:rPr>
                      <w:rFonts w:hint="default" w:ascii="Times New Roman" w:hAnsi="Times New Roman" w:eastAsia="宋体" w:cs="Times New Roman"/>
                      <w:color w:val="auto"/>
                      <w:kern w:val="0"/>
                      <w:szCs w:val="21"/>
                    </w:rPr>
                  </w:pPr>
                </w:p>
              </w:tc>
            </w:tr>
            <w:tr w14:paraId="47F9D5B0">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74FDE7EA">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0A9C95CB">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6</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7366BB1E">
                  <w:pPr>
                    <w:widowControl/>
                    <w:spacing w:line="240" w:lineRule="auto"/>
                    <w:jc w:val="center"/>
                    <w:rPr>
                      <w:rFonts w:hint="default" w:ascii="Times New Roman" w:hAnsi="Times New Roman" w:eastAsia="宋体" w:cs="Times New Roman"/>
                      <w:color w:val="auto"/>
                      <w:kern w:val="0"/>
                      <w:szCs w:val="21"/>
                    </w:rPr>
                  </w:pPr>
                </w:p>
              </w:tc>
              <w:tc>
                <w:tcPr>
                  <w:tcW w:w="531" w:type="pct"/>
                  <w:tcBorders>
                    <w:tl2br w:val="nil"/>
                    <w:tr2bl w:val="nil"/>
                  </w:tcBorders>
                  <w:noWrap w:val="0"/>
                  <w:vAlign w:val="center"/>
                </w:tcPr>
                <w:p w14:paraId="07F254B5">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0.50</w:t>
                  </w:r>
                </w:p>
              </w:tc>
              <w:tc>
                <w:tcPr>
                  <w:tcW w:w="529" w:type="pct"/>
                  <w:gridSpan w:val="3"/>
                  <w:tcBorders>
                    <w:tl2br w:val="nil"/>
                    <w:tr2bl w:val="nil"/>
                  </w:tcBorders>
                  <w:noWrap w:val="0"/>
                  <w:vAlign w:val="center"/>
                </w:tcPr>
                <w:p w14:paraId="3FB2EE0A">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0.56</w:t>
                  </w:r>
                </w:p>
              </w:tc>
              <w:tc>
                <w:tcPr>
                  <w:tcW w:w="528" w:type="pct"/>
                  <w:gridSpan w:val="2"/>
                  <w:tcBorders>
                    <w:tl2br w:val="nil"/>
                    <w:tr2bl w:val="nil"/>
                  </w:tcBorders>
                  <w:noWrap w:val="0"/>
                  <w:vAlign w:val="center"/>
                </w:tcPr>
                <w:p w14:paraId="6697878D">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0.59</w:t>
                  </w:r>
                </w:p>
              </w:tc>
              <w:tc>
                <w:tcPr>
                  <w:tcW w:w="539" w:type="pct"/>
                  <w:tcBorders>
                    <w:tl2br w:val="nil"/>
                    <w:tr2bl w:val="nil"/>
                  </w:tcBorders>
                  <w:noWrap w:val="0"/>
                  <w:vAlign w:val="center"/>
                </w:tcPr>
                <w:p w14:paraId="2EDB72BD">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0.40</w:t>
                  </w:r>
                </w:p>
              </w:tc>
              <w:tc>
                <w:tcPr>
                  <w:tcW w:w="558" w:type="pct"/>
                  <w:vMerge w:val="continue"/>
                  <w:tcBorders>
                    <w:tl2br w:val="nil"/>
                    <w:tr2bl w:val="nil"/>
                  </w:tcBorders>
                  <w:noWrap w:val="0"/>
                  <w:vAlign w:val="center"/>
                </w:tcPr>
                <w:p w14:paraId="6727B45F">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6B3E60E3">
                  <w:pPr>
                    <w:widowControl/>
                    <w:spacing w:line="240" w:lineRule="auto"/>
                    <w:jc w:val="center"/>
                    <w:rPr>
                      <w:rFonts w:hint="default" w:ascii="Times New Roman" w:hAnsi="Times New Roman" w:eastAsia="宋体" w:cs="Times New Roman"/>
                      <w:color w:val="auto"/>
                      <w:kern w:val="0"/>
                      <w:szCs w:val="21"/>
                    </w:rPr>
                  </w:pPr>
                </w:p>
              </w:tc>
            </w:tr>
            <w:tr w14:paraId="76B43821">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5249FB8A">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09B9F645">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7</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0821BEE8">
                  <w:pPr>
                    <w:widowControl/>
                    <w:spacing w:line="240" w:lineRule="auto"/>
                    <w:jc w:val="center"/>
                    <w:rPr>
                      <w:rFonts w:hint="default" w:ascii="Times New Roman" w:hAnsi="Times New Roman" w:eastAsia="宋体" w:cs="Times New Roman"/>
                      <w:color w:val="auto"/>
                      <w:kern w:val="0"/>
                      <w:szCs w:val="21"/>
                    </w:rPr>
                  </w:pPr>
                </w:p>
              </w:tc>
              <w:tc>
                <w:tcPr>
                  <w:tcW w:w="531" w:type="pct"/>
                  <w:tcBorders>
                    <w:tl2br w:val="nil"/>
                    <w:tr2bl w:val="nil"/>
                  </w:tcBorders>
                  <w:noWrap w:val="0"/>
                  <w:vAlign w:val="center"/>
                </w:tcPr>
                <w:p w14:paraId="02596C09">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0.52</w:t>
                  </w:r>
                </w:p>
              </w:tc>
              <w:tc>
                <w:tcPr>
                  <w:tcW w:w="529" w:type="pct"/>
                  <w:gridSpan w:val="3"/>
                  <w:tcBorders>
                    <w:tl2br w:val="nil"/>
                    <w:tr2bl w:val="nil"/>
                  </w:tcBorders>
                  <w:noWrap w:val="0"/>
                  <w:vAlign w:val="center"/>
                </w:tcPr>
                <w:p w14:paraId="5DC75E1B">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0.46</w:t>
                  </w:r>
                </w:p>
              </w:tc>
              <w:tc>
                <w:tcPr>
                  <w:tcW w:w="528" w:type="pct"/>
                  <w:gridSpan w:val="2"/>
                  <w:tcBorders>
                    <w:tl2br w:val="nil"/>
                    <w:tr2bl w:val="nil"/>
                  </w:tcBorders>
                  <w:noWrap w:val="0"/>
                  <w:vAlign w:val="center"/>
                </w:tcPr>
                <w:p w14:paraId="47574BDC">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0.50</w:t>
                  </w:r>
                </w:p>
              </w:tc>
              <w:tc>
                <w:tcPr>
                  <w:tcW w:w="539" w:type="pct"/>
                  <w:tcBorders>
                    <w:tl2br w:val="nil"/>
                    <w:tr2bl w:val="nil"/>
                  </w:tcBorders>
                  <w:noWrap w:val="0"/>
                  <w:vAlign w:val="center"/>
                </w:tcPr>
                <w:p w14:paraId="15ACA484">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0.57</w:t>
                  </w:r>
                </w:p>
              </w:tc>
              <w:tc>
                <w:tcPr>
                  <w:tcW w:w="558" w:type="pct"/>
                  <w:vMerge w:val="continue"/>
                  <w:tcBorders>
                    <w:tl2br w:val="nil"/>
                    <w:tr2bl w:val="nil"/>
                  </w:tcBorders>
                  <w:noWrap w:val="0"/>
                  <w:vAlign w:val="center"/>
                </w:tcPr>
                <w:p w14:paraId="235A875D">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1E4A79CE">
                  <w:pPr>
                    <w:widowControl/>
                    <w:spacing w:line="240" w:lineRule="auto"/>
                    <w:jc w:val="center"/>
                    <w:rPr>
                      <w:rFonts w:hint="default" w:ascii="Times New Roman" w:hAnsi="Times New Roman" w:eastAsia="宋体" w:cs="Times New Roman"/>
                      <w:color w:val="auto"/>
                      <w:kern w:val="0"/>
                      <w:szCs w:val="21"/>
                    </w:rPr>
                  </w:pPr>
                </w:p>
              </w:tc>
            </w:tr>
            <w:tr w14:paraId="6B90C2EB">
              <w:tblPrEx>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32EC74CE">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163416E5">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8</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2B0C05FA">
                  <w:pPr>
                    <w:widowControl/>
                    <w:spacing w:line="240" w:lineRule="auto"/>
                    <w:jc w:val="center"/>
                    <w:rPr>
                      <w:rFonts w:hint="default" w:ascii="Times New Roman" w:hAnsi="Times New Roman" w:eastAsia="宋体" w:cs="Times New Roman"/>
                      <w:color w:val="auto"/>
                      <w:kern w:val="0"/>
                      <w:szCs w:val="21"/>
                    </w:rPr>
                  </w:pPr>
                </w:p>
              </w:tc>
              <w:tc>
                <w:tcPr>
                  <w:tcW w:w="531" w:type="pct"/>
                  <w:tcBorders>
                    <w:tl2br w:val="nil"/>
                    <w:tr2bl w:val="nil"/>
                  </w:tcBorders>
                  <w:noWrap w:val="0"/>
                  <w:vAlign w:val="center"/>
                </w:tcPr>
                <w:p w14:paraId="5FE9D976">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0.52</w:t>
                  </w:r>
                </w:p>
              </w:tc>
              <w:tc>
                <w:tcPr>
                  <w:tcW w:w="529" w:type="pct"/>
                  <w:gridSpan w:val="3"/>
                  <w:tcBorders>
                    <w:tl2br w:val="nil"/>
                    <w:tr2bl w:val="nil"/>
                  </w:tcBorders>
                  <w:noWrap w:val="0"/>
                  <w:vAlign w:val="center"/>
                </w:tcPr>
                <w:p w14:paraId="726EB58D">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0.49</w:t>
                  </w:r>
                </w:p>
              </w:tc>
              <w:tc>
                <w:tcPr>
                  <w:tcW w:w="528" w:type="pct"/>
                  <w:gridSpan w:val="2"/>
                  <w:tcBorders>
                    <w:tl2br w:val="nil"/>
                    <w:tr2bl w:val="nil"/>
                  </w:tcBorders>
                  <w:noWrap w:val="0"/>
                  <w:vAlign w:val="center"/>
                </w:tcPr>
                <w:p w14:paraId="275E4412">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0.43</w:t>
                  </w:r>
                </w:p>
              </w:tc>
              <w:tc>
                <w:tcPr>
                  <w:tcW w:w="539" w:type="pct"/>
                  <w:tcBorders>
                    <w:tl2br w:val="nil"/>
                    <w:tr2bl w:val="nil"/>
                  </w:tcBorders>
                  <w:noWrap w:val="0"/>
                  <w:vAlign w:val="center"/>
                </w:tcPr>
                <w:p w14:paraId="15FEDCA1">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0.58</w:t>
                  </w:r>
                </w:p>
              </w:tc>
              <w:tc>
                <w:tcPr>
                  <w:tcW w:w="558" w:type="pct"/>
                  <w:vMerge w:val="continue"/>
                  <w:tcBorders>
                    <w:tl2br w:val="nil"/>
                    <w:tr2bl w:val="nil"/>
                  </w:tcBorders>
                  <w:noWrap w:val="0"/>
                  <w:vAlign w:val="center"/>
                </w:tcPr>
                <w:p w14:paraId="3DEC850B">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0F03100C">
                  <w:pPr>
                    <w:widowControl/>
                    <w:spacing w:line="240" w:lineRule="auto"/>
                    <w:jc w:val="center"/>
                    <w:rPr>
                      <w:rFonts w:hint="default" w:ascii="Times New Roman" w:hAnsi="Times New Roman" w:eastAsia="宋体" w:cs="Times New Roman"/>
                      <w:color w:val="auto"/>
                      <w:kern w:val="0"/>
                      <w:szCs w:val="21"/>
                    </w:rPr>
                  </w:pPr>
                </w:p>
              </w:tc>
            </w:tr>
            <w:tr w14:paraId="2B48CB2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772E61B6">
                  <w:pPr>
                    <w:widowControl/>
                    <w:spacing w:line="240" w:lineRule="auto"/>
                    <w:jc w:val="center"/>
                    <w:rPr>
                      <w:rFonts w:hint="default" w:ascii="Times New Roman" w:hAnsi="Times New Roman" w:eastAsia="宋体" w:cs="Times New Roman"/>
                      <w:color w:val="auto"/>
                      <w:kern w:val="0"/>
                      <w:szCs w:val="21"/>
                    </w:rPr>
                  </w:pPr>
                </w:p>
              </w:tc>
              <w:tc>
                <w:tcPr>
                  <w:tcW w:w="763" w:type="pct"/>
                  <w:tcBorders>
                    <w:tl2br w:val="nil"/>
                    <w:tr2bl w:val="nil"/>
                  </w:tcBorders>
                  <w:noWrap w:val="0"/>
                  <w:vAlign w:val="center"/>
                </w:tcPr>
                <w:p w14:paraId="49872B00">
                  <w:pPr>
                    <w:widowControl/>
                    <w:spacing w:line="240" w:lineRule="auto"/>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9</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0718C230">
                  <w:pPr>
                    <w:widowControl/>
                    <w:spacing w:line="240" w:lineRule="auto"/>
                    <w:jc w:val="center"/>
                    <w:rPr>
                      <w:rFonts w:hint="default" w:ascii="Times New Roman" w:hAnsi="Times New Roman" w:eastAsia="宋体" w:cs="Times New Roman"/>
                      <w:color w:val="auto"/>
                      <w:kern w:val="0"/>
                      <w:szCs w:val="21"/>
                    </w:rPr>
                  </w:pPr>
                </w:p>
              </w:tc>
              <w:tc>
                <w:tcPr>
                  <w:tcW w:w="531" w:type="pct"/>
                  <w:tcBorders>
                    <w:tl2br w:val="nil"/>
                    <w:tr2bl w:val="nil"/>
                  </w:tcBorders>
                  <w:noWrap w:val="0"/>
                  <w:vAlign w:val="center"/>
                </w:tcPr>
                <w:p w14:paraId="6CB9A822">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0.45</w:t>
                  </w:r>
                </w:p>
              </w:tc>
              <w:tc>
                <w:tcPr>
                  <w:tcW w:w="529" w:type="pct"/>
                  <w:gridSpan w:val="3"/>
                  <w:tcBorders>
                    <w:tl2br w:val="nil"/>
                    <w:tr2bl w:val="nil"/>
                  </w:tcBorders>
                  <w:noWrap w:val="0"/>
                  <w:vAlign w:val="center"/>
                </w:tcPr>
                <w:p w14:paraId="19E8FF46">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0.58</w:t>
                  </w:r>
                </w:p>
              </w:tc>
              <w:tc>
                <w:tcPr>
                  <w:tcW w:w="528" w:type="pct"/>
                  <w:gridSpan w:val="2"/>
                  <w:tcBorders>
                    <w:tl2br w:val="nil"/>
                    <w:tr2bl w:val="nil"/>
                  </w:tcBorders>
                  <w:noWrap w:val="0"/>
                  <w:vAlign w:val="center"/>
                </w:tcPr>
                <w:p w14:paraId="594387CA">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0.52</w:t>
                  </w:r>
                </w:p>
              </w:tc>
              <w:tc>
                <w:tcPr>
                  <w:tcW w:w="539" w:type="pct"/>
                  <w:tcBorders>
                    <w:tl2br w:val="nil"/>
                    <w:tr2bl w:val="nil"/>
                  </w:tcBorders>
                  <w:noWrap w:val="0"/>
                  <w:vAlign w:val="center"/>
                </w:tcPr>
                <w:p w14:paraId="3CF26613">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0.49</w:t>
                  </w:r>
                </w:p>
              </w:tc>
              <w:tc>
                <w:tcPr>
                  <w:tcW w:w="558" w:type="pct"/>
                  <w:vMerge w:val="continue"/>
                  <w:tcBorders>
                    <w:tl2br w:val="nil"/>
                    <w:tr2bl w:val="nil"/>
                  </w:tcBorders>
                  <w:noWrap w:val="0"/>
                  <w:vAlign w:val="center"/>
                </w:tcPr>
                <w:p w14:paraId="76ECE528">
                  <w:pPr>
                    <w:widowControl/>
                    <w:spacing w:line="240" w:lineRule="auto"/>
                    <w:jc w:val="center"/>
                    <w:rPr>
                      <w:rFonts w:hint="default" w:ascii="Times New Roman" w:hAnsi="Times New Roman" w:eastAsia="宋体" w:cs="Times New Roman"/>
                      <w:color w:val="auto"/>
                      <w:kern w:val="0"/>
                      <w:szCs w:val="21"/>
                    </w:rPr>
                  </w:pPr>
                </w:p>
              </w:tc>
              <w:tc>
                <w:tcPr>
                  <w:tcW w:w="494" w:type="pct"/>
                  <w:vMerge w:val="continue"/>
                  <w:tcBorders>
                    <w:tl2br w:val="nil"/>
                    <w:tr2bl w:val="nil"/>
                  </w:tcBorders>
                  <w:noWrap w:val="0"/>
                  <w:vAlign w:val="center"/>
                </w:tcPr>
                <w:p w14:paraId="72D896E4">
                  <w:pPr>
                    <w:widowControl/>
                    <w:spacing w:line="240" w:lineRule="auto"/>
                    <w:jc w:val="center"/>
                    <w:rPr>
                      <w:rFonts w:hint="default" w:ascii="Times New Roman" w:hAnsi="Times New Roman" w:eastAsia="宋体" w:cs="Times New Roman"/>
                      <w:color w:val="auto"/>
                      <w:kern w:val="0"/>
                      <w:szCs w:val="21"/>
                    </w:rPr>
                  </w:pPr>
                </w:p>
              </w:tc>
            </w:tr>
            <w:tr w14:paraId="4FAA80D3">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restart"/>
                  <w:tcBorders>
                    <w:tl2br w:val="nil"/>
                    <w:tr2bl w:val="nil"/>
                  </w:tcBorders>
                  <w:noWrap w:val="0"/>
                  <w:vAlign w:val="center"/>
                </w:tcPr>
                <w:p w14:paraId="1F9850F3">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TSP</w:t>
                  </w:r>
                </w:p>
              </w:tc>
              <w:tc>
                <w:tcPr>
                  <w:tcW w:w="763" w:type="pct"/>
                  <w:tcBorders>
                    <w:tl2br w:val="nil"/>
                    <w:tr2bl w:val="nil"/>
                  </w:tcBorders>
                  <w:noWrap w:val="0"/>
                  <w:vAlign w:val="center"/>
                </w:tcPr>
                <w:p w14:paraId="1D67BA73">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color w:val="auto"/>
                      <w:kern w:val="0"/>
                      <w:szCs w:val="21"/>
                    </w:rPr>
                    <w:t>月2</w:t>
                  </w:r>
                  <w:r>
                    <w:rPr>
                      <w:rFonts w:hint="default"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日</w:t>
                  </w:r>
                </w:p>
              </w:tc>
              <w:tc>
                <w:tcPr>
                  <w:tcW w:w="516" w:type="pct"/>
                  <w:vMerge w:val="continue"/>
                  <w:tcBorders>
                    <w:tl2br w:val="nil"/>
                    <w:tr2bl w:val="nil"/>
                  </w:tcBorders>
                  <w:noWrap w:val="0"/>
                  <w:vAlign w:val="center"/>
                </w:tcPr>
                <w:p w14:paraId="684853A9">
                  <w:pPr>
                    <w:widowControl/>
                    <w:spacing w:line="240" w:lineRule="auto"/>
                    <w:jc w:val="center"/>
                    <w:rPr>
                      <w:rFonts w:hint="default" w:ascii="Times New Roman" w:hAnsi="Times New Roman" w:eastAsia="宋体" w:cs="Times New Roman"/>
                      <w:color w:val="auto"/>
                      <w:kern w:val="0"/>
                      <w:szCs w:val="21"/>
                    </w:rPr>
                  </w:pPr>
                </w:p>
              </w:tc>
              <w:tc>
                <w:tcPr>
                  <w:tcW w:w="2128" w:type="pct"/>
                  <w:gridSpan w:val="7"/>
                  <w:tcBorders>
                    <w:tl2br w:val="nil"/>
                    <w:tr2bl w:val="nil"/>
                  </w:tcBorders>
                  <w:noWrap w:val="0"/>
                  <w:vAlign w:val="center"/>
                </w:tcPr>
                <w:p w14:paraId="1C78FDB2">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295</w:t>
                  </w:r>
                </w:p>
              </w:tc>
              <w:tc>
                <w:tcPr>
                  <w:tcW w:w="558" w:type="pct"/>
                  <w:vMerge w:val="restart"/>
                  <w:tcBorders>
                    <w:tl2br w:val="nil"/>
                    <w:tr2bl w:val="nil"/>
                  </w:tcBorders>
                  <w:noWrap w:val="0"/>
                  <w:vAlign w:val="center"/>
                </w:tcPr>
                <w:p w14:paraId="2F53F7EB">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300</w:t>
                  </w:r>
                </w:p>
              </w:tc>
              <w:tc>
                <w:tcPr>
                  <w:tcW w:w="494" w:type="pct"/>
                  <w:vMerge w:val="restart"/>
                  <w:tcBorders>
                    <w:tl2br w:val="nil"/>
                    <w:tr2bl w:val="nil"/>
                  </w:tcBorders>
                  <w:noWrap w:val="0"/>
                  <w:vAlign w:val="center"/>
                </w:tcPr>
                <w:p w14:paraId="19F4E355">
                  <w:pPr>
                    <w:widowControl/>
                    <w:spacing w:line="24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达标</w:t>
                  </w:r>
                </w:p>
              </w:tc>
            </w:tr>
            <w:tr w14:paraId="6C0FF9E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5CA4AF14">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63" w:type="pct"/>
                  <w:tcBorders>
                    <w:tl2br w:val="nil"/>
                    <w:tr2bl w:val="nil"/>
                  </w:tcBorders>
                  <w:noWrap w:val="0"/>
                  <w:vAlign w:val="center"/>
                </w:tcPr>
                <w:p w14:paraId="1E9E1632">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月2</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日</w:t>
                  </w:r>
                </w:p>
              </w:tc>
              <w:tc>
                <w:tcPr>
                  <w:tcW w:w="516" w:type="pct"/>
                  <w:vMerge w:val="continue"/>
                  <w:tcBorders>
                    <w:tl2br w:val="nil"/>
                    <w:tr2bl w:val="nil"/>
                  </w:tcBorders>
                  <w:noWrap w:val="0"/>
                  <w:vAlign w:val="center"/>
                </w:tcPr>
                <w:p w14:paraId="7C0588E2">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p>
              </w:tc>
              <w:tc>
                <w:tcPr>
                  <w:tcW w:w="2128" w:type="pct"/>
                  <w:gridSpan w:val="7"/>
                  <w:tcBorders>
                    <w:tl2br w:val="nil"/>
                    <w:tr2bl w:val="nil"/>
                  </w:tcBorders>
                  <w:noWrap w:val="0"/>
                  <w:vAlign w:val="center"/>
                </w:tcPr>
                <w:p w14:paraId="6013F4EF">
                  <w:pPr>
                    <w:widowControl/>
                    <w:spacing w:line="240" w:lineRule="auto"/>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211</w:t>
                  </w:r>
                </w:p>
              </w:tc>
              <w:tc>
                <w:tcPr>
                  <w:tcW w:w="558" w:type="pct"/>
                  <w:vMerge w:val="continue"/>
                  <w:tcBorders>
                    <w:tl2br w:val="nil"/>
                    <w:tr2bl w:val="nil"/>
                  </w:tcBorders>
                  <w:noWrap w:val="0"/>
                  <w:vAlign w:val="center"/>
                </w:tcPr>
                <w:p w14:paraId="7097C5C3">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94" w:type="pct"/>
                  <w:vMerge w:val="continue"/>
                  <w:tcBorders>
                    <w:tl2br w:val="nil"/>
                    <w:tr2bl w:val="nil"/>
                  </w:tcBorders>
                  <w:noWrap w:val="0"/>
                  <w:vAlign w:val="center"/>
                </w:tcPr>
                <w:p w14:paraId="4DEE3AA7">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r>
            <w:tr w14:paraId="6F427E8A">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22748A30">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63" w:type="pct"/>
                  <w:tcBorders>
                    <w:tl2br w:val="nil"/>
                    <w:tr2bl w:val="nil"/>
                  </w:tcBorders>
                  <w:noWrap w:val="0"/>
                  <w:vAlign w:val="center"/>
                </w:tcPr>
                <w:p w14:paraId="08B530A4">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月2</w:t>
                  </w: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日</w:t>
                  </w:r>
                </w:p>
              </w:tc>
              <w:tc>
                <w:tcPr>
                  <w:tcW w:w="516" w:type="pct"/>
                  <w:vMerge w:val="continue"/>
                  <w:tcBorders>
                    <w:tl2br w:val="nil"/>
                    <w:tr2bl w:val="nil"/>
                  </w:tcBorders>
                  <w:noWrap w:val="0"/>
                  <w:vAlign w:val="center"/>
                </w:tcPr>
                <w:p w14:paraId="514C640D">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p>
              </w:tc>
              <w:tc>
                <w:tcPr>
                  <w:tcW w:w="2128" w:type="pct"/>
                  <w:gridSpan w:val="7"/>
                  <w:tcBorders>
                    <w:tl2br w:val="nil"/>
                    <w:tr2bl w:val="nil"/>
                  </w:tcBorders>
                  <w:noWrap w:val="0"/>
                  <w:vAlign w:val="center"/>
                </w:tcPr>
                <w:p w14:paraId="01BCE370">
                  <w:pPr>
                    <w:widowControl/>
                    <w:spacing w:line="240" w:lineRule="auto"/>
                    <w:ind w:firstLine="0" w:firstLineChars="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229</w:t>
                  </w:r>
                </w:p>
              </w:tc>
              <w:tc>
                <w:tcPr>
                  <w:tcW w:w="558" w:type="pct"/>
                  <w:vMerge w:val="continue"/>
                  <w:tcBorders>
                    <w:tl2br w:val="nil"/>
                    <w:tr2bl w:val="nil"/>
                  </w:tcBorders>
                  <w:noWrap w:val="0"/>
                  <w:vAlign w:val="center"/>
                </w:tcPr>
                <w:p w14:paraId="278D51E7">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94" w:type="pct"/>
                  <w:vMerge w:val="continue"/>
                  <w:tcBorders>
                    <w:tl2br w:val="nil"/>
                    <w:tr2bl w:val="nil"/>
                  </w:tcBorders>
                  <w:noWrap w:val="0"/>
                  <w:vAlign w:val="center"/>
                </w:tcPr>
                <w:p w14:paraId="0F831399">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r>
            <w:tr w14:paraId="347BEDE5">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155F9E64">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63" w:type="pct"/>
                  <w:tcBorders>
                    <w:tl2br w:val="nil"/>
                    <w:tr2bl w:val="nil"/>
                  </w:tcBorders>
                  <w:noWrap w:val="0"/>
                  <w:vAlign w:val="center"/>
                </w:tcPr>
                <w:p w14:paraId="54B34C09">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月2</w:t>
                  </w:r>
                  <w:r>
                    <w:rPr>
                      <w:rFonts w:hint="default" w:ascii="Times New Roman" w:hAnsi="Times New Roman" w:eastAsia="宋体"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rPr>
                    <w:t>日</w:t>
                  </w:r>
                </w:p>
              </w:tc>
              <w:tc>
                <w:tcPr>
                  <w:tcW w:w="516" w:type="pct"/>
                  <w:vMerge w:val="continue"/>
                  <w:tcBorders>
                    <w:tl2br w:val="nil"/>
                    <w:tr2bl w:val="nil"/>
                  </w:tcBorders>
                  <w:noWrap w:val="0"/>
                  <w:vAlign w:val="center"/>
                </w:tcPr>
                <w:p w14:paraId="5989C893">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p>
              </w:tc>
              <w:tc>
                <w:tcPr>
                  <w:tcW w:w="2128" w:type="pct"/>
                  <w:gridSpan w:val="7"/>
                  <w:tcBorders>
                    <w:tl2br w:val="nil"/>
                    <w:tr2bl w:val="nil"/>
                  </w:tcBorders>
                  <w:noWrap w:val="0"/>
                  <w:vAlign w:val="center"/>
                </w:tcPr>
                <w:p w14:paraId="6E558A5B">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en-US"/>
                    </w:rPr>
                  </w:pPr>
                  <w:r>
                    <w:rPr>
                      <w:rFonts w:hint="default" w:ascii="Times New Roman" w:hAnsi="Times New Roman" w:eastAsia="宋体" w:cs="Times New Roman"/>
                      <w:color w:val="auto"/>
                      <w:kern w:val="0"/>
                      <w:sz w:val="21"/>
                      <w:szCs w:val="21"/>
                      <w:highlight w:val="none"/>
                    </w:rPr>
                    <w:t>219</w:t>
                  </w:r>
                </w:p>
              </w:tc>
              <w:tc>
                <w:tcPr>
                  <w:tcW w:w="558" w:type="pct"/>
                  <w:vMerge w:val="continue"/>
                  <w:tcBorders>
                    <w:tl2br w:val="nil"/>
                    <w:tr2bl w:val="nil"/>
                  </w:tcBorders>
                  <w:noWrap w:val="0"/>
                  <w:vAlign w:val="center"/>
                </w:tcPr>
                <w:p w14:paraId="69E9E0D4">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94" w:type="pct"/>
                  <w:vMerge w:val="continue"/>
                  <w:tcBorders>
                    <w:tl2br w:val="nil"/>
                    <w:tr2bl w:val="nil"/>
                  </w:tcBorders>
                  <w:noWrap w:val="0"/>
                  <w:vAlign w:val="center"/>
                </w:tcPr>
                <w:p w14:paraId="6D146B6B">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r>
            <w:tr w14:paraId="654C2FF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524D33F8">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63" w:type="pct"/>
                  <w:tcBorders>
                    <w:tl2br w:val="nil"/>
                    <w:tr2bl w:val="nil"/>
                  </w:tcBorders>
                  <w:noWrap w:val="0"/>
                  <w:vAlign w:val="center"/>
                </w:tcPr>
                <w:p w14:paraId="57871AB5">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月2</w:t>
                  </w:r>
                  <w:r>
                    <w:rPr>
                      <w:rFonts w:hint="default"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rPr>
                    <w:t>日</w:t>
                  </w:r>
                </w:p>
              </w:tc>
              <w:tc>
                <w:tcPr>
                  <w:tcW w:w="516" w:type="pct"/>
                  <w:vMerge w:val="continue"/>
                  <w:tcBorders>
                    <w:tl2br w:val="nil"/>
                    <w:tr2bl w:val="nil"/>
                  </w:tcBorders>
                  <w:noWrap w:val="0"/>
                  <w:vAlign w:val="center"/>
                </w:tcPr>
                <w:p w14:paraId="1F0A2B6E">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p>
              </w:tc>
              <w:tc>
                <w:tcPr>
                  <w:tcW w:w="2128" w:type="pct"/>
                  <w:gridSpan w:val="7"/>
                  <w:tcBorders>
                    <w:tl2br w:val="nil"/>
                    <w:tr2bl w:val="nil"/>
                  </w:tcBorders>
                  <w:noWrap w:val="0"/>
                  <w:vAlign w:val="center"/>
                </w:tcPr>
                <w:p w14:paraId="3B97DD9F">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en-US"/>
                    </w:rPr>
                  </w:pPr>
                  <w:r>
                    <w:rPr>
                      <w:rFonts w:hint="default" w:ascii="Times New Roman" w:hAnsi="Times New Roman" w:eastAsia="宋体" w:cs="Times New Roman"/>
                      <w:color w:val="auto"/>
                      <w:kern w:val="0"/>
                      <w:sz w:val="21"/>
                      <w:szCs w:val="21"/>
                      <w:highlight w:val="none"/>
                    </w:rPr>
                    <w:t>217</w:t>
                  </w:r>
                </w:p>
              </w:tc>
              <w:tc>
                <w:tcPr>
                  <w:tcW w:w="558" w:type="pct"/>
                  <w:vMerge w:val="continue"/>
                  <w:tcBorders>
                    <w:tl2br w:val="nil"/>
                    <w:tr2bl w:val="nil"/>
                  </w:tcBorders>
                  <w:noWrap w:val="0"/>
                  <w:vAlign w:val="center"/>
                </w:tcPr>
                <w:p w14:paraId="6D062256">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94" w:type="pct"/>
                  <w:vMerge w:val="continue"/>
                  <w:tcBorders>
                    <w:tl2br w:val="nil"/>
                    <w:tr2bl w:val="nil"/>
                  </w:tcBorders>
                  <w:noWrap w:val="0"/>
                  <w:vAlign w:val="center"/>
                </w:tcPr>
                <w:p w14:paraId="1EBD796D">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r>
            <w:tr w14:paraId="57147BC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731B7C70">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63" w:type="pct"/>
                  <w:tcBorders>
                    <w:tl2br w:val="nil"/>
                    <w:tr2bl w:val="nil"/>
                  </w:tcBorders>
                  <w:noWrap w:val="0"/>
                  <w:vAlign w:val="center"/>
                </w:tcPr>
                <w:p w14:paraId="6A0C7FDF">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月2</w:t>
                  </w:r>
                  <w:r>
                    <w:rPr>
                      <w:rFonts w:hint="default"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日</w:t>
                  </w:r>
                </w:p>
              </w:tc>
              <w:tc>
                <w:tcPr>
                  <w:tcW w:w="516" w:type="pct"/>
                  <w:vMerge w:val="continue"/>
                  <w:tcBorders>
                    <w:tl2br w:val="nil"/>
                    <w:tr2bl w:val="nil"/>
                  </w:tcBorders>
                  <w:noWrap w:val="0"/>
                  <w:vAlign w:val="center"/>
                </w:tcPr>
                <w:p w14:paraId="44B2E538">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p>
              </w:tc>
              <w:tc>
                <w:tcPr>
                  <w:tcW w:w="2128" w:type="pct"/>
                  <w:gridSpan w:val="7"/>
                  <w:tcBorders>
                    <w:tl2br w:val="nil"/>
                    <w:tr2bl w:val="nil"/>
                  </w:tcBorders>
                  <w:noWrap w:val="0"/>
                  <w:vAlign w:val="center"/>
                </w:tcPr>
                <w:p w14:paraId="321C632D">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en-US"/>
                    </w:rPr>
                  </w:pPr>
                  <w:r>
                    <w:rPr>
                      <w:rFonts w:hint="default" w:ascii="Times New Roman" w:hAnsi="Times New Roman" w:eastAsia="宋体" w:cs="Times New Roman"/>
                      <w:color w:val="auto"/>
                      <w:kern w:val="0"/>
                      <w:sz w:val="21"/>
                      <w:szCs w:val="21"/>
                      <w:highlight w:val="none"/>
                    </w:rPr>
                    <w:t>232</w:t>
                  </w:r>
                </w:p>
              </w:tc>
              <w:tc>
                <w:tcPr>
                  <w:tcW w:w="558" w:type="pct"/>
                  <w:vMerge w:val="continue"/>
                  <w:tcBorders>
                    <w:tl2br w:val="nil"/>
                    <w:tr2bl w:val="nil"/>
                  </w:tcBorders>
                  <w:noWrap w:val="0"/>
                  <w:vAlign w:val="center"/>
                </w:tcPr>
                <w:p w14:paraId="338F44E9">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94" w:type="pct"/>
                  <w:vMerge w:val="continue"/>
                  <w:tcBorders>
                    <w:tl2br w:val="nil"/>
                    <w:tr2bl w:val="nil"/>
                  </w:tcBorders>
                  <w:noWrap w:val="0"/>
                  <w:vAlign w:val="center"/>
                </w:tcPr>
                <w:p w14:paraId="1DF6E629">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r>
            <w:tr w14:paraId="21D9112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38" w:type="pct"/>
                  <w:vMerge w:val="continue"/>
                  <w:tcBorders>
                    <w:tl2br w:val="nil"/>
                    <w:tr2bl w:val="nil"/>
                  </w:tcBorders>
                  <w:noWrap w:val="0"/>
                  <w:vAlign w:val="center"/>
                </w:tcPr>
                <w:p w14:paraId="0EF39109">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63" w:type="pct"/>
                  <w:tcBorders>
                    <w:tl2br w:val="nil"/>
                    <w:tr2bl w:val="nil"/>
                  </w:tcBorders>
                  <w:noWrap w:val="0"/>
                  <w:vAlign w:val="center"/>
                </w:tcPr>
                <w:p w14:paraId="3FF9AA16">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月2</w:t>
                  </w:r>
                  <w:r>
                    <w:rPr>
                      <w:rFonts w:hint="default" w:ascii="Times New Roman" w:hAnsi="Times New Roman" w:eastAsia="宋体" w:cs="Times New Roman"/>
                      <w:color w:val="auto"/>
                      <w:sz w:val="21"/>
                      <w:szCs w:val="21"/>
                      <w:highlight w:val="none"/>
                      <w:lang w:val="en-US" w:eastAsia="zh-CN"/>
                    </w:rPr>
                    <w:t>9</w:t>
                  </w:r>
                  <w:r>
                    <w:rPr>
                      <w:rFonts w:hint="default" w:ascii="Times New Roman" w:hAnsi="Times New Roman" w:eastAsia="宋体" w:cs="Times New Roman"/>
                      <w:color w:val="auto"/>
                      <w:sz w:val="21"/>
                      <w:szCs w:val="21"/>
                      <w:highlight w:val="none"/>
                    </w:rPr>
                    <w:t>日</w:t>
                  </w:r>
                </w:p>
              </w:tc>
              <w:tc>
                <w:tcPr>
                  <w:tcW w:w="516" w:type="pct"/>
                  <w:vMerge w:val="continue"/>
                  <w:tcBorders>
                    <w:tl2br w:val="nil"/>
                    <w:tr2bl w:val="nil"/>
                  </w:tcBorders>
                  <w:noWrap w:val="0"/>
                  <w:vAlign w:val="center"/>
                </w:tcPr>
                <w:p w14:paraId="6E6648BA">
                  <w:pPr>
                    <w:widowControl/>
                    <w:spacing w:line="240" w:lineRule="auto"/>
                    <w:ind w:firstLine="0" w:firstLineChars="0"/>
                    <w:jc w:val="center"/>
                    <w:textAlignment w:val="center"/>
                    <w:rPr>
                      <w:rFonts w:hint="default" w:ascii="Times New Roman" w:hAnsi="Times New Roman" w:eastAsia="宋体" w:cs="Times New Roman"/>
                      <w:color w:val="auto"/>
                      <w:sz w:val="21"/>
                      <w:szCs w:val="21"/>
                      <w:highlight w:val="none"/>
                    </w:rPr>
                  </w:pPr>
                </w:p>
              </w:tc>
              <w:tc>
                <w:tcPr>
                  <w:tcW w:w="2128" w:type="pct"/>
                  <w:gridSpan w:val="7"/>
                  <w:tcBorders>
                    <w:tl2br w:val="nil"/>
                    <w:tr2bl w:val="nil"/>
                  </w:tcBorders>
                  <w:noWrap w:val="0"/>
                  <w:vAlign w:val="center"/>
                </w:tcPr>
                <w:p w14:paraId="59932CB4">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en-US"/>
                    </w:rPr>
                  </w:pPr>
                  <w:r>
                    <w:rPr>
                      <w:rFonts w:hint="default" w:ascii="Times New Roman" w:hAnsi="Times New Roman" w:eastAsia="宋体" w:cs="Times New Roman"/>
                      <w:color w:val="auto"/>
                      <w:kern w:val="0"/>
                      <w:sz w:val="21"/>
                      <w:szCs w:val="21"/>
                      <w:highlight w:val="none"/>
                    </w:rPr>
                    <w:t>135</w:t>
                  </w:r>
                </w:p>
              </w:tc>
              <w:tc>
                <w:tcPr>
                  <w:tcW w:w="558" w:type="pct"/>
                  <w:vMerge w:val="continue"/>
                  <w:tcBorders>
                    <w:tl2br w:val="nil"/>
                    <w:tr2bl w:val="nil"/>
                  </w:tcBorders>
                  <w:noWrap w:val="0"/>
                  <w:vAlign w:val="center"/>
                </w:tcPr>
                <w:p w14:paraId="23BF8FF0">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94" w:type="pct"/>
                  <w:vMerge w:val="continue"/>
                  <w:tcBorders>
                    <w:tl2br w:val="nil"/>
                    <w:tr2bl w:val="nil"/>
                  </w:tcBorders>
                  <w:noWrap w:val="0"/>
                  <w:vAlign w:val="center"/>
                </w:tcPr>
                <w:p w14:paraId="5CD3898A">
                  <w:pPr>
                    <w:widowControl/>
                    <w:spacing w:line="240" w:lineRule="auto"/>
                    <w:ind w:firstLine="0" w:firstLineChars="0"/>
                    <w:jc w:val="center"/>
                    <w:rPr>
                      <w:rFonts w:hint="default" w:ascii="Times New Roman" w:hAnsi="Times New Roman" w:eastAsia="宋体" w:cs="Times New Roman"/>
                      <w:color w:val="auto"/>
                      <w:sz w:val="21"/>
                      <w:szCs w:val="21"/>
                      <w:highlight w:val="none"/>
                    </w:rPr>
                  </w:pPr>
                </w:p>
              </w:tc>
            </w:tr>
          </w:tbl>
          <w:p w14:paraId="2D4ACE4E">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rPr>
              <w:t>由</w:t>
            </w:r>
            <w:r>
              <w:rPr>
                <w:rFonts w:hint="default" w:ascii="Times New Roman" w:hAnsi="Times New Roman" w:eastAsia="宋体" w:cs="Times New Roman"/>
                <w:color w:val="auto"/>
                <w:sz w:val="24"/>
                <w:szCs w:val="24"/>
                <w:lang w:val="en-US" w:eastAsia="zh-CN"/>
              </w:rPr>
              <w:t>以上</w:t>
            </w:r>
            <w:r>
              <w:rPr>
                <w:rFonts w:hint="default" w:ascii="Times New Roman" w:hAnsi="Times New Roman" w:eastAsia="宋体" w:cs="Times New Roman"/>
                <w:color w:val="auto"/>
                <w:sz w:val="24"/>
                <w:szCs w:val="24"/>
              </w:rPr>
              <w:t>监测结果可知，</w:t>
            </w:r>
            <w:r>
              <w:rPr>
                <w:rFonts w:hint="default" w:ascii="Times New Roman" w:hAnsi="Times New Roman" w:eastAsia="宋体" w:cs="Times New Roman"/>
                <w:color w:val="auto"/>
                <w:sz w:val="24"/>
                <w:highlight w:val="none"/>
              </w:rPr>
              <w:t>项目所在区域总悬浮颗粒物（TSP）监测期间满足《环境空气质量标准》（GB3095-2012）中二级标准限值；非甲烷总烃监测期间均满足</w:t>
            </w:r>
            <w:r>
              <w:rPr>
                <w:rFonts w:hint="default" w:ascii="Times New Roman" w:hAnsi="Times New Roman" w:eastAsia="宋体" w:cs="Times New Roman"/>
                <w:color w:val="auto"/>
                <w:sz w:val="24"/>
                <w:szCs w:val="32"/>
                <w:highlight w:val="none"/>
              </w:rPr>
              <w:t>《大气污染物综合排放标准详解》</w:t>
            </w:r>
            <w:r>
              <w:rPr>
                <w:rFonts w:hint="default" w:ascii="Times New Roman" w:hAnsi="Times New Roman" w:eastAsia="宋体" w:cs="Times New Roman"/>
                <w:color w:val="auto"/>
                <w:sz w:val="24"/>
                <w:highlight w:val="none"/>
              </w:rPr>
              <w:t>（国家环境保护局科技标准司）中限值；二甲苯满足《环境影响评价技术导则 大气环境》（HJ2.2-2018）附录D中标准限值。</w:t>
            </w:r>
          </w:p>
          <w:p w14:paraId="242A0BE9">
            <w:pPr>
              <w:spacing w:line="360" w:lineRule="auto"/>
              <w:ind w:firstLine="482" w:firstLineChars="200"/>
              <w:rPr>
                <w:rFonts w:hint="default" w:ascii="Times New Roman" w:hAnsi="Times New Roman" w:eastAsia="宋体" w:cs="Times New Roman"/>
                <w:b/>
                <w:bCs/>
                <w:color w:val="auto"/>
                <w:kern w:val="0"/>
                <w:sz w:val="24"/>
                <w:szCs w:val="20"/>
              </w:rPr>
            </w:pPr>
            <w:r>
              <w:rPr>
                <w:rFonts w:hint="default" w:ascii="Times New Roman" w:hAnsi="Times New Roman" w:eastAsia="宋体" w:cs="Times New Roman"/>
                <w:b/>
                <w:bCs/>
                <w:color w:val="auto"/>
                <w:kern w:val="0"/>
                <w:sz w:val="24"/>
                <w:szCs w:val="20"/>
              </w:rPr>
              <w:t>2、声环境现状监测</w:t>
            </w:r>
          </w:p>
          <w:p w14:paraId="420D197E">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（1）监测点位</w:t>
            </w:r>
          </w:p>
          <w:p w14:paraId="34FA4C6D">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yellow"/>
              </w:rPr>
            </w:pPr>
            <w:r>
              <w:rPr>
                <w:rFonts w:hint="default" w:ascii="Times New Roman" w:hAnsi="Times New Roman" w:eastAsia="宋体" w:cs="Times New Roman"/>
                <w:color w:val="auto"/>
                <w:sz w:val="24"/>
                <w:highlight w:val="none"/>
              </w:rPr>
              <w:t>本项目委托陕西明铖检测技术有限公司于202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7</w:t>
            </w:r>
            <w:r>
              <w:rPr>
                <w:rFonts w:hint="default" w:ascii="Times New Roman" w:hAnsi="Times New Roman" w:eastAsia="宋体" w:cs="Times New Roman"/>
                <w:color w:val="auto"/>
                <w:sz w:val="24"/>
                <w:highlight w:val="none"/>
              </w:rPr>
              <w:t>月</w:t>
            </w: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日对该项目的声环境质量现状进行了监测。在</w:t>
            </w:r>
            <w:r>
              <w:rPr>
                <w:rFonts w:hint="default" w:ascii="Times New Roman" w:hAnsi="Times New Roman" w:eastAsia="宋体" w:cs="Times New Roman"/>
                <w:color w:val="auto"/>
                <w:sz w:val="24"/>
                <w:highlight w:val="none"/>
                <w:lang w:eastAsia="zh-CN"/>
              </w:rPr>
              <w:t>项目</w:t>
            </w:r>
            <w:r>
              <w:rPr>
                <w:rFonts w:hint="default" w:ascii="Times New Roman" w:hAnsi="Times New Roman" w:eastAsia="宋体" w:cs="Times New Roman"/>
                <w:color w:val="auto"/>
                <w:sz w:val="24"/>
                <w:highlight w:val="none"/>
                <w:lang w:val="en-US" w:eastAsia="zh-CN"/>
              </w:rPr>
              <w:t>50m范围内居民（南侧杨河村、西侧维美德家属楼、西侧至乐小区</w:t>
            </w:r>
            <w:r>
              <w:rPr>
                <w:rFonts w:hint="default" w:ascii="Times New Roman" w:hAnsi="Times New Roman" w:eastAsia="宋体" w:cs="Times New Roman"/>
                <w:color w:val="auto"/>
                <w:sz w:val="24"/>
                <w:szCs w:val="24"/>
                <w:lang w:val="en-US" w:eastAsia="zh-CN"/>
              </w:rPr>
              <w:t>）各</w:t>
            </w:r>
            <w:r>
              <w:rPr>
                <w:rFonts w:hint="default" w:ascii="Times New Roman" w:hAnsi="Times New Roman" w:eastAsia="宋体" w:cs="Times New Roman"/>
                <w:color w:val="auto"/>
                <w:sz w:val="24"/>
                <w:highlight w:val="none"/>
              </w:rPr>
              <w:t>设1个监测点</w:t>
            </w:r>
            <w:r>
              <w:rPr>
                <w:rFonts w:hint="default" w:ascii="Times New Roman" w:hAnsi="Times New Roman" w:eastAsia="宋体" w:cs="Times New Roman"/>
                <w:color w:val="auto"/>
                <w:sz w:val="24"/>
                <w:highlight w:val="none"/>
                <w:lang w:val="en-US" w:eastAsia="zh-CN"/>
              </w:rPr>
              <w:t>，共3个，维美德家属楼与阿房幼儿园紧邻，监测结果可代表阿房幼儿园声环境质量</w:t>
            </w:r>
            <w:r>
              <w:rPr>
                <w:rFonts w:hint="default" w:ascii="Times New Roman" w:hAnsi="Times New Roman" w:eastAsia="宋体" w:cs="Times New Roman"/>
                <w:color w:val="auto"/>
                <w:sz w:val="24"/>
                <w:highlight w:val="none"/>
              </w:rPr>
              <w:t>，监测点位图见附图</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w:t>
            </w:r>
          </w:p>
          <w:p w14:paraId="16736175">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（2）监测时间</w:t>
            </w:r>
          </w:p>
          <w:p w14:paraId="1182691F">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2024年</w:t>
            </w:r>
            <w:r>
              <w:rPr>
                <w:rFonts w:hint="default" w:ascii="Times New Roman" w:hAnsi="Times New Roman" w:eastAsia="宋体" w:cs="Times New Roman"/>
                <w:color w:val="auto"/>
                <w:sz w:val="24"/>
                <w:highlight w:val="none"/>
                <w:lang w:val="en-US" w:eastAsia="zh-CN"/>
              </w:rPr>
              <w:t>7</w:t>
            </w:r>
            <w:r>
              <w:rPr>
                <w:rFonts w:hint="default" w:ascii="Times New Roman" w:hAnsi="Times New Roman" w:eastAsia="宋体" w:cs="Times New Roman"/>
                <w:color w:val="auto"/>
                <w:sz w:val="24"/>
                <w:highlight w:val="none"/>
              </w:rPr>
              <w:t>月</w:t>
            </w: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日，监测</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天，昼、夜各1次。</w:t>
            </w:r>
          </w:p>
          <w:p w14:paraId="6ACEFF45">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（3）监测因子</w:t>
            </w:r>
          </w:p>
          <w:p w14:paraId="3501BAB6">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等效连续A声级。</w:t>
            </w:r>
          </w:p>
          <w:p w14:paraId="5F921B55">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（4）监测结果</w:t>
            </w:r>
          </w:p>
          <w:p w14:paraId="220EFF41">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本次监测结果详见表</w:t>
            </w:r>
            <w:r>
              <w:rPr>
                <w:rFonts w:hint="default" w:ascii="Times New Roman" w:hAnsi="Times New Roman" w:eastAsia="宋体" w:cs="Times New Roman"/>
                <w:color w:val="auto"/>
                <w:sz w:val="24"/>
                <w:highlight w:val="none"/>
                <w:lang w:val="en-US" w:eastAsia="zh-CN"/>
              </w:rPr>
              <w:t>3-2</w:t>
            </w:r>
            <w:r>
              <w:rPr>
                <w:rFonts w:hint="default" w:ascii="Times New Roman" w:hAnsi="Times New Roman" w:eastAsia="宋体" w:cs="Times New Roman"/>
                <w:color w:val="auto"/>
                <w:sz w:val="24"/>
                <w:highlight w:val="none"/>
              </w:rPr>
              <w:t>。</w:t>
            </w:r>
          </w:p>
          <w:p w14:paraId="155FEA09">
            <w:pPr>
              <w:pStyle w:val="3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表</w:t>
            </w:r>
            <w:r>
              <w:rPr>
                <w:rFonts w:hint="default" w:ascii="Times New Roman" w:hAnsi="Times New Roman" w:eastAsia="宋体" w:cs="Times New Roman"/>
                <w:color w:val="auto"/>
                <w:highlight w:val="none"/>
                <w:lang w:val="en-US" w:eastAsia="zh-CN"/>
              </w:rPr>
              <w:t xml:space="preserve">3-2 </w:t>
            </w:r>
            <w:r>
              <w:rPr>
                <w:rFonts w:hint="default" w:ascii="Times New Roman" w:hAnsi="Times New Roman" w:eastAsia="宋体" w:cs="Times New Roman"/>
                <w:color w:val="auto"/>
                <w:highlight w:val="none"/>
              </w:rPr>
              <w:t>声环境质量监测结果统计表单位dB(A)</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2531"/>
              <w:gridCol w:w="2133"/>
              <w:gridCol w:w="2293"/>
            </w:tblGrid>
            <w:tr w14:paraId="49D41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03" w:type="dxa"/>
                  <w:vMerge w:val="restart"/>
                  <w:noWrap w:val="0"/>
                  <w:vAlign w:val="center"/>
                </w:tcPr>
                <w:p w14:paraId="649C0673">
                  <w:pPr>
                    <w:pStyle w:val="37"/>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序号</w:t>
                  </w:r>
                </w:p>
              </w:tc>
              <w:tc>
                <w:tcPr>
                  <w:tcW w:w="2531" w:type="dxa"/>
                  <w:vMerge w:val="restart"/>
                  <w:noWrap w:val="0"/>
                  <w:vAlign w:val="center"/>
                </w:tcPr>
                <w:p w14:paraId="1D05F630">
                  <w:pPr>
                    <w:pStyle w:val="37"/>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监测点位</w:t>
                  </w:r>
                </w:p>
              </w:tc>
              <w:tc>
                <w:tcPr>
                  <w:tcW w:w="4426" w:type="dxa"/>
                  <w:gridSpan w:val="2"/>
                  <w:noWrap w:val="0"/>
                  <w:vAlign w:val="center"/>
                </w:tcPr>
                <w:p w14:paraId="2AF47AAF">
                  <w:pPr>
                    <w:pStyle w:val="37"/>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2024年</w:t>
                  </w:r>
                  <w:r>
                    <w:rPr>
                      <w:rFonts w:hint="default" w:ascii="Times New Roman" w:hAnsi="Times New Roman" w:eastAsia="宋体" w:cs="Times New Roman"/>
                      <w:b/>
                      <w:bCs/>
                      <w:color w:val="auto"/>
                      <w:highlight w:val="none"/>
                      <w:lang w:val="en-US" w:eastAsia="zh-CN"/>
                    </w:rPr>
                    <w:t>7</w:t>
                  </w:r>
                  <w:r>
                    <w:rPr>
                      <w:rFonts w:hint="default" w:ascii="Times New Roman" w:hAnsi="Times New Roman" w:eastAsia="宋体" w:cs="Times New Roman"/>
                      <w:b/>
                      <w:bCs/>
                      <w:color w:val="auto"/>
                      <w:highlight w:val="none"/>
                    </w:rPr>
                    <w:t>月</w:t>
                  </w:r>
                  <w:r>
                    <w:rPr>
                      <w:rFonts w:hint="default" w:ascii="Times New Roman" w:hAnsi="Times New Roman" w:eastAsia="宋体" w:cs="Times New Roman"/>
                      <w:b/>
                      <w:bCs/>
                      <w:color w:val="auto"/>
                      <w:highlight w:val="none"/>
                      <w:lang w:val="en-US" w:eastAsia="zh-CN"/>
                    </w:rPr>
                    <w:t>5</w:t>
                  </w:r>
                  <w:r>
                    <w:rPr>
                      <w:rFonts w:hint="default" w:ascii="Times New Roman" w:hAnsi="Times New Roman" w:eastAsia="宋体" w:cs="Times New Roman"/>
                      <w:b/>
                      <w:bCs/>
                      <w:color w:val="auto"/>
                      <w:highlight w:val="none"/>
                    </w:rPr>
                    <w:t>日</w:t>
                  </w:r>
                </w:p>
              </w:tc>
            </w:tr>
            <w:tr w14:paraId="1BE17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03" w:type="dxa"/>
                  <w:vMerge w:val="continue"/>
                  <w:noWrap w:val="0"/>
                  <w:vAlign w:val="center"/>
                </w:tcPr>
                <w:p w14:paraId="22607C73">
                  <w:pPr>
                    <w:pStyle w:val="37"/>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p>
              </w:tc>
              <w:tc>
                <w:tcPr>
                  <w:tcW w:w="2531" w:type="dxa"/>
                  <w:vMerge w:val="continue"/>
                  <w:noWrap w:val="0"/>
                  <w:vAlign w:val="center"/>
                </w:tcPr>
                <w:p w14:paraId="0A8A0B55">
                  <w:pPr>
                    <w:pStyle w:val="37"/>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p>
              </w:tc>
              <w:tc>
                <w:tcPr>
                  <w:tcW w:w="2133" w:type="dxa"/>
                  <w:noWrap w:val="0"/>
                  <w:vAlign w:val="center"/>
                </w:tcPr>
                <w:p w14:paraId="2F45A06F">
                  <w:pPr>
                    <w:pStyle w:val="37"/>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昼间</w:t>
                  </w:r>
                </w:p>
              </w:tc>
              <w:tc>
                <w:tcPr>
                  <w:tcW w:w="2293" w:type="dxa"/>
                  <w:noWrap w:val="0"/>
                  <w:vAlign w:val="center"/>
                </w:tcPr>
                <w:p w14:paraId="6F97D85C">
                  <w:pPr>
                    <w:pStyle w:val="37"/>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夜间</w:t>
                  </w:r>
                </w:p>
              </w:tc>
            </w:tr>
            <w:tr w14:paraId="095A2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3" w:type="dxa"/>
                  <w:noWrap w:val="0"/>
                  <w:vAlign w:val="center"/>
                </w:tcPr>
                <w:p w14:paraId="4F669B15">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2531" w:type="dxa"/>
                  <w:noWrap w:val="0"/>
                  <w:vAlign w:val="center"/>
                </w:tcPr>
                <w:p w14:paraId="6AF5CAFD">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南侧杨河村</w:t>
                  </w:r>
                </w:p>
              </w:tc>
              <w:tc>
                <w:tcPr>
                  <w:tcW w:w="2133" w:type="dxa"/>
                  <w:noWrap w:val="0"/>
                  <w:vAlign w:val="center"/>
                </w:tcPr>
                <w:p w14:paraId="7E15085A">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w:t>
                  </w:r>
                </w:p>
              </w:tc>
              <w:tc>
                <w:tcPr>
                  <w:tcW w:w="2293" w:type="dxa"/>
                  <w:noWrap w:val="0"/>
                  <w:vAlign w:val="center"/>
                </w:tcPr>
                <w:p w14:paraId="23A1E661">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42</w:t>
                  </w:r>
                </w:p>
              </w:tc>
            </w:tr>
            <w:tr w14:paraId="42402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03" w:type="dxa"/>
                  <w:noWrap w:val="0"/>
                  <w:vAlign w:val="center"/>
                </w:tcPr>
                <w:p w14:paraId="021EB130">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2531" w:type="dxa"/>
                  <w:noWrap w:val="0"/>
                  <w:vAlign w:val="center"/>
                </w:tcPr>
                <w:p w14:paraId="3657F53A">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西侧维美德家属楼</w:t>
                  </w:r>
                </w:p>
              </w:tc>
              <w:tc>
                <w:tcPr>
                  <w:tcW w:w="2133" w:type="dxa"/>
                  <w:noWrap w:val="0"/>
                  <w:vAlign w:val="center"/>
                </w:tcPr>
                <w:p w14:paraId="3CEC6A07">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48</w:t>
                  </w:r>
                </w:p>
              </w:tc>
              <w:tc>
                <w:tcPr>
                  <w:tcW w:w="2293" w:type="dxa"/>
                  <w:noWrap w:val="0"/>
                  <w:vAlign w:val="center"/>
                </w:tcPr>
                <w:p w14:paraId="1AB1AE9E">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42</w:t>
                  </w:r>
                </w:p>
              </w:tc>
            </w:tr>
            <w:tr w14:paraId="3D177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03" w:type="dxa"/>
                  <w:noWrap w:val="0"/>
                  <w:vAlign w:val="center"/>
                </w:tcPr>
                <w:p w14:paraId="3613CA5F">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p>
              </w:tc>
              <w:tc>
                <w:tcPr>
                  <w:tcW w:w="2531" w:type="dxa"/>
                  <w:noWrap w:val="0"/>
                  <w:vAlign w:val="center"/>
                </w:tcPr>
                <w:p w14:paraId="0CDDB793">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西侧至乐小区</w:t>
                  </w:r>
                </w:p>
              </w:tc>
              <w:tc>
                <w:tcPr>
                  <w:tcW w:w="2133" w:type="dxa"/>
                  <w:noWrap w:val="0"/>
                  <w:vAlign w:val="center"/>
                </w:tcPr>
                <w:p w14:paraId="45A3F3C7">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49</w:t>
                  </w:r>
                </w:p>
              </w:tc>
              <w:tc>
                <w:tcPr>
                  <w:tcW w:w="2293" w:type="dxa"/>
                  <w:noWrap w:val="0"/>
                  <w:vAlign w:val="center"/>
                </w:tcPr>
                <w:p w14:paraId="6EBE9F14">
                  <w:pPr>
                    <w:pStyle w:val="37"/>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43</w:t>
                  </w:r>
                </w:p>
              </w:tc>
            </w:tr>
            <w:tr w14:paraId="3E047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03" w:type="dxa"/>
                  <w:shd w:val="clear" w:color="auto" w:fill="auto"/>
                  <w:noWrap w:val="0"/>
                  <w:vAlign w:val="center"/>
                </w:tcPr>
                <w:p w14:paraId="492004B1">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rPr>
                    <w:t>标准</w:t>
                  </w:r>
                </w:p>
              </w:tc>
              <w:tc>
                <w:tcPr>
                  <w:tcW w:w="2531" w:type="dxa"/>
                  <w:shd w:val="clear" w:color="auto" w:fill="auto"/>
                  <w:noWrap w:val="0"/>
                  <w:vAlign w:val="center"/>
                </w:tcPr>
                <w:p w14:paraId="40F87CB4">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类</w:t>
                  </w:r>
                </w:p>
              </w:tc>
              <w:tc>
                <w:tcPr>
                  <w:tcW w:w="2133" w:type="dxa"/>
                  <w:shd w:val="clear" w:color="auto" w:fill="auto"/>
                  <w:noWrap w:val="0"/>
                  <w:vAlign w:val="center"/>
                </w:tcPr>
                <w:p w14:paraId="30CA52CA">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rPr>
                    <w:t>60</w:t>
                  </w:r>
                </w:p>
              </w:tc>
              <w:tc>
                <w:tcPr>
                  <w:tcW w:w="2293" w:type="dxa"/>
                  <w:shd w:val="clear" w:color="auto" w:fill="auto"/>
                  <w:noWrap w:val="0"/>
                  <w:vAlign w:val="center"/>
                </w:tcPr>
                <w:p w14:paraId="7EB1BBA2">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50</w:t>
                  </w:r>
                </w:p>
              </w:tc>
            </w:tr>
          </w:tbl>
          <w:p w14:paraId="1AF7BF7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highlight w:val="none"/>
                <w:lang w:val="en-US" w:eastAsia="zh-CN"/>
              </w:rPr>
              <w:t>从噪声监测结果可知，项目最近敏感点</w:t>
            </w:r>
            <w:r>
              <w:rPr>
                <w:rFonts w:hint="default" w:ascii="Times New Roman" w:hAnsi="Times New Roman" w:eastAsia="宋体" w:cs="Times New Roman"/>
                <w:color w:val="auto"/>
                <w:sz w:val="24"/>
                <w:highlight w:val="none"/>
              </w:rPr>
              <w:t>昼、夜声环境质量现状</w:t>
            </w:r>
            <w:r>
              <w:rPr>
                <w:rFonts w:hint="default" w:ascii="Times New Roman" w:hAnsi="Times New Roman" w:eastAsia="宋体" w:cs="Times New Roman"/>
                <w:color w:val="auto"/>
                <w:sz w:val="24"/>
                <w:highlight w:val="none"/>
                <w:lang w:val="en-US" w:eastAsia="zh-CN"/>
              </w:rPr>
              <w:t>均</w:t>
            </w:r>
            <w:r>
              <w:rPr>
                <w:rFonts w:hint="default" w:ascii="Times New Roman" w:hAnsi="Times New Roman" w:eastAsia="宋体" w:cs="Times New Roman"/>
                <w:color w:val="auto"/>
                <w:sz w:val="24"/>
                <w:highlight w:val="none"/>
              </w:rPr>
              <w:t>达到《声环境质量标准》（GB3096-2008）中</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类标准，表明项目所在地声环境现状质量良好</w:t>
            </w:r>
            <w:r>
              <w:rPr>
                <w:rFonts w:hint="default" w:ascii="Times New Roman" w:hAnsi="Times New Roman" w:eastAsia="宋体" w:cs="Times New Roman"/>
                <w:color w:val="auto"/>
                <w:kern w:val="0"/>
                <w:sz w:val="24"/>
                <w:szCs w:val="20"/>
              </w:rPr>
              <w:t>。</w:t>
            </w:r>
          </w:p>
          <w:p w14:paraId="12144523">
            <w:pPr>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3、生态环境</w:t>
            </w:r>
          </w:p>
          <w:p w14:paraId="10F2C08E">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本项目位于已建成的厂房内，厂房地面已</w:t>
            </w:r>
            <w:r>
              <w:rPr>
                <w:rFonts w:hint="default" w:ascii="Times New Roman" w:hAnsi="Times New Roman" w:eastAsia="宋体" w:cs="Times New Roman"/>
                <w:bCs/>
                <w:color w:val="auto"/>
                <w:sz w:val="24"/>
                <w:szCs w:val="32"/>
              </w:rPr>
              <w:t>采用混凝土硬化处理</w:t>
            </w:r>
            <w:r>
              <w:rPr>
                <w:rFonts w:hint="default" w:ascii="Times New Roman" w:hAnsi="Times New Roman" w:eastAsia="宋体" w:cs="Times New Roman"/>
                <w:color w:val="auto"/>
                <w:sz w:val="24"/>
              </w:rPr>
              <w:t>，不新增用地，无需进行生态现状调查。</w:t>
            </w:r>
          </w:p>
          <w:p w14:paraId="287E8DFA">
            <w:pPr>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4、地下水、土壤环境</w:t>
            </w:r>
          </w:p>
          <w:p w14:paraId="429C3D02">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建设项目环境影响报告表编制技术指南（污染影响类）（试行）》，地下水、土壤环境原则上不开展环境质量现状调查。建设项目存在土壤、地下水环境污染途径的，应结合污染源、保护目标分布情况开展现状调查以留作背景值。</w:t>
            </w:r>
          </w:p>
          <w:p w14:paraId="1B24309E">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本项目在已建好的厂房安装设备，厂房地面已全部</w:t>
            </w:r>
            <w:r>
              <w:rPr>
                <w:rFonts w:hint="default" w:ascii="Times New Roman" w:hAnsi="Times New Roman" w:eastAsia="宋体" w:cs="Times New Roman"/>
                <w:bCs/>
                <w:color w:val="auto"/>
                <w:sz w:val="24"/>
                <w:szCs w:val="32"/>
              </w:rPr>
              <w:t>采用混凝土</w:t>
            </w:r>
            <w:r>
              <w:rPr>
                <w:rFonts w:hint="default" w:ascii="Times New Roman" w:hAnsi="Times New Roman" w:eastAsia="宋体" w:cs="Times New Roman"/>
                <w:color w:val="auto"/>
                <w:sz w:val="24"/>
              </w:rPr>
              <w:t>硬化处理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故对项目所在地地下水、土壤环境影响较小。</w:t>
            </w:r>
          </w:p>
          <w:p w14:paraId="0FC8BD1A">
            <w:pPr>
              <w:spacing w:line="360" w:lineRule="auto"/>
              <w:ind w:firstLine="480" w:firstLineChars="200"/>
              <w:rPr>
                <w:rFonts w:hint="default" w:ascii="Times New Roman" w:hAnsi="Times New Roman" w:eastAsia="宋体" w:cs="Times New Roman"/>
                <w:color w:val="auto"/>
                <w:sz w:val="24"/>
              </w:rPr>
            </w:pPr>
          </w:p>
          <w:p w14:paraId="5EEEE20A">
            <w:pPr>
              <w:spacing w:line="360" w:lineRule="auto"/>
              <w:rPr>
                <w:rFonts w:hint="default" w:ascii="Times New Roman" w:hAnsi="Times New Roman" w:eastAsia="宋体" w:cs="Times New Roman"/>
                <w:color w:val="auto"/>
                <w:kern w:val="0"/>
                <w:szCs w:val="21"/>
                <w:lang w:val="en-US" w:eastAsia="zh-CN"/>
              </w:rPr>
            </w:pPr>
          </w:p>
        </w:tc>
      </w:tr>
      <w:tr w14:paraId="663A12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34370335">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环境</w:t>
            </w:r>
          </w:p>
          <w:p w14:paraId="028AFB27">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保护</w:t>
            </w:r>
          </w:p>
          <w:p w14:paraId="007E5056">
            <w:pPr>
              <w:adjustRightInd w:val="0"/>
              <w:snapToGrid w:val="0"/>
              <w:spacing w:line="36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rPr>
              <w:t>目标</w:t>
            </w:r>
          </w:p>
        </w:tc>
        <w:tc>
          <w:tcPr>
            <w:tcW w:w="8486" w:type="dxa"/>
            <w:vAlign w:val="center"/>
          </w:tcPr>
          <w:p w14:paraId="4C490F6F">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本项目属于污染影响类建设项目，本次根据《建设项目环境影响报告表编制技术指南（污染影响类）（试行）》确定各环境要素的环境影响评价范围及项目的环境保护目标。</w:t>
            </w:r>
          </w:p>
          <w:p w14:paraId="4462D409">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大气环境：厂界外500m范围内的自然保护区、风景名胜区、居住区、文化区和农村地区中人群集中的区域等保护目标。</w:t>
            </w:r>
          </w:p>
          <w:p w14:paraId="716D562F">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声环境：厂界外50m范围内声环境保护目标。</w:t>
            </w:r>
          </w:p>
          <w:p w14:paraId="48556CD0">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地下水环境：厂界外500m范围内的地下水集中式饮用水水源和热水、矿泉水、温泉等特殊地下水资源。</w:t>
            </w:r>
          </w:p>
          <w:p w14:paraId="4ED6F34F">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生态环境：产业园区外建设项目新增用地的，应明确新增用地范围内生态环境保护目标。</w:t>
            </w:r>
          </w:p>
          <w:p w14:paraId="6FD9E9AD">
            <w:pPr>
              <w:spacing w:line="360" w:lineRule="auto"/>
              <w:ind w:firstLine="480" w:firstLineChars="200"/>
              <w:rPr>
                <w:rFonts w:hint="default" w:ascii="Times New Roman" w:hAnsi="Times New Roman" w:eastAsia="宋体" w:cs="Times New Roman"/>
                <w:color w:val="auto"/>
                <w:kern w:val="0"/>
                <w:sz w:val="24"/>
                <w:szCs w:val="20"/>
                <w:lang w:val="en-US" w:eastAsia="zh-CN"/>
              </w:rPr>
            </w:pPr>
            <w:r>
              <w:rPr>
                <w:rFonts w:hint="default" w:ascii="Times New Roman" w:hAnsi="Times New Roman" w:eastAsia="宋体" w:cs="Times New Roman"/>
                <w:color w:val="auto"/>
                <w:kern w:val="0"/>
                <w:sz w:val="24"/>
                <w:szCs w:val="20"/>
              </w:rPr>
              <w:t>根据现场调查，</w:t>
            </w:r>
            <w:r>
              <w:rPr>
                <w:rFonts w:hint="default" w:ascii="Times New Roman" w:hAnsi="Times New Roman" w:eastAsia="宋体" w:cs="Times New Roman"/>
                <w:color w:val="auto"/>
                <w:kern w:val="0"/>
                <w:sz w:val="24"/>
                <w:szCs w:val="20"/>
                <w:lang w:val="en-US" w:eastAsia="zh-CN"/>
              </w:rPr>
              <w:t>厂界外500m范围内不涉及地下水集中式饮用水水源和热水、矿泉水、温泉等特殊地下水水资源；项目位于已建成闲置厂房内，不涉及新增用地，不涉及生态环境保护目标。本项目环境保护目标</w:t>
            </w:r>
            <w:r>
              <w:rPr>
                <w:rFonts w:hint="default" w:ascii="Times New Roman" w:hAnsi="Times New Roman" w:eastAsia="宋体" w:cs="Times New Roman"/>
                <w:color w:val="auto"/>
                <w:sz w:val="24"/>
              </w:rPr>
              <w:t>见表</w:t>
            </w:r>
            <w:r>
              <w:rPr>
                <w:rFonts w:hint="default" w:ascii="Times New Roman" w:hAnsi="Times New Roman" w:eastAsia="宋体" w:cs="Times New Roman"/>
                <w:color w:val="auto"/>
                <w:sz w:val="24"/>
                <w:lang w:val="en-US" w:eastAsia="zh-CN"/>
              </w:rPr>
              <w:t>3-3</w:t>
            </w:r>
            <w:r>
              <w:rPr>
                <w:rFonts w:hint="default" w:ascii="Times New Roman" w:hAnsi="Times New Roman" w:eastAsia="宋体" w:cs="Times New Roman"/>
                <w:color w:val="auto"/>
                <w:sz w:val="24"/>
              </w:rPr>
              <w:t>。</w:t>
            </w:r>
          </w:p>
          <w:p w14:paraId="73A4A25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表</w:t>
            </w:r>
            <w:r>
              <w:rPr>
                <w:rFonts w:hint="default" w:ascii="Times New Roman" w:hAnsi="Times New Roman" w:eastAsia="宋体" w:cs="Times New Roman"/>
                <w:b/>
                <w:bCs/>
                <w:color w:val="auto"/>
                <w:kern w:val="0"/>
                <w:szCs w:val="21"/>
                <w:lang w:val="en-US" w:eastAsia="zh-CN"/>
              </w:rPr>
              <w:t xml:space="preserve">3-3  </w:t>
            </w:r>
            <w:r>
              <w:rPr>
                <w:rFonts w:hint="default" w:ascii="Times New Roman" w:hAnsi="Times New Roman" w:eastAsia="宋体" w:cs="Times New Roman"/>
                <w:b/>
                <w:bCs/>
                <w:color w:val="auto"/>
                <w:kern w:val="0"/>
                <w:szCs w:val="21"/>
              </w:rPr>
              <w:t>主要环境保护目标一览表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798"/>
              <w:gridCol w:w="3036"/>
              <w:gridCol w:w="1368"/>
              <w:gridCol w:w="2058"/>
            </w:tblGrid>
            <w:tr w14:paraId="75E46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2" w:hRule="atLeast"/>
                <w:tblHeader/>
                <w:jc w:val="center"/>
              </w:trPr>
              <w:tc>
                <w:tcPr>
                  <w:tcW w:w="1088" w:type="pct"/>
                  <w:vMerge w:val="restart"/>
                  <w:noWrap w:val="0"/>
                  <w:vAlign w:val="center"/>
                </w:tcPr>
                <w:p w14:paraId="7F62690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color w:val="auto"/>
                      <w:szCs w:val="21"/>
                    </w:rPr>
                  </w:pPr>
                  <w:r>
                    <w:rPr>
                      <w:rFonts w:hint="default" w:ascii="Times New Roman" w:hAnsi="Times New Roman" w:eastAsia="宋体" w:cs="Times New Roman"/>
                      <w:color w:val="auto"/>
                      <w:kern w:val="0"/>
                      <w:szCs w:val="21"/>
                    </w:rPr>
                    <w:t>环境要素</w:t>
                  </w:r>
                </w:p>
              </w:tc>
              <w:tc>
                <w:tcPr>
                  <w:tcW w:w="1837" w:type="pct"/>
                  <w:vMerge w:val="restart"/>
                  <w:noWrap w:val="0"/>
                  <w:vAlign w:val="center"/>
                </w:tcPr>
                <w:p w14:paraId="6A00649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color w:val="auto"/>
                      <w:szCs w:val="21"/>
                    </w:rPr>
                  </w:pPr>
                  <w:r>
                    <w:rPr>
                      <w:rFonts w:hint="default" w:ascii="Times New Roman" w:hAnsi="Times New Roman" w:eastAsia="宋体" w:cs="Times New Roman"/>
                      <w:bCs/>
                      <w:color w:val="auto"/>
                      <w:szCs w:val="21"/>
                    </w:rPr>
                    <w:t>名称</w:t>
                  </w:r>
                </w:p>
              </w:tc>
              <w:tc>
                <w:tcPr>
                  <w:tcW w:w="828" w:type="pct"/>
                  <w:vMerge w:val="restart"/>
                  <w:noWrap w:val="0"/>
                  <w:vAlign w:val="center"/>
                </w:tcPr>
                <w:p w14:paraId="6B78879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相对厂址方位</w:t>
                  </w:r>
                </w:p>
              </w:tc>
              <w:tc>
                <w:tcPr>
                  <w:tcW w:w="1245" w:type="pct"/>
                  <w:vMerge w:val="restart"/>
                  <w:noWrap w:val="0"/>
                  <w:vAlign w:val="center"/>
                </w:tcPr>
                <w:p w14:paraId="702A23D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相对厂界距离/m</w:t>
                  </w:r>
                </w:p>
              </w:tc>
            </w:tr>
            <w:tr w14:paraId="057D6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2" w:hRule="atLeast"/>
                <w:tblHeader/>
                <w:jc w:val="center"/>
              </w:trPr>
              <w:tc>
                <w:tcPr>
                  <w:tcW w:w="1088" w:type="pct"/>
                  <w:vMerge w:val="continue"/>
                  <w:noWrap w:val="0"/>
                  <w:vAlign w:val="center"/>
                </w:tcPr>
                <w:p w14:paraId="11FDE64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color w:val="auto"/>
                      <w:szCs w:val="21"/>
                    </w:rPr>
                  </w:pPr>
                </w:p>
              </w:tc>
              <w:tc>
                <w:tcPr>
                  <w:tcW w:w="1837" w:type="pct"/>
                  <w:vMerge w:val="continue"/>
                  <w:noWrap w:val="0"/>
                  <w:vAlign w:val="center"/>
                </w:tcPr>
                <w:p w14:paraId="717FF0B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color w:val="auto"/>
                      <w:szCs w:val="21"/>
                    </w:rPr>
                  </w:pPr>
                </w:p>
              </w:tc>
              <w:tc>
                <w:tcPr>
                  <w:tcW w:w="828" w:type="pct"/>
                  <w:vMerge w:val="continue"/>
                  <w:noWrap w:val="0"/>
                  <w:vAlign w:val="center"/>
                </w:tcPr>
                <w:p w14:paraId="1385366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245" w:type="pct"/>
                  <w:vMerge w:val="continue"/>
                  <w:noWrap w:val="0"/>
                  <w:vAlign w:val="center"/>
                </w:tcPr>
                <w:p w14:paraId="7BA636C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r>
            <w:tr w14:paraId="725AF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restart"/>
                  <w:noWrap w:val="0"/>
                  <w:vAlign w:val="center"/>
                </w:tcPr>
                <w:p w14:paraId="031FD3A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环境空气</w:t>
                  </w:r>
                </w:p>
              </w:tc>
              <w:tc>
                <w:tcPr>
                  <w:tcW w:w="1837" w:type="pct"/>
                  <w:shd w:val="clear" w:color="auto" w:fill="auto"/>
                  <w:noWrap w:val="0"/>
                  <w:vAlign w:val="center"/>
                </w:tcPr>
                <w:p w14:paraId="0A1197F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杨河村</w:t>
                  </w:r>
                </w:p>
              </w:tc>
              <w:tc>
                <w:tcPr>
                  <w:tcW w:w="828" w:type="pct"/>
                  <w:noWrap w:val="0"/>
                  <w:vAlign w:val="center"/>
                </w:tcPr>
                <w:p w14:paraId="79060A9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S</w:t>
                  </w:r>
                </w:p>
              </w:tc>
              <w:tc>
                <w:tcPr>
                  <w:tcW w:w="1245" w:type="pct"/>
                  <w:noWrap w:val="0"/>
                  <w:vAlign w:val="center"/>
                </w:tcPr>
                <w:p w14:paraId="6677AAF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5</w:t>
                  </w:r>
                </w:p>
              </w:tc>
            </w:tr>
            <w:tr w14:paraId="25B00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590A8EB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shd w:val="clear" w:color="auto" w:fill="auto"/>
                  <w:noWrap w:val="0"/>
                  <w:vAlign w:val="center"/>
                </w:tcPr>
                <w:p w14:paraId="587D325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阿房幼儿园</w:t>
                  </w:r>
                </w:p>
              </w:tc>
              <w:tc>
                <w:tcPr>
                  <w:tcW w:w="828" w:type="pct"/>
                  <w:shd w:val="clear" w:color="auto" w:fill="auto"/>
                  <w:noWrap w:val="0"/>
                  <w:vAlign w:val="center"/>
                </w:tcPr>
                <w:p w14:paraId="3B3DEFB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N</w:t>
                  </w:r>
                </w:p>
              </w:tc>
              <w:tc>
                <w:tcPr>
                  <w:tcW w:w="1245" w:type="pct"/>
                  <w:shd w:val="clear" w:color="auto" w:fill="auto"/>
                  <w:noWrap w:val="0"/>
                  <w:vAlign w:val="center"/>
                </w:tcPr>
                <w:p w14:paraId="155AD6B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24</w:t>
                  </w:r>
                </w:p>
              </w:tc>
            </w:tr>
            <w:tr w14:paraId="17967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444D4A2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shd w:val="clear" w:color="auto" w:fill="auto"/>
                  <w:noWrap w:val="0"/>
                  <w:vAlign w:val="center"/>
                </w:tcPr>
                <w:p w14:paraId="7CB5A24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highlight w:val="none"/>
                      <w:lang w:val="en-US" w:eastAsia="zh-CN"/>
                    </w:rPr>
                    <w:t>维美德家属楼</w:t>
                  </w:r>
                </w:p>
              </w:tc>
              <w:tc>
                <w:tcPr>
                  <w:tcW w:w="828" w:type="pct"/>
                  <w:noWrap w:val="0"/>
                  <w:vAlign w:val="center"/>
                </w:tcPr>
                <w:p w14:paraId="3140593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N</w:t>
                  </w:r>
                </w:p>
              </w:tc>
              <w:tc>
                <w:tcPr>
                  <w:tcW w:w="1245" w:type="pct"/>
                  <w:noWrap w:val="0"/>
                  <w:vAlign w:val="center"/>
                </w:tcPr>
                <w:p w14:paraId="376F573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24</w:t>
                  </w:r>
                </w:p>
              </w:tc>
            </w:tr>
            <w:tr w14:paraId="1CBDF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5AEADF7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shd w:val="clear" w:color="auto" w:fill="auto"/>
                  <w:noWrap w:val="0"/>
                  <w:vAlign w:val="center"/>
                </w:tcPr>
                <w:p w14:paraId="26CF6EC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至乐小区</w:t>
                  </w:r>
                </w:p>
              </w:tc>
              <w:tc>
                <w:tcPr>
                  <w:tcW w:w="828" w:type="pct"/>
                  <w:noWrap w:val="0"/>
                  <w:vAlign w:val="center"/>
                </w:tcPr>
                <w:p w14:paraId="196DD29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W</w:t>
                  </w:r>
                </w:p>
              </w:tc>
              <w:tc>
                <w:tcPr>
                  <w:tcW w:w="1245" w:type="pct"/>
                  <w:noWrap w:val="0"/>
                  <w:vAlign w:val="center"/>
                </w:tcPr>
                <w:p w14:paraId="4B0AFCB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23</w:t>
                  </w:r>
                </w:p>
              </w:tc>
            </w:tr>
            <w:tr w14:paraId="7C133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0D54C79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02FBAB5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福星苑小区</w:t>
                  </w:r>
                </w:p>
              </w:tc>
              <w:tc>
                <w:tcPr>
                  <w:tcW w:w="828" w:type="pct"/>
                  <w:noWrap w:val="0"/>
                  <w:vAlign w:val="center"/>
                </w:tcPr>
                <w:p w14:paraId="61CC3CD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N</w:t>
                  </w:r>
                </w:p>
              </w:tc>
              <w:tc>
                <w:tcPr>
                  <w:tcW w:w="1245" w:type="pct"/>
                  <w:noWrap w:val="0"/>
                  <w:vAlign w:val="center"/>
                </w:tcPr>
                <w:p w14:paraId="1EF1810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84</w:t>
                  </w:r>
                </w:p>
              </w:tc>
            </w:tr>
            <w:tr w14:paraId="3D4C7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19461B3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5995AE2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龙华小区</w:t>
                  </w:r>
                </w:p>
              </w:tc>
              <w:tc>
                <w:tcPr>
                  <w:tcW w:w="828" w:type="pct"/>
                  <w:noWrap w:val="0"/>
                  <w:vAlign w:val="center"/>
                </w:tcPr>
                <w:p w14:paraId="5A44E20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N</w:t>
                  </w:r>
                </w:p>
              </w:tc>
              <w:tc>
                <w:tcPr>
                  <w:tcW w:w="1245" w:type="pct"/>
                  <w:noWrap w:val="0"/>
                  <w:vAlign w:val="center"/>
                </w:tcPr>
                <w:p w14:paraId="3178103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140</w:t>
                  </w:r>
                </w:p>
              </w:tc>
            </w:tr>
            <w:tr w14:paraId="2B33D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79FD60C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6546EE6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北何花园</w:t>
                  </w:r>
                </w:p>
              </w:tc>
              <w:tc>
                <w:tcPr>
                  <w:tcW w:w="828" w:type="pct"/>
                  <w:noWrap w:val="0"/>
                  <w:vAlign w:val="center"/>
                </w:tcPr>
                <w:p w14:paraId="48E89DB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W</w:t>
                  </w:r>
                </w:p>
              </w:tc>
              <w:tc>
                <w:tcPr>
                  <w:tcW w:w="1245" w:type="pct"/>
                  <w:noWrap w:val="0"/>
                  <w:vAlign w:val="center"/>
                </w:tcPr>
                <w:p w14:paraId="4FD4A9E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180</w:t>
                  </w:r>
                </w:p>
              </w:tc>
            </w:tr>
            <w:tr w14:paraId="4C709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4EE3BA8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75CE7B7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一针小区</w:t>
                  </w:r>
                </w:p>
              </w:tc>
              <w:tc>
                <w:tcPr>
                  <w:tcW w:w="828" w:type="pct"/>
                  <w:noWrap w:val="0"/>
                  <w:vAlign w:val="center"/>
                </w:tcPr>
                <w:p w14:paraId="4833FFF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SW</w:t>
                  </w:r>
                </w:p>
              </w:tc>
              <w:tc>
                <w:tcPr>
                  <w:tcW w:w="1245" w:type="pct"/>
                  <w:noWrap w:val="0"/>
                  <w:vAlign w:val="center"/>
                </w:tcPr>
                <w:p w14:paraId="09931AB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267</w:t>
                  </w:r>
                </w:p>
              </w:tc>
            </w:tr>
            <w:tr w14:paraId="7943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7F506C8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6DB1A3A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z w:val="21"/>
                      <w:szCs w:val="24"/>
                    </w:rPr>
                    <w:t>西纺</w:t>
                  </w:r>
                  <w:r>
                    <w:rPr>
                      <w:rFonts w:hint="default" w:ascii="Times New Roman" w:hAnsi="Times New Roman" w:eastAsia="宋体" w:cs="Times New Roman"/>
                      <w:color w:val="auto"/>
                      <w:sz w:val="21"/>
                      <w:szCs w:val="24"/>
                      <w:lang w:val="en-US" w:eastAsia="zh-CN"/>
                    </w:rPr>
                    <w:t>四村小区</w:t>
                  </w:r>
                </w:p>
              </w:tc>
              <w:tc>
                <w:tcPr>
                  <w:tcW w:w="828" w:type="pct"/>
                  <w:noWrap w:val="0"/>
                  <w:vAlign w:val="center"/>
                </w:tcPr>
                <w:p w14:paraId="1774A99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S</w:t>
                  </w:r>
                </w:p>
              </w:tc>
              <w:tc>
                <w:tcPr>
                  <w:tcW w:w="1245" w:type="pct"/>
                  <w:noWrap w:val="0"/>
                  <w:vAlign w:val="center"/>
                </w:tcPr>
                <w:p w14:paraId="098158C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370</w:t>
                  </w:r>
                </w:p>
              </w:tc>
            </w:tr>
            <w:tr w14:paraId="5A889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035DCB5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356E672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 w:val="21"/>
                      <w:szCs w:val="21"/>
                      <w:lang w:val="en-US" w:eastAsia="zh-CN" w:bidi="ar-SA"/>
                    </w:rPr>
                    <w:t>杨河新区</w:t>
                  </w:r>
                </w:p>
              </w:tc>
              <w:tc>
                <w:tcPr>
                  <w:tcW w:w="828" w:type="pct"/>
                  <w:noWrap w:val="0"/>
                  <w:vAlign w:val="center"/>
                </w:tcPr>
                <w:p w14:paraId="676BE1F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S</w:t>
                  </w:r>
                </w:p>
              </w:tc>
              <w:tc>
                <w:tcPr>
                  <w:tcW w:w="1245" w:type="pct"/>
                  <w:noWrap w:val="0"/>
                  <w:vAlign w:val="center"/>
                </w:tcPr>
                <w:p w14:paraId="4D7D352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130</w:t>
                  </w:r>
                </w:p>
              </w:tc>
            </w:tr>
            <w:tr w14:paraId="4364B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1CFFDFB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43D54D8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荷花名苑</w:t>
                  </w:r>
                </w:p>
              </w:tc>
              <w:tc>
                <w:tcPr>
                  <w:tcW w:w="828" w:type="pct"/>
                  <w:noWrap w:val="0"/>
                  <w:vAlign w:val="center"/>
                </w:tcPr>
                <w:p w14:paraId="4560BF6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SW</w:t>
                  </w:r>
                </w:p>
              </w:tc>
              <w:tc>
                <w:tcPr>
                  <w:tcW w:w="1245" w:type="pct"/>
                  <w:noWrap w:val="0"/>
                  <w:vAlign w:val="center"/>
                </w:tcPr>
                <w:p w14:paraId="6ABA634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404</w:t>
                  </w:r>
                </w:p>
              </w:tc>
            </w:tr>
            <w:tr w14:paraId="77020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6051BFD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66CD0F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雅荷鑫苑</w:t>
                  </w:r>
                </w:p>
              </w:tc>
              <w:tc>
                <w:tcPr>
                  <w:tcW w:w="828" w:type="pct"/>
                  <w:noWrap w:val="0"/>
                  <w:vAlign w:val="center"/>
                </w:tcPr>
                <w:p w14:paraId="17C3B2C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SW</w:t>
                  </w:r>
                </w:p>
              </w:tc>
              <w:tc>
                <w:tcPr>
                  <w:tcW w:w="1245" w:type="pct"/>
                  <w:noWrap w:val="0"/>
                  <w:vAlign w:val="center"/>
                </w:tcPr>
                <w:p w14:paraId="6A4832D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349</w:t>
                  </w:r>
                </w:p>
              </w:tc>
            </w:tr>
            <w:tr w14:paraId="4F260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07C353A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7AE56FD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北何村</w:t>
                  </w:r>
                </w:p>
              </w:tc>
              <w:tc>
                <w:tcPr>
                  <w:tcW w:w="828" w:type="pct"/>
                  <w:noWrap w:val="0"/>
                  <w:vAlign w:val="center"/>
                </w:tcPr>
                <w:p w14:paraId="28EB9F0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W</w:t>
                  </w:r>
                </w:p>
              </w:tc>
              <w:tc>
                <w:tcPr>
                  <w:tcW w:w="1245" w:type="pct"/>
                  <w:noWrap w:val="0"/>
                  <w:vAlign w:val="center"/>
                </w:tcPr>
                <w:p w14:paraId="0CD7D19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335</w:t>
                  </w:r>
                </w:p>
              </w:tc>
            </w:tr>
            <w:tr w14:paraId="3CF11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75288AE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4CA9FF6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华宇东原阅境</w:t>
                  </w:r>
                </w:p>
              </w:tc>
              <w:tc>
                <w:tcPr>
                  <w:tcW w:w="828" w:type="pct"/>
                  <w:noWrap w:val="0"/>
                  <w:vAlign w:val="center"/>
                </w:tcPr>
                <w:p w14:paraId="6828695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N</w:t>
                  </w:r>
                </w:p>
              </w:tc>
              <w:tc>
                <w:tcPr>
                  <w:tcW w:w="1245" w:type="pct"/>
                  <w:noWrap w:val="0"/>
                  <w:vAlign w:val="center"/>
                </w:tcPr>
                <w:p w14:paraId="771C808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430</w:t>
                  </w:r>
                </w:p>
              </w:tc>
            </w:tr>
            <w:tr w14:paraId="1E68C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5DF5520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rPr>
                  </w:pPr>
                </w:p>
              </w:tc>
              <w:tc>
                <w:tcPr>
                  <w:tcW w:w="1837" w:type="pct"/>
                  <w:noWrap w:val="0"/>
                  <w:vAlign w:val="center"/>
                </w:tcPr>
                <w:p w14:paraId="21296D4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车刘村安置小区</w:t>
                  </w:r>
                </w:p>
              </w:tc>
              <w:tc>
                <w:tcPr>
                  <w:tcW w:w="828" w:type="pct"/>
                  <w:noWrap w:val="0"/>
                  <w:vAlign w:val="center"/>
                </w:tcPr>
                <w:p w14:paraId="7A6E98E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N</w:t>
                  </w:r>
                </w:p>
              </w:tc>
              <w:tc>
                <w:tcPr>
                  <w:tcW w:w="1245" w:type="pct"/>
                  <w:noWrap w:val="0"/>
                  <w:vAlign w:val="center"/>
                </w:tcPr>
                <w:p w14:paraId="419B0D1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294</w:t>
                  </w:r>
                </w:p>
              </w:tc>
            </w:tr>
            <w:tr w14:paraId="2EA20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restart"/>
                  <w:noWrap w:val="0"/>
                  <w:vAlign w:val="center"/>
                </w:tcPr>
                <w:p w14:paraId="0F98FF5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声环境</w:t>
                  </w:r>
                </w:p>
              </w:tc>
              <w:tc>
                <w:tcPr>
                  <w:tcW w:w="1837" w:type="pct"/>
                  <w:shd w:val="clear" w:color="auto" w:fill="auto"/>
                  <w:noWrap w:val="0"/>
                  <w:vAlign w:val="center"/>
                </w:tcPr>
                <w:p w14:paraId="7D47681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杨河村</w:t>
                  </w:r>
                </w:p>
              </w:tc>
              <w:tc>
                <w:tcPr>
                  <w:tcW w:w="828" w:type="pct"/>
                  <w:shd w:val="clear" w:color="auto" w:fill="auto"/>
                  <w:noWrap w:val="0"/>
                  <w:vAlign w:val="center"/>
                </w:tcPr>
                <w:p w14:paraId="5ED96A2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S</w:t>
                  </w:r>
                </w:p>
              </w:tc>
              <w:tc>
                <w:tcPr>
                  <w:tcW w:w="1245" w:type="pct"/>
                  <w:shd w:val="clear" w:color="auto" w:fill="auto"/>
                  <w:noWrap w:val="0"/>
                  <w:vAlign w:val="center"/>
                </w:tcPr>
                <w:p w14:paraId="475963D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5</w:t>
                  </w:r>
                </w:p>
              </w:tc>
            </w:tr>
            <w:tr w14:paraId="4D70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555CE0A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p>
              </w:tc>
              <w:tc>
                <w:tcPr>
                  <w:tcW w:w="1837" w:type="pct"/>
                  <w:shd w:val="clear" w:color="auto" w:fill="auto"/>
                  <w:noWrap w:val="0"/>
                  <w:vAlign w:val="center"/>
                </w:tcPr>
                <w:p w14:paraId="7AD7A99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highlight w:val="none"/>
                      <w:lang w:val="en-US" w:eastAsia="zh-CN"/>
                    </w:rPr>
                    <w:t>维美德家属楼</w:t>
                  </w:r>
                </w:p>
              </w:tc>
              <w:tc>
                <w:tcPr>
                  <w:tcW w:w="828" w:type="pct"/>
                  <w:shd w:val="clear" w:color="auto" w:fill="auto"/>
                  <w:noWrap w:val="0"/>
                  <w:vAlign w:val="center"/>
                </w:tcPr>
                <w:p w14:paraId="558A2F7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N</w:t>
                  </w:r>
                </w:p>
              </w:tc>
              <w:tc>
                <w:tcPr>
                  <w:tcW w:w="1245" w:type="pct"/>
                  <w:shd w:val="clear" w:color="auto" w:fill="auto"/>
                  <w:noWrap w:val="0"/>
                  <w:vAlign w:val="center"/>
                </w:tcPr>
                <w:p w14:paraId="06B6B63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24</w:t>
                  </w:r>
                </w:p>
              </w:tc>
            </w:tr>
            <w:tr w14:paraId="4E779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1A4EE24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p>
              </w:tc>
              <w:tc>
                <w:tcPr>
                  <w:tcW w:w="1837" w:type="pct"/>
                  <w:shd w:val="clear" w:color="auto" w:fill="auto"/>
                  <w:noWrap w:val="0"/>
                  <w:vAlign w:val="center"/>
                </w:tcPr>
                <w:p w14:paraId="2377159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阿房幼儿园</w:t>
                  </w:r>
                </w:p>
              </w:tc>
              <w:tc>
                <w:tcPr>
                  <w:tcW w:w="828" w:type="pct"/>
                  <w:shd w:val="clear" w:color="auto" w:fill="auto"/>
                  <w:noWrap w:val="0"/>
                  <w:vAlign w:val="center"/>
                </w:tcPr>
                <w:p w14:paraId="3F6CC1E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N</w:t>
                  </w:r>
                </w:p>
              </w:tc>
              <w:tc>
                <w:tcPr>
                  <w:tcW w:w="1245" w:type="pct"/>
                  <w:shd w:val="clear" w:color="auto" w:fill="auto"/>
                  <w:noWrap w:val="0"/>
                  <w:vAlign w:val="center"/>
                </w:tcPr>
                <w:p w14:paraId="470FE3A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24</w:t>
                  </w:r>
                </w:p>
              </w:tc>
            </w:tr>
            <w:tr w14:paraId="47BB1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1088" w:type="pct"/>
                  <w:vMerge w:val="continue"/>
                  <w:noWrap w:val="0"/>
                  <w:vAlign w:val="center"/>
                </w:tcPr>
                <w:p w14:paraId="2956E33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Cs w:val="21"/>
                      <w:lang w:val="en-US" w:eastAsia="zh-CN"/>
                    </w:rPr>
                  </w:pPr>
                </w:p>
              </w:tc>
              <w:tc>
                <w:tcPr>
                  <w:tcW w:w="1837" w:type="pct"/>
                  <w:shd w:val="clear" w:color="auto" w:fill="auto"/>
                  <w:noWrap w:val="0"/>
                  <w:vAlign w:val="center"/>
                </w:tcPr>
                <w:p w14:paraId="2F5A049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至乐小区</w:t>
                  </w:r>
                </w:p>
              </w:tc>
              <w:tc>
                <w:tcPr>
                  <w:tcW w:w="828" w:type="pct"/>
                  <w:shd w:val="clear" w:color="auto" w:fill="auto"/>
                  <w:noWrap w:val="0"/>
                  <w:vAlign w:val="center"/>
                </w:tcPr>
                <w:p w14:paraId="6A6742D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W</w:t>
                  </w:r>
                </w:p>
              </w:tc>
              <w:tc>
                <w:tcPr>
                  <w:tcW w:w="1245" w:type="pct"/>
                  <w:shd w:val="clear" w:color="auto" w:fill="auto"/>
                  <w:noWrap w:val="0"/>
                  <w:vAlign w:val="center"/>
                </w:tcPr>
                <w:p w14:paraId="7E2290C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23</w:t>
                  </w:r>
                </w:p>
              </w:tc>
            </w:tr>
          </w:tbl>
          <w:p w14:paraId="44C109C9">
            <w:pPr>
              <w:spacing w:line="360" w:lineRule="auto"/>
              <w:ind w:firstLine="480" w:firstLineChars="200"/>
              <w:rPr>
                <w:rFonts w:hint="default" w:ascii="Times New Roman" w:hAnsi="Times New Roman" w:eastAsia="宋体" w:cs="Times New Roman"/>
                <w:color w:val="auto"/>
                <w:kern w:val="0"/>
                <w:sz w:val="24"/>
                <w:szCs w:val="20"/>
                <w:lang w:eastAsia="zh-CN"/>
              </w:rPr>
            </w:pPr>
          </w:p>
          <w:p w14:paraId="7D1EE687">
            <w:pPr>
              <w:adjustRightInd w:val="0"/>
              <w:snapToGrid w:val="0"/>
              <w:rPr>
                <w:rFonts w:hint="default" w:ascii="Times New Roman" w:hAnsi="Times New Roman" w:eastAsia="宋体" w:cs="Times New Roman"/>
                <w:color w:val="auto"/>
                <w:kern w:val="0"/>
                <w:szCs w:val="21"/>
              </w:rPr>
            </w:pPr>
          </w:p>
        </w:tc>
      </w:tr>
      <w:tr w14:paraId="17E90C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13" w:type="dxa"/>
            <w:tcMar>
              <w:left w:w="28" w:type="dxa"/>
              <w:right w:w="28" w:type="dxa"/>
            </w:tcMar>
            <w:vAlign w:val="center"/>
          </w:tcPr>
          <w:p w14:paraId="3936F3A8">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污染</w:t>
            </w:r>
          </w:p>
          <w:p w14:paraId="73BD36C0">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物排</w:t>
            </w:r>
          </w:p>
          <w:p w14:paraId="3D163A00">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放控</w:t>
            </w:r>
          </w:p>
          <w:p w14:paraId="6512963E">
            <w:pPr>
              <w:adjustRightInd w:val="0"/>
              <w:snapToGrid w:val="0"/>
              <w:spacing w:line="360" w:lineRule="auto"/>
              <w:jc w:val="center"/>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制标</w:t>
            </w:r>
          </w:p>
          <w:p w14:paraId="3F7DFF27">
            <w:pPr>
              <w:adjustRightInd w:val="0"/>
              <w:snapToGrid w:val="0"/>
              <w:spacing w:line="360" w:lineRule="auto"/>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 w:val="24"/>
              </w:rPr>
              <w:t>准</w:t>
            </w:r>
          </w:p>
        </w:tc>
        <w:tc>
          <w:tcPr>
            <w:tcW w:w="8486" w:type="dxa"/>
            <w:vAlign w:val="center"/>
          </w:tcPr>
          <w:p w14:paraId="0B2ABFBB">
            <w:pPr>
              <w:numPr>
                <w:ilvl w:val="0"/>
                <w:numId w:val="2"/>
              </w:numPr>
              <w:adjustRightIn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废气排放标准</w:t>
            </w:r>
          </w:p>
          <w:p w14:paraId="0023A53A">
            <w:pPr>
              <w:adjustRightIn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施工扬尘执行《施工厂界扬尘排放限值》（DB61/1078-2017）的相关规定.。</w:t>
            </w:r>
          </w:p>
          <w:p w14:paraId="42F6BA05">
            <w:pPr>
              <w:adjustRightInd w:val="0"/>
              <w:snapToGrid w:val="0"/>
              <w:jc w:val="center"/>
              <w:rPr>
                <w:rFonts w:hint="default" w:ascii="Times New Roman" w:hAnsi="Times New Roman" w:eastAsia="宋体" w:cs="Times New Roman"/>
                <w:b/>
                <w:snapToGrid w:val="0"/>
                <w:color w:val="auto"/>
                <w:kern w:val="0"/>
                <w:szCs w:val="21"/>
              </w:rPr>
            </w:pPr>
            <w:r>
              <w:rPr>
                <w:rFonts w:hint="default" w:ascii="Times New Roman" w:hAnsi="Times New Roman" w:eastAsia="宋体" w:cs="Times New Roman"/>
                <w:b/>
                <w:snapToGrid w:val="0"/>
                <w:color w:val="auto"/>
                <w:kern w:val="0"/>
                <w:szCs w:val="21"/>
              </w:rPr>
              <w:t>表3-</w:t>
            </w:r>
            <w:r>
              <w:rPr>
                <w:rFonts w:hint="default" w:ascii="Times New Roman" w:hAnsi="Times New Roman" w:eastAsia="宋体" w:cs="Times New Roman"/>
                <w:b/>
                <w:snapToGrid w:val="0"/>
                <w:color w:val="auto"/>
                <w:kern w:val="0"/>
                <w:szCs w:val="21"/>
                <w:lang w:val="en-US" w:eastAsia="zh-CN"/>
              </w:rPr>
              <w:t>7</w:t>
            </w:r>
            <w:r>
              <w:rPr>
                <w:rFonts w:hint="default" w:ascii="Times New Roman" w:hAnsi="Times New Roman" w:eastAsia="宋体" w:cs="Times New Roman"/>
                <w:b/>
                <w:snapToGrid w:val="0"/>
                <w:color w:val="auto"/>
                <w:kern w:val="0"/>
                <w:szCs w:val="21"/>
              </w:rPr>
              <w:t xml:space="preserve">   施工期废气排放标准     单位：mg/m</w:t>
            </w:r>
            <w:r>
              <w:rPr>
                <w:rFonts w:hint="default" w:ascii="Times New Roman" w:hAnsi="Times New Roman" w:eastAsia="宋体" w:cs="Times New Roman"/>
                <w:b/>
                <w:snapToGrid w:val="0"/>
                <w:color w:val="auto"/>
                <w:kern w:val="0"/>
                <w:szCs w:val="21"/>
                <w:vertAlign w:val="superscript"/>
              </w:rPr>
              <w:t>3</w:t>
            </w:r>
          </w:p>
          <w:tbl>
            <w:tblPr>
              <w:tblStyle w:val="20"/>
              <w:tblW w:w="830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44"/>
              <w:gridCol w:w="1140"/>
              <w:gridCol w:w="1037"/>
              <w:gridCol w:w="3287"/>
            </w:tblGrid>
            <w:tr w14:paraId="7DADF2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restart"/>
                  <w:tcBorders>
                    <w:top w:val="single" w:color="auto" w:sz="4" w:space="0"/>
                    <w:left w:val="single" w:color="auto" w:sz="0" w:space="0"/>
                    <w:tl2br w:val="nil"/>
                    <w:tr2bl w:val="nil"/>
                  </w:tcBorders>
                  <w:vAlign w:val="center"/>
                </w:tcPr>
                <w:p w14:paraId="42513768">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标准名称</w:t>
                  </w:r>
                </w:p>
              </w:tc>
              <w:tc>
                <w:tcPr>
                  <w:tcW w:w="1140" w:type="dxa"/>
                  <w:vMerge w:val="restart"/>
                  <w:tcBorders>
                    <w:top w:val="single" w:color="auto" w:sz="4" w:space="0"/>
                    <w:tl2br w:val="nil"/>
                    <w:tr2bl w:val="nil"/>
                  </w:tcBorders>
                  <w:vAlign w:val="center"/>
                </w:tcPr>
                <w:p w14:paraId="6A288228">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使用类别</w:t>
                  </w:r>
                </w:p>
              </w:tc>
              <w:tc>
                <w:tcPr>
                  <w:tcW w:w="4324" w:type="dxa"/>
                  <w:gridSpan w:val="2"/>
                  <w:tcBorders>
                    <w:top w:val="single" w:color="auto" w:sz="4" w:space="0"/>
                    <w:right w:val="single" w:color="auto" w:sz="4" w:space="0"/>
                    <w:tl2br w:val="nil"/>
                    <w:tr2bl w:val="nil"/>
                  </w:tcBorders>
                  <w:vAlign w:val="center"/>
                </w:tcPr>
                <w:p w14:paraId="39BD65DA">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标准值</w:t>
                  </w:r>
                </w:p>
              </w:tc>
            </w:tr>
            <w:tr w14:paraId="506918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continue"/>
                  <w:tcBorders>
                    <w:left w:val="single" w:color="auto" w:sz="4" w:space="0"/>
                    <w:tl2br w:val="nil"/>
                    <w:tr2bl w:val="nil"/>
                  </w:tcBorders>
                  <w:vAlign w:val="center"/>
                </w:tcPr>
                <w:p w14:paraId="1E51EC01">
                  <w:pPr>
                    <w:pStyle w:val="31"/>
                    <w:spacing w:line="240" w:lineRule="auto"/>
                    <w:rPr>
                      <w:rFonts w:hint="default" w:ascii="Times New Roman" w:hAnsi="Times New Roman" w:eastAsia="宋体" w:cs="Times New Roman"/>
                      <w:bCs/>
                      <w:color w:val="auto"/>
                      <w:sz w:val="21"/>
                      <w:szCs w:val="21"/>
                    </w:rPr>
                  </w:pPr>
                </w:p>
              </w:tc>
              <w:tc>
                <w:tcPr>
                  <w:tcW w:w="1140" w:type="dxa"/>
                  <w:vMerge w:val="continue"/>
                  <w:tcBorders>
                    <w:tl2br w:val="nil"/>
                    <w:tr2bl w:val="nil"/>
                  </w:tcBorders>
                  <w:vAlign w:val="center"/>
                </w:tcPr>
                <w:p w14:paraId="5CFE5743">
                  <w:pPr>
                    <w:pStyle w:val="31"/>
                    <w:spacing w:line="240" w:lineRule="auto"/>
                    <w:rPr>
                      <w:rFonts w:hint="default" w:ascii="Times New Roman" w:hAnsi="Times New Roman" w:eastAsia="宋体" w:cs="Times New Roman"/>
                      <w:bCs/>
                      <w:color w:val="auto"/>
                      <w:sz w:val="21"/>
                      <w:szCs w:val="21"/>
                    </w:rPr>
                  </w:pPr>
                </w:p>
              </w:tc>
              <w:tc>
                <w:tcPr>
                  <w:tcW w:w="1037" w:type="dxa"/>
                  <w:tcBorders>
                    <w:tl2br w:val="nil"/>
                    <w:tr2bl w:val="nil"/>
                  </w:tcBorders>
                  <w:vAlign w:val="center"/>
                </w:tcPr>
                <w:p w14:paraId="1F5CA137">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污染物</w:t>
                  </w:r>
                </w:p>
              </w:tc>
              <w:tc>
                <w:tcPr>
                  <w:tcW w:w="3287" w:type="dxa"/>
                  <w:tcBorders>
                    <w:right w:val="single" w:color="auto" w:sz="4" w:space="0"/>
                    <w:tl2br w:val="nil"/>
                    <w:tr2bl w:val="nil"/>
                  </w:tcBorders>
                  <w:vAlign w:val="center"/>
                </w:tcPr>
                <w:p w14:paraId="08096F78">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浓度限值mg/m</w:t>
                  </w:r>
                  <w:r>
                    <w:rPr>
                      <w:rFonts w:hint="default" w:ascii="Times New Roman" w:hAnsi="Times New Roman" w:eastAsia="宋体" w:cs="Times New Roman"/>
                      <w:bCs/>
                      <w:color w:val="auto"/>
                      <w:sz w:val="21"/>
                      <w:szCs w:val="21"/>
                      <w:vertAlign w:val="superscript"/>
                    </w:rPr>
                    <w:t>3</w:t>
                  </w:r>
                </w:p>
              </w:tc>
            </w:tr>
            <w:tr w14:paraId="09339F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restart"/>
                  <w:tcBorders>
                    <w:left w:val="single" w:color="auto" w:sz="4" w:space="0"/>
                    <w:tl2br w:val="nil"/>
                    <w:tr2bl w:val="nil"/>
                  </w:tcBorders>
                  <w:vAlign w:val="center"/>
                </w:tcPr>
                <w:p w14:paraId="79F5D189">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《施工场界扬尘排放限值》（DB61/1078-2017）</w:t>
                  </w:r>
                </w:p>
              </w:tc>
              <w:tc>
                <w:tcPr>
                  <w:tcW w:w="1140" w:type="dxa"/>
                  <w:vMerge w:val="restart"/>
                  <w:tcBorders>
                    <w:tl2br w:val="nil"/>
                    <w:tr2bl w:val="nil"/>
                  </w:tcBorders>
                  <w:vAlign w:val="center"/>
                </w:tcPr>
                <w:p w14:paraId="3F9183D3">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施工扬尘</w:t>
                  </w:r>
                </w:p>
              </w:tc>
              <w:tc>
                <w:tcPr>
                  <w:tcW w:w="1037" w:type="dxa"/>
                  <w:vMerge w:val="restart"/>
                  <w:tcBorders>
                    <w:tl2br w:val="nil"/>
                    <w:tr2bl w:val="nil"/>
                  </w:tcBorders>
                  <w:vAlign w:val="center"/>
                </w:tcPr>
                <w:p w14:paraId="496C7B42">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TSP</w:t>
                  </w:r>
                </w:p>
              </w:tc>
              <w:tc>
                <w:tcPr>
                  <w:tcW w:w="3287" w:type="dxa"/>
                  <w:tcBorders>
                    <w:right w:val="single" w:color="auto" w:sz="4" w:space="0"/>
                    <w:tl2br w:val="nil"/>
                    <w:tr2bl w:val="nil"/>
                  </w:tcBorders>
                  <w:vAlign w:val="center"/>
                </w:tcPr>
                <w:p w14:paraId="798EBD01">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拆除、土方及地基处理工程≦0.8</w:t>
                  </w:r>
                </w:p>
              </w:tc>
            </w:tr>
            <w:tr w14:paraId="5D2523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4" w:type="dxa"/>
                  <w:vMerge w:val="continue"/>
                  <w:tcBorders>
                    <w:left w:val="single" w:color="auto" w:sz="4" w:space="0"/>
                    <w:bottom w:val="single" w:color="auto" w:sz="4" w:space="0"/>
                    <w:tl2br w:val="nil"/>
                    <w:tr2bl w:val="nil"/>
                  </w:tcBorders>
                  <w:vAlign w:val="center"/>
                </w:tcPr>
                <w:p w14:paraId="3D447B02">
                  <w:pPr>
                    <w:pStyle w:val="31"/>
                    <w:spacing w:line="240" w:lineRule="auto"/>
                    <w:rPr>
                      <w:rFonts w:hint="default" w:ascii="Times New Roman" w:hAnsi="Times New Roman" w:eastAsia="宋体" w:cs="Times New Roman"/>
                      <w:bCs/>
                      <w:color w:val="auto"/>
                      <w:sz w:val="21"/>
                      <w:szCs w:val="21"/>
                    </w:rPr>
                  </w:pPr>
                </w:p>
              </w:tc>
              <w:tc>
                <w:tcPr>
                  <w:tcW w:w="1140" w:type="dxa"/>
                  <w:vMerge w:val="continue"/>
                  <w:tcBorders>
                    <w:bottom w:val="single" w:color="auto" w:sz="4" w:space="0"/>
                    <w:tl2br w:val="nil"/>
                    <w:tr2bl w:val="nil"/>
                  </w:tcBorders>
                  <w:vAlign w:val="center"/>
                </w:tcPr>
                <w:p w14:paraId="7EB99EC3">
                  <w:pPr>
                    <w:pStyle w:val="31"/>
                    <w:spacing w:line="240" w:lineRule="auto"/>
                    <w:rPr>
                      <w:rFonts w:hint="default" w:ascii="Times New Roman" w:hAnsi="Times New Roman" w:eastAsia="宋体" w:cs="Times New Roman"/>
                      <w:bCs/>
                      <w:color w:val="auto"/>
                      <w:sz w:val="21"/>
                      <w:szCs w:val="21"/>
                    </w:rPr>
                  </w:pPr>
                </w:p>
              </w:tc>
              <w:tc>
                <w:tcPr>
                  <w:tcW w:w="1037" w:type="dxa"/>
                  <w:vMerge w:val="continue"/>
                  <w:tcBorders>
                    <w:bottom w:val="single" w:color="auto" w:sz="4" w:space="0"/>
                    <w:tl2br w:val="nil"/>
                    <w:tr2bl w:val="nil"/>
                  </w:tcBorders>
                  <w:vAlign w:val="center"/>
                </w:tcPr>
                <w:p w14:paraId="476F44BE">
                  <w:pPr>
                    <w:pStyle w:val="31"/>
                    <w:spacing w:line="240" w:lineRule="auto"/>
                    <w:rPr>
                      <w:rFonts w:hint="default" w:ascii="Times New Roman" w:hAnsi="Times New Roman" w:eastAsia="宋体" w:cs="Times New Roman"/>
                      <w:bCs/>
                      <w:color w:val="auto"/>
                      <w:sz w:val="21"/>
                      <w:szCs w:val="21"/>
                    </w:rPr>
                  </w:pPr>
                </w:p>
              </w:tc>
              <w:tc>
                <w:tcPr>
                  <w:tcW w:w="3287" w:type="dxa"/>
                  <w:tcBorders>
                    <w:bottom w:val="single" w:color="auto" w:sz="4" w:space="0"/>
                    <w:right w:val="single" w:color="auto" w:sz="4" w:space="0"/>
                    <w:tl2br w:val="nil"/>
                    <w:tr2bl w:val="nil"/>
                  </w:tcBorders>
                  <w:vAlign w:val="center"/>
                </w:tcPr>
                <w:p w14:paraId="1335EE45">
                  <w:pPr>
                    <w:pStyle w:val="31"/>
                    <w:spacing w:line="24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基础、主体结构及装饰工程≦0.7</w:t>
                  </w:r>
                </w:p>
              </w:tc>
            </w:tr>
          </w:tbl>
          <w:p w14:paraId="4176059D">
            <w:pPr>
              <w:adjustRightInd w:val="0"/>
              <w:snapToGrid w:val="0"/>
              <w:spacing w:before="120" w:beforeLines="50" w:line="360" w:lineRule="auto"/>
              <w:ind w:firstLine="480"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运营期</w:t>
            </w:r>
            <w:r>
              <w:rPr>
                <w:rFonts w:hint="default" w:ascii="Times New Roman" w:hAnsi="Times New Roman" w:eastAsia="宋体" w:cs="Times New Roman"/>
                <w:bCs/>
                <w:color w:val="auto"/>
                <w:sz w:val="24"/>
                <w:szCs w:val="24"/>
                <w:lang w:val="en-US" w:eastAsia="zh-CN"/>
              </w:rPr>
              <w:t>颗粒物执行《大气污染物综合排放标准》（GB16297-1996）表2颗粒物排放限值要求，有机废气执行《挥发性有机物排放控制标准》（DB61/T1061-2017）表1及表3相关排放限值，车间内无组织有机废气执行《挥发性有机物无组织排放控制标准》（GB37822-2019）中特别排放限值。</w:t>
            </w:r>
            <w:r>
              <w:rPr>
                <w:rFonts w:hint="default" w:ascii="Times New Roman" w:hAnsi="Times New Roman" w:eastAsia="宋体" w:cs="Times New Roman"/>
                <w:bCs/>
                <w:color w:val="auto"/>
                <w:sz w:val="24"/>
                <w:szCs w:val="24"/>
              </w:rPr>
              <w:t>具体标准值见表3-</w:t>
            </w:r>
            <w:r>
              <w:rPr>
                <w:rFonts w:hint="default" w:ascii="Times New Roman" w:hAnsi="Times New Roman" w:eastAsia="宋体" w:cs="Times New Roman"/>
                <w:bCs/>
                <w:color w:val="auto"/>
                <w:sz w:val="24"/>
                <w:szCs w:val="24"/>
                <w:lang w:val="en-US" w:eastAsia="zh-CN"/>
              </w:rPr>
              <w:t>8</w:t>
            </w:r>
            <w:r>
              <w:rPr>
                <w:rFonts w:hint="default" w:ascii="Times New Roman" w:hAnsi="Times New Roman" w:eastAsia="宋体" w:cs="Times New Roman"/>
                <w:bCs/>
                <w:color w:val="auto"/>
                <w:sz w:val="24"/>
                <w:szCs w:val="24"/>
              </w:rPr>
              <w:t>。</w:t>
            </w:r>
          </w:p>
          <w:p w14:paraId="4B2BDFFB">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snapToGrid w:val="0"/>
                <w:color w:val="auto"/>
                <w:kern w:val="0"/>
                <w:szCs w:val="21"/>
              </w:rPr>
              <w:t>表3-</w:t>
            </w:r>
            <w:r>
              <w:rPr>
                <w:rFonts w:hint="default" w:ascii="Times New Roman" w:hAnsi="Times New Roman" w:eastAsia="宋体" w:cs="Times New Roman"/>
                <w:b/>
                <w:snapToGrid w:val="0"/>
                <w:color w:val="auto"/>
                <w:kern w:val="0"/>
                <w:szCs w:val="21"/>
                <w:lang w:val="en-US" w:eastAsia="zh-CN"/>
              </w:rPr>
              <w:t>8</w:t>
            </w:r>
            <w:r>
              <w:rPr>
                <w:rFonts w:hint="default" w:ascii="Times New Roman" w:hAnsi="Times New Roman" w:eastAsia="宋体" w:cs="Times New Roman"/>
                <w:b/>
                <w:snapToGrid w:val="0"/>
                <w:color w:val="auto"/>
                <w:kern w:val="0"/>
                <w:szCs w:val="21"/>
              </w:rPr>
              <w:t xml:space="preserve">   运营期废气排放标准</w:t>
            </w:r>
          </w:p>
          <w:tbl>
            <w:tblPr>
              <w:tblStyle w:val="19"/>
              <w:tblW w:w="82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2348"/>
              <w:gridCol w:w="1108"/>
              <w:gridCol w:w="2805"/>
              <w:gridCol w:w="2018"/>
            </w:tblGrid>
            <w:tr w14:paraId="122E4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tcBorders>
                    <w:right w:val="single" w:color="auto" w:sz="4" w:space="0"/>
                  </w:tcBorders>
                  <w:vAlign w:val="center"/>
                </w:tcPr>
                <w:p w14:paraId="63E2464F">
                  <w:pPr>
                    <w:snapToGrid w:val="0"/>
                    <w:spacing w:line="240" w:lineRule="auto"/>
                    <w:ind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标准</w:t>
                  </w:r>
                </w:p>
              </w:tc>
              <w:tc>
                <w:tcPr>
                  <w:tcW w:w="1108" w:type="dxa"/>
                  <w:tcBorders>
                    <w:left w:val="single" w:color="auto" w:sz="4" w:space="0"/>
                  </w:tcBorders>
                  <w:vAlign w:val="center"/>
                </w:tcPr>
                <w:p w14:paraId="7599E99B">
                  <w:pPr>
                    <w:snapToGrid w:val="0"/>
                    <w:spacing w:line="240" w:lineRule="auto"/>
                    <w:ind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项目</w:t>
                  </w:r>
                </w:p>
              </w:tc>
              <w:tc>
                <w:tcPr>
                  <w:tcW w:w="4823" w:type="dxa"/>
                  <w:gridSpan w:val="2"/>
                  <w:tcBorders>
                    <w:bottom w:val="single" w:color="auto" w:sz="4" w:space="0"/>
                  </w:tcBorders>
                  <w:vAlign w:val="center"/>
                </w:tcPr>
                <w:p w14:paraId="73C3F693">
                  <w:pPr>
                    <w:snapToGrid w:val="0"/>
                    <w:spacing w:line="240" w:lineRule="auto"/>
                    <w:ind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标准限值</w:t>
                  </w:r>
                </w:p>
              </w:tc>
            </w:tr>
            <w:tr w14:paraId="32E2B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restart"/>
                  <w:tcBorders>
                    <w:right w:val="single" w:color="auto" w:sz="4" w:space="0"/>
                  </w:tcBorders>
                  <w:vAlign w:val="center"/>
                </w:tcPr>
                <w:p w14:paraId="3C44E3EE">
                  <w:pPr>
                    <w:snapToGrid w:val="0"/>
                    <w:spacing w:line="240" w:lineRule="auto"/>
                    <w:ind w:firstLine="0" w:firstLineChars="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rPr>
                    <w:t>《大气污染物综合排放标准》（GB16297-1996）</w:t>
                  </w:r>
                </w:p>
              </w:tc>
              <w:tc>
                <w:tcPr>
                  <w:tcW w:w="1108" w:type="dxa"/>
                  <w:vMerge w:val="restart"/>
                  <w:tcBorders>
                    <w:left w:val="single" w:color="auto" w:sz="4" w:space="0"/>
                  </w:tcBorders>
                  <w:vAlign w:val="center"/>
                </w:tcPr>
                <w:p w14:paraId="7F8EBF3A">
                  <w:pPr>
                    <w:snapToGrid w:val="0"/>
                    <w:spacing w:line="240" w:lineRule="auto"/>
                    <w:ind w:firstLine="0" w:firstLineChars="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颗粒物</w:t>
                  </w:r>
                </w:p>
              </w:tc>
              <w:tc>
                <w:tcPr>
                  <w:tcW w:w="2805" w:type="dxa"/>
                  <w:tcBorders>
                    <w:top w:val="single" w:color="auto" w:sz="4" w:space="0"/>
                    <w:bottom w:val="single" w:color="auto" w:sz="4" w:space="0"/>
                    <w:right w:val="single" w:color="auto" w:sz="4" w:space="0"/>
                  </w:tcBorders>
                  <w:vAlign w:val="center"/>
                </w:tcPr>
                <w:p w14:paraId="775A67B9">
                  <w:pPr>
                    <w:snapToGrid w:val="0"/>
                    <w:spacing w:line="240" w:lineRule="auto"/>
                    <w:ind w:firstLine="0" w:firstLineChars="0"/>
                    <w:jc w:val="center"/>
                    <w:rPr>
                      <w:rFonts w:hint="default" w:ascii="Times New Roman" w:hAnsi="Times New Roman" w:eastAsia="宋体" w:cs="Times New Roman"/>
                      <w:color w:val="auto"/>
                      <w:szCs w:val="21"/>
                    </w:rPr>
                  </w:pPr>
                  <w:bookmarkStart w:id="5" w:name="OLE_LINK10"/>
                  <w:r>
                    <w:rPr>
                      <w:rFonts w:hint="default" w:ascii="Times New Roman" w:hAnsi="Times New Roman" w:eastAsia="宋体" w:cs="Times New Roman"/>
                      <w:color w:val="auto"/>
                      <w:szCs w:val="21"/>
                    </w:rPr>
                    <w:t>最高允许排放浓度</w:t>
                  </w:r>
                  <w:bookmarkEnd w:id="5"/>
                </w:p>
              </w:tc>
              <w:tc>
                <w:tcPr>
                  <w:tcW w:w="2018" w:type="dxa"/>
                  <w:tcBorders>
                    <w:left w:val="single" w:color="auto" w:sz="4" w:space="0"/>
                    <w:bottom w:val="single" w:color="auto" w:sz="4" w:space="0"/>
                  </w:tcBorders>
                  <w:vAlign w:val="center"/>
                </w:tcPr>
                <w:p w14:paraId="69EA7FA4">
                  <w:pPr>
                    <w:snapToGrid w:val="0"/>
                    <w:spacing w:line="240" w:lineRule="auto"/>
                    <w:ind w:firstLine="0" w:firstLineChars="0"/>
                    <w:jc w:val="center"/>
                    <w:rPr>
                      <w:rFonts w:hint="default" w:ascii="Times New Roman" w:hAnsi="Times New Roman" w:eastAsia="宋体" w:cs="Times New Roman"/>
                      <w:color w:val="auto"/>
                      <w:szCs w:val="21"/>
                      <w:highlight w:val="red"/>
                    </w:rPr>
                  </w:pPr>
                  <w:r>
                    <w:rPr>
                      <w:rFonts w:hint="default" w:ascii="Times New Roman" w:hAnsi="Times New Roman" w:eastAsia="宋体" w:cs="Times New Roman"/>
                      <w:color w:val="auto"/>
                      <w:szCs w:val="21"/>
                    </w:rPr>
                    <w:t>120</w:t>
                  </w:r>
                  <w:r>
                    <w:rPr>
                      <w:rFonts w:hint="default" w:ascii="Times New Roman" w:hAnsi="Times New Roman" w:eastAsia="宋体" w:cs="Times New Roman"/>
                      <w:bCs/>
                      <w:color w:val="auto"/>
                      <w:kern w:val="0"/>
                      <w:szCs w:val="21"/>
                    </w:rPr>
                    <w:t>mg/m</w:t>
                  </w:r>
                  <w:r>
                    <w:rPr>
                      <w:rFonts w:hint="default" w:ascii="Times New Roman" w:hAnsi="Times New Roman" w:eastAsia="宋体" w:cs="Times New Roman"/>
                      <w:bCs/>
                      <w:color w:val="auto"/>
                      <w:kern w:val="0"/>
                      <w:szCs w:val="21"/>
                      <w:vertAlign w:val="superscript"/>
                    </w:rPr>
                    <w:t>3</w:t>
                  </w:r>
                </w:p>
              </w:tc>
            </w:tr>
            <w:tr w14:paraId="7E6A5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continue"/>
                  <w:tcBorders>
                    <w:right w:val="single" w:color="auto" w:sz="4" w:space="0"/>
                  </w:tcBorders>
                  <w:vAlign w:val="center"/>
                </w:tcPr>
                <w:p w14:paraId="4F7F3613">
                  <w:pPr>
                    <w:snapToGrid w:val="0"/>
                    <w:spacing w:line="240" w:lineRule="auto"/>
                    <w:ind w:firstLine="0" w:firstLineChars="0"/>
                    <w:jc w:val="center"/>
                    <w:rPr>
                      <w:rFonts w:hint="default" w:ascii="Times New Roman" w:hAnsi="Times New Roman" w:eastAsia="宋体" w:cs="Times New Roman"/>
                      <w:color w:val="auto"/>
                      <w:szCs w:val="21"/>
                    </w:rPr>
                  </w:pPr>
                </w:p>
              </w:tc>
              <w:tc>
                <w:tcPr>
                  <w:tcW w:w="1108" w:type="dxa"/>
                  <w:vMerge w:val="continue"/>
                  <w:tcBorders>
                    <w:left w:val="single" w:color="auto" w:sz="4" w:space="0"/>
                  </w:tcBorders>
                  <w:vAlign w:val="center"/>
                </w:tcPr>
                <w:p w14:paraId="3816808B">
                  <w:pPr>
                    <w:snapToGrid w:val="0"/>
                    <w:spacing w:line="240" w:lineRule="auto"/>
                    <w:ind w:firstLine="0" w:firstLineChars="0"/>
                    <w:jc w:val="center"/>
                    <w:rPr>
                      <w:rFonts w:hint="default" w:ascii="Times New Roman" w:hAnsi="Times New Roman" w:eastAsia="宋体" w:cs="Times New Roman"/>
                      <w:color w:val="auto"/>
                      <w:kern w:val="0"/>
                      <w:szCs w:val="21"/>
                    </w:rPr>
                  </w:pPr>
                </w:p>
              </w:tc>
              <w:tc>
                <w:tcPr>
                  <w:tcW w:w="2805" w:type="dxa"/>
                  <w:tcBorders>
                    <w:top w:val="single" w:color="auto" w:sz="4" w:space="0"/>
                    <w:bottom w:val="single" w:color="auto" w:sz="4" w:space="0"/>
                    <w:right w:val="single" w:color="auto" w:sz="4" w:space="0"/>
                  </w:tcBorders>
                  <w:vAlign w:val="center"/>
                </w:tcPr>
                <w:p w14:paraId="6DD52799">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最高允许排放速率</w:t>
                  </w:r>
                </w:p>
              </w:tc>
              <w:tc>
                <w:tcPr>
                  <w:tcW w:w="2018" w:type="dxa"/>
                  <w:tcBorders>
                    <w:left w:val="single" w:color="auto" w:sz="4" w:space="0"/>
                    <w:bottom w:val="single" w:color="auto" w:sz="4" w:space="0"/>
                  </w:tcBorders>
                  <w:vAlign w:val="center"/>
                </w:tcPr>
                <w:p w14:paraId="3AD7AA99">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1.75</w:t>
                  </w:r>
                  <w:r>
                    <w:rPr>
                      <w:rFonts w:hint="default" w:ascii="Times New Roman" w:hAnsi="Times New Roman" w:eastAsia="宋体" w:cs="Times New Roman"/>
                      <w:color w:val="auto"/>
                      <w:szCs w:val="21"/>
                    </w:rPr>
                    <w:t>kg/h</w:t>
                  </w:r>
                </w:p>
              </w:tc>
            </w:tr>
            <w:tr w14:paraId="6B71F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continue"/>
                  <w:tcBorders>
                    <w:right w:val="single" w:color="auto" w:sz="4" w:space="0"/>
                  </w:tcBorders>
                  <w:vAlign w:val="center"/>
                </w:tcPr>
                <w:p w14:paraId="1920F5B8">
                  <w:pPr>
                    <w:snapToGrid w:val="0"/>
                    <w:spacing w:line="240" w:lineRule="auto"/>
                    <w:ind w:firstLine="0" w:firstLineChars="0"/>
                    <w:jc w:val="center"/>
                    <w:rPr>
                      <w:rFonts w:hint="default" w:ascii="Times New Roman" w:hAnsi="Times New Roman" w:eastAsia="宋体" w:cs="Times New Roman"/>
                      <w:color w:val="auto"/>
                      <w:szCs w:val="21"/>
                    </w:rPr>
                  </w:pPr>
                </w:p>
              </w:tc>
              <w:tc>
                <w:tcPr>
                  <w:tcW w:w="1108" w:type="dxa"/>
                  <w:vMerge w:val="continue"/>
                  <w:tcBorders>
                    <w:left w:val="single" w:color="auto" w:sz="4" w:space="0"/>
                  </w:tcBorders>
                  <w:vAlign w:val="center"/>
                </w:tcPr>
                <w:p w14:paraId="338D946E">
                  <w:pPr>
                    <w:snapToGrid w:val="0"/>
                    <w:spacing w:line="240" w:lineRule="auto"/>
                    <w:ind w:firstLine="0" w:firstLineChars="0"/>
                    <w:jc w:val="center"/>
                    <w:rPr>
                      <w:rFonts w:hint="default" w:ascii="Times New Roman" w:hAnsi="Times New Roman" w:eastAsia="宋体" w:cs="Times New Roman"/>
                      <w:color w:val="auto"/>
                      <w:kern w:val="0"/>
                      <w:szCs w:val="21"/>
                    </w:rPr>
                  </w:pPr>
                </w:p>
              </w:tc>
              <w:tc>
                <w:tcPr>
                  <w:tcW w:w="2805" w:type="dxa"/>
                  <w:tcBorders>
                    <w:top w:val="single" w:color="auto" w:sz="4" w:space="0"/>
                    <w:bottom w:val="single" w:color="auto" w:sz="4" w:space="0"/>
                    <w:right w:val="single" w:color="auto" w:sz="4" w:space="0"/>
                  </w:tcBorders>
                  <w:vAlign w:val="center"/>
                </w:tcPr>
                <w:p w14:paraId="3543EA0D">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无组织排放监控浓度限值</w:t>
                  </w:r>
                </w:p>
              </w:tc>
              <w:tc>
                <w:tcPr>
                  <w:tcW w:w="2018" w:type="dxa"/>
                  <w:tcBorders>
                    <w:top w:val="single" w:color="auto" w:sz="4" w:space="0"/>
                    <w:left w:val="single" w:color="auto" w:sz="4" w:space="0"/>
                    <w:bottom w:val="single" w:color="auto" w:sz="4" w:space="0"/>
                  </w:tcBorders>
                  <w:vAlign w:val="center"/>
                </w:tcPr>
                <w:p w14:paraId="677264B4">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r>
                    <w:rPr>
                      <w:rFonts w:hint="default" w:ascii="Times New Roman" w:hAnsi="Times New Roman" w:eastAsia="宋体" w:cs="Times New Roman"/>
                      <w:bCs/>
                      <w:color w:val="auto"/>
                      <w:kern w:val="0"/>
                      <w:szCs w:val="21"/>
                    </w:rPr>
                    <w:t>mg/m</w:t>
                  </w:r>
                  <w:r>
                    <w:rPr>
                      <w:rFonts w:hint="default" w:ascii="Times New Roman" w:hAnsi="Times New Roman" w:eastAsia="宋体" w:cs="Times New Roman"/>
                      <w:bCs/>
                      <w:color w:val="auto"/>
                      <w:kern w:val="0"/>
                      <w:szCs w:val="21"/>
                      <w:vertAlign w:val="superscript"/>
                    </w:rPr>
                    <w:t>3</w:t>
                  </w:r>
                </w:p>
              </w:tc>
            </w:tr>
            <w:tr w14:paraId="41C84A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restart"/>
                  <w:tcBorders>
                    <w:right w:val="single" w:color="auto" w:sz="4" w:space="0"/>
                  </w:tcBorders>
                  <w:vAlign w:val="center"/>
                </w:tcPr>
                <w:p w14:paraId="11705467">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《挥发性有机物排放控制标准》（DB61/T1061-2017）</w:t>
                  </w:r>
                </w:p>
              </w:tc>
              <w:tc>
                <w:tcPr>
                  <w:tcW w:w="1108" w:type="dxa"/>
                  <w:vMerge w:val="restart"/>
                  <w:tcBorders>
                    <w:left w:val="single" w:color="auto" w:sz="4" w:space="0"/>
                  </w:tcBorders>
                  <w:vAlign w:val="center"/>
                </w:tcPr>
                <w:p w14:paraId="1C4320D4">
                  <w:pPr>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非甲烷总烃</w:t>
                  </w:r>
                </w:p>
              </w:tc>
              <w:tc>
                <w:tcPr>
                  <w:tcW w:w="2805" w:type="dxa"/>
                  <w:tcBorders>
                    <w:top w:val="single" w:color="auto" w:sz="4" w:space="0"/>
                    <w:bottom w:val="single" w:color="auto" w:sz="4" w:space="0"/>
                    <w:right w:val="single" w:color="auto" w:sz="4" w:space="0"/>
                  </w:tcBorders>
                  <w:vAlign w:val="center"/>
                </w:tcPr>
                <w:p w14:paraId="48FA3FA6">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最高允许排放浓度</w:t>
                  </w:r>
                </w:p>
              </w:tc>
              <w:tc>
                <w:tcPr>
                  <w:tcW w:w="2018" w:type="dxa"/>
                  <w:tcBorders>
                    <w:top w:val="single" w:color="auto" w:sz="4" w:space="0"/>
                    <w:left w:val="single" w:color="auto" w:sz="4" w:space="0"/>
                    <w:bottom w:val="single" w:color="auto" w:sz="4" w:space="0"/>
                  </w:tcBorders>
                  <w:vAlign w:val="center"/>
                </w:tcPr>
                <w:p w14:paraId="1B6D559C">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50</w:t>
                  </w:r>
                  <w:r>
                    <w:rPr>
                      <w:rFonts w:hint="default" w:ascii="Times New Roman" w:hAnsi="Times New Roman" w:eastAsia="宋体" w:cs="Times New Roman"/>
                      <w:bCs/>
                      <w:color w:val="auto"/>
                      <w:kern w:val="0"/>
                      <w:szCs w:val="21"/>
                    </w:rPr>
                    <w:t>mg/m</w:t>
                  </w:r>
                  <w:r>
                    <w:rPr>
                      <w:rFonts w:hint="default" w:ascii="Times New Roman" w:hAnsi="Times New Roman" w:eastAsia="宋体" w:cs="Times New Roman"/>
                      <w:bCs/>
                      <w:color w:val="auto"/>
                      <w:kern w:val="0"/>
                      <w:szCs w:val="21"/>
                      <w:vertAlign w:val="superscript"/>
                    </w:rPr>
                    <w:t>3</w:t>
                  </w:r>
                </w:p>
              </w:tc>
            </w:tr>
            <w:tr w14:paraId="3F6417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continue"/>
                  <w:tcBorders>
                    <w:right w:val="single" w:color="auto" w:sz="4" w:space="0"/>
                  </w:tcBorders>
                  <w:vAlign w:val="center"/>
                </w:tcPr>
                <w:p w14:paraId="1314F31A">
                  <w:pPr>
                    <w:snapToGrid w:val="0"/>
                    <w:spacing w:line="240" w:lineRule="auto"/>
                    <w:ind w:firstLine="0" w:firstLineChars="0"/>
                    <w:jc w:val="center"/>
                    <w:rPr>
                      <w:rFonts w:hint="default" w:ascii="Times New Roman" w:hAnsi="Times New Roman" w:eastAsia="宋体" w:cs="Times New Roman"/>
                      <w:color w:val="auto"/>
                      <w:szCs w:val="21"/>
                    </w:rPr>
                  </w:pPr>
                </w:p>
              </w:tc>
              <w:tc>
                <w:tcPr>
                  <w:tcW w:w="1108" w:type="dxa"/>
                  <w:vMerge w:val="continue"/>
                  <w:tcBorders>
                    <w:left w:val="single" w:color="auto" w:sz="4" w:space="0"/>
                  </w:tcBorders>
                  <w:vAlign w:val="center"/>
                </w:tcPr>
                <w:p w14:paraId="7D432447">
                  <w:pPr>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p>
              </w:tc>
              <w:tc>
                <w:tcPr>
                  <w:tcW w:w="2805" w:type="dxa"/>
                  <w:tcBorders>
                    <w:top w:val="single" w:color="auto" w:sz="4" w:space="0"/>
                    <w:bottom w:val="single" w:color="auto" w:sz="4" w:space="0"/>
                    <w:right w:val="single" w:color="auto" w:sz="4" w:space="0"/>
                  </w:tcBorders>
                  <w:vAlign w:val="center"/>
                </w:tcPr>
                <w:p w14:paraId="53A22046">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最低处理效率</w:t>
                  </w:r>
                </w:p>
              </w:tc>
              <w:tc>
                <w:tcPr>
                  <w:tcW w:w="2018" w:type="dxa"/>
                  <w:tcBorders>
                    <w:top w:val="single" w:color="auto" w:sz="4" w:space="0"/>
                    <w:left w:val="single" w:color="auto" w:sz="4" w:space="0"/>
                    <w:bottom w:val="single" w:color="auto" w:sz="4" w:space="0"/>
                  </w:tcBorders>
                  <w:vAlign w:val="center"/>
                </w:tcPr>
                <w:p w14:paraId="68A141F5">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85%</w:t>
                  </w:r>
                </w:p>
              </w:tc>
            </w:tr>
            <w:tr w14:paraId="678536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continue"/>
                  <w:tcBorders>
                    <w:right w:val="single" w:color="auto" w:sz="4" w:space="0"/>
                  </w:tcBorders>
                  <w:vAlign w:val="center"/>
                </w:tcPr>
                <w:p w14:paraId="0FCD4EDE">
                  <w:pPr>
                    <w:snapToGrid w:val="0"/>
                    <w:spacing w:line="240" w:lineRule="auto"/>
                    <w:ind w:firstLine="0" w:firstLineChars="0"/>
                    <w:jc w:val="center"/>
                    <w:rPr>
                      <w:rFonts w:hint="default" w:ascii="Times New Roman" w:hAnsi="Times New Roman" w:eastAsia="宋体" w:cs="Times New Roman"/>
                      <w:color w:val="auto"/>
                      <w:szCs w:val="21"/>
                    </w:rPr>
                  </w:pPr>
                </w:p>
              </w:tc>
              <w:tc>
                <w:tcPr>
                  <w:tcW w:w="1108" w:type="dxa"/>
                  <w:vMerge w:val="continue"/>
                  <w:tcBorders>
                    <w:left w:val="single" w:color="auto" w:sz="4" w:space="0"/>
                  </w:tcBorders>
                  <w:vAlign w:val="center"/>
                </w:tcPr>
                <w:p w14:paraId="0EAA03E0">
                  <w:pPr>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p>
              </w:tc>
              <w:tc>
                <w:tcPr>
                  <w:tcW w:w="2805" w:type="dxa"/>
                  <w:tcBorders>
                    <w:top w:val="single" w:color="auto" w:sz="4" w:space="0"/>
                    <w:bottom w:val="single" w:color="auto" w:sz="4" w:space="0"/>
                    <w:right w:val="single" w:color="auto" w:sz="4" w:space="0"/>
                  </w:tcBorders>
                  <w:vAlign w:val="center"/>
                </w:tcPr>
                <w:p w14:paraId="1CE933FF">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企业边界</w:t>
                  </w:r>
                  <w:r>
                    <w:rPr>
                      <w:rFonts w:hint="default" w:ascii="Times New Roman" w:hAnsi="Times New Roman" w:eastAsia="宋体" w:cs="Times New Roman"/>
                      <w:color w:val="auto"/>
                      <w:szCs w:val="21"/>
                    </w:rPr>
                    <w:t>无组织排放监控浓度限值</w:t>
                  </w:r>
                </w:p>
              </w:tc>
              <w:tc>
                <w:tcPr>
                  <w:tcW w:w="2018" w:type="dxa"/>
                  <w:tcBorders>
                    <w:top w:val="single" w:color="auto" w:sz="4" w:space="0"/>
                    <w:left w:val="single" w:color="auto" w:sz="4" w:space="0"/>
                    <w:bottom w:val="single" w:color="auto" w:sz="4" w:space="0"/>
                  </w:tcBorders>
                  <w:vAlign w:val="center"/>
                </w:tcPr>
                <w:p w14:paraId="07A691BE">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bCs/>
                      <w:color w:val="auto"/>
                      <w:kern w:val="0"/>
                      <w:szCs w:val="21"/>
                    </w:rPr>
                    <w:t>mg/m</w:t>
                  </w:r>
                  <w:r>
                    <w:rPr>
                      <w:rFonts w:hint="default" w:ascii="Times New Roman" w:hAnsi="Times New Roman" w:eastAsia="宋体" w:cs="Times New Roman"/>
                      <w:bCs/>
                      <w:color w:val="auto"/>
                      <w:kern w:val="0"/>
                      <w:szCs w:val="21"/>
                      <w:vertAlign w:val="superscript"/>
                    </w:rPr>
                    <w:t>3</w:t>
                  </w:r>
                </w:p>
              </w:tc>
            </w:tr>
            <w:tr w14:paraId="4541EE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continue"/>
                  <w:tcBorders>
                    <w:right w:val="single" w:color="auto" w:sz="4" w:space="0"/>
                  </w:tcBorders>
                  <w:vAlign w:val="center"/>
                </w:tcPr>
                <w:p w14:paraId="64A0871D">
                  <w:pPr>
                    <w:snapToGrid w:val="0"/>
                    <w:spacing w:line="240" w:lineRule="auto"/>
                    <w:ind w:firstLine="0" w:firstLineChars="0"/>
                    <w:jc w:val="center"/>
                    <w:rPr>
                      <w:rFonts w:hint="default" w:ascii="Times New Roman" w:hAnsi="Times New Roman" w:eastAsia="宋体" w:cs="Times New Roman"/>
                      <w:color w:val="auto"/>
                      <w:szCs w:val="21"/>
                    </w:rPr>
                  </w:pPr>
                </w:p>
              </w:tc>
              <w:tc>
                <w:tcPr>
                  <w:tcW w:w="1108" w:type="dxa"/>
                  <w:vMerge w:val="restart"/>
                  <w:tcBorders>
                    <w:left w:val="single" w:color="auto" w:sz="4" w:space="0"/>
                  </w:tcBorders>
                  <w:vAlign w:val="center"/>
                </w:tcPr>
                <w:p w14:paraId="54AED8BC">
                  <w:pPr>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二甲苯</w:t>
                  </w:r>
                </w:p>
              </w:tc>
              <w:tc>
                <w:tcPr>
                  <w:tcW w:w="2805" w:type="dxa"/>
                  <w:tcBorders>
                    <w:top w:val="single" w:color="auto" w:sz="4" w:space="0"/>
                    <w:bottom w:val="single" w:color="auto" w:sz="4" w:space="0"/>
                    <w:right w:val="single" w:color="auto" w:sz="4" w:space="0"/>
                  </w:tcBorders>
                  <w:vAlign w:val="center"/>
                </w:tcPr>
                <w:p w14:paraId="40F18372">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最高允许排放浓度</w:t>
                  </w:r>
                </w:p>
              </w:tc>
              <w:tc>
                <w:tcPr>
                  <w:tcW w:w="2018" w:type="dxa"/>
                  <w:tcBorders>
                    <w:top w:val="single" w:color="auto" w:sz="4" w:space="0"/>
                    <w:left w:val="single" w:color="auto" w:sz="4" w:space="0"/>
                    <w:bottom w:val="single" w:color="auto" w:sz="4" w:space="0"/>
                  </w:tcBorders>
                  <w:vAlign w:val="center"/>
                </w:tcPr>
                <w:p w14:paraId="539B96B7">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w:t>
                  </w:r>
                  <w:r>
                    <w:rPr>
                      <w:rFonts w:hint="default" w:ascii="Times New Roman" w:hAnsi="Times New Roman" w:eastAsia="宋体" w:cs="Times New Roman"/>
                      <w:bCs/>
                      <w:color w:val="auto"/>
                      <w:kern w:val="0"/>
                      <w:szCs w:val="21"/>
                    </w:rPr>
                    <w:t>mg/m</w:t>
                  </w:r>
                  <w:r>
                    <w:rPr>
                      <w:rFonts w:hint="default" w:ascii="Times New Roman" w:hAnsi="Times New Roman" w:eastAsia="宋体" w:cs="Times New Roman"/>
                      <w:bCs/>
                      <w:color w:val="auto"/>
                      <w:kern w:val="0"/>
                      <w:szCs w:val="21"/>
                      <w:vertAlign w:val="superscript"/>
                    </w:rPr>
                    <w:t>3</w:t>
                  </w:r>
                </w:p>
              </w:tc>
            </w:tr>
            <w:tr w14:paraId="7CC1E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continue"/>
                  <w:tcBorders>
                    <w:right w:val="single" w:color="auto" w:sz="4" w:space="0"/>
                  </w:tcBorders>
                  <w:vAlign w:val="center"/>
                </w:tcPr>
                <w:p w14:paraId="3AFB6EEB">
                  <w:pPr>
                    <w:snapToGrid w:val="0"/>
                    <w:spacing w:line="240" w:lineRule="auto"/>
                    <w:ind w:firstLine="0" w:firstLineChars="0"/>
                    <w:jc w:val="center"/>
                    <w:rPr>
                      <w:rFonts w:hint="default" w:ascii="Times New Roman" w:hAnsi="Times New Roman" w:eastAsia="宋体" w:cs="Times New Roman"/>
                      <w:color w:val="auto"/>
                      <w:szCs w:val="21"/>
                    </w:rPr>
                  </w:pPr>
                </w:p>
              </w:tc>
              <w:tc>
                <w:tcPr>
                  <w:tcW w:w="1108" w:type="dxa"/>
                  <w:vMerge w:val="continue"/>
                  <w:tcBorders>
                    <w:left w:val="single" w:color="auto" w:sz="4" w:space="0"/>
                  </w:tcBorders>
                  <w:vAlign w:val="center"/>
                </w:tcPr>
                <w:p w14:paraId="6323B990">
                  <w:pPr>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p>
              </w:tc>
              <w:tc>
                <w:tcPr>
                  <w:tcW w:w="2805" w:type="dxa"/>
                  <w:tcBorders>
                    <w:top w:val="single" w:color="auto" w:sz="4" w:space="0"/>
                    <w:bottom w:val="single" w:color="auto" w:sz="4" w:space="0"/>
                    <w:right w:val="single" w:color="auto" w:sz="4" w:space="0"/>
                  </w:tcBorders>
                  <w:vAlign w:val="center"/>
                </w:tcPr>
                <w:p w14:paraId="0452AE30">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企业边界</w:t>
                  </w:r>
                  <w:r>
                    <w:rPr>
                      <w:rFonts w:hint="default" w:ascii="Times New Roman" w:hAnsi="Times New Roman" w:eastAsia="宋体" w:cs="Times New Roman"/>
                      <w:color w:val="auto"/>
                      <w:szCs w:val="21"/>
                    </w:rPr>
                    <w:t>无组织排放监控浓度限值</w:t>
                  </w:r>
                </w:p>
              </w:tc>
              <w:tc>
                <w:tcPr>
                  <w:tcW w:w="2018" w:type="dxa"/>
                  <w:tcBorders>
                    <w:top w:val="single" w:color="auto" w:sz="4" w:space="0"/>
                    <w:left w:val="single" w:color="auto" w:sz="4" w:space="0"/>
                    <w:bottom w:val="single" w:color="auto" w:sz="4" w:space="0"/>
                  </w:tcBorders>
                  <w:vAlign w:val="center"/>
                </w:tcPr>
                <w:p w14:paraId="50EE30EF">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0.3</w:t>
                  </w:r>
                  <w:r>
                    <w:rPr>
                      <w:rFonts w:hint="default" w:ascii="Times New Roman" w:hAnsi="Times New Roman" w:eastAsia="宋体" w:cs="Times New Roman"/>
                      <w:bCs/>
                      <w:color w:val="auto"/>
                      <w:kern w:val="0"/>
                      <w:szCs w:val="21"/>
                    </w:rPr>
                    <w:t>mg/m</w:t>
                  </w:r>
                  <w:r>
                    <w:rPr>
                      <w:rFonts w:hint="default" w:ascii="Times New Roman" w:hAnsi="Times New Roman" w:eastAsia="宋体" w:cs="Times New Roman"/>
                      <w:bCs/>
                      <w:color w:val="auto"/>
                      <w:kern w:val="0"/>
                      <w:szCs w:val="21"/>
                      <w:vertAlign w:val="superscript"/>
                    </w:rPr>
                    <w:t>3</w:t>
                  </w:r>
                </w:p>
              </w:tc>
            </w:tr>
            <w:tr w14:paraId="5F190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restart"/>
                  <w:tcBorders>
                    <w:right w:val="single" w:color="auto" w:sz="4" w:space="0"/>
                  </w:tcBorders>
                  <w:vAlign w:val="center"/>
                </w:tcPr>
                <w:p w14:paraId="65446AED">
                  <w:pPr>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《挥发性有机物无组织排放控制标准》（GB37822-2019）</w:t>
                  </w:r>
                </w:p>
              </w:tc>
              <w:tc>
                <w:tcPr>
                  <w:tcW w:w="1108" w:type="dxa"/>
                  <w:vMerge w:val="restart"/>
                  <w:tcBorders>
                    <w:left w:val="single" w:color="auto" w:sz="4" w:space="0"/>
                  </w:tcBorders>
                  <w:vAlign w:val="center"/>
                </w:tcPr>
                <w:p w14:paraId="5F9CF837">
                  <w:pPr>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非甲烷总烃</w:t>
                  </w:r>
                </w:p>
              </w:tc>
              <w:tc>
                <w:tcPr>
                  <w:tcW w:w="2805" w:type="dxa"/>
                  <w:tcBorders>
                    <w:top w:val="single" w:color="auto" w:sz="4" w:space="0"/>
                    <w:bottom w:val="single" w:color="auto" w:sz="4" w:space="0"/>
                    <w:right w:val="single" w:color="auto" w:sz="4" w:space="0"/>
                  </w:tcBorders>
                  <w:vAlign w:val="center"/>
                </w:tcPr>
                <w:p w14:paraId="3B3E624A">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厂房外1h平均浓度</w:t>
                  </w:r>
                </w:p>
              </w:tc>
              <w:tc>
                <w:tcPr>
                  <w:tcW w:w="2018" w:type="dxa"/>
                  <w:tcBorders>
                    <w:top w:val="single" w:color="auto" w:sz="4" w:space="0"/>
                    <w:left w:val="single" w:color="auto" w:sz="4" w:space="0"/>
                    <w:bottom w:val="single" w:color="auto" w:sz="4" w:space="0"/>
                  </w:tcBorders>
                  <w:vAlign w:val="center"/>
                </w:tcPr>
                <w:p w14:paraId="5CA1ECFD">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w:t>
                  </w:r>
                  <w:r>
                    <w:rPr>
                      <w:rFonts w:hint="default" w:ascii="Times New Roman" w:hAnsi="Times New Roman" w:eastAsia="宋体" w:cs="Times New Roman"/>
                      <w:bCs/>
                      <w:color w:val="auto"/>
                      <w:kern w:val="0"/>
                      <w:szCs w:val="21"/>
                    </w:rPr>
                    <w:t>mg/m</w:t>
                  </w:r>
                  <w:r>
                    <w:rPr>
                      <w:rFonts w:hint="default" w:ascii="Times New Roman" w:hAnsi="Times New Roman" w:eastAsia="宋体" w:cs="Times New Roman"/>
                      <w:bCs/>
                      <w:color w:val="auto"/>
                      <w:kern w:val="0"/>
                      <w:szCs w:val="21"/>
                      <w:vertAlign w:val="superscript"/>
                    </w:rPr>
                    <w:t>3</w:t>
                  </w:r>
                </w:p>
              </w:tc>
            </w:tr>
            <w:tr w14:paraId="4D2F8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23" w:hRule="atLeast"/>
                <w:jc w:val="center"/>
              </w:trPr>
              <w:tc>
                <w:tcPr>
                  <w:tcW w:w="2348" w:type="dxa"/>
                  <w:vMerge w:val="continue"/>
                  <w:tcBorders>
                    <w:right w:val="single" w:color="auto" w:sz="4" w:space="0"/>
                  </w:tcBorders>
                  <w:vAlign w:val="center"/>
                </w:tcPr>
                <w:p w14:paraId="380E0C25">
                  <w:pPr>
                    <w:snapToGrid w:val="0"/>
                    <w:spacing w:line="240" w:lineRule="auto"/>
                    <w:ind w:firstLine="0" w:firstLineChars="0"/>
                    <w:jc w:val="center"/>
                    <w:rPr>
                      <w:rFonts w:hint="default" w:ascii="Times New Roman" w:hAnsi="Times New Roman" w:eastAsia="宋体" w:cs="Times New Roman"/>
                      <w:color w:val="auto"/>
                      <w:szCs w:val="21"/>
                    </w:rPr>
                  </w:pPr>
                </w:p>
              </w:tc>
              <w:tc>
                <w:tcPr>
                  <w:tcW w:w="1108" w:type="dxa"/>
                  <w:vMerge w:val="continue"/>
                  <w:tcBorders>
                    <w:left w:val="single" w:color="auto" w:sz="4" w:space="0"/>
                  </w:tcBorders>
                  <w:vAlign w:val="center"/>
                </w:tcPr>
                <w:p w14:paraId="28091E14">
                  <w:pPr>
                    <w:snapToGrid w:val="0"/>
                    <w:spacing w:line="240" w:lineRule="auto"/>
                    <w:ind w:firstLine="0" w:firstLineChars="0"/>
                    <w:jc w:val="center"/>
                    <w:rPr>
                      <w:rFonts w:hint="default" w:ascii="Times New Roman" w:hAnsi="Times New Roman" w:eastAsia="宋体" w:cs="Times New Roman"/>
                      <w:color w:val="auto"/>
                      <w:kern w:val="0"/>
                      <w:szCs w:val="21"/>
                      <w:lang w:val="en-US" w:eastAsia="zh-CN"/>
                    </w:rPr>
                  </w:pPr>
                </w:p>
              </w:tc>
              <w:tc>
                <w:tcPr>
                  <w:tcW w:w="2805" w:type="dxa"/>
                  <w:tcBorders>
                    <w:top w:val="single" w:color="auto" w:sz="4" w:space="0"/>
                    <w:bottom w:val="single" w:color="auto" w:sz="4" w:space="0"/>
                    <w:right w:val="single" w:color="auto" w:sz="4" w:space="0"/>
                  </w:tcBorders>
                  <w:vAlign w:val="center"/>
                </w:tcPr>
                <w:p w14:paraId="3F7283B6">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厂房外任意一次浓度</w:t>
                  </w:r>
                </w:p>
              </w:tc>
              <w:tc>
                <w:tcPr>
                  <w:tcW w:w="2018" w:type="dxa"/>
                  <w:tcBorders>
                    <w:top w:val="single" w:color="auto" w:sz="4" w:space="0"/>
                    <w:left w:val="single" w:color="auto" w:sz="4" w:space="0"/>
                  </w:tcBorders>
                  <w:vAlign w:val="center"/>
                </w:tcPr>
                <w:p w14:paraId="747768F6">
                  <w:pPr>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w:t>
                  </w:r>
                  <w:r>
                    <w:rPr>
                      <w:rFonts w:hint="default" w:ascii="Times New Roman" w:hAnsi="Times New Roman" w:eastAsia="宋体" w:cs="Times New Roman"/>
                      <w:bCs/>
                      <w:color w:val="auto"/>
                      <w:kern w:val="0"/>
                      <w:szCs w:val="21"/>
                    </w:rPr>
                    <w:t>mg/m</w:t>
                  </w:r>
                  <w:r>
                    <w:rPr>
                      <w:rFonts w:hint="default" w:ascii="Times New Roman" w:hAnsi="Times New Roman" w:eastAsia="宋体" w:cs="Times New Roman"/>
                      <w:bCs/>
                      <w:color w:val="auto"/>
                      <w:kern w:val="0"/>
                      <w:szCs w:val="21"/>
                      <w:vertAlign w:val="superscript"/>
                    </w:rPr>
                    <w:t>3</w:t>
                  </w:r>
                </w:p>
              </w:tc>
            </w:tr>
          </w:tbl>
          <w:p w14:paraId="569EDA8E">
            <w:pPr>
              <w:keepNext w:val="0"/>
              <w:keepLines w:val="0"/>
              <w:suppressLineNumbers w:val="0"/>
              <w:spacing w:before="0" w:beforeAutospacing="0" w:after="0" w:afterAutospacing="0" w:line="360" w:lineRule="auto"/>
              <w:ind w:left="0" w:leftChars="0" w:right="0" w:firstLine="638" w:firstLineChars="266"/>
              <w:jc w:val="left"/>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color w:val="auto"/>
                <w:sz w:val="24"/>
                <w:lang w:val="en-US" w:eastAsia="zh-CN"/>
              </w:rPr>
              <w:t>重污染天气时有机废气排气筒DA002污染物排放执行《重污染天气重点行业应急减排措施制定技术指南（2020</w:t>
            </w:r>
            <w:r>
              <w:rPr>
                <w:rFonts w:hint="default" w:ascii="Times New Roman" w:hAnsi="Times New Roman" w:eastAsia="宋体" w:cs="Times New Roman"/>
                <w:color w:val="auto"/>
                <w:sz w:val="24"/>
                <w:szCs w:val="24"/>
                <w:lang w:val="en-US" w:eastAsia="zh-CN"/>
              </w:rPr>
              <w:t>年修订版）》中“三十九、工业涂装”绩效A级企业指标</w:t>
            </w:r>
            <w:r>
              <w:rPr>
                <w:rFonts w:hint="default" w:ascii="Times New Roman" w:hAnsi="Times New Roman" w:eastAsia="宋体" w:cs="Times New Roman"/>
                <w:color w:val="auto"/>
                <w:kern w:val="0"/>
                <w:sz w:val="24"/>
                <w:szCs w:val="24"/>
                <w:lang w:val="en-US" w:eastAsia="zh-CN" w:bidi="ar"/>
              </w:rPr>
              <w:t>，“使用溶剂型涂料时，调漆、喷漆、流平、烘干、清洗等工序含VOCs废气采用吸附浓缩+燃烧、燃烧等治理技术，处理效率≥95%”“</w:t>
            </w:r>
            <w:r>
              <w:rPr>
                <w:rFonts w:hint="default" w:ascii="Times New Roman" w:hAnsi="Times New Roman" w:eastAsia="宋体" w:cs="Times New Roman"/>
                <w:bCs/>
                <w:color w:val="auto"/>
                <w:kern w:val="2"/>
                <w:sz w:val="24"/>
                <w:szCs w:val="24"/>
                <w:lang w:val="en-US" w:eastAsia="zh-CN" w:bidi="ar-SA"/>
              </w:rPr>
              <w:t>车间或生产设施排气筒排放的NMHC为20-30 mg/m</w:t>
            </w:r>
            <w:r>
              <w:rPr>
                <w:rFonts w:hint="default" w:ascii="Times New Roman" w:hAnsi="Times New Roman" w:eastAsia="宋体" w:cs="Times New Roman"/>
                <w:bCs/>
                <w:color w:val="auto"/>
                <w:kern w:val="2"/>
                <w:sz w:val="24"/>
                <w:szCs w:val="24"/>
                <w:vertAlign w:val="superscript"/>
                <w:lang w:val="en-US" w:eastAsia="zh-CN" w:bidi="ar-SA"/>
              </w:rPr>
              <w:t>3</w:t>
            </w:r>
            <w:r>
              <w:rPr>
                <w:rFonts w:hint="default" w:ascii="Times New Roman" w:hAnsi="Times New Roman" w:eastAsia="宋体" w:cs="Times New Roman"/>
                <w:bCs/>
                <w:color w:val="auto"/>
                <w:kern w:val="2"/>
                <w:sz w:val="24"/>
                <w:szCs w:val="24"/>
                <w:lang w:val="en-US" w:eastAsia="zh-CN" w:bidi="ar-SA"/>
              </w:rPr>
              <w:t>、TVOC为40-50 mg/m</w:t>
            </w:r>
            <w:r>
              <w:rPr>
                <w:rFonts w:hint="default" w:ascii="Times New Roman" w:hAnsi="Times New Roman" w:eastAsia="宋体" w:cs="Times New Roman"/>
                <w:bCs/>
                <w:color w:val="auto"/>
                <w:kern w:val="2"/>
                <w:sz w:val="24"/>
                <w:szCs w:val="24"/>
                <w:vertAlign w:val="superscript"/>
                <w:lang w:val="en-US" w:eastAsia="zh-CN" w:bidi="ar-SA"/>
              </w:rPr>
              <w:t>3</w:t>
            </w:r>
            <w:r>
              <w:rPr>
                <w:rFonts w:hint="default" w:ascii="Times New Roman" w:hAnsi="Times New Roman" w:eastAsia="宋体" w:cs="Times New Roman"/>
                <w:bCs/>
                <w:color w:val="auto"/>
                <w:kern w:val="2"/>
                <w:sz w:val="24"/>
                <w:szCs w:val="24"/>
                <w:lang w:val="en-US" w:eastAsia="zh-CN" w:bidi="ar-SA"/>
              </w:rPr>
              <w:t>；厂区内无组织排放监控点NMHC的小时平均浓度值不超过6 mg/m</w:t>
            </w:r>
            <w:r>
              <w:rPr>
                <w:rFonts w:hint="default" w:ascii="Times New Roman" w:hAnsi="Times New Roman" w:eastAsia="宋体" w:cs="Times New Roman"/>
                <w:bCs/>
                <w:color w:val="auto"/>
                <w:kern w:val="2"/>
                <w:sz w:val="24"/>
                <w:szCs w:val="24"/>
                <w:vertAlign w:val="superscript"/>
                <w:lang w:val="en-US" w:eastAsia="zh-CN" w:bidi="ar-SA"/>
              </w:rPr>
              <w:t>3</w:t>
            </w:r>
            <w:r>
              <w:rPr>
                <w:rFonts w:hint="default" w:ascii="Times New Roman" w:hAnsi="Times New Roman" w:eastAsia="宋体" w:cs="Times New Roman"/>
                <w:bCs/>
                <w:color w:val="auto"/>
                <w:kern w:val="2"/>
                <w:sz w:val="24"/>
                <w:szCs w:val="24"/>
                <w:lang w:val="en-US" w:eastAsia="zh-CN" w:bidi="ar-SA"/>
              </w:rPr>
              <w:t>、任意一次浓度值不超过20 mg/m</w:t>
            </w:r>
            <w:r>
              <w:rPr>
                <w:rFonts w:hint="default" w:ascii="Times New Roman" w:hAnsi="Times New Roman" w:eastAsia="宋体" w:cs="Times New Roman"/>
                <w:bCs/>
                <w:color w:val="auto"/>
                <w:kern w:val="2"/>
                <w:sz w:val="24"/>
                <w:szCs w:val="24"/>
                <w:vertAlign w:val="superscript"/>
                <w:lang w:val="en-US" w:eastAsia="zh-CN" w:bidi="ar-SA"/>
              </w:rPr>
              <w:t>3</w:t>
            </w:r>
            <w:r>
              <w:rPr>
                <w:rFonts w:hint="default" w:ascii="Times New Roman" w:hAnsi="Times New Roman" w:eastAsia="宋体" w:cs="Times New Roman"/>
                <w:bCs/>
                <w:color w:val="auto"/>
                <w:kern w:val="2"/>
                <w:sz w:val="24"/>
                <w:szCs w:val="24"/>
                <w:lang w:val="en-US" w:eastAsia="zh-CN" w:bidi="ar-SA"/>
              </w:rPr>
              <w:t>”。</w:t>
            </w:r>
          </w:p>
          <w:p w14:paraId="7939EFE3">
            <w:pPr>
              <w:keepNext w:val="0"/>
              <w:keepLines w:val="0"/>
              <w:pageBreakBefore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2、噪声排放标准</w:t>
            </w:r>
          </w:p>
          <w:p w14:paraId="7493FE3B">
            <w:pPr>
              <w:keepNext w:val="0"/>
              <w:keepLines w:val="0"/>
              <w:pageBreakBefore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bCs/>
                <w:color w:val="auto"/>
                <w:kern w:val="2"/>
                <w:sz w:val="24"/>
                <w:szCs w:val="24"/>
                <w:lang w:val="en-US" w:eastAsia="zh-CN" w:bidi="ar-SA"/>
              </w:rPr>
              <w:t>施工期噪声执行《建筑施工场界环境噪声排放标准》（GB12523-2011）中有关规定；运营期环境噪声执行《工业企业厂界环境噪声排放标准》（GB12348-2008）中2类标准。</w:t>
            </w:r>
          </w:p>
          <w:p w14:paraId="618BE0DB">
            <w:pPr>
              <w:adjustRightInd w:val="0"/>
              <w:snapToGrid w:val="0"/>
              <w:ind w:firstLine="422" w:firstLineChars="200"/>
              <w:jc w:val="center"/>
              <w:rPr>
                <w:rFonts w:hint="default" w:ascii="Times New Roman" w:hAnsi="Times New Roman" w:eastAsia="宋体" w:cs="Times New Roman"/>
                <w:b/>
                <w:bCs/>
                <w:snapToGrid w:val="0"/>
                <w:color w:val="auto"/>
                <w:kern w:val="0"/>
                <w:szCs w:val="21"/>
                <w:lang w:val="en-GB"/>
              </w:rPr>
            </w:pPr>
            <w:r>
              <w:rPr>
                <w:rFonts w:hint="default" w:ascii="Times New Roman" w:hAnsi="Times New Roman" w:eastAsia="宋体" w:cs="Times New Roman"/>
                <w:b/>
                <w:bCs/>
                <w:snapToGrid w:val="0"/>
                <w:color w:val="auto"/>
                <w:kern w:val="0"/>
                <w:szCs w:val="21"/>
                <w:lang w:val="en-GB"/>
              </w:rPr>
              <w:t>表</w:t>
            </w:r>
            <w:r>
              <w:rPr>
                <w:rFonts w:hint="default" w:ascii="Times New Roman" w:hAnsi="Times New Roman" w:eastAsia="宋体" w:cs="Times New Roman"/>
                <w:b/>
                <w:bCs/>
                <w:snapToGrid w:val="0"/>
                <w:color w:val="auto"/>
                <w:kern w:val="0"/>
                <w:szCs w:val="21"/>
              </w:rPr>
              <w:t>3-</w:t>
            </w:r>
            <w:r>
              <w:rPr>
                <w:rFonts w:hint="default" w:ascii="Times New Roman" w:hAnsi="Times New Roman" w:eastAsia="宋体" w:cs="Times New Roman"/>
                <w:b/>
                <w:bCs/>
                <w:snapToGrid w:val="0"/>
                <w:color w:val="auto"/>
                <w:kern w:val="0"/>
                <w:szCs w:val="21"/>
                <w:lang w:val="en-US" w:eastAsia="zh-CN"/>
              </w:rPr>
              <w:t>9</w:t>
            </w:r>
            <w:r>
              <w:rPr>
                <w:rFonts w:hint="default" w:ascii="Times New Roman" w:hAnsi="Times New Roman" w:eastAsia="宋体" w:cs="Times New Roman"/>
                <w:b/>
                <w:bCs/>
                <w:snapToGrid w:val="0"/>
                <w:color w:val="auto"/>
                <w:kern w:val="0"/>
                <w:szCs w:val="21"/>
                <w:lang w:val="en-GB"/>
              </w:rPr>
              <w:t xml:space="preserve">   工业企业厂界环境噪声排放标准   </w:t>
            </w:r>
            <w:r>
              <w:rPr>
                <w:rFonts w:hint="default" w:ascii="Times New Roman" w:hAnsi="Times New Roman" w:eastAsia="宋体" w:cs="Times New Roman"/>
                <w:b/>
                <w:bCs/>
                <w:snapToGrid w:val="0"/>
                <w:color w:val="auto"/>
                <w:kern w:val="0"/>
                <w:szCs w:val="21"/>
              </w:rPr>
              <w:t xml:space="preserve"> </w:t>
            </w:r>
            <w:r>
              <w:rPr>
                <w:rFonts w:hint="default" w:ascii="Times New Roman" w:hAnsi="Times New Roman" w:eastAsia="宋体" w:cs="Times New Roman"/>
                <w:b/>
                <w:bCs/>
                <w:snapToGrid w:val="0"/>
                <w:color w:val="auto"/>
                <w:kern w:val="0"/>
                <w:szCs w:val="21"/>
                <w:lang w:val="en-GB"/>
              </w:rPr>
              <w:t xml:space="preserve"> 单位：dB（A）</w:t>
            </w:r>
          </w:p>
          <w:tbl>
            <w:tblPr>
              <w:tblStyle w:val="19"/>
              <w:tblW w:w="8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1"/>
              <w:gridCol w:w="1078"/>
              <w:gridCol w:w="570"/>
              <w:gridCol w:w="720"/>
              <w:gridCol w:w="656"/>
            </w:tblGrid>
            <w:tr w14:paraId="295D9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5221" w:type="dxa"/>
                  <w:vMerge w:val="restart"/>
                  <w:tcBorders>
                    <w:tl2br w:val="nil"/>
                    <w:tr2bl w:val="nil"/>
                  </w:tcBorders>
                  <w:vAlign w:val="center"/>
                </w:tcPr>
                <w:p w14:paraId="712B15B4">
                  <w:pPr>
                    <w:adjustRightInd w:val="0"/>
                    <w:snapToGrid w:val="0"/>
                    <w:jc w:val="center"/>
                    <w:rPr>
                      <w:rFonts w:hint="default" w:ascii="Times New Roman" w:hAnsi="Times New Roman" w:eastAsia="宋体" w:cs="Times New Roman"/>
                      <w:snapToGrid w:val="0"/>
                      <w:color w:val="auto"/>
                      <w:kern w:val="0"/>
                      <w:szCs w:val="21"/>
                      <w:lang w:val="en-GB"/>
                    </w:rPr>
                  </w:pPr>
                  <w:r>
                    <w:rPr>
                      <w:rFonts w:hint="default" w:ascii="Times New Roman" w:hAnsi="Times New Roman" w:eastAsia="宋体" w:cs="Times New Roman"/>
                      <w:snapToGrid w:val="0"/>
                      <w:color w:val="auto"/>
                      <w:kern w:val="0"/>
                      <w:szCs w:val="21"/>
                      <w:lang w:val="en-GB"/>
                    </w:rPr>
                    <w:t>执行标准</w:t>
                  </w:r>
                </w:p>
              </w:tc>
              <w:tc>
                <w:tcPr>
                  <w:tcW w:w="1648" w:type="dxa"/>
                  <w:gridSpan w:val="2"/>
                  <w:vMerge w:val="restart"/>
                  <w:tcBorders>
                    <w:tl2br w:val="nil"/>
                    <w:tr2bl w:val="nil"/>
                  </w:tcBorders>
                  <w:vAlign w:val="center"/>
                </w:tcPr>
                <w:p w14:paraId="62804FC5">
                  <w:pPr>
                    <w:adjustRightInd w:val="0"/>
                    <w:snapToGrid w:val="0"/>
                    <w:jc w:val="center"/>
                    <w:rPr>
                      <w:rFonts w:hint="default" w:ascii="Times New Roman" w:hAnsi="Times New Roman" w:eastAsia="宋体" w:cs="Times New Roman"/>
                      <w:snapToGrid w:val="0"/>
                      <w:color w:val="auto"/>
                      <w:kern w:val="0"/>
                      <w:szCs w:val="21"/>
                      <w:lang w:val="en-GB"/>
                    </w:rPr>
                  </w:pPr>
                  <w:r>
                    <w:rPr>
                      <w:rFonts w:hint="default" w:ascii="Times New Roman" w:hAnsi="Times New Roman" w:eastAsia="宋体" w:cs="Times New Roman"/>
                      <w:snapToGrid w:val="0"/>
                      <w:color w:val="auto"/>
                      <w:kern w:val="0"/>
                      <w:szCs w:val="21"/>
                      <w:lang w:val="en-GB"/>
                    </w:rPr>
                    <w:t>级别</w:t>
                  </w:r>
                </w:p>
              </w:tc>
              <w:tc>
                <w:tcPr>
                  <w:tcW w:w="1376" w:type="dxa"/>
                  <w:gridSpan w:val="2"/>
                  <w:tcBorders>
                    <w:tl2br w:val="nil"/>
                    <w:tr2bl w:val="nil"/>
                  </w:tcBorders>
                  <w:vAlign w:val="center"/>
                </w:tcPr>
                <w:p w14:paraId="16307402">
                  <w:pPr>
                    <w:adjustRightInd w:val="0"/>
                    <w:snapToGrid w:val="0"/>
                    <w:jc w:val="center"/>
                    <w:rPr>
                      <w:rFonts w:hint="default" w:ascii="Times New Roman" w:hAnsi="Times New Roman" w:eastAsia="宋体" w:cs="Times New Roman"/>
                      <w:snapToGrid w:val="0"/>
                      <w:color w:val="auto"/>
                      <w:kern w:val="0"/>
                      <w:szCs w:val="21"/>
                      <w:lang w:val="en-GB"/>
                    </w:rPr>
                  </w:pPr>
                  <w:r>
                    <w:rPr>
                      <w:rFonts w:hint="default" w:ascii="Times New Roman" w:hAnsi="Times New Roman" w:eastAsia="宋体" w:cs="Times New Roman"/>
                      <w:snapToGrid w:val="0"/>
                      <w:color w:val="auto"/>
                      <w:kern w:val="0"/>
                      <w:szCs w:val="21"/>
                      <w:lang w:val="en-GB"/>
                    </w:rPr>
                    <w:t>时段</w:t>
                  </w:r>
                </w:p>
              </w:tc>
            </w:tr>
            <w:tr w14:paraId="078A2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5221" w:type="dxa"/>
                  <w:vMerge w:val="continue"/>
                  <w:tcBorders>
                    <w:tl2br w:val="nil"/>
                    <w:tr2bl w:val="nil"/>
                  </w:tcBorders>
                  <w:vAlign w:val="center"/>
                </w:tcPr>
                <w:p w14:paraId="20F6D526">
                  <w:pPr>
                    <w:adjustRightInd w:val="0"/>
                    <w:snapToGrid w:val="0"/>
                    <w:jc w:val="center"/>
                    <w:rPr>
                      <w:rFonts w:hint="default" w:ascii="Times New Roman" w:hAnsi="Times New Roman" w:eastAsia="宋体" w:cs="Times New Roman"/>
                      <w:snapToGrid w:val="0"/>
                      <w:color w:val="auto"/>
                      <w:kern w:val="0"/>
                      <w:szCs w:val="21"/>
                      <w:lang w:val="en-GB"/>
                    </w:rPr>
                  </w:pPr>
                </w:p>
              </w:tc>
              <w:tc>
                <w:tcPr>
                  <w:tcW w:w="1648" w:type="dxa"/>
                  <w:gridSpan w:val="2"/>
                  <w:vMerge w:val="continue"/>
                  <w:tcBorders>
                    <w:tl2br w:val="nil"/>
                    <w:tr2bl w:val="nil"/>
                  </w:tcBorders>
                  <w:vAlign w:val="center"/>
                </w:tcPr>
                <w:p w14:paraId="73F3CBAE">
                  <w:pPr>
                    <w:adjustRightInd w:val="0"/>
                    <w:snapToGrid w:val="0"/>
                    <w:jc w:val="center"/>
                    <w:rPr>
                      <w:rFonts w:hint="default" w:ascii="Times New Roman" w:hAnsi="Times New Roman" w:eastAsia="宋体" w:cs="Times New Roman"/>
                      <w:snapToGrid w:val="0"/>
                      <w:color w:val="auto"/>
                      <w:kern w:val="0"/>
                      <w:szCs w:val="21"/>
                      <w:lang w:val="en-GB"/>
                    </w:rPr>
                  </w:pPr>
                </w:p>
              </w:tc>
              <w:tc>
                <w:tcPr>
                  <w:tcW w:w="720" w:type="dxa"/>
                  <w:tcBorders>
                    <w:tl2br w:val="nil"/>
                    <w:tr2bl w:val="nil"/>
                  </w:tcBorders>
                  <w:vAlign w:val="center"/>
                </w:tcPr>
                <w:p w14:paraId="65B81B76">
                  <w:pPr>
                    <w:adjustRightInd w:val="0"/>
                    <w:snapToGrid w:val="0"/>
                    <w:jc w:val="center"/>
                    <w:rPr>
                      <w:rFonts w:hint="default" w:ascii="Times New Roman" w:hAnsi="Times New Roman" w:eastAsia="宋体" w:cs="Times New Roman"/>
                      <w:snapToGrid w:val="0"/>
                      <w:color w:val="auto"/>
                      <w:kern w:val="0"/>
                      <w:szCs w:val="21"/>
                      <w:lang w:val="en-GB"/>
                    </w:rPr>
                  </w:pPr>
                  <w:r>
                    <w:rPr>
                      <w:rFonts w:hint="default" w:ascii="Times New Roman" w:hAnsi="Times New Roman" w:eastAsia="宋体" w:cs="Times New Roman"/>
                      <w:snapToGrid w:val="0"/>
                      <w:color w:val="auto"/>
                      <w:kern w:val="0"/>
                      <w:szCs w:val="21"/>
                      <w:lang w:val="en-GB"/>
                    </w:rPr>
                    <w:t>昼间</w:t>
                  </w:r>
                </w:p>
              </w:tc>
              <w:tc>
                <w:tcPr>
                  <w:tcW w:w="656" w:type="dxa"/>
                  <w:tcBorders>
                    <w:tl2br w:val="nil"/>
                    <w:tr2bl w:val="nil"/>
                  </w:tcBorders>
                  <w:vAlign w:val="center"/>
                </w:tcPr>
                <w:p w14:paraId="228E8152">
                  <w:pPr>
                    <w:adjustRightInd w:val="0"/>
                    <w:snapToGrid w:val="0"/>
                    <w:jc w:val="center"/>
                    <w:rPr>
                      <w:rFonts w:hint="default" w:ascii="Times New Roman" w:hAnsi="Times New Roman" w:eastAsia="宋体" w:cs="Times New Roman"/>
                      <w:snapToGrid w:val="0"/>
                      <w:color w:val="auto"/>
                      <w:kern w:val="0"/>
                      <w:szCs w:val="21"/>
                      <w:lang w:val="en-GB"/>
                    </w:rPr>
                  </w:pPr>
                  <w:r>
                    <w:rPr>
                      <w:rFonts w:hint="default" w:ascii="Times New Roman" w:hAnsi="Times New Roman" w:eastAsia="宋体" w:cs="Times New Roman"/>
                      <w:snapToGrid w:val="0"/>
                      <w:color w:val="auto"/>
                      <w:kern w:val="0"/>
                      <w:szCs w:val="21"/>
                      <w:lang w:val="en-GB"/>
                    </w:rPr>
                    <w:t>夜间</w:t>
                  </w:r>
                </w:p>
              </w:tc>
            </w:tr>
            <w:tr w14:paraId="14C95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5221" w:type="dxa"/>
                  <w:tcBorders>
                    <w:tl2br w:val="nil"/>
                    <w:tr2bl w:val="nil"/>
                  </w:tcBorders>
                  <w:vAlign w:val="center"/>
                </w:tcPr>
                <w:p w14:paraId="44892619">
                  <w:pPr>
                    <w:adjustRightInd w:val="0"/>
                    <w:snapToGrid w:val="0"/>
                    <w:jc w:val="center"/>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lang w:val="en-GB"/>
                    </w:rPr>
                    <w:t>《建筑施工场界环境噪声排放标准》（</w:t>
                  </w:r>
                  <w:r>
                    <w:rPr>
                      <w:rFonts w:hint="default" w:ascii="Times New Roman" w:hAnsi="Times New Roman" w:eastAsia="宋体" w:cs="Times New Roman"/>
                      <w:snapToGrid w:val="0"/>
                      <w:color w:val="auto"/>
                      <w:kern w:val="0"/>
                      <w:szCs w:val="21"/>
                    </w:rPr>
                    <w:t>GB12523-2011</w:t>
                  </w:r>
                  <w:r>
                    <w:rPr>
                      <w:rFonts w:hint="default" w:ascii="Times New Roman" w:hAnsi="Times New Roman" w:eastAsia="宋体" w:cs="Times New Roman"/>
                      <w:snapToGrid w:val="0"/>
                      <w:color w:val="auto"/>
                      <w:kern w:val="0"/>
                      <w:szCs w:val="21"/>
                      <w:lang w:val="en-GB"/>
                    </w:rPr>
                    <w:t>）</w:t>
                  </w:r>
                </w:p>
              </w:tc>
              <w:tc>
                <w:tcPr>
                  <w:tcW w:w="1648" w:type="dxa"/>
                  <w:gridSpan w:val="2"/>
                  <w:tcBorders>
                    <w:tl2br w:val="nil"/>
                    <w:tr2bl w:val="nil"/>
                  </w:tcBorders>
                  <w:vAlign w:val="center"/>
                </w:tcPr>
                <w:p w14:paraId="41587444">
                  <w:pPr>
                    <w:adjustRightInd w:val="0"/>
                    <w:snapToGrid w:val="0"/>
                    <w:jc w:val="center"/>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rPr>
                    <w:t>/</w:t>
                  </w:r>
                </w:p>
              </w:tc>
              <w:tc>
                <w:tcPr>
                  <w:tcW w:w="720" w:type="dxa"/>
                  <w:tcBorders>
                    <w:tl2br w:val="nil"/>
                    <w:tr2bl w:val="nil"/>
                  </w:tcBorders>
                  <w:vAlign w:val="center"/>
                </w:tcPr>
                <w:p w14:paraId="3C4F9439">
                  <w:pPr>
                    <w:adjustRightInd w:val="0"/>
                    <w:snapToGrid w:val="0"/>
                    <w:jc w:val="center"/>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rPr>
                    <w:t>70</w:t>
                  </w:r>
                </w:p>
              </w:tc>
              <w:tc>
                <w:tcPr>
                  <w:tcW w:w="656" w:type="dxa"/>
                  <w:tcBorders>
                    <w:tl2br w:val="nil"/>
                    <w:tr2bl w:val="nil"/>
                  </w:tcBorders>
                  <w:vAlign w:val="center"/>
                </w:tcPr>
                <w:p w14:paraId="24983697">
                  <w:pPr>
                    <w:adjustRightInd w:val="0"/>
                    <w:snapToGrid w:val="0"/>
                    <w:jc w:val="center"/>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rPr>
                    <w:t>55</w:t>
                  </w:r>
                </w:p>
              </w:tc>
            </w:tr>
            <w:tr w14:paraId="2B49C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5221" w:type="dxa"/>
                  <w:tcBorders>
                    <w:tl2br w:val="nil"/>
                    <w:tr2bl w:val="nil"/>
                  </w:tcBorders>
                  <w:vAlign w:val="center"/>
                </w:tcPr>
                <w:p w14:paraId="5654145D">
                  <w:pPr>
                    <w:adjustRightInd w:val="0"/>
                    <w:snapToGrid w:val="0"/>
                    <w:jc w:val="center"/>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rPr>
                    <w:t>《工业企业厂界环境噪声排放标准》（GB12348-2008）</w:t>
                  </w:r>
                </w:p>
              </w:tc>
              <w:tc>
                <w:tcPr>
                  <w:tcW w:w="1078" w:type="dxa"/>
                  <w:tcBorders>
                    <w:tl2br w:val="nil"/>
                    <w:tr2bl w:val="nil"/>
                  </w:tcBorders>
                  <w:vAlign w:val="center"/>
                </w:tcPr>
                <w:p w14:paraId="7EF59F13">
                  <w:pPr>
                    <w:adjustRightInd w:val="0"/>
                    <w:snapToGrid w:val="0"/>
                    <w:jc w:val="center"/>
                    <w:rPr>
                      <w:rFonts w:hint="default" w:ascii="Times New Roman" w:hAnsi="Times New Roman" w:eastAsia="宋体" w:cs="Times New Roman"/>
                      <w:snapToGrid w:val="0"/>
                      <w:color w:val="auto"/>
                      <w:kern w:val="0"/>
                      <w:szCs w:val="21"/>
                      <w:lang w:val="en-GB"/>
                    </w:rPr>
                  </w:pPr>
                  <w:r>
                    <w:rPr>
                      <w:rFonts w:hint="default" w:ascii="Times New Roman" w:hAnsi="Times New Roman" w:eastAsia="宋体" w:cs="Times New Roman"/>
                      <w:snapToGrid w:val="0"/>
                      <w:color w:val="auto"/>
                      <w:kern w:val="0"/>
                      <w:szCs w:val="21"/>
                      <w:lang w:val="en-GB"/>
                    </w:rPr>
                    <w:t>厂界四周</w:t>
                  </w:r>
                </w:p>
              </w:tc>
              <w:tc>
                <w:tcPr>
                  <w:tcW w:w="570" w:type="dxa"/>
                  <w:tcBorders>
                    <w:tl2br w:val="nil"/>
                    <w:tr2bl w:val="nil"/>
                  </w:tcBorders>
                  <w:vAlign w:val="center"/>
                </w:tcPr>
                <w:p w14:paraId="7C155276">
                  <w:pPr>
                    <w:adjustRightInd w:val="0"/>
                    <w:snapToGrid w:val="0"/>
                    <w:jc w:val="center"/>
                    <w:rPr>
                      <w:rFonts w:hint="default" w:ascii="Times New Roman" w:hAnsi="Times New Roman" w:eastAsia="宋体" w:cs="Times New Roman"/>
                      <w:snapToGrid w:val="0"/>
                      <w:color w:val="auto"/>
                      <w:kern w:val="0"/>
                      <w:szCs w:val="21"/>
                    </w:rPr>
                  </w:pPr>
                  <w:r>
                    <w:rPr>
                      <w:rFonts w:hint="default" w:ascii="Times New Roman" w:hAnsi="Times New Roman" w:eastAsia="宋体" w:cs="Times New Roman"/>
                      <w:snapToGrid w:val="0"/>
                      <w:color w:val="auto"/>
                      <w:kern w:val="0"/>
                      <w:szCs w:val="21"/>
                      <w:lang w:val="en-US" w:eastAsia="zh-CN"/>
                    </w:rPr>
                    <w:t>2</w:t>
                  </w:r>
                  <w:r>
                    <w:rPr>
                      <w:rFonts w:hint="default" w:ascii="Times New Roman" w:hAnsi="Times New Roman" w:eastAsia="宋体" w:cs="Times New Roman"/>
                      <w:snapToGrid w:val="0"/>
                      <w:color w:val="auto"/>
                      <w:kern w:val="0"/>
                      <w:szCs w:val="21"/>
                      <w:lang w:val="en-GB"/>
                    </w:rPr>
                    <w:t>类</w:t>
                  </w:r>
                </w:p>
              </w:tc>
              <w:tc>
                <w:tcPr>
                  <w:tcW w:w="720" w:type="dxa"/>
                  <w:tcBorders>
                    <w:tl2br w:val="nil"/>
                    <w:tr2bl w:val="nil"/>
                  </w:tcBorders>
                  <w:vAlign w:val="center"/>
                </w:tcPr>
                <w:p w14:paraId="65B83034">
                  <w:pPr>
                    <w:adjustRightInd w:val="0"/>
                    <w:snapToGrid w:val="0"/>
                    <w:jc w:val="center"/>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60</w:t>
                  </w:r>
                </w:p>
              </w:tc>
              <w:tc>
                <w:tcPr>
                  <w:tcW w:w="656" w:type="dxa"/>
                  <w:tcBorders>
                    <w:tl2br w:val="nil"/>
                    <w:tr2bl w:val="nil"/>
                  </w:tcBorders>
                  <w:vAlign w:val="center"/>
                </w:tcPr>
                <w:p w14:paraId="71D1B817">
                  <w:pPr>
                    <w:adjustRightInd w:val="0"/>
                    <w:snapToGrid w:val="0"/>
                    <w:jc w:val="center"/>
                    <w:rPr>
                      <w:rFonts w:hint="default" w:ascii="Times New Roman" w:hAnsi="Times New Roman" w:eastAsia="宋体" w:cs="Times New Roman"/>
                      <w:snapToGrid w:val="0"/>
                      <w:color w:val="auto"/>
                      <w:kern w:val="0"/>
                      <w:szCs w:val="21"/>
                      <w:lang w:val="en-US" w:eastAsia="zh-CN"/>
                    </w:rPr>
                  </w:pPr>
                  <w:r>
                    <w:rPr>
                      <w:rFonts w:hint="default" w:ascii="Times New Roman" w:hAnsi="Times New Roman" w:eastAsia="宋体" w:cs="Times New Roman"/>
                      <w:snapToGrid w:val="0"/>
                      <w:color w:val="auto"/>
                      <w:kern w:val="0"/>
                      <w:szCs w:val="21"/>
                      <w:lang w:val="en-US" w:eastAsia="zh-CN"/>
                    </w:rPr>
                    <w:t>50</w:t>
                  </w:r>
                </w:p>
              </w:tc>
            </w:tr>
          </w:tbl>
          <w:p w14:paraId="1257DB63">
            <w:pPr>
              <w:adjustRightInd w:val="0"/>
              <w:snapToGrid w:val="0"/>
              <w:spacing w:before="120" w:beforeLines="50"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4、固废排放标准</w:t>
            </w:r>
          </w:p>
          <w:p w14:paraId="226F13AB">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一般工业固体废物</w:t>
            </w:r>
            <w:r>
              <w:rPr>
                <w:rFonts w:hint="default" w:ascii="Times New Roman" w:hAnsi="Times New Roman" w:eastAsia="宋体" w:cs="Times New Roman"/>
                <w:color w:val="auto"/>
                <w:sz w:val="24"/>
              </w:rPr>
              <w:t>参照</w:t>
            </w:r>
            <w:r>
              <w:rPr>
                <w:rFonts w:hint="default" w:ascii="Times New Roman" w:hAnsi="Times New Roman" w:eastAsia="宋体" w:cs="Times New Roman"/>
                <w:color w:val="auto"/>
                <w:kern w:val="0"/>
                <w:sz w:val="24"/>
              </w:rPr>
              <w:t>《一般工业固体废物贮存和填埋污染控制标准》（GB18599-2020），贮存应满足相应防渗漏等环境保护要求；</w:t>
            </w:r>
            <w:r>
              <w:rPr>
                <w:rFonts w:hint="default" w:ascii="Times New Roman" w:hAnsi="Times New Roman" w:eastAsia="宋体" w:cs="Times New Roman"/>
                <w:color w:val="auto"/>
                <w:kern w:val="0"/>
                <w:sz w:val="24"/>
                <w:szCs w:val="21"/>
              </w:rPr>
              <w:t>危险废物执行《危险废物贮存污染控制标准》（GB18597-2023）中的相关规定；危险废物识别标志设置执行《危险废物识别标志设置技术规范》</w:t>
            </w:r>
            <w:r>
              <w:rPr>
                <w:rFonts w:hint="default" w:ascii="Times New Roman" w:hAnsi="Times New Roman" w:eastAsia="宋体" w:cs="Times New Roman"/>
                <w:color w:val="auto"/>
                <w:kern w:val="0"/>
                <w:sz w:val="24"/>
                <w:szCs w:val="21"/>
                <w:lang w:eastAsia="zh-CN"/>
              </w:rPr>
              <w:t>（</w:t>
            </w:r>
            <w:r>
              <w:rPr>
                <w:rFonts w:hint="default" w:ascii="Times New Roman" w:hAnsi="Times New Roman" w:eastAsia="宋体" w:cs="Times New Roman"/>
                <w:color w:val="auto"/>
                <w:kern w:val="0"/>
                <w:sz w:val="24"/>
                <w:szCs w:val="21"/>
              </w:rPr>
              <w:t>HJ1276-2022</w:t>
            </w:r>
            <w:r>
              <w:rPr>
                <w:rFonts w:hint="default" w:ascii="Times New Roman" w:hAnsi="Times New Roman" w:eastAsia="宋体" w:cs="Times New Roman"/>
                <w:color w:val="auto"/>
                <w:kern w:val="0"/>
                <w:sz w:val="24"/>
                <w:szCs w:val="21"/>
                <w:lang w:eastAsia="zh-CN"/>
              </w:rPr>
              <w:t>）</w:t>
            </w:r>
            <w:r>
              <w:rPr>
                <w:rFonts w:hint="default" w:ascii="Times New Roman" w:hAnsi="Times New Roman" w:eastAsia="宋体" w:cs="Times New Roman"/>
                <w:color w:val="auto"/>
                <w:kern w:val="0"/>
                <w:sz w:val="24"/>
                <w:szCs w:val="21"/>
              </w:rPr>
              <w:t>中相关规定</w:t>
            </w:r>
            <w:r>
              <w:rPr>
                <w:rFonts w:hint="default" w:ascii="Times New Roman" w:hAnsi="Times New Roman" w:eastAsia="宋体" w:cs="Times New Roman"/>
                <w:color w:val="auto"/>
                <w:sz w:val="24"/>
              </w:rPr>
              <w:t>。</w:t>
            </w:r>
          </w:p>
          <w:p w14:paraId="4ACFEEA8">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57B7943B">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0D0F88D2">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2EA9A25E">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4D3E46AA">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17ED898C">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09435C7A">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2485715D">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0F7C72C9">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27A2BFC7">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213C3E66">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6C8A5C03">
            <w:pPr>
              <w:keepNext w:val="0"/>
              <w:keepLines w:val="0"/>
              <w:pageBreakBefore w:val="0"/>
              <w:widowControl w:val="0"/>
              <w:kinsoku/>
              <w:wordWrap/>
              <w:overflowPunct/>
              <w:topLinePunct w:val="0"/>
              <w:autoSpaceDE/>
              <w:autoSpaceDN/>
              <w:bidi w:val="0"/>
              <w:adjustRightInd w:val="0"/>
              <w:snapToGrid/>
              <w:spacing w:line="336" w:lineRule="auto"/>
              <w:textAlignment w:val="auto"/>
              <w:rPr>
                <w:rFonts w:hint="default" w:ascii="Times New Roman" w:hAnsi="Times New Roman" w:eastAsia="宋体" w:cs="Times New Roman"/>
                <w:color w:val="auto"/>
                <w:sz w:val="24"/>
              </w:rPr>
            </w:pPr>
          </w:p>
          <w:p w14:paraId="04C2595C">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134F3B72">
            <w:pPr>
              <w:keepNext w:val="0"/>
              <w:keepLines w:val="0"/>
              <w:pageBreakBefore w:val="0"/>
              <w:widowControl w:val="0"/>
              <w:kinsoku/>
              <w:wordWrap/>
              <w:overflowPunct/>
              <w:topLinePunct w:val="0"/>
              <w:autoSpaceDE/>
              <w:autoSpaceDN/>
              <w:bidi w:val="0"/>
              <w:adjustRightInd w:val="0"/>
              <w:snapToGrid/>
              <w:spacing w:line="336" w:lineRule="auto"/>
              <w:ind w:firstLine="480" w:firstLineChars="200"/>
              <w:textAlignment w:val="auto"/>
              <w:rPr>
                <w:rFonts w:hint="default" w:ascii="Times New Roman" w:hAnsi="Times New Roman" w:eastAsia="宋体" w:cs="Times New Roman"/>
                <w:color w:val="auto"/>
                <w:sz w:val="24"/>
              </w:rPr>
            </w:pPr>
          </w:p>
          <w:p w14:paraId="5EB141B8">
            <w:pPr>
              <w:keepNext w:val="0"/>
              <w:keepLines w:val="0"/>
              <w:pageBreakBefore w:val="0"/>
              <w:widowControl w:val="0"/>
              <w:kinsoku/>
              <w:wordWrap/>
              <w:overflowPunct/>
              <w:topLinePunct w:val="0"/>
              <w:autoSpaceDE/>
              <w:autoSpaceDN/>
              <w:bidi w:val="0"/>
              <w:adjustRightInd w:val="0"/>
              <w:snapToGrid/>
              <w:spacing w:line="336" w:lineRule="auto"/>
              <w:ind w:firstLine="420" w:firstLineChars="200"/>
              <w:textAlignment w:val="auto"/>
              <w:rPr>
                <w:rFonts w:hint="default" w:ascii="Times New Roman" w:hAnsi="Times New Roman" w:eastAsia="宋体" w:cs="Times New Roman"/>
                <w:color w:val="auto"/>
                <w:kern w:val="0"/>
                <w:szCs w:val="21"/>
                <w:lang w:eastAsia="zh-CN"/>
              </w:rPr>
            </w:pPr>
          </w:p>
        </w:tc>
      </w:tr>
      <w:tr w14:paraId="0C2FCA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14:paraId="433C2BFE">
            <w:pPr>
              <w:adjustRightInd w:val="0"/>
              <w:snapToGrid w:val="0"/>
              <w:spacing w:line="360" w:lineRule="auto"/>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总量</w:t>
            </w:r>
          </w:p>
          <w:p w14:paraId="109109DB">
            <w:pPr>
              <w:adjustRightInd w:val="0"/>
              <w:snapToGrid w:val="0"/>
              <w:spacing w:line="360" w:lineRule="auto"/>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控制</w:t>
            </w:r>
          </w:p>
          <w:p w14:paraId="32C5F895">
            <w:pPr>
              <w:adjustRightInd w:val="0"/>
              <w:snapToGrid w:val="0"/>
              <w:spacing w:line="360" w:lineRule="auto"/>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指标</w:t>
            </w:r>
          </w:p>
        </w:tc>
        <w:tc>
          <w:tcPr>
            <w:tcW w:w="8486" w:type="dxa"/>
            <w:vAlign w:val="center"/>
          </w:tcPr>
          <w:p w14:paraId="3EB7D920">
            <w:pPr>
              <w:pStyle w:val="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color w:val="auto"/>
              </w:rPr>
            </w:pPr>
          </w:p>
          <w:p w14:paraId="7CDB0D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rPr>
            </w:pPr>
          </w:p>
          <w:p w14:paraId="40C2C74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根据《”十四五”节能减排综合工作方案》，我国”十四”期间对COD、氨氮、VOC</w:t>
            </w:r>
            <w:r>
              <w:rPr>
                <w:rFonts w:hint="default" w:ascii="Times New Roman" w:hAnsi="Times New Roman" w:eastAsia="宋体" w:cs="Times New Roman"/>
                <w:color w:val="auto"/>
                <w:sz w:val="24"/>
                <w:szCs w:val="24"/>
                <w:vertAlign w:val="subscript"/>
              </w:rPr>
              <w:t>S</w:t>
            </w:r>
            <w:r>
              <w:rPr>
                <w:rFonts w:hint="default" w:ascii="Times New Roman" w:hAnsi="Times New Roman" w:eastAsia="宋体" w:cs="Times New Roman"/>
                <w:color w:val="auto"/>
                <w:sz w:val="24"/>
                <w:szCs w:val="24"/>
              </w:rPr>
              <w:t>、NO</w:t>
            </w:r>
            <w:r>
              <w:rPr>
                <w:rFonts w:hint="default" w:ascii="Times New Roman" w:hAnsi="Times New Roman" w:eastAsia="宋体" w:cs="Times New Roman"/>
                <w:color w:val="auto"/>
                <w:sz w:val="24"/>
                <w:szCs w:val="24"/>
                <w:vertAlign w:val="subscript"/>
              </w:rPr>
              <w:t>X</w:t>
            </w:r>
            <w:r>
              <w:rPr>
                <w:rFonts w:hint="default" w:ascii="Times New Roman" w:hAnsi="Times New Roman" w:eastAsia="宋体" w:cs="Times New Roman"/>
                <w:color w:val="auto"/>
                <w:sz w:val="24"/>
                <w:szCs w:val="24"/>
              </w:rPr>
              <w:t>这4种污染物实行排放总量控制。</w:t>
            </w:r>
          </w:p>
          <w:p w14:paraId="74E586E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lang w:eastAsia="zh-CN"/>
              </w:rPr>
            </w:pPr>
            <w:r>
              <w:rPr>
                <w:rFonts w:hint="default" w:ascii="Times New Roman" w:hAnsi="Times New Roman" w:eastAsia="宋体" w:cs="Times New Roman"/>
                <w:color w:val="auto"/>
                <w:kern w:val="0"/>
                <w:sz w:val="24"/>
                <w:szCs w:val="24"/>
                <w:lang w:eastAsia="zh-CN"/>
              </w:rPr>
              <w:t>本项目污染物排放总量建议控制指标为：</w:t>
            </w:r>
            <w:r>
              <w:rPr>
                <w:rFonts w:hint="default" w:ascii="Times New Roman" w:hAnsi="Times New Roman" w:eastAsia="宋体" w:cs="Times New Roman"/>
                <w:color w:val="auto"/>
                <w:kern w:val="0"/>
                <w:sz w:val="24"/>
                <w:szCs w:val="24"/>
                <w:highlight w:val="none"/>
                <w:lang w:eastAsia="zh-CN"/>
              </w:rPr>
              <w:t>VOCs</w:t>
            </w:r>
            <w:r>
              <w:rPr>
                <w:rFonts w:hint="default" w:ascii="Times New Roman" w:hAnsi="Times New Roman" w:eastAsia="宋体" w:cs="Times New Roman"/>
                <w:color w:val="auto"/>
                <w:kern w:val="0"/>
                <w:sz w:val="24"/>
                <w:szCs w:val="24"/>
                <w:highlight w:val="none"/>
                <w:lang w:val="en-US" w:eastAsia="zh-CN"/>
              </w:rPr>
              <w:t>0.3106</w:t>
            </w:r>
            <w:r>
              <w:rPr>
                <w:rFonts w:hint="default" w:ascii="Times New Roman" w:hAnsi="Times New Roman" w:eastAsia="宋体" w:cs="Times New Roman"/>
                <w:color w:val="auto"/>
                <w:kern w:val="0"/>
                <w:sz w:val="24"/>
                <w:szCs w:val="24"/>
                <w:highlight w:val="none"/>
                <w:lang w:eastAsia="zh-CN"/>
              </w:rPr>
              <w:t>t/a</w:t>
            </w:r>
            <w:r>
              <w:rPr>
                <w:rFonts w:hint="default" w:ascii="Times New Roman" w:hAnsi="Times New Roman" w:eastAsia="宋体" w:cs="Times New Roman"/>
                <w:color w:val="auto"/>
                <w:kern w:val="0"/>
                <w:sz w:val="24"/>
                <w:szCs w:val="24"/>
                <w:lang w:eastAsia="zh-CN"/>
              </w:rPr>
              <w:t>。项目具体总量指标最后以当地环保部门核定的总量为准。</w:t>
            </w:r>
          </w:p>
          <w:p w14:paraId="19B1FD7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szCs w:val="24"/>
                <w:lang w:eastAsia="zh-CN"/>
              </w:rPr>
            </w:pPr>
          </w:p>
          <w:p w14:paraId="5B5311F2">
            <w:pPr>
              <w:spacing w:line="360" w:lineRule="auto"/>
              <w:jc w:val="left"/>
              <w:rPr>
                <w:rFonts w:hint="default" w:ascii="Times New Roman" w:hAnsi="Times New Roman" w:eastAsia="宋体" w:cs="Times New Roman"/>
                <w:color w:val="auto"/>
                <w:sz w:val="24"/>
                <w:szCs w:val="24"/>
                <w:lang w:eastAsia="zh-CN"/>
              </w:rPr>
            </w:pPr>
          </w:p>
        </w:tc>
      </w:tr>
    </w:tbl>
    <w:p w14:paraId="57277831">
      <w:pPr>
        <w:widowControl/>
        <w:spacing w:before="100" w:beforeAutospacing="1" w:after="100" w:afterAutospacing="1"/>
        <w:jc w:val="center"/>
        <w:outlineLvl w:val="0"/>
        <w:rPr>
          <w:rFonts w:hint="default" w:ascii="Times New Roman" w:hAnsi="Times New Roman" w:eastAsia="宋体" w:cs="Times New Roman"/>
          <w:snapToGrid w:val="0"/>
          <w:color w:val="auto"/>
          <w:kern w:val="0"/>
          <w:sz w:val="30"/>
          <w:szCs w:val="30"/>
        </w:rPr>
      </w:pPr>
      <w:r>
        <w:rPr>
          <w:rFonts w:hint="default" w:ascii="Times New Roman" w:hAnsi="Times New Roman" w:eastAsia="宋体" w:cs="Times New Roman"/>
          <w:snapToGrid w:val="0"/>
          <w:color w:val="auto"/>
          <w:kern w:val="0"/>
          <w:sz w:val="36"/>
          <w:szCs w:val="36"/>
        </w:rPr>
        <w:br w:type="page"/>
      </w:r>
      <w:r>
        <w:rPr>
          <w:rFonts w:hint="default" w:ascii="Times New Roman" w:hAnsi="Times New Roman" w:eastAsia="宋体" w:cs="Times New Roman"/>
          <w:snapToGrid w:val="0"/>
          <w:color w:val="auto"/>
          <w:kern w:val="0"/>
          <w:sz w:val="30"/>
          <w:szCs w:val="30"/>
        </w:rPr>
        <w:t>四、主要环境影响和保护措施</w:t>
      </w:r>
    </w:p>
    <w:tbl>
      <w:tblPr>
        <w:tblStyle w:val="19"/>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2"/>
        <w:gridCol w:w="8476"/>
      </w:tblGrid>
      <w:tr w14:paraId="2C0AA2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96" w:hRule="atLeast"/>
          <w:jc w:val="center"/>
        </w:trPr>
        <w:tc>
          <w:tcPr>
            <w:tcW w:w="432" w:type="dxa"/>
            <w:tcMar>
              <w:left w:w="28" w:type="dxa"/>
              <w:right w:w="28" w:type="dxa"/>
            </w:tcMar>
            <w:vAlign w:val="center"/>
          </w:tcPr>
          <w:p w14:paraId="0D326AD7">
            <w:pPr>
              <w:widowControl/>
              <w:adjustRightInd w:val="0"/>
              <w:snapToGrid w:val="0"/>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w:t>
            </w:r>
          </w:p>
          <w:p w14:paraId="1C928C4F">
            <w:pPr>
              <w:widowControl/>
              <w:adjustRightInd w:val="0"/>
              <w:snapToGrid w:val="0"/>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期环</w:t>
            </w:r>
          </w:p>
          <w:p w14:paraId="2051E16E">
            <w:pPr>
              <w:widowControl/>
              <w:adjustRightInd w:val="0"/>
              <w:snapToGrid w:val="0"/>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境保</w:t>
            </w:r>
          </w:p>
          <w:p w14:paraId="42F85EB2">
            <w:pPr>
              <w:widowControl/>
              <w:adjustRightInd w:val="0"/>
              <w:snapToGrid w:val="0"/>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护措</w:t>
            </w:r>
          </w:p>
          <w:p w14:paraId="65A796B2">
            <w:pPr>
              <w:widowControl/>
              <w:adjustRightInd w:val="0"/>
              <w:snapToGrid w:val="0"/>
              <w:spacing w:line="360" w:lineRule="auto"/>
              <w:jc w:val="center"/>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施</w:t>
            </w:r>
          </w:p>
        </w:tc>
        <w:tc>
          <w:tcPr>
            <w:tcW w:w="8476" w:type="dxa"/>
            <w:vAlign w:val="center"/>
          </w:tcPr>
          <w:p w14:paraId="3226F6A4">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项目施工期主要为车间设备安装，施工过程中主要产生少量的</w:t>
            </w:r>
            <w:r>
              <w:rPr>
                <w:rFonts w:hint="default" w:ascii="Times New Roman" w:hAnsi="Times New Roman" w:eastAsia="宋体" w:cs="Times New Roman"/>
                <w:color w:val="auto"/>
                <w:kern w:val="0"/>
                <w:sz w:val="24"/>
                <w:szCs w:val="24"/>
                <w:lang w:val="en-US" w:eastAsia="zh-CN"/>
              </w:rPr>
              <w:t>粉尘</w:t>
            </w:r>
            <w:r>
              <w:rPr>
                <w:rFonts w:hint="default" w:ascii="Times New Roman" w:hAnsi="Times New Roman" w:eastAsia="宋体" w:cs="Times New Roman"/>
                <w:color w:val="auto"/>
                <w:kern w:val="0"/>
                <w:sz w:val="24"/>
                <w:szCs w:val="24"/>
              </w:rPr>
              <w:t>、噪声和固废及施工人员生活污水。</w:t>
            </w:r>
          </w:p>
          <w:p w14:paraId="52DC9CA5">
            <w:pPr>
              <w:spacing w:line="360" w:lineRule="auto"/>
              <w:ind w:firstLine="480" w:firstLineChars="200"/>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color w:val="auto"/>
                <w:kern w:val="0"/>
                <w:sz w:val="24"/>
                <w:szCs w:val="24"/>
              </w:rPr>
              <w:t>项目施工期较短，施工量较小，施工结束后污染也随之消失，对环境影响较小。</w:t>
            </w:r>
          </w:p>
          <w:p w14:paraId="28F4527A">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1、施工期废气防治措施</w:t>
            </w:r>
          </w:p>
          <w:p w14:paraId="42E37E3F">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（1）施工扬尘</w:t>
            </w:r>
          </w:p>
          <w:p w14:paraId="3BB76640">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本项目施工期主要为设备安装。生产车间已建设完成</w:t>
            </w:r>
            <w:r>
              <w:rPr>
                <w:rFonts w:hint="default" w:ascii="Times New Roman" w:hAnsi="Times New Roman" w:eastAsia="宋体" w:cs="Times New Roman"/>
                <w:color w:val="auto"/>
                <w:kern w:val="0"/>
                <w:sz w:val="24"/>
                <w:szCs w:val="24"/>
                <w:lang w:val="en-US" w:eastAsia="zh-CN"/>
              </w:rPr>
              <w:t>,</w:t>
            </w:r>
            <w:r>
              <w:rPr>
                <w:rFonts w:hint="default" w:ascii="Times New Roman" w:hAnsi="Times New Roman" w:eastAsia="宋体" w:cs="Times New Roman"/>
                <w:color w:val="auto"/>
                <w:kern w:val="0"/>
                <w:sz w:val="24"/>
                <w:szCs w:val="24"/>
              </w:rPr>
              <w:t>本项目建设不涉及土建工程，为了最大限度地减小设备基座安装过程中产生的施工扬尘的影响，本次评价提出以下措施和要求如下。</w:t>
            </w:r>
          </w:p>
          <w:p w14:paraId="3B0546B1">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①施工现场设备基座安装过程中产生的建筑垃圾垃圾应分类集中堆放于厂区固废暂存区，然后及时清运，减少固体废物堆放过程中产生的扬尘。</w:t>
            </w:r>
          </w:p>
          <w:p w14:paraId="78A7C40E">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②运输建筑垃圾和设备的车辆严禁超载，运输建筑垃圾的车辆必须采取加盖篷布等防尘措施，防止物料沿途抛撒导致二次扬尘。</w:t>
            </w:r>
          </w:p>
          <w:p w14:paraId="2F36E175">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（2）施工机械废气</w:t>
            </w:r>
          </w:p>
          <w:p w14:paraId="5F0CF7C4">
            <w:pPr>
              <w:tabs>
                <w:tab w:val="left" w:pos="2535"/>
              </w:tabs>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运输车辆及施工机械在运行中产生的汽车尾气主要有CO、NOx及总烃等，加强施工车辆运行管理与维护保养，以减少尾气的排放量。运输车辆及施工机械在运行中产生的汽车尾气是短期的，随着运输作业的完成，汽车尾气也随之消失，对项目周围环境影响较小。</w:t>
            </w:r>
          </w:p>
          <w:p w14:paraId="1A632D1E">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2、施工期废水防治措施</w:t>
            </w:r>
          </w:p>
          <w:p w14:paraId="78E62C63">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施工期污水主要是施工人员产生的生活污水，污水中主要污染因子为COD、BOD</w:t>
            </w:r>
            <w:r>
              <w:rPr>
                <w:rFonts w:hint="default" w:ascii="Times New Roman" w:hAnsi="Times New Roman" w:eastAsia="宋体" w:cs="Times New Roman"/>
                <w:color w:val="auto"/>
                <w:kern w:val="0"/>
                <w:sz w:val="24"/>
                <w:szCs w:val="24"/>
                <w:vertAlign w:val="subscript"/>
              </w:rPr>
              <w:t>5</w:t>
            </w:r>
            <w:r>
              <w:rPr>
                <w:rFonts w:hint="default" w:ascii="Times New Roman" w:hAnsi="Times New Roman" w:eastAsia="宋体" w:cs="Times New Roman"/>
                <w:color w:val="auto"/>
                <w:kern w:val="0"/>
                <w:sz w:val="24"/>
                <w:szCs w:val="24"/>
              </w:rPr>
              <w:t>、SS、氨氮等，生活污水</w:t>
            </w:r>
            <w:r>
              <w:rPr>
                <w:rFonts w:hint="default" w:ascii="Times New Roman" w:hAnsi="Times New Roman" w:eastAsia="宋体" w:cs="Times New Roman"/>
                <w:color w:val="auto"/>
                <w:kern w:val="0"/>
                <w:sz w:val="24"/>
                <w:szCs w:val="24"/>
                <w:lang w:val="en-US" w:eastAsia="zh-CN"/>
              </w:rPr>
              <w:t>依托现有工程污水处理设施处理</w:t>
            </w:r>
            <w:r>
              <w:rPr>
                <w:rFonts w:hint="default" w:ascii="Times New Roman" w:hAnsi="Times New Roman" w:eastAsia="宋体" w:cs="Times New Roman"/>
                <w:color w:val="auto"/>
                <w:kern w:val="0"/>
                <w:sz w:val="24"/>
                <w:szCs w:val="24"/>
              </w:rPr>
              <w:t>。</w:t>
            </w:r>
          </w:p>
          <w:p w14:paraId="0FDF337A">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3、施工期噪声防治措施</w:t>
            </w:r>
          </w:p>
          <w:p w14:paraId="3C31484C">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项目施工期噪声主要为电钻、电锯、电锤等产生的设备噪声。</w:t>
            </w:r>
          </w:p>
          <w:p w14:paraId="427568F8">
            <w:pPr>
              <w:topLinePunct/>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为减少施工噪声对环境的影响，要求建设单位在工程施工期采取以下噪声控制措施：</w:t>
            </w:r>
          </w:p>
          <w:p w14:paraId="776FB66D">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（1）合理安排施工方式，控制噪声环境污染；</w:t>
            </w:r>
          </w:p>
          <w:p w14:paraId="31284EA5">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（2）严格操作规程，加强施工机械管理，降低人为噪声影响；</w:t>
            </w:r>
          </w:p>
          <w:p w14:paraId="38076163">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（3）施工尽量采用噪声较低的生产设备，并加强维修保养。采取有效的隔声、减振、消声措施，降低噪声级；</w:t>
            </w:r>
          </w:p>
          <w:p w14:paraId="19858282">
            <w:pPr>
              <w:spacing w:line="360" w:lineRule="auto"/>
              <w:ind w:firstLine="480" w:firstLineChars="200"/>
              <w:rPr>
                <w:rFonts w:hint="default" w:ascii="Times New Roman" w:hAnsi="Times New Roman" w:eastAsia="宋体" w:cs="Times New Roman"/>
                <w:bCs/>
                <w:color w:val="auto"/>
                <w:kern w:val="0"/>
                <w:sz w:val="24"/>
                <w:szCs w:val="24"/>
                <w:lang w:eastAsia="zh-CN"/>
              </w:rPr>
            </w:pPr>
            <w:r>
              <w:rPr>
                <w:rFonts w:hint="default" w:ascii="Times New Roman" w:hAnsi="Times New Roman" w:eastAsia="宋体" w:cs="Times New Roman"/>
                <w:bCs/>
                <w:color w:val="auto"/>
                <w:kern w:val="0"/>
                <w:sz w:val="24"/>
                <w:szCs w:val="24"/>
              </w:rPr>
              <w:t>（4）建设单位合理安排施工时间，夜间（22:00~06:00）禁止施工</w:t>
            </w:r>
            <w:r>
              <w:rPr>
                <w:rFonts w:hint="default" w:ascii="Times New Roman" w:hAnsi="Times New Roman" w:eastAsia="宋体" w:cs="Times New Roman"/>
                <w:bCs/>
                <w:color w:val="auto"/>
                <w:kern w:val="0"/>
                <w:sz w:val="24"/>
                <w:szCs w:val="24"/>
                <w:lang w:eastAsia="zh-CN"/>
              </w:rPr>
              <w:t>；</w:t>
            </w:r>
          </w:p>
          <w:p w14:paraId="0B8A30CF">
            <w:pPr>
              <w:spacing w:line="360" w:lineRule="auto"/>
              <w:ind w:firstLine="480" w:firstLineChars="200"/>
              <w:rPr>
                <w:rFonts w:hint="default" w:ascii="Times New Roman" w:hAnsi="Times New Roman" w:eastAsia="宋体" w:cs="Times New Roman"/>
                <w:bCs/>
                <w:color w:val="auto"/>
                <w:kern w:val="0"/>
                <w:sz w:val="24"/>
                <w:szCs w:val="24"/>
                <w:lang w:val="en-US" w:eastAsia="zh-CN"/>
              </w:rPr>
            </w:pPr>
            <w:r>
              <w:rPr>
                <w:rFonts w:hint="default" w:ascii="Times New Roman" w:hAnsi="Times New Roman" w:eastAsia="宋体" w:cs="Times New Roman"/>
                <w:bCs/>
                <w:color w:val="auto"/>
                <w:kern w:val="0"/>
                <w:sz w:val="24"/>
                <w:szCs w:val="24"/>
                <w:lang w:eastAsia="zh-CN"/>
              </w:rPr>
              <w:t>（</w:t>
            </w:r>
            <w:r>
              <w:rPr>
                <w:rFonts w:hint="default" w:ascii="Times New Roman" w:hAnsi="Times New Roman" w:eastAsia="宋体" w:cs="Times New Roman"/>
                <w:bCs/>
                <w:color w:val="auto"/>
                <w:kern w:val="0"/>
                <w:sz w:val="24"/>
                <w:szCs w:val="24"/>
                <w:lang w:val="en-US" w:eastAsia="zh-CN"/>
              </w:rPr>
              <w:t>5</w:t>
            </w:r>
            <w:r>
              <w:rPr>
                <w:rFonts w:hint="default" w:ascii="Times New Roman" w:hAnsi="Times New Roman" w:eastAsia="宋体" w:cs="Times New Roman"/>
                <w:bCs/>
                <w:color w:val="auto"/>
                <w:kern w:val="0"/>
                <w:sz w:val="24"/>
                <w:szCs w:val="24"/>
                <w:lang w:eastAsia="zh-CN"/>
              </w:rPr>
              <w:t>）</w:t>
            </w:r>
            <w:r>
              <w:rPr>
                <w:rFonts w:hint="default" w:ascii="Times New Roman" w:hAnsi="Times New Roman" w:eastAsia="宋体" w:cs="Times New Roman"/>
                <w:bCs/>
                <w:color w:val="auto"/>
                <w:kern w:val="0"/>
                <w:sz w:val="24"/>
                <w:szCs w:val="24"/>
                <w:lang w:val="en-US" w:eastAsia="zh-CN"/>
              </w:rPr>
              <w:t>在采取上述降噪措施后，能有效控制对声环境敏感目标影响，施工期噪声应确保满足《建筑施工场界环境噪声排放标准》（GB12523-2011）中有关规定。</w:t>
            </w:r>
          </w:p>
          <w:p w14:paraId="5E89BE6C">
            <w:pPr>
              <w:spacing w:line="360" w:lineRule="auto"/>
              <w:ind w:firstLine="482" w:firstLineChars="200"/>
              <w:rPr>
                <w:rFonts w:hint="default" w:ascii="Times New Roman" w:hAnsi="Times New Roman" w:eastAsia="宋体" w:cs="Times New Roman"/>
                <w:b/>
                <w:bCs w:val="0"/>
                <w:color w:val="auto"/>
                <w:kern w:val="0"/>
                <w:sz w:val="24"/>
                <w:szCs w:val="24"/>
              </w:rPr>
            </w:pPr>
            <w:r>
              <w:rPr>
                <w:rFonts w:hint="default" w:ascii="Times New Roman" w:hAnsi="Times New Roman" w:eastAsia="宋体" w:cs="Times New Roman"/>
                <w:b/>
                <w:bCs w:val="0"/>
                <w:color w:val="auto"/>
                <w:kern w:val="0"/>
                <w:sz w:val="24"/>
                <w:szCs w:val="24"/>
              </w:rPr>
              <w:t>4、施工期固体废物防治措施</w:t>
            </w:r>
          </w:p>
          <w:p w14:paraId="4D1C38B8">
            <w:pPr>
              <w:spacing w:line="360" w:lineRule="auto"/>
              <w:ind w:firstLine="480" w:firstLineChars="200"/>
              <w:rPr>
                <w:rFonts w:hint="default" w:ascii="Times New Roman" w:hAnsi="Times New Roman" w:eastAsia="宋体" w:cs="Times New Roman"/>
                <w:bCs/>
                <w:color w:val="auto"/>
                <w:kern w:val="0"/>
                <w:sz w:val="24"/>
                <w:szCs w:val="24"/>
              </w:rPr>
            </w:pPr>
            <w:r>
              <w:rPr>
                <w:rFonts w:hint="default" w:ascii="Times New Roman" w:hAnsi="Times New Roman" w:eastAsia="宋体" w:cs="Times New Roman"/>
                <w:bCs/>
                <w:color w:val="auto"/>
                <w:kern w:val="0"/>
                <w:sz w:val="24"/>
                <w:szCs w:val="24"/>
              </w:rPr>
              <w:t>本项目施工期固体废物主要为</w:t>
            </w:r>
            <w:r>
              <w:rPr>
                <w:rFonts w:hint="default" w:ascii="Times New Roman" w:hAnsi="Times New Roman" w:eastAsia="宋体" w:cs="Times New Roman"/>
                <w:bCs/>
                <w:color w:val="auto"/>
                <w:kern w:val="0"/>
                <w:sz w:val="24"/>
                <w:szCs w:val="24"/>
                <w:lang w:val="en-US" w:eastAsia="zh-CN"/>
              </w:rPr>
              <w:t>废设备包装材料</w:t>
            </w:r>
            <w:r>
              <w:rPr>
                <w:rFonts w:hint="default" w:ascii="Times New Roman" w:hAnsi="Times New Roman" w:eastAsia="宋体" w:cs="Times New Roman"/>
                <w:bCs/>
                <w:color w:val="auto"/>
                <w:kern w:val="0"/>
                <w:sz w:val="24"/>
                <w:szCs w:val="24"/>
              </w:rPr>
              <w:t>、施工人员的生活垃圾。</w:t>
            </w:r>
          </w:p>
          <w:p w14:paraId="29F84D45">
            <w:pPr>
              <w:spacing w:line="360" w:lineRule="auto"/>
              <w:ind w:firstLine="480" w:firstLineChars="200"/>
              <w:rPr>
                <w:rFonts w:hint="default" w:ascii="Times New Roman" w:hAnsi="Times New Roman" w:eastAsia="宋体" w:cs="Times New Roman"/>
                <w:bCs/>
                <w:color w:val="auto"/>
                <w:kern w:val="0"/>
                <w:sz w:val="24"/>
              </w:rPr>
            </w:pPr>
            <w:r>
              <w:rPr>
                <w:rFonts w:hint="default" w:ascii="Times New Roman" w:hAnsi="Times New Roman" w:eastAsia="宋体" w:cs="Times New Roman"/>
                <w:bCs/>
                <w:color w:val="auto"/>
                <w:kern w:val="0"/>
                <w:sz w:val="24"/>
                <w:szCs w:val="24"/>
                <w:lang w:val="en-US" w:eastAsia="zh-CN"/>
              </w:rPr>
              <w:t>设备安装</w:t>
            </w:r>
            <w:r>
              <w:rPr>
                <w:rFonts w:hint="default" w:ascii="Times New Roman" w:hAnsi="Times New Roman" w:eastAsia="宋体" w:cs="Times New Roman"/>
                <w:bCs/>
                <w:color w:val="auto"/>
                <w:kern w:val="0"/>
                <w:sz w:val="24"/>
                <w:szCs w:val="24"/>
              </w:rPr>
              <w:t>产生的废旧包装材料，收集后运往城建部门指定地点；施工人员生活垃圾分类收集后，交由环卫部门统一清运处理。</w:t>
            </w:r>
          </w:p>
          <w:p w14:paraId="33AFAC1B">
            <w:pPr>
              <w:spacing w:line="360" w:lineRule="auto"/>
              <w:rPr>
                <w:rFonts w:hint="default" w:ascii="Times New Roman" w:hAnsi="Times New Roman" w:eastAsia="宋体" w:cs="Times New Roman"/>
                <w:color w:val="auto"/>
                <w:kern w:val="0"/>
                <w:sz w:val="24"/>
              </w:rPr>
            </w:pPr>
          </w:p>
          <w:p w14:paraId="4BE47B21">
            <w:pPr>
              <w:spacing w:line="360" w:lineRule="auto"/>
              <w:rPr>
                <w:rFonts w:hint="default" w:ascii="Times New Roman" w:hAnsi="Times New Roman" w:eastAsia="宋体" w:cs="Times New Roman"/>
                <w:bCs/>
                <w:color w:val="auto"/>
                <w:kern w:val="0"/>
                <w:sz w:val="24"/>
              </w:rPr>
            </w:pPr>
          </w:p>
          <w:p w14:paraId="49317724">
            <w:pPr>
              <w:spacing w:line="360" w:lineRule="auto"/>
              <w:rPr>
                <w:rFonts w:hint="default" w:ascii="Times New Roman" w:hAnsi="Times New Roman" w:eastAsia="宋体" w:cs="Times New Roman"/>
                <w:bCs/>
                <w:color w:val="auto"/>
                <w:kern w:val="0"/>
                <w:sz w:val="24"/>
              </w:rPr>
            </w:pPr>
          </w:p>
          <w:p w14:paraId="7C691E02">
            <w:pPr>
              <w:pStyle w:val="26"/>
              <w:spacing w:line="360" w:lineRule="auto"/>
              <w:rPr>
                <w:rFonts w:hint="default" w:ascii="Times New Roman" w:hAnsi="Times New Roman" w:eastAsia="宋体" w:cs="Times New Roman"/>
                <w:bCs/>
                <w:color w:val="auto"/>
              </w:rPr>
            </w:pPr>
          </w:p>
          <w:p w14:paraId="14A7CE58">
            <w:pPr>
              <w:pStyle w:val="26"/>
              <w:spacing w:line="360" w:lineRule="auto"/>
              <w:rPr>
                <w:rFonts w:hint="default" w:ascii="Times New Roman" w:hAnsi="Times New Roman" w:eastAsia="宋体" w:cs="Times New Roman"/>
                <w:bCs/>
                <w:color w:val="auto"/>
              </w:rPr>
            </w:pPr>
          </w:p>
          <w:p w14:paraId="3BA7EFDC">
            <w:pPr>
              <w:pStyle w:val="26"/>
              <w:spacing w:line="360" w:lineRule="auto"/>
              <w:rPr>
                <w:rFonts w:hint="default" w:ascii="Times New Roman" w:hAnsi="Times New Roman" w:eastAsia="宋体" w:cs="Times New Roman"/>
                <w:bCs/>
                <w:color w:val="auto"/>
              </w:rPr>
            </w:pPr>
          </w:p>
          <w:p w14:paraId="4C1AFF64">
            <w:pPr>
              <w:pStyle w:val="26"/>
              <w:spacing w:line="360" w:lineRule="auto"/>
              <w:rPr>
                <w:rFonts w:hint="default" w:ascii="Times New Roman" w:hAnsi="Times New Roman" w:eastAsia="宋体" w:cs="Times New Roman"/>
                <w:bCs/>
                <w:color w:val="auto"/>
              </w:rPr>
            </w:pPr>
          </w:p>
          <w:p w14:paraId="18FEFE66">
            <w:pPr>
              <w:pStyle w:val="26"/>
              <w:spacing w:line="360" w:lineRule="auto"/>
              <w:rPr>
                <w:rFonts w:hint="default" w:ascii="Times New Roman" w:hAnsi="Times New Roman" w:eastAsia="宋体" w:cs="Times New Roman"/>
                <w:bCs/>
                <w:color w:val="auto"/>
              </w:rPr>
            </w:pPr>
          </w:p>
          <w:p w14:paraId="699FEE02">
            <w:pPr>
              <w:pStyle w:val="26"/>
              <w:spacing w:line="360" w:lineRule="auto"/>
              <w:rPr>
                <w:rFonts w:hint="default" w:ascii="Times New Roman" w:hAnsi="Times New Roman" w:eastAsia="宋体" w:cs="Times New Roman"/>
                <w:bCs/>
                <w:color w:val="auto"/>
              </w:rPr>
            </w:pPr>
          </w:p>
          <w:p w14:paraId="793CD498">
            <w:pPr>
              <w:pStyle w:val="26"/>
              <w:spacing w:line="360" w:lineRule="auto"/>
              <w:rPr>
                <w:rFonts w:hint="default" w:ascii="Times New Roman" w:hAnsi="Times New Roman" w:eastAsia="宋体" w:cs="Times New Roman"/>
                <w:bCs/>
                <w:color w:val="auto"/>
              </w:rPr>
            </w:pPr>
          </w:p>
          <w:p w14:paraId="3B96AD88">
            <w:pPr>
              <w:pStyle w:val="26"/>
              <w:spacing w:line="360" w:lineRule="auto"/>
              <w:rPr>
                <w:rFonts w:hint="default" w:ascii="Times New Roman" w:hAnsi="Times New Roman" w:eastAsia="宋体" w:cs="Times New Roman"/>
                <w:bCs/>
                <w:color w:val="auto"/>
              </w:rPr>
            </w:pPr>
          </w:p>
          <w:p w14:paraId="0EE3FB1A">
            <w:pPr>
              <w:pStyle w:val="26"/>
              <w:spacing w:line="360" w:lineRule="auto"/>
              <w:rPr>
                <w:rFonts w:hint="default" w:ascii="Times New Roman" w:hAnsi="Times New Roman" w:eastAsia="宋体" w:cs="Times New Roman"/>
                <w:bCs/>
                <w:color w:val="auto"/>
              </w:rPr>
            </w:pPr>
          </w:p>
          <w:p w14:paraId="40830690">
            <w:pPr>
              <w:pStyle w:val="26"/>
              <w:spacing w:line="360" w:lineRule="auto"/>
              <w:rPr>
                <w:rFonts w:hint="default" w:ascii="Times New Roman" w:hAnsi="Times New Roman" w:eastAsia="宋体" w:cs="Times New Roman"/>
                <w:bCs/>
                <w:color w:val="auto"/>
              </w:rPr>
            </w:pPr>
          </w:p>
          <w:p w14:paraId="2BE5505E">
            <w:pPr>
              <w:pStyle w:val="26"/>
              <w:spacing w:line="360" w:lineRule="auto"/>
              <w:rPr>
                <w:rFonts w:hint="default" w:ascii="Times New Roman" w:hAnsi="Times New Roman" w:eastAsia="宋体" w:cs="Times New Roman"/>
                <w:bCs/>
                <w:color w:val="auto"/>
              </w:rPr>
            </w:pPr>
          </w:p>
          <w:p w14:paraId="46FFC389">
            <w:pPr>
              <w:pStyle w:val="26"/>
              <w:spacing w:line="360" w:lineRule="auto"/>
              <w:rPr>
                <w:rFonts w:hint="default" w:ascii="Times New Roman" w:hAnsi="Times New Roman" w:eastAsia="宋体" w:cs="Times New Roman"/>
                <w:bCs/>
                <w:color w:val="auto"/>
              </w:rPr>
            </w:pPr>
          </w:p>
          <w:p w14:paraId="12D31F67">
            <w:pPr>
              <w:pStyle w:val="26"/>
              <w:spacing w:line="360" w:lineRule="auto"/>
              <w:rPr>
                <w:rFonts w:hint="default" w:ascii="Times New Roman" w:hAnsi="Times New Roman" w:eastAsia="宋体" w:cs="Times New Roman"/>
                <w:bCs/>
                <w:color w:val="auto"/>
              </w:rPr>
            </w:pPr>
          </w:p>
          <w:p w14:paraId="06655458">
            <w:pPr>
              <w:pStyle w:val="26"/>
              <w:spacing w:line="360" w:lineRule="auto"/>
              <w:rPr>
                <w:rFonts w:hint="default" w:ascii="Times New Roman" w:hAnsi="Times New Roman" w:eastAsia="宋体" w:cs="Times New Roman"/>
                <w:bCs/>
                <w:color w:val="auto"/>
              </w:rPr>
            </w:pPr>
          </w:p>
          <w:p w14:paraId="035B9E8C">
            <w:pPr>
              <w:pStyle w:val="26"/>
              <w:spacing w:line="360" w:lineRule="auto"/>
              <w:rPr>
                <w:rFonts w:hint="default" w:ascii="Times New Roman" w:hAnsi="Times New Roman" w:eastAsia="宋体" w:cs="Times New Roman"/>
                <w:bCs/>
                <w:color w:val="auto"/>
              </w:rPr>
            </w:pPr>
          </w:p>
          <w:p w14:paraId="618548C2">
            <w:pPr>
              <w:pStyle w:val="26"/>
              <w:spacing w:line="360" w:lineRule="auto"/>
              <w:rPr>
                <w:rFonts w:hint="default" w:ascii="Times New Roman" w:hAnsi="Times New Roman" w:eastAsia="宋体" w:cs="Times New Roman"/>
                <w:bCs/>
                <w:color w:val="auto"/>
              </w:rPr>
            </w:pPr>
          </w:p>
          <w:p w14:paraId="5D0BC340">
            <w:pPr>
              <w:spacing w:line="240" w:lineRule="auto"/>
              <w:rPr>
                <w:rFonts w:hint="default" w:ascii="Times New Roman" w:hAnsi="Times New Roman" w:eastAsia="宋体" w:cs="Times New Roman"/>
                <w:bCs/>
                <w:color w:val="auto"/>
                <w:spacing w:val="-10"/>
                <w:sz w:val="24"/>
              </w:rPr>
            </w:pPr>
          </w:p>
        </w:tc>
      </w:tr>
    </w:tbl>
    <w:p w14:paraId="2A38D8EA">
      <w:pPr>
        <w:rPr>
          <w:rFonts w:hint="default" w:ascii="Times New Roman" w:hAnsi="Times New Roman" w:eastAsia="宋体" w:cs="Times New Roman"/>
          <w:bCs/>
          <w:color w:val="auto"/>
          <w:szCs w:val="21"/>
        </w:rPr>
      </w:pPr>
    </w:p>
    <w:p w14:paraId="0CAFFB9B">
      <w:pPr>
        <w:rPr>
          <w:rFonts w:hint="default" w:ascii="Times New Roman" w:hAnsi="Times New Roman" w:eastAsia="宋体" w:cs="Times New Roman"/>
          <w:bCs/>
          <w:color w:val="auto"/>
          <w:szCs w:val="21"/>
        </w:rPr>
        <w:sectPr>
          <w:pgSz w:w="11907" w:h="16840"/>
          <w:pgMar w:top="1531" w:right="1531" w:bottom="153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20"/>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8553"/>
      </w:tblGrid>
      <w:tr w14:paraId="793C1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7" w:hRule="atLeast"/>
        </w:trPr>
        <w:tc>
          <w:tcPr>
            <w:tcW w:w="486" w:type="dxa"/>
            <w:vAlign w:val="center"/>
          </w:tcPr>
          <w:p w14:paraId="6B00279A">
            <w:pPr>
              <w:adjustRightInd w:val="0"/>
              <w:snapToGrid w:val="0"/>
              <w:spacing w:line="360" w:lineRule="auto"/>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运营</w:t>
            </w:r>
          </w:p>
          <w:p w14:paraId="2062E0FF">
            <w:pPr>
              <w:adjustRightInd w:val="0"/>
              <w:snapToGrid w:val="0"/>
              <w:spacing w:line="360" w:lineRule="auto"/>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期环</w:t>
            </w:r>
          </w:p>
          <w:p w14:paraId="35BAF2A0">
            <w:pPr>
              <w:adjustRightInd w:val="0"/>
              <w:snapToGrid w:val="0"/>
              <w:spacing w:line="360" w:lineRule="auto"/>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境影</w:t>
            </w:r>
          </w:p>
          <w:p w14:paraId="3C389ADE">
            <w:pPr>
              <w:adjustRightInd w:val="0"/>
              <w:snapToGrid w:val="0"/>
              <w:spacing w:line="360" w:lineRule="auto"/>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响和</w:t>
            </w:r>
          </w:p>
          <w:p w14:paraId="4CE1F6FC">
            <w:pPr>
              <w:adjustRightInd w:val="0"/>
              <w:snapToGrid w:val="0"/>
              <w:spacing w:line="360" w:lineRule="auto"/>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保护</w:t>
            </w:r>
          </w:p>
          <w:p w14:paraId="1BFBF2F3">
            <w:pPr>
              <w:spacing w:line="360" w:lineRule="auto"/>
              <w:jc w:val="center"/>
              <w:rPr>
                <w:rFonts w:hint="default" w:ascii="Times New Roman" w:hAnsi="Times New Roman" w:eastAsia="宋体" w:cs="Times New Roman"/>
                <w:color w:val="auto"/>
              </w:rPr>
            </w:pPr>
            <w:r>
              <w:rPr>
                <w:rFonts w:hint="default" w:ascii="Times New Roman" w:hAnsi="Times New Roman" w:eastAsia="宋体" w:cs="Times New Roman"/>
                <w:bCs/>
                <w:color w:val="auto"/>
                <w:sz w:val="24"/>
              </w:rPr>
              <w:t>措施</w:t>
            </w:r>
          </w:p>
        </w:tc>
        <w:tc>
          <w:tcPr>
            <w:tcW w:w="8553" w:type="dxa"/>
          </w:tcPr>
          <w:p w14:paraId="74447683">
            <w:pPr>
              <w:spacing w:line="360" w:lineRule="auto"/>
              <w:ind w:firstLine="482" w:firstLineChars="200"/>
              <w:rPr>
                <w:rFonts w:hint="default" w:ascii="Times New Roman" w:hAnsi="Times New Roman" w:eastAsia="宋体" w:cs="Times New Roman"/>
                <w:b/>
                <w:bCs/>
                <w:color w:val="auto"/>
                <w:kern w:val="0"/>
                <w:sz w:val="24"/>
                <w:szCs w:val="20"/>
              </w:rPr>
            </w:pPr>
            <w:r>
              <w:rPr>
                <w:rFonts w:hint="default" w:ascii="Times New Roman" w:hAnsi="Times New Roman" w:eastAsia="宋体" w:cs="Times New Roman"/>
                <w:b/>
                <w:bCs/>
                <w:color w:val="auto"/>
                <w:kern w:val="0"/>
                <w:sz w:val="24"/>
                <w:szCs w:val="20"/>
              </w:rPr>
              <w:t>1、废气</w:t>
            </w:r>
          </w:p>
          <w:p w14:paraId="72233266">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lang w:val="en-US" w:eastAsia="zh-CN"/>
              </w:rPr>
              <w:t>本项目</w:t>
            </w:r>
            <w:r>
              <w:rPr>
                <w:rFonts w:hint="default" w:ascii="Times New Roman" w:hAnsi="Times New Roman" w:eastAsia="宋体" w:cs="Times New Roman"/>
                <w:color w:val="auto"/>
                <w:sz w:val="24"/>
                <w:szCs w:val="22"/>
              </w:rPr>
              <w:t>运营期</w:t>
            </w:r>
            <w:r>
              <w:rPr>
                <w:rFonts w:hint="default" w:ascii="Times New Roman" w:hAnsi="Times New Roman" w:eastAsia="宋体" w:cs="Times New Roman"/>
                <w:color w:val="auto"/>
                <w:sz w:val="24"/>
                <w:szCs w:val="22"/>
                <w:lang w:val="en-US" w:eastAsia="zh-CN"/>
              </w:rPr>
              <w:t>生产工艺主要为焊接烟尘、喷漆废气</w:t>
            </w:r>
            <w:r>
              <w:rPr>
                <w:rFonts w:hint="default" w:ascii="Times New Roman" w:hAnsi="Times New Roman" w:eastAsia="宋体" w:cs="Times New Roman"/>
                <w:color w:val="auto"/>
                <w:sz w:val="24"/>
                <w:szCs w:val="22"/>
              </w:rPr>
              <w:t>。</w:t>
            </w:r>
          </w:p>
          <w:p w14:paraId="00CEDF32">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（1）废气污染物产排情况</w:t>
            </w:r>
          </w:p>
          <w:p w14:paraId="22D4CD9F">
            <w:pPr>
              <w:spacing w:line="360" w:lineRule="auto"/>
              <w:ind w:firstLine="480" w:firstLineChars="200"/>
              <w:rPr>
                <w:rFonts w:hint="default" w:ascii="Times New Roman" w:hAnsi="Times New Roman" w:eastAsia="宋体" w:cs="Times New Roman"/>
                <w:b/>
                <w:bCs/>
                <w:color w:val="auto"/>
                <w:kern w:val="0"/>
                <w:sz w:val="24"/>
                <w:szCs w:val="20"/>
                <w:lang w:eastAsia="zh-CN"/>
              </w:rPr>
            </w:pPr>
            <w:r>
              <w:rPr>
                <w:rFonts w:hint="default" w:ascii="Times New Roman" w:hAnsi="Times New Roman" w:eastAsia="宋体" w:cs="Times New Roman"/>
                <w:color w:val="auto"/>
                <w:kern w:val="0"/>
                <w:sz w:val="24"/>
                <w:lang w:bidi="en-US"/>
              </w:rPr>
              <w:t>根据源强核算，项目废气产排情况见表</w:t>
            </w:r>
            <w:r>
              <w:rPr>
                <w:rFonts w:hint="default" w:ascii="Times New Roman" w:hAnsi="Times New Roman" w:eastAsia="宋体" w:cs="Times New Roman"/>
                <w:color w:val="auto"/>
                <w:kern w:val="0"/>
                <w:sz w:val="24"/>
                <w:lang w:val="en-US" w:eastAsia="zh-CN" w:bidi="en-US"/>
              </w:rPr>
              <w:t>4-1</w:t>
            </w:r>
            <w:r>
              <w:rPr>
                <w:rFonts w:hint="default" w:ascii="Times New Roman" w:hAnsi="Times New Roman" w:eastAsia="宋体" w:cs="Times New Roman"/>
                <w:color w:val="auto"/>
                <w:kern w:val="0"/>
                <w:sz w:val="24"/>
                <w:lang w:bidi="en-US"/>
              </w:rPr>
              <w:t>。</w:t>
            </w:r>
          </w:p>
          <w:p w14:paraId="07008576">
            <w:pPr>
              <w:autoSpaceDE w:val="0"/>
              <w:autoSpaceDN w:val="0"/>
              <w:spacing w:line="24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w:t>
            </w:r>
            <w:r>
              <w:rPr>
                <w:rFonts w:hint="default" w:ascii="Times New Roman" w:hAnsi="Times New Roman" w:eastAsia="宋体" w:cs="Times New Roman"/>
                <w:b/>
                <w:color w:val="auto"/>
                <w:szCs w:val="21"/>
                <w:lang w:val="en-US" w:eastAsia="zh-CN"/>
              </w:rPr>
              <w:t xml:space="preserve">4-1   </w:t>
            </w:r>
            <w:r>
              <w:rPr>
                <w:rFonts w:hint="default" w:ascii="Times New Roman" w:hAnsi="Times New Roman" w:eastAsia="宋体" w:cs="Times New Roman"/>
                <w:b/>
                <w:color w:val="auto"/>
                <w:szCs w:val="21"/>
              </w:rPr>
              <w:t>项目废气产排情况一览表</w:t>
            </w:r>
          </w:p>
          <w:tbl>
            <w:tblPr>
              <w:tblStyle w:val="19"/>
              <w:tblW w:w="826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311"/>
              <w:gridCol w:w="300"/>
              <w:gridCol w:w="330"/>
              <w:gridCol w:w="630"/>
              <w:gridCol w:w="690"/>
              <w:gridCol w:w="644"/>
              <w:gridCol w:w="738"/>
              <w:gridCol w:w="1613"/>
              <w:gridCol w:w="554"/>
              <w:gridCol w:w="779"/>
              <w:gridCol w:w="489"/>
              <w:gridCol w:w="585"/>
              <w:gridCol w:w="603"/>
            </w:tblGrid>
            <w:tr w14:paraId="56DD1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278" w:hRule="atLeast"/>
                <w:jc w:val="center"/>
              </w:trPr>
              <w:tc>
                <w:tcPr>
                  <w:tcW w:w="311" w:type="dxa"/>
                  <w:vMerge w:val="restart"/>
                  <w:noWrap w:val="0"/>
                  <w:vAlign w:val="center"/>
                </w:tcPr>
                <w:p w14:paraId="4B606A1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序号</w:t>
                  </w:r>
                </w:p>
              </w:tc>
              <w:tc>
                <w:tcPr>
                  <w:tcW w:w="300" w:type="dxa"/>
                  <w:vMerge w:val="restart"/>
                  <w:noWrap w:val="0"/>
                  <w:vAlign w:val="center"/>
                </w:tcPr>
                <w:p w14:paraId="5706372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产污环节</w:t>
                  </w:r>
                </w:p>
              </w:tc>
              <w:tc>
                <w:tcPr>
                  <w:tcW w:w="330" w:type="dxa"/>
                  <w:vMerge w:val="restart"/>
                  <w:noWrap w:val="0"/>
                  <w:vAlign w:val="center"/>
                </w:tcPr>
                <w:p w14:paraId="0AEDC386">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污染物</w:t>
                  </w:r>
                </w:p>
              </w:tc>
              <w:tc>
                <w:tcPr>
                  <w:tcW w:w="630" w:type="dxa"/>
                  <w:vMerge w:val="restart"/>
                  <w:noWrap w:val="0"/>
                  <w:vAlign w:val="center"/>
                </w:tcPr>
                <w:p w14:paraId="256F8F3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产生量（t/a）</w:t>
                  </w:r>
                </w:p>
              </w:tc>
              <w:tc>
                <w:tcPr>
                  <w:tcW w:w="690" w:type="dxa"/>
                  <w:vMerge w:val="restart"/>
                  <w:noWrap w:val="0"/>
                  <w:vAlign w:val="center"/>
                </w:tcPr>
                <w:p w14:paraId="550E2633">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产生速率（kg/h）</w:t>
                  </w:r>
                </w:p>
              </w:tc>
              <w:tc>
                <w:tcPr>
                  <w:tcW w:w="644" w:type="dxa"/>
                  <w:vMerge w:val="restart"/>
                  <w:noWrap w:val="0"/>
                  <w:vAlign w:val="center"/>
                </w:tcPr>
                <w:p w14:paraId="7A006B56">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产生浓度（mg/m</w:t>
                  </w:r>
                  <w:r>
                    <w:rPr>
                      <w:rFonts w:hint="default" w:ascii="Times New Roman" w:hAnsi="Times New Roman" w:eastAsia="宋体" w:cs="Times New Roman"/>
                      <w:color w:val="auto"/>
                      <w:kern w:val="0"/>
                      <w:sz w:val="21"/>
                      <w:szCs w:val="21"/>
                      <w:vertAlign w:val="superscript"/>
                      <w:lang w:bidi="en-US"/>
                    </w:rPr>
                    <w:t>3</w:t>
                  </w:r>
                  <w:r>
                    <w:rPr>
                      <w:rFonts w:hint="default" w:ascii="Times New Roman" w:hAnsi="Times New Roman" w:eastAsia="宋体" w:cs="Times New Roman"/>
                      <w:color w:val="auto"/>
                      <w:kern w:val="0"/>
                      <w:sz w:val="21"/>
                      <w:szCs w:val="21"/>
                      <w:lang w:bidi="en-US"/>
                    </w:rPr>
                    <w:t>）</w:t>
                  </w:r>
                </w:p>
              </w:tc>
              <w:tc>
                <w:tcPr>
                  <w:tcW w:w="738" w:type="dxa"/>
                  <w:vMerge w:val="restart"/>
                  <w:noWrap w:val="0"/>
                  <w:vAlign w:val="center"/>
                </w:tcPr>
                <w:p w14:paraId="068D598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排放形式</w:t>
                  </w:r>
                </w:p>
              </w:tc>
              <w:tc>
                <w:tcPr>
                  <w:tcW w:w="2946" w:type="dxa"/>
                  <w:gridSpan w:val="3"/>
                  <w:noWrap w:val="0"/>
                  <w:vAlign w:val="center"/>
                </w:tcPr>
                <w:p w14:paraId="3143287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收集治理设施</w:t>
                  </w:r>
                </w:p>
              </w:tc>
              <w:tc>
                <w:tcPr>
                  <w:tcW w:w="489" w:type="dxa"/>
                  <w:vMerge w:val="restart"/>
                  <w:noWrap w:val="0"/>
                  <w:vAlign w:val="center"/>
                </w:tcPr>
                <w:p w14:paraId="54F6A79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排放量（t/a）</w:t>
                  </w:r>
                </w:p>
              </w:tc>
              <w:tc>
                <w:tcPr>
                  <w:tcW w:w="585" w:type="dxa"/>
                  <w:vMerge w:val="restart"/>
                  <w:noWrap w:val="0"/>
                  <w:vAlign w:val="center"/>
                </w:tcPr>
                <w:p w14:paraId="7840AD6D">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排放速率（kg/h）</w:t>
                  </w:r>
                </w:p>
              </w:tc>
              <w:tc>
                <w:tcPr>
                  <w:tcW w:w="603" w:type="dxa"/>
                  <w:vMerge w:val="restart"/>
                  <w:noWrap w:val="0"/>
                  <w:vAlign w:val="center"/>
                </w:tcPr>
                <w:p w14:paraId="141F6FE1">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排放浓度（mg/m</w:t>
                  </w:r>
                  <w:r>
                    <w:rPr>
                      <w:rFonts w:hint="default" w:ascii="Times New Roman" w:hAnsi="Times New Roman" w:eastAsia="宋体" w:cs="Times New Roman"/>
                      <w:color w:val="auto"/>
                      <w:kern w:val="0"/>
                      <w:sz w:val="21"/>
                      <w:szCs w:val="21"/>
                      <w:vertAlign w:val="superscript"/>
                      <w:lang w:bidi="en-US"/>
                    </w:rPr>
                    <w:t>3</w:t>
                  </w:r>
                  <w:r>
                    <w:rPr>
                      <w:rFonts w:hint="default" w:ascii="Times New Roman" w:hAnsi="Times New Roman" w:eastAsia="宋体" w:cs="Times New Roman"/>
                      <w:color w:val="auto"/>
                      <w:kern w:val="0"/>
                      <w:sz w:val="21"/>
                      <w:szCs w:val="21"/>
                      <w:lang w:bidi="en-US"/>
                    </w:rPr>
                    <w:t>）</w:t>
                  </w:r>
                </w:p>
              </w:tc>
            </w:tr>
            <w:tr w14:paraId="39601B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51" w:hRule="atLeast"/>
                <w:jc w:val="center"/>
              </w:trPr>
              <w:tc>
                <w:tcPr>
                  <w:tcW w:w="311" w:type="dxa"/>
                  <w:vMerge w:val="continue"/>
                  <w:noWrap w:val="0"/>
                  <w:vAlign w:val="center"/>
                </w:tcPr>
                <w:p w14:paraId="692B71F4">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300" w:type="dxa"/>
                  <w:vMerge w:val="continue"/>
                  <w:noWrap w:val="0"/>
                  <w:vAlign w:val="center"/>
                </w:tcPr>
                <w:p w14:paraId="47DB2B1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330" w:type="dxa"/>
                  <w:vMerge w:val="continue"/>
                  <w:noWrap w:val="0"/>
                  <w:vAlign w:val="center"/>
                </w:tcPr>
                <w:p w14:paraId="0EC87A0E">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630" w:type="dxa"/>
                  <w:vMerge w:val="continue"/>
                  <w:noWrap w:val="0"/>
                  <w:vAlign w:val="center"/>
                </w:tcPr>
                <w:p w14:paraId="3A9AFA1C">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690" w:type="dxa"/>
                  <w:vMerge w:val="continue"/>
                  <w:noWrap w:val="0"/>
                  <w:vAlign w:val="center"/>
                </w:tcPr>
                <w:p w14:paraId="3A10D2FF">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644" w:type="dxa"/>
                  <w:vMerge w:val="continue"/>
                  <w:noWrap w:val="0"/>
                  <w:vAlign w:val="center"/>
                </w:tcPr>
                <w:p w14:paraId="02B77112">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738" w:type="dxa"/>
                  <w:vMerge w:val="continue"/>
                  <w:noWrap w:val="0"/>
                  <w:vAlign w:val="center"/>
                </w:tcPr>
                <w:p w14:paraId="16101121">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1613" w:type="dxa"/>
                  <w:noWrap w:val="0"/>
                  <w:vAlign w:val="center"/>
                </w:tcPr>
                <w:p w14:paraId="638BEE7F">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设施名称</w:t>
                  </w:r>
                </w:p>
              </w:tc>
              <w:tc>
                <w:tcPr>
                  <w:tcW w:w="554" w:type="dxa"/>
                  <w:noWrap w:val="0"/>
                  <w:vAlign w:val="center"/>
                </w:tcPr>
                <w:p w14:paraId="08E3E947">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处理效率</w:t>
                  </w:r>
                </w:p>
              </w:tc>
              <w:tc>
                <w:tcPr>
                  <w:tcW w:w="779" w:type="dxa"/>
                  <w:noWrap w:val="0"/>
                  <w:vAlign w:val="center"/>
                </w:tcPr>
                <w:p w14:paraId="3F386D2C">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r>
                    <w:rPr>
                      <w:rFonts w:hint="default" w:ascii="Times New Roman" w:hAnsi="Times New Roman" w:eastAsia="宋体" w:cs="Times New Roman"/>
                      <w:color w:val="auto"/>
                      <w:kern w:val="0"/>
                      <w:sz w:val="21"/>
                      <w:szCs w:val="21"/>
                      <w:lang w:bidi="en-US"/>
                    </w:rPr>
                    <w:t>是否为可行技术</w:t>
                  </w:r>
                </w:p>
              </w:tc>
              <w:tc>
                <w:tcPr>
                  <w:tcW w:w="489" w:type="dxa"/>
                  <w:vMerge w:val="continue"/>
                  <w:noWrap w:val="0"/>
                  <w:vAlign w:val="center"/>
                </w:tcPr>
                <w:p w14:paraId="7B893C4B">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585" w:type="dxa"/>
                  <w:vMerge w:val="continue"/>
                  <w:noWrap w:val="0"/>
                  <w:vAlign w:val="center"/>
                </w:tcPr>
                <w:p w14:paraId="746C48E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c>
                <w:tcPr>
                  <w:tcW w:w="603" w:type="dxa"/>
                  <w:vMerge w:val="continue"/>
                  <w:noWrap w:val="0"/>
                  <w:vAlign w:val="center"/>
                </w:tcPr>
                <w:p w14:paraId="6C357B04">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bidi="en-US"/>
                    </w:rPr>
                  </w:pPr>
                </w:p>
              </w:tc>
            </w:tr>
            <w:tr w14:paraId="4D633C6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3" w:hRule="atLeast"/>
                <w:jc w:val="center"/>
              </w:trPr>
              <w:tc>
                <w:tcPr>
                  <w:tcW w:w="311" w:type="dxa"/>
                  <w:vMerge w:val="restart"/>
                  <w:noWrap w:val="0"/>
                  <w:vAlign w:val="center"/>
                </w:tcPr>
                <w:p w14:paraId="2EE6AA2F">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1</w:t>
                  </w:r>
                </w:p>
              </w:tc>
              <w:tc>
                <w:tcPr>
                  <w:tcW w:w="300" w:type="dxa"/>
                  <w:vMerge w:val="restart"/>
                  <w:noWrap w:val="0"/>
                  <w:vAlign w:val="center"/>
                </w:tcPr>
                <w:p w14:paraId="5815F15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焊接、喷砂</w:t>
                  </w:r>
                </w:p>
              </w:tc>
              <w:tc>
                <w:tcPr>
                  <w:tcW w:w="330" w:type="dxa"/>
                  <w:vMerge w:val="restart"/>
                  <w:noWrap w:val="0"/>
                  <w:vAlign w:val="center"/>
                </w:tcPr>
                <w:p w14:paraId="648D4FBC">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颗粒物</w:t>
                  </w:r>
                </w:p>
              </w:tc>
              <w:tc>
                <w:tcPr>
                  <w:tcW w:w="630" w:type="dxa"/>
                  <w:vMerge w:val="restart"/>
                  <w:noWrap w:val="0"/>
                  <w:vAlign w:val="center"/>
                </w:tcPr>
                <w:p w14:paraId="18D3A683">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2.1544 </w:t>
                  </w:r>
                </w:p>
              </w:tc>
              <w:tc>
                <w:tcPr>
                  <w:tcW w:w="690" w:type="dxa"/>
                  <w:vMerge w:val="restart"/>
                  <w:noWrap w:val="0"/>
                  <w:vAlign w:val="center"/>
                </w:tcPr>
                <w:p w14:paraId="7321ABA1">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0.8977 </w:t>
                  </w:r>
                </w:p>
              </w:tc>
              <w:tc>
                <w:tcPr>
                  <w:tcW w:w="644" w:type="dxa"/>
                  <w:vMerge w:val="restart"/>
                  <w:noWrap w:val="0"/>
                  <w:vAlign w:val="center"/>
                </w:tcPr>
                <w:p w14:paraId="7EEE6AC2">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20.6360 </w:t>
                  </w:r>
                </w:p>
              </w:tc>
              <w:tc>
                <w:tcPr>
                  <w:tcW w:w="738" w:type="dxa"/>
                  <w:vMerge w:val="restart"/>
                  <w:noWrap w:val="0"/>
                  <w:vAlign w:val="center"/>
                </w:tcPr>
                <w:p w14:paraId="68529C2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有组织</w:t>
                  </w:r>
                </w:p>
              </w:tc>
              <w:tc>
                <w:tcPr>
                  <w:tcW w:w="1613" w:type="dxa"/>
                  <w:noWrap w:val="0"/>
                  <w:vAlign w:val="center"/>
                </w:tcPr>
                <w:p w14:paraId="48FB133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焊接烟尘：集气罩+滤筒除尘器+20m高排气筒（DA007）</w:t>
                  </w:r>
                </w:p>
              </w:tc>
              <w:tc>
                <w:tcPr>
                  <w:tcW w:w="554" w:type="dxa"/>
                  <w:vMerge w:val="restart"/>
                  <w:noWrap w:val="0"/>
                  <w:vAlign w:val="center"/>
                </w:tcPr>
                <w:p w14:paraId="441F8E7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95%</w:t>
                  </w:r>
                </w:p>
              </w:tc>
              <w:tc>
                <w:tcPr>
                  <w:tcW w:w="779" w:type="dxa"/>
                  <w:vMerge w:val="restart"/>
                  <w:noWrap w:val="0"/>
                  <w:vAlign w:val="center"/>
                </w:tcPr>
                <w:p w14:paraId="11702583">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是</w:t>
                  </w:r>
                </w:p>
              </w:tc>
              <w:tc>
                <w:tcPr>
                  <w:tcW w:w="489" w:type="dxa"/>
                  <w:vMerge w:val="restart"/>
                  <w:noWrap w:val="0"/>
                  <w:vAlign w:val="center"/>
                </w:tcPr>
                <w:p w14:paraId="231457F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0.1077 </w:t>
                  </w:r>
                </w:p>
              </w:tc>
              <w:tc>
                <w:tcPr>
                  <w:tcW w:w="585" w:type="dxa"/>
                  <w:vMerge w:val="restart"/>
                  <w:noWrap w:val="0"/>
                  <w:vAlign w:val="center"/>
                </w:tcPr>
                <w:p w14:paraId="389E64A3">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0.0449 </w:t>
                  </w:r>
                </w:p>
              </w:tc>
              <w:tc>
                <w:tcPr>
                  <w:tcW w:w="603" w:type="dxa"/>
                  <w:vMerge w:val="restart"/>
                  <w:noWrap w:val="0"/>
                  <w:vAlign w:val="center"/>
                </w:tcPr>
                <w:p w14:paraId="3FAA6CF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1.0318 </w:t>
                  </w:r>
                </w:p>
              </w:tc>
            </w:tr>
            <w:tr w14:paraId="07540E6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03" w:hRule="atLeast"/>
                <w:jc w:val="center"/>
              </w:trPr>
              <w:tc>
                <w:tcPr>
                  <w:tcW w:w="311" w:type="dxa"/>
                  <w:vMerge w:val="continue"/>
                  <w:noWrap w:val="0"/>
                  <w:vAlign w:val="center"/>
                </w:tcPr>
                <w:p w14:paraId="7A045D21">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rPr>
                  </w:pPr>
                </w:p>
              </w:tc>
              <w:tc>
                <w:tcPr>
                  <w:tcW w:w="300" w:type="dxa"/>
                  <w:vMerge w:val="continue"/>
                  <w:noWrap w:val="0"/>
                  <w:vAlign w:val="center"/>
                </w:tcPr>
                <w:p w14:paraId="3E1B1941">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rPr>
                  </w:pPr>
                </w:p>
              </w:tc>
              <w:tc>
                <w:tcPr>
                  <w:tcW w:w="330" w:type="dxa"/>
                  <w:vMerge w:val="continue"/>
                  <w:noWrap w:val="0"/>
                  <w:vAlign w:val="center"/>
                </w:tcPr>
                <w:p w14:paraId="0D51DE5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rPr>
                  </w:pPr>
                </w:p>
              </w:tc>
              <w:tc>
                <w:tcPr>
                  <w:tcW w:w="630" w:type="dxa"/>
                  <w:vMerge w:val="continue"/>
                  <w:noWrap w:val="0"/>
                  <w:vAlign w:val="center"/>
                </w:tcPr>
                <w:p w14:paraId="58D2BB7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c>
                <w:tcPr>
                  <w:tcW w:w="690" w:type="dxa"/>
                  <w:vMerge w:val="continue"/>
                  <w:noWrap w:val="0"/>
                  <w:vAlign w:val="center"/>
                </w:tcPr>
                <w:p w14:paraId="55704F3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c>
                <w:tcPr>
                  <w:tcW w:w="644" w:type="dxa"/>
                  <w:vMerge w:val="continue"/>
                  <w:noWrap w:val="0"/>
                  <w:vAlign w:val="center"/>
                </w:tcPr>
                <w:p w14:paraId="0833F22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c>
                <w:tcPr>
                  <w:tcW w:w="738" w:type="dxa"/>
                  <w:vMerge w:val="continue"/>
                  <w:noWrap w:val="0"/>
                  <w:vAlign w:val="center"/>
                </w:tcPr>
                <w:p w14:paraId="222D5DD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c>
                <w:tcPr>
                  <w:tcW w:w="1613" w:type="dxa"/>
                  <w:noWrap w:val="0"/>
                  <w:vAlign w:val="center"/>
                </w:tcPr>
                <w:p w14:paraId="72A462B2">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喷砂粉尘：密闭设备+干式过滤+滤筒除尘器+20m高排气筒（DA007）</w:t>
                  </w:r>
                </w:p>
              </w:tc>
              <w:tc>
                <w:tcPr>
                  <w:tcW w:w="554" w:type="dxa"/>
                  <w:vMerge w:val="continue"/>
                  <w:noWrap w:val="0"/>
                  <w:vAlign w:val="center"/>
                </w:tcPr>
                <w:p w14:paraId="36962C5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c>
                <w:tcPr>
                  <w:tcW w:w="779" w:type="dxa"/>
                  <w:vMerge w:val="continue"/>
                  <w:noWrap w:val="0"/>
                  <w:vAlign w:val="center"/>
                </w:tcPr>
                <w:p w14:paraId="602D568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c>
                <w:tcPr>
                  <w:tcW w:w="489" w:type="dxa"/>
                  <w:vMerge w:val="continue"/>
                  <w:noWrap w:val="0"/>
                  <w:vAlign w:val="center"/>
                </w:tcPr>
                <w:p w14:paraId="57353B7F">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c>
                <w:tcPr>
                  <w:tcW w:w="585" w:type="dxa"/>
                  <w:vMerge w:val="continue"/>
                  <w:noWrap w:val="0"/>
                  <w:vAlign w:val="center"/>
                </w:tcPr>
                <w:p w14:paraId="627A1DEE">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c>
                <w:tcPr>
                  <w:tcW w:w="603" w:type="dxa"/>
                  <w:vMerge w:val="continue"/>
                  <w:noWrap w:val="0"/>
                  <w:vAlign w:val="center"/>
                </w:tcPr>
                <w:p w14:paraId="3E6A4E7E">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p>
              </w:tc>
            </w:tr>
            <w:tr w14:paraId="04DB2F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21" w:hRule="atLeast"/>
                <w:jc w:val="center"/>
              </w:trPr>
              <w:tc>
                <w:tcPr>
                  <w:tcW w:w="311" w:type="dxa"/>
                  <w:vMerge w:val="continue"/>
                  <w:noWrap w:val="0"/>
                  <w:vAlign w:val="center"/>
                </w:tcPr>
                <w:p w14:paraId="5FBEBFAA">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00" w:type="dxa"/>
                  <w:vMerge w:val="continue"/>
                  <w:noWrap w:val="0"/>
                  <w:vAlign w:val="center"/>
                </w:tcPr>
                <w:p w14:paraId="0E593D0B">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30" w:type="dxa"/>
                  <w:vMerge w:val="continue"/>
                  <w:noWrap w:val="0"/>
                  <w:vAlign w:val="center"/>
                </w:tcPr>
                <w:p w14:paraId="7D1D352F">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630" w:type="dxa"/>
                  <w:noWrap w:val="0"/>
                  <w:vAlign w:val="center"/>
                </w:tcPr>
                <w:p w14:paraId="77377777">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0.5386 </w:t>
                  </w:r>
                </w:p>
              </w:tc>
              <w:tc>
                <w:tcPr>
                  <w:tcW w:w="690" w:type="dxa"/>
                  <w:noWrap w:val="0"/>
                  <w:vAlign w:val="center"/>
                </w:tcPr>
                <w:p w14:paraId="722066C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0.2244 </w:t>
                  </w:r>
                </w:p>
              </w:tc>
              <w:tc>
                <w:tcPr>
                  <w:tcW w:w="644" w:type="dxa"/>
                  <w:noWrap w:val="0"/>
                  <w:vAlign w:val="center"/>
                </w:tcPr>
                <w:p w14:paraId="5C4B200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w:t>
                  </w:r>
                </w:p>
              </w:tc>
              <w:tc>
                <w:tcPr>
                  <w:tcW w:w="738" w:type="dxa"/>
                  <w:noWrap w:val="0"/>
                  <w:vAlign w:val="center"/>
                </w:tcPr>
                <w:p w14:paraId="563BE487">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无组织</w:t>
                  </w:r>
                </w:p>
              </w:tc>
              <w:tc>
                <w:tcPr>
                  <w:tcW w:w="1613" w:type="dxa"/>
                  <w:noWrap w:val="0"/>
                  <w:vAlign w:val="center"/>
                </w:tcPr>
                <w:p w14:paraId="380F7E5E">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局部收集、厂房阻隔</w:t>
                  </w:r>
                </w:p>
              </w:tc>
              <w:tc>
                <w:tcPr>
                  <w:tcW w:w="554" w:type="dxa"/>
                  <w:noWrap w:val="0"/>
                  <w:vAlign w:val="center"/>
                </w:tcPr>
                <w:p w14:paraId="60486602">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60%</w:t>
                  </w:r>
                </w:p>
              </w:tc>
              <w:tc>
                <w:tcPr>
                  <w:tcW w:w="779" w:type="dxa"/>
                  <w:noWrap w:val="0"/>
                  <w:vAlign w:val="center"/>
                </w:tcPr>
                <w:p w14:paraId="1188A37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w:t>
                  </w:r>
                </w:p>
              </w:tc>
              <w:tc>
                <w:tcPr>
                  <w:tcW w:w="489" w:type="dxa"/>
                  <w:noWrap w:val="0"/>
                  <w:vAlign w:val="center"/>
                </w:tcPr>
                <w:p w14:paraId="01A32D9D">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0.2154 </w:t>
                  </w:r>
                </w:p>
              </w:tc>
              <w:tc>
                <w:tcPr>
                  <w:tcW w:w="585" w:type="dxa"/>
                  <w:noWrap w:val="0"/>
                  <w:vAlign w:val="center"/>
                </w:tcPr>
                <w:p w14:paraId="1D8D1D01">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0.0898 </w:t>
                  </w:r>
                </w:p>
              </w:tc>
              <w:tc>
                <w:tcPr>
                  <w:tcW w:w="603" w:type="dxa"/>
                  <w:noWrap w:val="0"/>
                  <w:vAlign w:val="center"/>
                </w:tcPr>
                <w:p w14:paraId="3A8A013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w:t>
                  </w:r>
                </w:p>
              </w:tc>
            </w:tr>
            <w:tr w14:paraId="33F5E73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21" w:hRule="atLeast"/>
                <w:jc w:val="center"/>
              </w:trPr>
              <w:tc>
                <w:tcPr>
                  <w:tcW w:w="311" w:type="dxa"/>
                  <w:vMerge w:val="restart"/>
                  <w:noWrap w:val="0"/>
                  <w:vAlign w:val="center"/>
                </w:tcPr>
                <w:p w14:paraId="0D500438">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w:t>
                  </w:r>
                </w:p>
              </w:tc>
              <w:tc>
                <w:tcPr>
                  <w:tcW w:w="300" w:type="dxa"/>
                  <w:vMerge w:val="restart"/>
                  <w:noWrap w:val="0"/>
                  <w:vAlign w:val="center"/>
                </w:tcPr>
                <w:p w14:paraId="56DD5ABB">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喷漆</w:t>
                  </w:r>
                </w:p>
              </w:tc>
              <w:tc>
                <w:tcPr>
                  <w:tcW w:w="330" w:type="dxa"/>
                  <w:noWrap w:val="0"/>
                  <w:vAlign w:val="center"/>
                </w:tcPr>
                <w:p w14:paraId="12CA62C6">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颗粒物</w:t>
                  </w:r>
                </w:p>
              </w:tc>
              <w:tc>
                <w:tcPr>
                  <w:tcW w:w="630" w:type="dxa"/>
                  <w:noWrap w:val="0"/>
                  <w:vAlign w:val="center"/>
                </w:tcPr>
                <w:p w14:paraId="3E3699CE">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0.9472 </w:t>
                  </w:r>
                </w:p>
              </w:tc>
              <w:tc>
                <w:tcPr>
                  <w:tcW w:w="690" w:type="dxa"/>
                  <w:noWrap w:val="0"/>
                  <w:vAlign w:val="center"/>
                </w:tcPr>
                <w:p w14:paraId="2F5A722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0.3947 </w:t>
                  </w:r>
                </w:p>
              </w:tc>
              <w:tc>
                <w:tcPr>
                  <w:tcW w:w="644" w:type="dxa"/>
                  <w:noWrap w:val="0"/>
                  <w:vAlign w:val="center"/>
                </w:tcPr>
                <w:p w14:paraId="72402E3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4.9333 </w:t>
                  </w:r>
                </w:p>
              </w:tc>
              <w:tc>
                <w:tcPr>
                  <w:tcW w:w="738" w:type="dxa"/>
                  <w:vMerge w:val="restart"/>
                  <w:noWrap w:val="0"/>
                  <w:vAlign w:val="center"/>
                </w:tcPr>
                <w:p w14:paraId="0D6CAD38">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有组织</w:t>
                  </w:r>
                </w:p>
              </w:tc>
              <w:tc>
                <w:tcPr>
                  <w:tcW w:w="1613" w:type="dxa"/>
                  <w:vMerge w:val="restart"/>
                  <w:noWrap w:val="0"/>
                  <w:vAlign w:val="center"/>
                </w:tcPr>
                <w:p w14:paraId="1186CDAC">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密闭收集+干式过滤+活性炭吸附浓缩+催化燃烧+15m高排气筒（DA002）</w:t>
                  </w:r>
                </w:p>
              </w:tc>
              <w:tc>
                <w:tcPr>
                  <w:tcW w:w="554" w:type="dxa"/>
                  <w:noWrap w:val="0"/>
                  <w:vAlign w:val="center"/>
                </w:tcPr>
                <w:p w14:paraId="13065505">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99%</w:t>
                  </w:r>
                </w:p>
              </w:tc>
              <w:tc>
                <w:tcPr>
                  <w:tcW w:w="779" w:type="dxa"/>
                  <w:vMerge w:val="restart"/>
                  <w:noWrap w:val="0"/>
                  <w:vAlign w:val="center"/>
                </w:tcPr>
                <w:p w14:paraId="7154A3D1">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是</w:t>
                  </w:r>
                </w:p>
              </w:tc>
              <w:tc>
                <w:tcPr>
                  <w:tcW w:w="489" w:type="dxa"/>
                  <w:noWrap w:val="0"/>
                  <w:vAlign w:val="center"/>
                </w:tcPr>
                <w:p w14:paraId="123625BD">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0.0095 </w:t>
                  </w:r>
                </w:p>
              </w:tc>
              <w:tc>
                <w:tcPr>
                  <w:tcW w:w="585" w:type="dxa"/>
                  <w:noWrap w:val="0"/>
                  <w:vAlign w:val="center"/>
                </w:tcPr>
                <w:p w14:paraId="582FAD9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0.0039 </w:t>
                  </w:r>
                </w:p>
              </w:tc>
              <w:tc>
                <w:tcPr>
                  <w:tcW w:w="603" w:type="dxa"/>
                  <w:noWrap w:val="0"/>
                  <w:vAlign w:val="center"/>
                </w:tcPr>
                <w:p w14:paraId="2A22D34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0.0493 </w:t>
                  </w:r>
                </w:p>
              </w:tc>
            </w:tr>
            <w:tr w14:paraId="35F0ED4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21" w:hRule="atLeast"/>
                <w:jc w:val="center"/>
              </w:trPr>
              <w:tc>
                <w:tcPr>
                  <w:tcW w:w="311" w:type="dxa"/>
                  <w:vMerge w:val="continue"/>
                  <w:noWrap w:val="0"/>
                  <w:vAlign w:val="center"/>
                </w:tcPr>
                <w:p w14:paraId="3AE66234">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00" w:type="dxa"/>
                  <w:vMerge w:val="continue"/>
                  <w:noWrap w:val="0"/>
                  <w:vAlign w:val="center"/>
                </w:tcPr>
                <w:p w14:paraId="49AC84CB">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30" w:type="dxa"/>
                  <w:noWrap w:val="0"/>
                  <w:vAlign w:val="center"/>
                </w:tcPr>
                <w:p w14:paraId="6F8C080B">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非甲烷总烃</w:t>
                  </w:r>
                </w:p>
              </w:tc>
              <w:tc>
                <w:tcPr>
                  <w:tcW w:w="630" w:type="dxa"/>
                  <w:noWrap w:val="0"/>
                  <w:vAlign w:val="center"/>
                </w:tcPr>
                <w:p w14:paraId="688E36CE">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3.0261 </w:t>
                  </w:r>
                </w:p>
              </w:tc>
              <w:tc>
                <w:tcPr>
                  <w:tcW w:w="690" w:type="dxa"/>
                  <w:noWrap w:val="0"/>
                  <w:vAlign w:val="center"/>
                </w:tcPr>
                <w:p w14:paraId="537B3716">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1.2609 </w:t>
                  </w:r>
                </w:p>
              </w:tc>
              <w:tc>
                <w:tcPr>
                  <w:tcW w:w="644" w:type="dxa"/>
                  <w:noWrap w:val="0"/>
                  <w:vAlign w:val="center"/>
                </w:tcPr>
                <w:p w14:paraId="1A80ADE6">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15.7611 </w:t>
                  </w:r>
                </w:p>
              </w:tc>
              <w:tc>
                <w:tcPr>
                  <w:tcW w:w="738" w:type="dxa"/>
                  <w:vMerge w:val="continue"/>
                  <w:noWrap w:val="0"/>
                  <w:vAlign w:val="center"/>
                </w:tcPr>
                <w:p w14:paraId="05D670F0">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1613" w:type="dxa"/>
                  <w:vMerge w:val="continue"/>
                  <w:noWrap w:val="0"/>
                  <w:vAlign w:val="center"/>
                </w:tcPr>
                <w:p w14:paraId="512DFF72">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554" w:type="dxa"/>
                  <w:vMerge w:val="restart"/>
                  <w:noWrap w:val="0"/>
                  <w:vAlign w:val="center"/>
                </w:tcPr>
                <w:p w14:paraId="32DA1A9B">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95%</w:t>
                  </w:r>
                </w:p>
              </w:tc>
              <w:tc>
                <w:tcPr>
                  <w:tcW w:w="779" w:type="dxa"/>
                  <w:vMerge w:val="continue"/>
                  <w:noWrap w:val="0"/>
                  <w:vAlign w:val="center"/>
                </w:tcPr>
                <w:p w14:paraId="52BF1FEB">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489" w:type="dxa"/>
                  <w:noWrap w:val="0"/>
                  <w:vAlign w:val="center"/>
                </w:tcPr>
                <w:p w14:paraId="4CECE06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0.1513 </w:t>
                  </w:r>
                </w:p>
              </w:tc>
              <w:tc>
                <w:tcPr>
                  <w:tcW w:w="585" w:type="dxa"/>
                  <w:noWrap w:val="0"/>
                  <w:vAlign w:val="center"/>
                </w:tcPr>
                <w:p w14:paraId="6C0F803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0.0630 </w:t>
                  </w:r>
                </w:p>
              </w:tc>
              <w:tc>
                <w:tcPr>
                  <w:tcW w:w="603" w:type="dxa"/>
                  <w:noWrap w:val="0"/>
                  <w:vAlign w:val="center"/>
                </w:tcPr>
                <w:p w14:paraId="096C4178">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0.7881 </w:t>
                  </w:r>
                </w:p>
              </w:tc>
            </w:tr>
            <w:tr w14:paraId="2B3574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21" w:hRule="atLeast"/>
                <w:jc w:val="center"/>
              </w:trPr>
              <w:tc>
                <w:tcPr>
                  <w:tcW w:w="311" w:type="dxa"/>
                  <w:vMerge w:val="continue"/>
                  <w:noWrap w:val="0"/>
                  <w:vAlign w:val="center"/>
                </w:tcPr>
                <w:p w14:paraId="03E6DDF0">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00" w:type="dxa"/>
                  <w:vMerge w:val="continue"/>
                  <w:noWrap w:val="0"/>
                  <w:vAlign w:val="center"/>
                </w:tcPr>
                <w:p w14:paraId="35716D85">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30" w:type="dxa"/>
                  <w:noWrap w:val="0"/>
                  <w:vAlign w:val="center"/>
                </w:tcPr>
                <w:p w14:paraId="556DE80D">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二甲苯</w:t>
                  </w:r>
                </w:p>
              </w:tc>
              <w:tc>
                <w:tcPr>
                  <w:tcW w:w="630" w:type="dxa"/>
                  <w:noWrap w:val="0"/>
                  <w:vAlign w:val="center"/>
                </w:tcPr>
                <w:p w14:paraId="642FC16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1.4583 </w:t>
                  </w:r>
                </w:p>
              </w:tc>
              <w:tc>
                <w:tcPr>
                  <w:tcW w:w="690" w:type="dxa"/>
                  <w:noWrap w:val="0"/>
                  <w:vAlign w:val="center"/>
                </w:tcPr>
                <w:p w14:paraId="0CA3298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0.6076 </w:t>
                  </w:r>
                </w:p>
              </w:tc>
              <w:tc>
                <w:tcPr>
                  <w:tcW w:w="644" w:type="dxa"/>
                  <w:noWrap w:val="0"/>
                  <w:vAlign w:val="center"/>
                </w:tcPr>
                <w:p w14:paraId="03864C56">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7.5951 </w:t>
                  </w:r>
                </w:p>
              </w:tc>
              <w:tc>
                <w:tcPr>
                  <w:tcW w:w="738" w:type="dxa"/>
                  <w:vMerge w:val="continue"/>
                  <w:noWrap w:val="0"/>
                  <w:vAlign w:val="center"/>
                </w:tcPr>
                <w:p w14:paraId="00B9576E">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1613" w:type="dxa"/>
                  <w:vMerge w:val="continue"/>
                  <w:noWrap w:val="0"/>
                  <w:vAlign w:val="center"/>
                </w:tcPr>
                <w:p w14:paraId="509EFBCD">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554" w:type="dxa"/>
                  <w:vMerge w:val="continue"/>
                  <w:noWrap w:val="0"/>
                  <w:vAlign w:val="center"/>
                </w:tcPr>
                <w:p w14:paraId="5A4C595F">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779" w:type="dxa"/>
                  <w:vMerge w:val="continue"/>
                  <w:noWrap w:val="0"/>
                  <w:vAlign w:val="center"/>
                </w:tcPr>
                <w:p w14:paraId="1EC10453">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489" w:type="dxa"/>
                  <w:noWrap w:val="0"/>
                  <w:vAlign w:val="center"/>
                </w:tcPr>
                <w:p w14:paraId="15EACA4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0.0729 </w:t>
                  </w:r>
                </w:p>
              </w:tc>
              <w:tc>
                <w:tcPr>
                  <w:tcW w:w="585" w:type="dxa"/>
                  <w:noWrap w:val="0"/>
                  <w:vAlign w:val="center"/>
                </w:tcPr>
                <w:p w14:paraId="325F65E6">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0.0304 </w:t>
                  </w:r>
                </w:p>
              </w:tc>
              <w:tc>
                <w:tcPr>
                  <w:tcW w:w="603" w:type="dxa"/>
                  <w:noWrap w:val="0"/>
                  <w:vAlign w:val="center"/>
                </w:tcPr>
                <w:p w14:paraId="5D7C35FA">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0.3798 </w:t>
                  </w:r>
                </w:p>
              </w:tc>
            </w:tr>
            <w:tr w14:paraId="635AE7C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21" w:hRule="atLeast"/>
                <w:jc w:val="center"/>
              </w:trPr>
              <w:tc>
                <w:tcPr>
                  <w:tcW w:w="311" w:type="dxa"/>
                  <w:vMerge w:val="continue"/>
                  <w:noWrap w:val="0"/>
                  <w:vAlign w:val="center"/>
                </w:tcPr>
                <w:p w14:paraId="1A9AACB0">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00" w:type="dxa"/>
                  <w:vMerge w:val="continue"/>
                  <w:noWrap w:val="0"/>
                  <w:vAlign w:val="center"/>
                </w:tcPr>
                <w:p w14:paraId="69323662">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30" w:type="dxa"/>
                  <w:shd w:val="clear" w:color="auto" w:fill="auto"/>
                  <w:noWrap w:val="0"/>
                  <w:vAlign w:val="center"/>
                </w:tcPr>
                <w:p w14:paraId="616F9B8E">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非甲烷总烃</w:t>
                  </w:r>
                </w:p>
              </w:tc>
              <w:tc>
                <w:tcPr>
                  <w:tcW w:w="630" w:type="dxa"/>
                  <w:noWrap w:val="0"/>
                  <w:vAlign w:val="center"/>
                </w:tcPr>
                <w:p w14:paraId="31941279">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0.1593 </w:t>
                  </w:r>
                </w:p>
              </w:tc>
              <w:tc>
                <w:tcPr>
                  <w:tcW w:w="690" w:type="dxa"/>
                  <w:noWrap w:val="0"/>
                  <w:vAlign w:val="center"/>
                </w:tcPr>
                <w:p w14:paraId="7141FDF1">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0.0664 </w:t>
                  </w:r>
                </w:p>
              </w:tc>
              <w:tc>
                <w:tcPr>
                  <w:tcW w:w="644" w:type="dxa"/>
                  <w:noWrap w:val="0"/>
                  <w:vAlign w:val="center"/>
                </w:tcPr>
                <w:p w14:paraId="2F1F903B">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w:t>
                  </w:r>
                </w:p>
              </w:tc>
              <w:tc>
                <w:tcPr>
                  <w:tcW w:w="738" w:type="dxa"/>
                  <w:vMerge w:val="restart"/>
                  <w:noWrap w:val="0"/>
                  <w:vAlign w:val="center"/>
                </w:tcPr>
                <w:p w14:paraId="5ED209B0">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无组织</w:t>
                  </w:r>
                </w:p>
              </w:tc>
              <w:tc>
                <w:tcPr>
                  <w:tcW w:w="1613" w:type="dxa"/>
                  <w:vMerge w:val="restart"/>
                  <w:noWrap w:val="0"/>
                  <w:vAlign w:val="center"/>
                </w:tcPr>
                <w:p w14:paraId="74536421">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密闭收集</w:t>
                  </w:r>
                </w:p>
              </w:tc>
              <w:tc>
                <w:tcPr>
                  <w:tcW w:w="554" w:type="dxa"/>
                  <w:vMerge w:val="restart"/>
                  <w:noWrap w:val="0"/>
                  <w:vAlign w:val="center"/>
                </w:tcPr>
                <w:p w14:paraId="6EC6674D">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w:t>
                  </w:r>
                </w:p>
              </w:tc>
              <w:tc>
                <w:tcPr>
                  <w:tcW w:w="779" w:type="dxa"/>
                  <w:vMerge w:val="restart"/>
                  <w:noWrap w:val="0"/>
                  <w:vAlign w:val="center"/>
                </w:tcPr>
                <w:p w14:paraId="0BBDD4F0">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是</w:t>
                  </w:r>
                </w:p>
              </w:tc>
              <w:tc>
                <w:tcPr>
                  <w:tcW w:w="489" w:type="dxa"/>
                  <w:noWrap w:val="0"/>
                  <w:vAlign w:val="center"/>
                </w:tcPr>
                <w:p w14:paraId="5730DA3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0.1593 </w:t>
                  </w:r>
                </w:p>
              </w:tc>
              <w:tc>
                <w:tcPr>
                  <w:tcW w:w="585" w:type="dxa"/>
                  <w:noWrap w:val="0"/>
                  <w:vAlign w:val="center"/>
                </w:tcPr>
                <w:p w14:paraId="4148F340">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0.0664 </w:t>
                  </w:r>
                </w:p>
              </w:tc>
              <w:tc>
                <w:tcPr>
                  <w:tcW w:w="603" w:type="dxa"/>
                  <w:noWrap w:val="0"/>
                  <w:vAlign w:val="center"/>
                </w:tcPr>
                <w:p w14:paraId="5EBB51F4">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w:t>
                  </w:r>
                </w:p>
              </w:tc>
            </w:tr>
            <w:tr w14:paraId="23DAC44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21" w:hRule="atLeast"/>
                <w:jc w:val="center"/>
              </w:trPr>
              <w:tc>
                <w:tcPr>
                  <w:tcW w:w="311" w:type="dxa"/>
                  <w:vMerge w:val="continue"/>
                  <w:noWrap w:val="0"/>
                  <w:vAlign w:val="center"/>
                </w:tcPr>
                <w:p w14:paraId="52D9C568">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00" w:type="dxa"/>
                  <w:vMerge w:val="continue"/>
                  <w:noWrap w:val="0"/>
                  <w:vAlign w:val="center"/>
                </w:tcPr>
                <w:p w14:paraId="531A2DB4">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rPr>
                  </w:pPr>
                </w:p>
              </w:tc>
              <w:tc>
                <w:tcPr>
                  <w:tcW w:w="330" w:type="dxa"/>
                  <w:shd w:val="clear" w:color="auto" w:fill="auto"/>
                  <w:noWrap w:val="0"/>
                  <w:vAlign w:val="center"/>
                </w:tcPr>
                <w:p w14:paraId="4BC6684E">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二甲苯</w:t>
                  </w:r>
                </w:p>
              </w:tc>
              <w:tc>
                <w:tcPr>
                  <w:tcW w:w="630" w:type="dxa"/>
                  <w:noWrap w:val="0"/>
                  <w:vAlign w:val="center"/>
                </w:tcPr>
                <w:p w14:paraId="22199895">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0.0768 </w:t>
                  </w:r>
                </w:p>
              </w:tc>
              <w:tc>
                <w:tcPr>
                  <w:tcW w:w="690" w:type="dxa"/>
                  <w:noWrap w:val="0"/>
                  <w:vAlign w:val="center"/>
                </w:tcPr>
                <w:p w14:paraId="2D0B5A7F">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0.0320 </w:t>
                  </w:r>
                </w:p>
              </w:tc>
              <w:tc>
                <w:tcPr>
                  <w:tcW w:w="644" w:type="dxa"/>
                  <w:noWrap w:val="0"/>
                  <w:vAlign w:val="center"/>
                </w:tcPr>
                <w:p w14:paraId="6A1689A2">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w:t>
                  </w:r>
                </w:p>
              </w:tc>
              <w:tc>
                <w:tcPr>
                  <w:tcW w:w="738" w:type="dxa"/>
                  <w:vMerge w:val="continue"/>
                  <w:noWrap w:val="0"/>
                  <w:vAlign w:val="center"/>
                </w:tcPr>
                <w:p w14:paraId="6943BE75">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1613" w:type="dxa"/>
                  <w:vMerge w:val="continue"/>
                  <w:noWrap w:val="0"/>
                  <w:vAlign w:val="center"/>
                </w:tcPr>
                <w:p w14:paraId="5133C7F2">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554" w:type="dxa"/>
                  <w:vMerge w:val="continue"/>
                  <w:noWrap w:val="0"/>
                  <w:vAlign w:val="center"/>
                </w:tcPr>
                <w:p w14:paraId="76E1E09D">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779" w:type="dxa"/>
                  <w:vMerge w:val="continue"/>
                  <w:noWrap w:val="0"/>
                  <w:vAlign w:val="center"/>
                </w:tcPr>
                <w:p w14:paraId="680257A6">
                  <w:pPr>
                    <w:keepNext w:val="0"/>
                    <w:keepLines w:val="0"/>
                    <w:pageBreakBefore w:val="0"/>
                    <w:widowControl/>
                    <w:suppressLineNumbers w:val="0"/>
                    <w:kinsoku/>
                    <w:overflowPunct/>
                    <w:topLinePunct w:val="0"/>
                    <w:autoSpaceDE/>
                    <w:autoSpaceDN/>
                    <w:bidi w:val="0"/>
                    <w:adjustRightInd w:val="0"/>
                    <w:snapToGrid w:val="0"/>
                    <w:ind w:left="0" w:leftChars="0" w:right="0" w:rightChars="0"/>
                    <w:jc w:val="center"/>
                    <w:textAlignment w:val="center"/>
                    <w:rPr>
                      <w:rFonts w:hint="default" w:ascii="Times New Roman" w:hAnsi="Times New Roman" w:eastAsia="宋体" w:cs="Times New Roman"/>
                      <w:color w:val="auto"/>
                      <w:lang w:val="en-US" w:eastAsia="zh-CN"/>
                    </w:rPr>
                  </w:pPr>
                </w:p>
              </w:tc>
              <w:tc>
                <w:tcPr>
                  <w:tcW w:w="489" w:type="dxa"/>
                  <w:noWrap w:val="0"/>
                  <w:vAlign w:val="center"/>
                </w:tcPr>
                <w:p w14:paraId="0CCD347E">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0.0768 </w:t>
                  </w:r>
                </w:p>
              </w:tc>
              <w:tc>
                <w:tcPr>
                  <w:tcW w:w="585" w:type="dxa"/>
                  <w:noWrap w:val="0"/>
                  <w:vAlign w:val="center"/>
                </w:tcPr>
                <w:p w14:paraId="3DB91112">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 xml:space="preserve">0.0320 </w:t>
                  </w:r>
                </w:p>
              </w:tc>
              <w:tc>
                <w:tcPr>
                  <w:tcW w:w="603" w:type="dxa"/>
                  <w:noWrap w:val="0"/>
                  <w:vAlign w:val="center"/>
                </w:tcPr>
                <w:p w14:paraId="4F0C708F">
                  <w:pPr>
                    <w:keepNext w:val="0"/>
                    <w:keepLines w:val="0"/>
                    <w:pageBreakBefore w:val="0"/>
                    <w:widowControl/>
                    <w:kinsoku/>
                    <w:wordWrap w:val="0"/>
                    <w:overflowPunct/>
                    <w:topLinePunct w:val="0"/>
                    <w:autoSpaceDE/>
                    <w:autoSpaceDN/>
                    <w:bidi w:val="0"/>
                    <w:adjustRightInd w:val="0"/>
                    <w:snapToGrid w:val="0"/>
                    <w:ind w:left="0" w:leftChars="0" w:right="0" w:rightChars="0"/>
                    <w:jc w:val="center"/>
                    <w:rPr>
                      <w:rFonts w:hint="default" w:ascii="Times New Roman" w:hAnsi="Times New Roman" w:eastAsia="宋体" w:cs="Times New Roman"/>
                      <w:color w:val="auto"/>
                      <w:kern w:val="0"/>
                      <w:sz w:val="21"/>
                      <w:szCs w:val="21"/>
                      <w:lang w:val="en-US" w:eastAsia="zh-CN" w:bidi="en-US"/>
                    </w:rPr>
                  </w:pPr>
                  <w:r>
                    <w:rPr>
                      <w:rFonts w:hint="default" w:ascii="Times New Roman" w:hAnsi="Times New Roman" w:eastAsia="宋体" w:cs="Times New Roman"/>
                      <w:color w:val="auto"/>
                      <w:kern w:val="0"/>
                      <w:sz w:val="21"/>
                      <w:szCs w:val="21"/>
                      <w:lang w:val="en-US" w:eastAsia="zh-CN" w:bidi="en-US"/>
                    </w:rPr>
                    <w:t>/</w:t>
                  </w:r>
                </w:p>
              </w:tc>
            </w:tr>
          </w:tbl>
          <w:p w14:paraId="0049F943">
            <w:pPr>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kern w:val="0"/>
                <w:sz w:val="24"/>
                <w:lang w:bidi="en-US"/>
              </w:rPr>
              <w:t>（2）污染物源强核算依据</w:t>
            </w:r>
          </w:p>
          <w:p w14:paraId="38AB9F5D">
            <w:pPr>
              <w:spacing w:line="360" w:lineRule="auto"/>
              <w:ind w:firstLine="480" w:firstLineChars="200"/>
              <w:contextualSpacing/>
              <w:rPr>
                <w:rFonts w:hint="default" w:ascii="Times New Roman" w:hAnsi="Times New Roman" w:eastAsia="宋体" w:cs="Times New Roman"/>
                <w:color w:val="auto"/>
                <w:lang w:val="en-US"/>
              </w:rPr>
            </w:pPr>
            <w:r>
              <w:rPr>
                <w:rFonts w:hint="default" w:ascii="Times New Roman" w:hAnsi="Times New Roman" w:eastAsia="宋体" w:cs="Times New Roman"/>
                <w:color w:val="auto"/>
                <w:sz w:val="24"/>
                <w:lang w:val="en-US" w:eastAsia="zh-CN"/>
              </w:rPr>
              <w:t>1）工艺粉尘</w:t>
            </w:r>
          </w:p>
          <w:p w14:paraId="158D5837">
            <w:pPr>
              <w:spacing w:line="360" w:lineRule="auto"/>
              <w:ind w:firstLine="480" w:firstLineChars="200"/>
              <w:contextualSpacing/>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本项目工艺粉尘包括焊接烟尘、喷砂粉尘。</w:t>
            </w:r>
          </w:p>
          <w:p w14:paraId="06A90091">
            <w:pPr>
              <w:spacing w:line="360" w:lineRule="auto"/>
              <w:ind w:firstLine="480" w:firstLineChars="200"/>
              <w:contextualSpacing/>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本项目焊接过程中会产生颗粒物，共设置3处自动焊接站，合计11个焊接点位，焊接机器人在焊接处自带集气罩。根据《工业源产排污核算方法和系数手册》（</w:t>
            </w:r>
            <w:r>
              <w:rPr>
                <w:rFonts w:hint="default" w:ascii="Times New Roman" w:hAnsi="Times New Roman" w:eastAsia="宋体" w:cs="Times New Roman"/>
                <w:color w:val="auto"/>
                <w:sz w:val="24"/>
                <w:szCs w:val="24"/>
              </w:rPr>
              <w:t>2021年6月9日实施</w:t>
            </w:r>
            <w:r>
              <w:rPr>
                <w:rFonts w:hint="default" w:ascii="Times New Roman" w:hAnsi="Times New Roman" w:eastAsia="宋体" w:cs="Times New Roman"/>
                <w:color w:val="auto"/>
                <w:sz w:val="24"/>
                <w:lang w:val="en-US" w:eastAsia="zh-CN"/>
              </w:rPr>
              <w:t>）-机械行业系数手册，焊接过程中使用“结构钢焊条（JXXX）、钼和铬钼耐热钢焊条（RXXX）、不锈钢焊条（G/AXXX）、堆焊焊条（DXXX）、低温钢焊条（WXXX）、铸铁焊条（ZXXX）、镍和镍合金焊条（NiXXX）、铜和铜合金焊条（TXXX）、铝和铝合金焊条（LXXX）、特殊用途焊条（TSXXX）”颗粒物产生系数为20.2kg/t-原料，使用药芯焊丝颗粒物产生系数为20.5kg/t-原料，使用实芯焊丝颗粒物产生系数为9.19kg/t-原料。本项目药芯焊丝使用量为2.82t/a，实芯焊丝使用量为7.61t/a，碳钢/不锈钢焊丝使用量为14.24t/a。因此计算本项目焊接烟尘产生量为0.42t/a。</w:t>
            </w:r>
          </w:p>
          <w:p w14:paraId="1B42EDA0">
            <w:pPr>
              <w:spacing w:line="360" w:lineRule="auto"/>
              <w:ind w:left="0" w:leftChars="0" w:firstLine="420" w:firstLineChars="175"/>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lang w:val="en-US" w:eastAsia="zh-CN"/>
              </w:rPr>
              <w:t>根据《大气污染控制工程》（第三版）中集气罩风量计算公式，计算工序所需风量：</w:t>
            </w:r>
          </w:p>
          <w:p w14:paraId="0ED205C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position w:val="-10"/>
                <w:sz w:val="24"/>
                <w:szCs w:val="24"/>
                <w:lang w:val="en-US" w:eastAsia="zh-CN"/>
              </w:rPr>
              <w:object>
                <v:shape id="_x0000_i1027" o:spt="75" type="#_x0000_t75" style="height:18pt;width:120pt;" o:ole="t" filled="f" o:preferrelative="t" stroked="f" coordsize="21600,21600">
                  <v:path/>
                  <v:fill on="f" focussize="0,0"/>
                  <v:stroke on="f"/>
                  <v:imagedata r:id="rId15" o:title=""/>
                  <o:lock v:ext="edit" aspectratio="t"/>
                  <w10:wrap type="none"/>
                  <w10:anchorlock/>
                </v:shape>
                <o:OLEObject Type="Embed" ProgID="Equation.KSEE3" ShapeID="_x0000_i1027" DrawAspect="Content" ObjectID="_1468075727" r:id="rId14">
                  <o:LockedField>false</o:LockedField>
                </o:OLEObject>
              </w:object>
            </w:r>
          </w:p>
          <w:p w14:paraId="0492584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lang w:val="en-US" w:eastAsia="zh-CN"/>
              </w:rPr>
              <w:t>式中：Q——集气罩排风量，m</w:t>
            </w:r>
            <w:r>
              <w:rPr>
                <w:rFonts w:hint="default" w:ascii="Times New Roman" w:hAnsi="Times New Roman" w:eastAsia="宋体" w:cs="Times New Roman"/>
                <w:color w:val="auto"/>
                <w:spacing w:val="0"/>
                <w:sz w:val="24"/>
                <w:szCs w:val="24"/>
                <w:vertAlign w:val="superscript"/>
                <w:lang w:val="en-US" w:eastAsia="zh-CN"/>
              </w:rPr>
              <w:t>3</w:t>
            </w:r>
            <w:r>
              <w:rPr>
                <w:rFonts w:hint="default" w:ascii="Times New Roman" w:hAnsi="Times New Roman" w:eastAsia="宋体" w:cs="Times New Roman"/>
                <w:color w:val="auto"/>
                <w:spacing w:val="0"/>
                <w:sz w:val="24"/>
                <w:szCs w:val="24"/>
                <w:lang w:val="en-US" w:eastAsia="zh-CN"/>
              </w:rPr>
              <w:t>/s；</w:t>
            </w:r>
          </w:p>
          <w:p w14:paraId="3B91A368">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1200" w:firstLineChars="500"/>
              <w:jc w:val="both"/>
              <w:textAlignment w:val="auto"/>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lang w:val="en-US" w:eastAsia="zh-CN"/>
              </w:rPr>
              <w:t>X——污染物产生点至集气罩口的距离，m，本项目取0.2m；</w:t>
            </w:r>
          </w:p>
          <w:p w14:paraId="139D900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1200" w:firstLineChars="500"/>
              <w:jc w:val="both"/>
              <w:textAlignment w:val="auto"/>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lang w:val="en-US" w:eastAsia="zh-CN"/>
              </w:rPr>
              <w:t>A——集气罩口面积，本项目取0.04m</w:t>
            </w:r>
            <w:r>
              <w:rPr>
                <w:rFonts w:hint="default" w:ascii="Times New Roman" w:hAnsi="Times New Roman" w:eastAsia="宋体" w:cs="Times New Roman"/>
                <w:color w:val="auto"/>
                <w:spacing w:val="0"/>
                <w:sz w:val="24"/>
                <w:szCs w:val="24"/>
                <w:vertAlign w:val="superscript"/>
                <w:lang w:val="en-US" w:eastAsia="zh-CN"/>
              </w:rPr>
              <w:t>2</w:t>
            </w:r>
            <w:r>
              <w:rPr>
                <w:rFonts w:hint="default" w:ascii="Times New Roman" w:hAnsi="Times New Roman" w:eastAsia="宋体" w:cs="Times New Roman"/>
                <w:color w:val="auto"/>
                <w:spacing w:val="0"/>
                <w:sz w:val="24"/>
                <w:szCs w:val="24"/>
                <w:lang w:val="en-US" w:eastAsia="zh-CN"/>
              </w:rPr>
              <w:t>；</w:t>
            </w:r>
          </w:p>
          <w:p w14:paraId="4C329566">
            <w:pPr>
              <w:spacing w:line="360" w:lineRule="auto"/>
              <w:ind w:left="0" w:leftChars="0" w:firstLine="1260" w:firstLineChars="525"/>
              <w:contextualSpacing/>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pacing w:val="0"/>
                <w:sz w:val="24"/>
                <w:szCs w:val="24"/>
                <w:lang w:val="en-US" w:eastAsia="zh-CN"/>
              </w:rPr>
              <w:t>Vx——最小控制风速，m/s，本项目取1.2m/s。</w:t>
            </w:r>
          </w:p>
          <w:p w14:paraId="728001DD">
            <w:pPr>
              <w:spacing w:line="360" w:lineRule="auto"/>
              <w:ind w:firstLine="480" w:firstLineChars="200"/>
              <w:contextualSpacing/>
              <w:rPr>
                <w:rFonts w:hint="default" w:ascii="Times New Roman" w:hAnsi="Times New Roman" w:eastAsia="宋体" w:cs="Times New Roman"/>
                <w:color w:val="auto"/>
                <w:spacing w:val="0"/>
                <w:kern w:val="2"/>
                <w:position w:val="0"/>
                <w:sz w:val="24"/>
                <w:szCs w:val="24"/>
                <w:lang w:val="en-US" w:eastAsia="zh-CN"/>
              </w:rPr>
            </w:pPr>
            <w:r>
              <w:rPr>
                <w:rFonts w:hint="default" w:ascii="Times New Roman" w:hAnsi="Times New Roman" w:eastAsia="宋体" w:cs="Times New Roman"/>
                <w:color w:val="auto"/>
                <w:sz w:val="24"/>
                <w:lang w:val="en-US" w:eastAsia="zh-CN"/>
              </w:rPr>
              <w:t>计算本项目集气罩最小风量为15681.1m</w:t>
            </w:r>
            <w:r>
              <w:rPr>
                <w:rFonts w:hint="default" w:ascii="Times New Roman" w:hAnsi="Times New Roman" w:eastAsia="宋体" w:cs="Times New Roman"/>
                <w:color w:val="auto"/>
                <w:sz w:val="24"/>
                <w:vertAlign w:val="superscript"/>
                <w:lang w:val="en-US" w:eastAsia="zh-CN"/>
              </w:rPr>
              <w:t>2</w:t>
            </w:r>
            <w:r>
              <w:rPr>
                <w:rFonts w:hint="default" w:ascii="Times New Roman" w:hAnsi="Times New Roman" w:eastAsia="宋体" w:cs="Times New Roman"/>
                <w:color w:val="auto"/>
                <w:sz w:val="24"/>
                <w:lang w:val="en-US" w:eastAsia="zh-CN"/>
              </w:rPr>
              <w:t>/h，考虑到</w:t>
            </w:r>
            <w:r>
              <w:rPr>
                <w:rFonts w:hint="default" w:ascii="Times New Roman" w:hAnsi="Times New Roman" w:eastAsia="宋体" w:cs="Times New Roman"/>
                <w:color w:val="auto"/>
                <w:spacing w:val="0"/>
                <w:kern w:val="2"/>
                <w:position w:val="0"/>
                <w:sz w:val="24"/>
                <w:szCs w:val="24"/>
                <w:lang w:val="en-US" w:eastAsia="zh-CN"/>
              </w:rPr>
              <w:t>考虑到阻力损失等因素，本项目拟购设备排风量为24000m</w:t>
            </w:r>
            <w:r>
              <w:rPr>
                <w:rFonts w:hint="default" w:ascii="Times New Roman" w:hAnsi="Times New Roman" w:eastAsia="宋体" w:cs="Times New Roman"/>
                <w:color w:val="auto"/>
                <w:spacing w:val="0"/>
                <w:kern w:val="2"/>
                <w:position w:val="0"/>
                <w:sz w:val="24"/>
                <w:szCs w:val="24"/>
                <w:vertAlign w:val="superscript"/>
                <w:lang w:val="en-US" w:eastAsia="zh-CN"/>
              </w:rPr>
              <w:t>3</w:t>
            </w:r>
            <w:r>
              <w:rPr>
                <w:rFonts w:hint="default" w:ascii="Times New Roman" w:hAnsi="Times New Roman" w:eastAsia="宋体" w:cs="Times New Roman"/>
                <w:color w:val="auto"/>
                <w:spacing w:val="0"/>
                <w:kern w:val="2"/>
                <w:position w:val="0"/>
                <w:sz w:val="24"/>
                <w:szCs w:val="24"/>
                <w:lang w:val="en-US" w:eastAsia="zh-CN"/>
              </w:rPr>
              <w:t>/h，设计收集效率为80%，可以满足本项目焊接烟尘收集需求。焊接烟尘采用滤筒除尘器进行处理，</w:t>
            </w:r>
            <w:r>
              <w:rPr>
                <w:rFonts w:hint="default" w:ascii="Times New Roman" w:hAnsi="Times New Roman" w:eastAsia="宋体" w:cs="Times New Roman"/>
                <w:color w:val="auto"/>
                <w:sz w:val="24"/>
                <w:lang w:val="en-US" w:eastAsia="zh-CN"/>
              </w:rPr>
              <w:t>处理效率为95%</w:t>
            </w:r>
            <w:r>
              <w:rPr>
                <w:rFonts w:hint="default" w:ascii="Times New Roman" w:hAnsi="Times New Roman" w:eastAsia="宋体" w:cs="Times New Roman"/>
                <w:color w:val="auto"/>
                <w:spacing w:val="0"/>
                <w:kern w:val="2"/>
                <w:position w:val="0"/>
                <w:sz w:val="24"/>
                <w:szCs w:val="24"/>
                <w:lang w:val="en-US" w:eastAsia="zh-CN"/>
              </w:rPr>
              <w:t>，处理后通过20m高排气筒（DA007）排放。</w:t>
            </w:r>
          </w:p>
          <w:p w14:paraId="1A5120F0">
            <w:pPr>
              <w:spacing w:line="360" w:lineRule="auto"/>
              <w:ind w:firstLine="480" w:firstLineChars="200"/>
              <w:contextualSpacing/>
              <w:rPr>
                <w:rFonts w:hint="default" w:ascii="Times New Roman" w:hAnsi="Times New Roman" w:eastAsia="宋体" w:cs="Times New Roman"/>
                <w:color w:val="auto"/>
                <w:spacing w:val="0"/>
                <w:kern w:val="2"/>
                <w:position w:val="0"/>
                <w:sz w:val="24"/>
                <w:szCs w:val="24"/>
                <w:lang w:val="en-US" w:eastAsia="zh-CN"/>
              </w:rPr>
            </w:pPr>
            <w:r>
              <w:rPr>
                <w:rFonts w:hint="default" w:ascii="Times New Roman" w:hAnsi="Times New Roman" w:eastAsia="宋体" w:cs="Times New Roman"/>
                <w:color w:val="auto"/>
                <w:sz w:val="24"/>
                <w:lang w:val="en-US" w:eastAsia="zh-CN"/>
              </w:rPr>
              <w:t>本项目喷砂位于密闭自动喷砂机内，用于辊子环筋加工，环筋、纵筋喷砂采用2套设备，自带除尘设施，风量分别为7500m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/h和12000m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/h。根据《工业源产排污核算方法和系数手册》（</w:t>
            </w:r>
            <w:r>
              <w:rPr>
                <w:rFonts w:hint="default" w:ascii="Times New Roman" w:hAnsi="Times New Roman" w:eastAsia="宋体" w:cs="Times New Roman"/>
                <w:color w:val="auto"/>
                <w:sz w:val="24"/>
                <w:szCs w:val="24"/>
              </w:rPr>
              <w:t>2021年6月9日实施</w:t>
            </w:r>
            <w:r>
              <w:rPr>
                <w:rFonts w:hint="default" w:ascii="Times New Roman" w:hAnsi="Times New Roman" w:eastAsia="宋体" w:cs="Times New Roman"/>
                <w:color w:val="auto"/>
                <w:sz w:val="24"/>
                <w:lang w:val="en-US" w:eastAsia="zh-CN"/>
              </w:rPr>
              <w:t>）-机械行业系数手册，干式预处理（抛丸、喷砂、打磨、滚筒）颗粒物产生系数2.19kg/t-原料。本项目辊子加工量为1040t/a，计算喷砂粉尘产生量为2.28t/a，采用人工吹砂的方式去除表面沉砂，收集效率为80%，设备风量合计19500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/h，设备自带“干式过滤+滤筒除尘”设施，处理效率为95%。喷砂粉尘经处理达标后，与焊接烟尘一同通过</w:t>
            </w:r>
            <w:r>
              <w:rPr>
                <w:rFonts w:hint="default" w:ascii="Times New Roman" w:hAnsi="Times New Roman" w:eastAsia="宋体" w:cs="Times New Roman"/>
                <w:color w:val="auto"/>
                <w:spacing w:val="0"/>
                <w:kern w:val="2"/>
                <w:position w:val="0"/>
                <w:sz w:val="24"/>
                <w:szCs w:val="24"/>
                <w:lang w:val="en-US" w:eastAsia="zh-CN"/>
              </w:rPr>
              <w:t>20m高排气筒（DA007）排放。</w:t>
            </w:r>
          </w:p>
          <w:p w14:paraId="6650ED7E">
            <w:pPr>
              <w:spacing w:line="360" w:lineRule="auto"/>
              <w:ind w:firstLine="480" w:firstLineChars="200"/>
              <w:rPr>
                <w:rFonts w:hint="default" w:ascii="Times New Roman" w:hAnsi="Times New Roman" w:eastAsia="宋体" w:cs="Times New Roman"/>
                <w:b/>
                <w:bCs/>
                <w:color w:val="auto"/>
                <w:kern w:val="0"/>
                <w:sz w:val="24"/>
                <w:szCs w:val="20"/>
              </w:rPr>
            </w:pPr>
            <w:r>
              <w:rPr>
                <w:rFonts w:hint="default" w:ascii="Times New Roman" w:hAnsi="Times New Roman" w:eastAsia="宋体" w:cs="Times New Roman"/>
                <w:color w:val="auto"/>
                <w:spacing w:val="0"/>
                <w:kern w:val="2"/>
                <w:position w:val="0"/>
                <w:sz w:val="24"/>
                <w:szCs w:val="24"/>
                <w:lang w:val="en-US" w:eastAsia="zh-CN"/>
              </w:rPr>
              <w:t>因此计算有组织颗粒物产生量为2.1544t/a，产生速率为0.8977kg/h，产生浓度为20.6360mg/m</w:t>
            </w:r>
            <w:r>
              <w:rPr>
                <w:rFonts w:hint="default" w:ascii="Times New Roman" w:hAnsi="Times New Roman" w:eastAsia="宋体" w:cs="Times New Roman"/>
                <w:color w:val="auto"/>
                <w:spacing w:val="0"/>
                <w:kern w:val="2"/>
                <w:position w:val="0"/>
                <w:sz w:val="24"/>
                <w:szCs w:val="24"/>
                <w:vertAlign w:val="superscript"/>
                <w:lang w:val="en-US" w:eastAsia="zh-CN"/>
              </w:rPr>
              <w:t>3</w:t>
            </w:r>
            <w:r>
              <w:rPr>
                <w:rFonts w:hint="default" w:ascii="Times New Roman" w:hAnsi="Times New Roman" w:eastAsia="宋体" w:cs="Times New Roman"/>
                <w:color w:val="auto"/>
                <w:spacing w:val="0"/>
                <w:kern w:val="2"/>
                <w:position w:val="0"/>
                <w:sz w:val="24"/>
                <w:szCs w:val="24"/>
                <w:lang w:val="en-US" w:eastAsia="zh-CN"/>
              </w:rPr>
              <w:t>，排放量为0.1077t/a，排放速率为0.0449kg/h，排放浓度为1.0318mg/m</w:t>
            </w:r>
            <w:r>
              <w:rPr>
                <w:rFonts w:hint="default" w:ascii="Times New Roman" w:hAnsi="Times New Roman" w:eastAsia="宋体" w:cs="Times New Roman"/>
                <w:color w:val="auto"/>
                <w:spacing w:val="0"/>
                <w:kern w:val="2"/>
                <w:position w:val="0"/>
                <w:sz w:val="24"/>
                <w:szCs w:val="24"/>
                <w:vertAlign w:val="superscript"/>
                <w:lang w:val="en-US" w:eastAsia="zh-CN"/>
              </w:rPr>
              <w:t>3</w:t>
            </w:r>
            <w:r>
              <w:rPr>
                <w:rFonts w:hint="default" w:ascii="Times New Roman" w:hAnsi="Times New Roman" w:eastAsia="宋体" w:cs="Times New Roman"/>
                <w:color w:val="auto"/>
                <w:sz w:val="24"/>
                <w:szCs w:val="24"/>
                <w:highlight w:val="none"/>
                <w:lang w:val="en-US" w:eastAsia="zh-CN"/>
              </w:rPr>
              <w:t>。无组织颗粒物产生量为0.5386</w:t>
            </w:r>
            <w:r>
              <w:rPr>
                <w:rFonts w:hint="default" w:ascii="Times New Roman" w:hAnsi="Times New Roman" w:eastAsia="宋体" w:cs="Times New Roman"/>
                <w:color w:val="auto"/>
                <w:spacing w:val="0"/>
                <w:kern w:val="2"/>
                <w:position w:val="0"/>
                <w:sz w:val="24"/>
                <w:szCs w:val="24"/>
                <w:lang w:val="en-US" w:eastAsia="zh-CN"/>
              </w:rPr>
              <w:t>t/a，产生速率为0.2244kg/h，经厂房阻隔后，排放量为0.2154t/a，排放速率为0.0898kg/h</w:t>
            </w:r>
            <w:r>
              <w:rPr>
                <w:rFonts w:hint="default" w:ascii="Times New Roman" w:hAnsi="Times New Roman" w:eastAsia="宋体" w:cs="Times New Roman"/>
                <w:color w:val="auto"/>
                <w:sz w:val="24"/>
                <w:szCs w:val="24"/>
                <w:highlight w:val="none"/>
                <w:lang w:val="en-US" w:eastAsia="zh-CN"/>
              </w:rPr>
              <w:t>。</w:t>
            </w:r>
          </w:p>
          <w:p w14:paraId="2EDBF31B">
            <w:pPr>
              <w:spacing w:line="360" w:lineRule="auto"/>
              <w:ind w:firstLine="480" w:firstLineChars="200"/>
              <w:rPr>
                <w:rFonts w:hint="default" w:ascii="Times New Roman" w:hAnsi="Times New Roman" w:eastAsia="宋体" w:cs="Times New Roman"/>
                <w:bCs/>
                <w:color w:val="auto"/>
                <w:kern w:val="0"/>
                <w:sz w:val="24"/>
                <w:highlight w:val="none"/>
                <w:lang w:val="en-US" w:eastAsia="zh-CN" w:bidi="en-US"/>
              </w:rPr>
            </w:pPr>
            <w:r>
              <w:rPr>
                <w:rFonts w:hint="default" w:ascii="Times New Roman" w:hAnsi="Times New Roman" w:eastAsia="宋体" w:cs="Times New Roman"/>
                <w:bCs/>
                <w:color w:val="auto"/>
                <w:kern w:val="0"/>
                <w:sz w:val="24"/>
                <w:highlight w:val="none"/>
                <w:lang w:val="en-US" w:eastAsia="zh-CN" w:bidi="en-US"/>
              </w:rPr>
              <w:t>2）有机废气</w:t>
            </w:r>
          </w:p>
          <w:p w14:paraId="3E9C9880">
            <w:pPr>
              <w:spacing w:line="360" w:lineRule="auto"/>
              <w:ind w:firstLine="480" w:firstLineChars="200"/>
              <w:rPr>
                <w:rFonts w:hint="default" w:ascii="Times New Roman" w:hAnsi="Times New Roman" w:eastAsia="宋体" w:cs="Times New Roman"/>
                <w:bCs/>
                <w:color w:val="auto"/>
                <w:kern w:val="0"/>
                <w:sz w:val="24"/>
                <w:highlight w:val="none"/>
                <w:lang w:val="en-US" w:eastAsia="zh-CN" w:bidi="en-US"/>
              </w:rPr>
            </w:pPr>
            <w:r>
              <w:rPr>
                <w:rFonts w:hint="default" w:ascii="Times New Roman" w:hAnsi="Times New Roman" w:eastAsia="宋体" w:cs="Times New Roman"/>
                <w:bCs/>
                <w:color w:val="auto"/>
                <w:kern w:val="0"/>
                <w:sz w:val="24"/>
                <w:highlight w:val="none"/>
                <w:lang w:val="en-US" w:eastAsia="zh-CN" w:bidi="en-US"/>
              </w:rPr>
              <w:t>本项目西喷漆房年生产天数为300天，每天工作时长为8h，调漆、喷漆、烘干均位于密闭喷漆房内进行，有机废气采用“干式过滤+活性炭浓缩吸附+催化燃烧”的工艺进行处理。</w:t>
            </w:r>
          </w:p>
          <w:p w14:paraId="49E29821">
            <w:pPr>
              <w:spacing w:line="360" w:lineRule="auto"/>
              <w:ind w:firstLine="480" w:firstLineChars="200"/>
              <w:rPr>
                <w:rFonts w:hint="default" w:ascii="Times New Roman" w:hAnsi="Times New Roman" w:eastAsia="宋体" w:cs="Times New Roman"/>
                <w:bCs/>
                <w:color w:val="auto"/>
                <w:kern w:val="0"/>
                <w:sz w:val="24"/>
                <w:highlight w:val="none"/>
                <w:lang w:val="en-US" w:eastAsia="zh-CN" w:bidi="en-US"/>
              </w:rPr>
            </w:pPr>
            <w:r>
              <w:rPr>
                <w:rFonts w:hint="default" w:ascii="Times New Roman" w:hAnsi="Times New Roman" w:eastAsia="宋体" w:cs="Times New Roman"/>
                <w:bCs/>
                <w:color w:val="auto"/>
                <w:kern w:val="0"/>
                <w:sz w:val="24"/>
                <w:highlight w:val="none"/>
                <w:lang w:val="en-US" w:eastAsia="zh-CN" w:bidi="en-US"/>
              </w:rPr>
              <w:t>根据油漆平衡分析，本项目喷漆废气中颗粒物产生量为0.54t/a，主要成分为漆雾，漆雾（颗粒物）密度较大，且易于黏附在喷漆房的地面、墙面等处，因此在密闭设备内进行喷漆时，不考虑漆雾（颗粒物）的无组织排放，散落在密闭空间内的漆雾最终形成漆渣。废气处理系统吸附风量为80000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/h，计算颗粒物产生浓度为4.9333mg/m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，产生速率为0.3947kg/h。干式过滤采用化学纤维作为滤芯，对颗粒物处理效率计算为99%。因此颗粒物排放量为0.0095t/a，排放浓度为0.0493mg/m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，排放速率为0.0039kg/h。</w:t>
            </w:r>
          </w:p>
          <w:p w14:paraId="0B660619">
            <w:pPr>
              <w:spacing w:line="360" w:lineRule="auto"/>
              <w:ind w:firstLine="480" w:firstLineChars="200"/>
              <w:rPr>
                <w:rFonts w:hint="default" w:ascii="Times New Roman" w:hAnsi="Times New Roman" w:eastAsia="宋体" w:cs="Times New Roman"/>
                <w:bCs/>
                <w:color w:val="auto"/>
                <w:kern w:val="0"/>
                <w:sz w:val="24"/>
                <w:highlight w:val="none"/>
                <w:lang w:val="en-US" w:eastAsia="zh-CN" w:bidi="en-US"/>
              </w:rPr>
            </w:pPr>
            <w:r>
              <w:rPr>
                <w:rFonts w:hint="default" w:ascii="Times New Roman" w:hAnsi="Times New Roman" w:eastAsia="宋体" w:cs="Times New Roman"/>
                <w:bCs/>
                <w:color w:val="auto"/>
                <w:kern w:val="0"/>
                <w:sz w:val="24"/>
                <w:highlight w:val="none"/>
                <w:lang w:val="en-US" w:eastAsia="zh-CN" w:bidi="en-US"/>
              </w:rPr>
              <w:t>根据油漆平衡分析，本项目喷漆废气中有组织非甲烷总烃产生量为3.0261t/a，二甲苯产生量为1.4583t/a。未捕集部分以无组织形式排放，无组织非甲烷总烃排放量为0.1593t/a，二甲苯排放量为0.0768t/a。</w:t>
            </w:r>
          </w:p>
          <w:p w14:paraId="4CD55570">
            <w:pPr>
              <w:spacing w:line="360" w:lineRule="auto"/>
              <w:ind w:firstLine="480" w:firstLineChars="200"/>
              <w:rPr>
                <w:rFonts w:hint="default" w:ascii="Times New Roman" w:hAnsi="Times New Roman" w:eastAsia="宋体" w:cs="Times New Roman"/>
                <w:bCs/>
                <w:color w:val="auto"/>
                <w:kern w:val="0"/>
                <w:sz w:val="24"/>
                <w:highlight w:val="none"/>
                <w:lang w:val="en-US" w:eastAsia="zh-CN" w:bidi="en-US"/>
              </w:rPr>
            </w:pPr>
            <w:r>
              <w:rPr>
                <w:rFonts w:hint="default" w:ascii="Times New Roman" w:hAnsi="Times New Roman" w:eastAsia="宋体" w:cs="Times New Roman"/>
                <w:bCs/>
                <w:color w:val="auto"/>
                <w:kern w:val="0"/>
                <w:sz w:val="24"/>
                <w:highlight w:val="none"/>
                <w:lang w:val="en-US" w:eastAsia="zh-CN" w:bidi="en-US"/>
              </w:rPr>
              <w:t>根据陕西润卓环境技术有限公司对本项目喷漆房监测报告（润卓监(气)字(2024)第201号），活性炭吸附阶段处理效率为95.5%，催化燃烧阶段设计处理效率为97%以上，因此本次评价取综合处理效率为95%进行计算。本项目废气处理系统采用“干式过滤+活性炭吸附浓缩+催化燃烧”的工艺进行处理，喷漆废气经密闭管网进入“干式过滤+活性炭吸附”区，吸附风机风量为80000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/h，经吸附处理达标的废气经15m高排气筒排放。活性炭吸附饱和后启动脱附风机，脱附风机风量为4000m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/h，有机废气经热风吹脱后进入催化燃烧系统，经催化燃烧处理标的废气，经风机牵引后，通过15m高排气筒排放。本次评价按照挥发性有机物综合处理效率95%进行概化计算，引风机风量为80000m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/h。</w:t>
            </w:r>
          </w:p>
          <w:p w14:paraId="7EC090F5">
            <w:pPr>
              <w:spacing w:line="360" w:lineRule="auto"/>
              <w:ind w:firstLine="480" w:firstLineChars="200"/>
              <w:rPr>
                <w:rFonts w:hint="default" w:ascii="Times New Roman" w:hAnsi="Times New Roman" w:eastAsia="宋体" w:cs="Times New Roman"/>
                <w:bCs/>
                <w:color w:val="auto"/>
                <w:kern w:val="0"/>
                <w:sz w:val="24"/>
                <w:highlight w:val="none"/>
                <w:lang w:val="en-US" w:eastAsia="zh-CN" w:bidi="en-US"/>
              </w:rPr>
            </w:pPr>
            <w:r>
              <w:rPr>
                <w:rFonts w:hint="default" w:ascii="Times New Roman" w:hAnsi="Times New Roman" w:eastAsia="宋体" w:cs="Times New Roman"/>
                <w:bCs/>
                <w:color w:val="auto"/>
                <w:kern w:val="0"/>
                <w:sz w:val="24"/>
                <w:highlight w:val="none"/>
                <w:lang w:val="en-US" w:eastAsia="zh-CN" w:bidi="en-US"/>
              </w:rPr>
              <w:t>计算非甲烷总烃产生浓度为15.7611mg/m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，产生速率为1.2609kg/h，二甲苯产生浓度为7.5951mg/m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，产生速率为0.6076kg/h。非甲烷总烃排放浓度为0.7881mg/m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，排放速率为0.0630kg/h，排放量为0.1513t/a，二甲苯排放浓度为0.3798mg/m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，排放速率为0.0304kg/h，排放量为0.0729t/a。</w:t>
            </w:r>
          </w:p>
          <w:p w14:paraId="658BBB37">
            <w:pPr>
              <w:spacing w:line="360" w:lineRule="auto"/>
              <w:ind w:firstLine="480" w:firstLineChars="200"/>
              <w:rPr>
                <w:rFonts w:hint="default" w:ascii="Times New Roman" w:hAnsi="Times New Roman" w:eastAsia="宋体" w:cs="Times New Roman"/>
                <w:bCs/>
                <w:color w:val="auto"/>
                <w:kern w:val="0"/>
                <w:sz w:val="24"/>
                <w:lang w:bidi="en-US"/>
              </w:rPr>
            </w:pPr>
            <w:r>
              <w:rPr>
                <w:rFonts w:hint="default" w:ascii="Times New Roman" w:hAnsi="Times New Roman" w:eastAsia="宋体" w:cs="Times New Roman"/>
                <w:bCs/>
                <w:color w:val="auto"/>
                <w:kern w:val="0"/>
                <w:sz w:val="24"/>
                <w:lang w:bidi="en-US"/>
              </w:rPr>
              <w:t>（3）废气排放口设置情况</w:t>
            </w:r>
          </w:p>
          <w:p w14:paraId="3D23063F">
            <w:pPr>
              <w:widowControl/>
              <w:spacing w:line="360" w:lineRule="auto"/>
              <w:ind w:firstLine="480" w:firstLineChars="200"/>
              <w:jc w:val="left"/>
              <w:rPr>
                <w:rFonts w:hint="default" w:ascii="Times New Roman" w:hAnsi="Times New Roman" w:eastAsia="宋体" w:cs="Times New Roman"/>
                <w:bCs/>
                <w:color w:val="auto"/>
                <w:kern w:val="0"/>
                <w:sz w:val="24"/>
                <w:highlight w:val="none"/>
                <w:lang w:val="en-US" w:eastAsia="zh-CN" w:bidi="en-US"/>
              </w:rPr>
            </w:pPr>
            <w:r>
              <w:rPr>
                <w:rFonts w:hint="default" w:ascii="Times New Roman" w:hAnsi="Times New Roman" w:eastAsia="宋体" w:cs="Times New Roman"/>
                <w:color w:val="auto"/>
                <w:kern w:val="0"/>
                <w:sz w:val="24"/>
                <w:lang w:bidi="en-US"/>
              </w:rPr>
              <w:t>项目生产过程中产生的</w:t>
            </w:r>
            <w:r>
              <w:rPr>
                <w:rFonts w:hint="default" w:ascii="Times New Roman" w:hAnsi="Times New Roman" w:eastAsia="宋体" w:cs="Times New Roman"/>
                <w:color w:val="auto"/>
                <w:kern w:val="0"/>
                <w:sz w:val="24"/>
                <w:lang w:val="en-US" w:eastAsia="zh-CN" w:bidi="en-US"/>
              </w:rPr>
              <w:t>工艺粉尘经集气罩收集后，焊接烟尘采用滤筒除尘器处理，喷砂粉尘采用“干式过滤+滤筒除尘器”处理，通过20m高DA007排气筒排放</w:t>
            </w:r>
            <w:r>
              <w:rPr>
                <w:rFonts w:hint="default" w:ascii="Times New Roman" w:hAnsi="Times New Roman" w:eastAsia="宋体" w:cs="Times New Roman"/>
                <w:color w:val="auto"/>
                <w:kern w:val="0"/>
                <w:sz w:val="24"/>
                <w:szCs w:val="20"/>
              </w:rPr>
              <w:t>。</w:t>
            </w:r>
            <w:r>
              <w:rPr>
                <w:rFonts w:hint="default" w:ascii="Times New Roman" w:hAnsi="Times New Roman" w:eastAsia="宋体" w:cs="Times New Roman"/>
                <w:color w:val="auto"/>
                <w:kern w:val="0"/>
                <w:sz w:val="24"/>
                <w:szCs w:val="20"/>
                <w:lang w:val="en-US" w:eastAsia="zh-CN"/>
              </w:rPr>
              <w:t>喷漆过程中产生的有机废气依托现有工程喷漆房内</w:t>
            </w:r>
            <w:r>
              <w:rPr>
                <w:rFonts w:hint="default" w:ascii="Times New Roman" w:hAnsi="Times New Roman" w:eastAsia="宋体" w:cs="Times New Roman"/>
                <w:bCs/>
                <w:color w:val="auto"/>
                <w:kern w:val="0"/>
                <w:sz w:val="24"/>
                <w:highlight w:val="none"/>
                <w:lang w:val="en-US" w:eastAsia="zh-CN" w:bidi="en-US"/>
              </w:rPr>
              <w:t>“干式过滤+活性炭吸附浓缩+催化燃烧”处理设施处理后，通过</w:t>
            </w:r>
            <w:r>
              <w:rPr>
                <w:rFonts w:hint="default" w:ascii="Times New Roman" w:hAnsi="Times New Roman" w:eastAsia="宋体" w:cs="Times New Roman"/>
                <w:color w:val="auto"/>
                <w:kern w:val="0"/>
                <w:sz w:val="24"/>
                <w:lang w:val="en-US" w:eastAsia="zh-CN" w:bidi="en-US"/>
              </w:rPr>
              <w:t>15m高DA002排气筒排放。</w:t>
            </w:r>
          </w:p>
          <w:p w14:paraId="58D032D7">
            <w:pPr>
              <w:widowControl/>
              <w:spacing w:line="360" w:lineRule="auto"/>
              <w:ind w:firstLine="480" w:firstLineChars="200"/>
              <w:jc w:val="left"/>
              <w:rPr>
                <w:rFonts w:hint="default" w:ascii="Times New Roman" w:hAnsi="Times New Roman" w:eastAsia="宋体" w:cs="Times New Roman"/>
                <w:color w:val="auto"/>
                <w:kern w:val="0"/>
                <w:sz w:val="24"/>
                <w:lang w:bidi="en-US"/>
              </w:rPr>
            </w:pPr>
            <w:r>
              <w:rPr>
                <w:rFonts w:hint="default" w:ascii="Times New Roman" w:hAnsi="Times New Roman" w:eastAsia="宋体" w:cs="Times New Roman"/>
                <w:color w:val="auto"/>
                <w:kern w:val="0"/>
                <w:sz w:val="24"/>
                <w:lang w:bidi="en-US"/>
              </w:rPr>
              <w:t>排放口具体情况见</w:t>
            </w:r>
            <w:r>
              <w:rPr>
                <w:rFonts w:hint="default" w:ascii="Times New Roman" w:hAnsi="Times New Roman" w:eastAsia="宋体" w:cs="Times New Roman"/>
                <w:color w:val="auto"/>
                <w:kern w:val="0"/>
                <w:sz w:val="24"/>
                <w:lang w:val="en-US" w:eastAsia="zh-CN" w:bidi="en-US"/>
              </w:rPr>
              <w:t>下表</w:t>
            </w:r>
            <w:r>
              <w:rPr>
                <w:rFonts w:hint="default" w:ascii="Times New Roman" w:hAnsi="Times New Roman" w:eastAsia="宋体" w:cs="Times New Roman"/>
                <w:color w:val="auto"/>
                <w:kern w:val="0"/>
                <w:sz w:val="24"/>
                <w:lang w:bidi="en-US"/>
              </w:rPr>
              <w:t>。</w:t>
            </w:r>
          </w:p>
          <w:p w14:paraId="34527733">
            <w:pPr>
              <w:autoSpaceDE w:val="0"/>
              <w:autoSpaceDN w:val="0"/>
              <w:spacing w:line="24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w:t>
            </w:r>
            <w:r>
              <w:rPr>
                <w:rFonts w:hint="default" w:ascii="Times New Roman" w:hAnsi="Times New Roman" w:eastAsia="宋体" w:cs="Times New Roman"/>
                <w:b/>
                <w:color w:val="auto"/>
                <w:szCs w:val="21"/>
                <w:lang w:val="en-US" w:eastAsia="zh-CN"/>
              </w:rPr>
              <w:t xml:space="preserve">4-2   </w:t>
            </w:r>
            <w:r>
              <w:rPr>
                <w:rFonts w:hint="default" w:ascii="Times New Roman" w:hAnsi="Times New Roman" w:eastAsia="宋体" w:cs="Times New Roman"/>
                <w:b/>
                <w:color w:val="auto"/>
                <w:szCs w:val="21"/>
              </w:rPr>
              <w:t>项目废气排放口设置情况</w:t>
            </w: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858"/>
              <w:gridCol w:w="817"/>
              <w:gridCol w:w="752"/>
              <w:gridCol w:w="540"/>
              <w:gridCol w:w="674"/>
              <w:gridCol w:w="567"/>
              <w:gridCol w:w="800"/>
              <w:gridCol w:w="1333"/>
              <w:gridCol w:w="1983"/>
            </w:tblGrid>
            <w:tr w14:paraId="5B1F8AC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23" w:hRule="atLeast"/>
                <w:jc w:val="center"/>
              </w:trPr>
              <w:tc>
                <w:tcPr>
                  <w:tcW w:w="515" w:type="pct"/>
                  <w:noWrap w:val="0"/>
                  <w:vAlign w:val="center"/>
                </w:tcPr>
                <w:p w14:paraId="4F4F6C7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排放口名称</w:t>
                  </w:r>
                </w:p>
              </w:tc>
              <w:tc>
                <w:tcPr>
                  <w:tcW w:w="490" w:type="pct"/>
                  <w:noWrap w:val="0"/>
                  <w:vAlign w:val="center"/>
                </w:tcPr>
                <w:p w14:paraId="10AE15E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排放口编号</w:t>
                  </w:r>
                </w:p>
              </w:tc>
              <w:tc>
                <w:tcPr>
                  <w:tcW w:w="451" w:type="pct"/>
                  <w:noWrap w:val="0"/>
                  <w:vAlign w:val="center"/>
                </w:tcPr>
                <w:p w14:paraId="433C1FA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污染物</w:t>
                  </w:r>
                </w:p>
              </w:tc>
              <w:tc>
                <w:tcPr>
                  <w:tcW w:w="324" w:type="pct"/>
                  <w:noWrap w:val="0"/>
                  <w:vAlign w:val="center"/>
                </w:tcPr>
                <w:p w14:paraId="019F2C3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高度/m</w:t>
                  </w:r>
                </w:p>
              </w:tc>
              <w:tc>
                <w:tcPr>
                  <w:tcW w:w="404" w:type="pct"/>
                  <w:noWrap w:val="0"/>
                  <w:vAlign w:val="center"/>
                </w:tcPr>
                <w:p w14:paraId="4F6E35D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内径/m</w:t>
                  </w:r>
                </w:p>
              </w:tc>
              <w:tc>
                <w:tcPr>
                  <w:tcW w:w="340" w:type="pct"/>
                  <w:noWrap w:val="0"/>
                  <w:vAlign w:val="center"/>
                </w:tcPr>
                <w:p w14:paraId="1214111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温度/℃</w:t>
                  </w:r>
                </w:p>
              </w:tc>
              <w:tc>
                <w:tcPr>
                  <w:tcW w:w="480" w:type="pct"/>
                  <w:noWrap w:val="0"/>
                  <w:vAlign w:val="center"/>
                </w:tcPr>
                <w:p w14:paraId="5C02B25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类型</w:t>
                  </w:r>
                </w:p>
              </w:tc>
              <w:tc>
                <w:tcPr>
                  <w:tcW w:w="800" w:type="pct"/>
                  <w:noWrap w:val="0"/>
                  <w:vAlign w:val="center"/>
                </w:tcPr>
                <w:p w14:paraId="4F68A2F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坐标</w:t>
                  </w:r>
                </w:p>
              </w:tc>
              <w:tc>
                <w:tcPr>
                  <w:tcW w:w="1191" w:type="pct"/>
                  <w:noWrap w:val="0"/>
                  <w:vAlign w:val="center"/>
                </w:tcPr>
                <w:p w14:paraId="63298AE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排放标准</w:t>
                  </w:r>
                </w:p>
              </w:tc>
            </w:tr>
            <w:tr w14:paraId="74CD82F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23" w:hRule="atLeast"/>
                <w:jc w:val="center"/>
              </w:trPr>
              <w:tc>
                <w:tcPr>
                  <w:tcW w:w="515" w:type="pct"/>
                  <w:noWrap w:val="0"/>
                  <w:vAlign w:val="center"/>
                </w:tcPr>
                <w:p w14:paraId="11055C1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bidi="en-US"/>
                    </w:rPr>
                    <w:t>工艺粉尘排气筒（新建）</w:t>
                  </w:r>
                </w:p>
              </w:tc>
              <w:tc>
                <w:tcPr>
                  <w:tcW w:w="490" w:type="pct"/>
                  <w:noWrap w:val="0"/>
                  <w:vAlign w:val="center"/>
                </w:tcPr>
                <w:p w14:paraId="465DBA0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eastAsia="zh-CN" w:bidi="en-US"/>
                    </w:rPr>
                  </w:pPr>
                  <w:r>
                    <w:rPr>
                      <w:rFonts w:hint="default" w:ascii="Times New Roman" w:hAnsi="Times New Roman" w:eastAsia="宋体" w:cs="Times New Roman"/>
                      <w:b w:val="0"/>
                      <w:bCs w:val="0"/>
                      <w:color w:val="auto"/>
                      <w:kern w:val="0"/>
                      <w:sz w:val="21"/>
                      <w:szCs w:val="21"/>
                      <w:lang w:eastAsia="zh-CN" w:bidi="en-US"/>
                    </w:rPr>
                    <w:t>DA007</w:t>
                  </w:r>
                </w:p>
              </w:tc>
              <w:tc>
                <w:tcPr>
                  <w:tcW w:w="451" w:type="pct"/>
                  <w:noWrap w:val="0"/>
                  <w:vAlign w:val="center"/>
                </w:tcPr>
                <w:p w14:paraId="7368F19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bidi="en-US"/>
                    </w:rPr>
                    <w:t>颗粒物</w:t>
                  </w:r>
                </w:p>
              </w:tc>
              <w:tc>
                <w:tcPr>
                  <w:tcW w:w="324" w:type="pct"/>
                  <w:noWrap w:val="0"/>
                  <w:vAlign w:val="center"/>
                </w:tcPr>
                <w:p w14:paraId="589181B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rPr>
                    <w:t>20</w:t>
                  </w:r>
                </w:p>
              </w:tc>
              <w:tc>
                <w:tcPr>
                  <w:tcW w:w="404" w:type="pct"/>
                  <w:noWrap w:val="0"/>
                  <w:vAlign w:val="center"/>
                </w:tcPr>
                <w:p w14:paraId="176433E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rPr>
                    <w:t>1.4</w:t>
                  </w:r>
                </w:p>
              </w:tc>
              <w:tc>
                <w:tcPr>
                  <w:tcW w:w="340" w:type="pct"/>
                  <w:noWrap w:val="0"/>
                  <w:vAlign w:val="center"/>
                </w:tcPr>
                <w:p w14:paraId="4F06661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bidi="en-US"/>
                    </w:rPr>
                    <w:t>25</w:t>
                  </w:r>
                </w:p>
              </w:tc>
              <w:tc>
                <w:tcPr>
                  <w:tcW w:w="480" w:type="pct"/>
                  <w:noWrap w:val="0"/>
                  <w:vAlign w:val="center"/>
                </w:tcPr>
                <w:p w14:paraId="1094AD8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一般排放口</w:t>
                  </w:r>
                </w:p>
              </w:tc>
              <w:tc>
                <w:tcPr>
                  <w:tcW w:w="800" w:type="pct"/>
                  <w:noWrap w:val="0"/>
                  <w:vAlign w:val="center"/>
                </w:tcPr>
                <w:p w14:paraId="24D8870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shd w:val="clear" w:color="auto" w:fill="auto"/>
                      <w:lang w:val="en-US" w:eastAsia="zh-CN" w:bidi="en-US"/>
                    </w:rPr>
                  </w:pPr>
                  <w:r>
                    <w:rPr>
                      <w:rFonts w:hint="default" w:ascii="Times New Roman" w:hAnsi="Times New Roman" w:eastAsia="宋体" w:cs="Times New Roman"/>
                      <w:b w:val="0"/>
                      <w:bCs w:val="0"/>
                      <w:color w:val="auto"/>
                      <w:kern w:val="0"/>
                      <w:sz w:val="21"/>
                      <w:szCs w:val="21"/>
                      <w:shd w:val="clear" w:color="auto" w:fill="auto"/>
                      <w:lang w:bidi="en-US"/>
                    </w:rPr>
                    <w:t>E</w:t>
                  </w:r>
                  <w:r>
                    <w:rPr>
                      <w:rFonts w:hint="default" w:ascii="Times New Roman" w:hAnsi="Times New Roman" w:eastAsia="宋体" w:cs="Times New Roman"/>
                      <w:b w:val="0"/>
                      <w:bCs w:val="0"/>
                      <w:color w:val="auto"/>
                      <w:kern w:val="0"/>
                      <w:sz w:val="21"/>
                      <w:szCs w:val="21"/>
                      <w:shd w:val="clear" w:color="auto" w:fill="auto"/>
                      <w:lang w:val="en-US" w:eastAsia="zh-CN" w:bidi="en-US"/>
                    </w:rPr>
                    <w:t>108.84788811°</w:t>
                  </w:r>
                </w:p>
                <w:p w14:paraId="39526BF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shd w:val="clear" w:color="auto" w:fill="auto"/>
                      <w:lang w:bidi="en-US"/>
                    </w:rPr>
                    <w:t>N</w:t>
                  </w:r>
                  <w:r>
                    <w:rPr>
                      <w:rFonts w:hint="default" w:ascii="Times New Roman" w:hAnsi="Times New Roman" w:eastAsia="宋体" w:cs="Times New Roman"/>
                      <w:b w:val="0"/>
                      <w:bCs w:val="0"/>
                      <w:color w:val="auto"/>
                      <w:kern w:val="0"/>
                      <w:sz w:val="21"/>
                      <w:szCs w:val="21"/>
                      <w:shd w:val="clear" w:color="auto" w:fill="auto"/>
                      <w:lang w:val="en-US" w:eastAsia="zh-CN" w:bidi="en-US"/>
                    </w:rPr>
                    <w:t>34.28105800°</w:t>
                  </w:r>
                </w:p>
              </w:tc>
              <w:tc>
                <w:tcPr>
                  <w:tcW w:w="1191" w:type="pct"/>
                  <w:noWrap w:val="0"/>
                  <w:vAlign w:val="center"/>
                </w:tcPr>
                <w:p w14:paraId="117B815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rPr>
                  </w:pPr>
                  <w:r>
                    <w:rPr>
                      <w:rFonts w:hint="default" w:ascii="Times New Roman" w:hAnsi="Times New Roman" w:eastAsia="宋体" w:cs="Times New Roman"/>
                      <w:b w:val="0"/>
                      <w:bCs w:val="0"/>
                      <w:color w:val="auto"/>
                      <w:kern w:val="0"/>
                      <w:szCs w:val="21"/>
                    </w:rPr>
                    <w:t>《大气污染物综合排放标准》(GB16297-1996)表2中二级标准</w:t>
                  </w:r>
                </w:p>
              </w:tc>
            </w:tr>
            <w:tr w14:paraId="78B1D2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23" w:hRule="atLeast"/>
                <w:jc w:val="center"/>
              </w:trPr>
              <w:tc>
                <w:tcPr>
                  <w:tcW w:w="515" w:type="pct"/>
                  <w:noWrap w:val="0"/>
                  <w:vAlign w:val="center"/>
                </w:tcPr>
                <w:p w14:paraId="35CFDBC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bidi="en-US"/>
                    </w:rPr>
                    <w:t>有机废气排气筒（依托）</w:t>
                  </w:r>
                </w:p>
              </w:tc>
              <w:tc>
                <w:tcPr>
                  <w:tcW w:w="490" w:type="pct"/>
                  <w:noWrap w:val="0"/>
                  <w:vAlign w:val="center"/>
                </w:tcPr>
                <w:p w14:paraId="1619137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bidi="en-US"/>
                    </w:rPr>
                    <w:t>DA002</w:t>
                  </w:r>
                </w:p>
              </w:tc>
              <w:tc>
                <w:tcPr>
                  <w:tcW w:w="451" w:type="pct"/>
                  <w:noWrap w:val="0"/>
                  <w:vAlign w:val="center"/>
                </w:tcPr>
                <w:p w14:paraId="05E5B17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bidi="en-US"/>
                    </w:rPr>
                    <w:t>颗粒物、非甲烷总烃、二甲苯</w:t>
                  </w:r>
                </w:p>
              </w:tc>
              <w:tc>
                <w:tcPr>
                  <w:tcW w:w="324" w:type="pct"/>
                  <w:noWrap w:val="0"/>
                  <w:vAlign w:val="center"/>
                </w:tcPr>
                <w:p w14:paraId="3AC379D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15</w:t>
                  </w:r>
                </w:p>
              </w:tc>
              <w:tc>
                <w:tcPr>
                  <w:tcW w:w="404" w:type="pct"/>
                  <w:noWrap w:val="0"/>
                  <w:vAlign w:val="center"/>
                </w:tcPr>
                <w:p w14:paraId="4B828AD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1.3</w:t>
                  </w:r>
                </w:p>
              </w:tc>
              <w:tc>
                <w:tcPr>
                  <w:tcW w:w="340" w:type="pct"/>
                  <w:noWrap w:val="0"/>
                  <w:vAlign w:val="center"/>
                </w:tcPr>
                <w:p w14:paraId="131DE8E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en-US"/>
                    </w:rPr>
                  </w:pPr>
                  <w:r>
                    <w:rPr>
                      <w:rFonts w:hint="default" w:ascii="Times New Roman" w:hAnsi="Times New Roman" w:eastAsia="宋体" w:cs="Times New Roman"/>
                      <w:b w:val="0"/>
                      <w:bCs w:val="0"/>
                      <w:color w:val="auto"/>
                      <w:kern w:val="0"/>
                      <w:sz w:val="21"/>
                      <w:szCs w:val="21"/>
                      <w:lang w:val="en-US" w:eastAsia="zh-CN" w:bidi="en-US"/>
                    </w:rPr>
                    <w:t>25</w:t>
                  </w:r>
                </w:p>
              </w:tc>
              <w:tc>
                <w:tcPr>
                  <w:tcW w:w="480" w:type="pct"/>
                  <w:noWrap w:val="0"/>
                  <w:vAlign w:val="center"/>
                </w:tcPr>
                <w:p w14:paraId="75741C6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lang w:bidi="en-US"/>
                    </w:rPr>
                  </w:pPr>
                  <w:r>
                    <w:rPr>
                      <w:rFonts w:hint="default" w:ascii="Times New Roman" w:hAnsi="Times New Roman" w:eastAsia="宋体" w:cs="Times New Roman"/>
                      <w:b w:val="0"/>
                      <w:bCs w:val="0"/>
                      <w:color w:val="auto"/>
                      <w:kern w:val="0"/>
                      <w:sz w:val="21"/>
                      <w:szCs w:val="21"/>
                      <w:lang w:bidi="en-US"/>
                    </w:rPr>
                    <w:t>一般排放口</w:t>
                  </w:r>
                </w:p>
              </w:tc>
              <w:tc>
                <w:tcPr>
                  <w:tcW w:w="800" w:type="pct"/>
                  <w:noWrap w:val="0"/>
                  <w:vAlign w:val="center"/>
                </w:tcPr>
                <w:p w14:paraId="4346069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shd w:val="clear" w:color="auto" w:fill="auto"/>
                      <w:lang w:val="en-US" w:eastAsia="zh-CN" w:bidi="en-US"/>
                    </w:rPr>
                  </w:pPr>
                  <w:r>
                    <w:rPr>
                      <w:rFonts w:hint="default" w:ascii="Times New Roman" w:hAnsi="Times New Roman" w:eastAsia="宋体" w:cs="Times New Roman"/>
                      <w:b w:val="0"/>
                      <w:bCs w:val="0"/>
                      <w:color w:val="auto"/>
                      <w:kern w:val="0"/>
                      <w:sz w:val="21"/>
                      <w:szCs w:val="21"/>
                      <w:shd w:val="clear" w:color="auto" w:fill="auto"/>
                      <w:lang w:bidi="en-US"/>
                    </w:rPr>
                    <w:t>E</w:t>
                  </w:r>
                  <w:r>
                    <w:rPr>
                      <w:rFonts w:hint="default" w:ascii="Times New Roman" w:hAnsi="Times New Roman" w:eastAsia="宋体" w:cs="Times New Roman"/>
                      <w:b w:val="0"/>
                      <w:bCs w:val="0"/>
                      <w:color w:val="auto"/>
                      <w:kern w:val="0"/>
                      <w:sz w:val="21"/>
                      <w:szCs w:val="21"/>
                      <w:shd w:val="clear" w:color="auto" w:fill="auto"/>
                      <w:lang w:val="en-US" w:eastAsia="zh-CN" w:bidi="en-US"/>
                    </w:rPr>
                    <w:t>108.85162711°</w:t>
                  </w:r>
                </w:p>
                <w:p w14:paraId="1E77153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 w:val="21"/>
                      <w:szCs w:val="21"/>
                      <w:shd w:val="clear" w:color="auto" w:fill="auto"/>
                      <w:lang w:val="en-US" w:eastAsia="zh-CN" w:bidi="en-US"/>
                    </w:rPr>
                  </w:pPr>
                  <w:r>
                    <w:rPr>
                      <w:rFonts w:hint="default" w:ascii="Times New Roman" w:hAnsi="Times New Roman" w:eastAsia="宋体" w:cs="Times New Roman"/>
                      <w:b w:val="0"/>
                      <w:bCs w:val="0"/>
                      <w:color w:val="auto"/>
                      <w:kern w:val="0"/>
                      <w:sz w:val="21"/>
                      <w:szCs w:val="21"/>
                      <w:shd w:val="clear" w:color="auto" w:fill="auto"/>
                      <w:lang w:bidi="en-US"/>
                    </w:rPr>
                    <w:t>N</w:t>
                  </w:r>
                  <w:r>
                    <w:rPr>
                      <w:rFonts w:hint="default" w:ascii="Times New Roman" w:hAnsi="Times New Roman" w:eastAsia="宋体" w:cs="Times New Roman"/>
                      <w:b w:val="0"/>
                      <w:bCs w:val="0"/>
                      <w:color w:val="auto"/>
                      <w:kern w:val="0"/>
                      <w:sz w:val="21"/>
                      <w:szCs w:val="21"/>
                      <w:shd w:val="clear" w:color="auto" w:fill="auto"/>
                      <w:lang w:val="en-US" w:eastAsia="zh-CN" w:bidi="en-US"/>
                    </w:rPr>
                    <w:t>34.28090286°</w:t>
                  </w:r>
                </w:p>
              </w:tc>
              <w:tc>
                <w:tcPr>
                  <w:tcW w:w="1191" w:type="pct"/>
                  <w:noWrap w:val="0"/>
                  <w:vAlign w:val="center"/>
                </w:tcPr>
                <w:p w14:paraId="1D93762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0"/>
                      <w:szCs w:val="21"/>
                      <w:lang w:eastAsia="zh-CN"/>
                    </w:rPr>
                  </w:pPr>
                  <w:r>
                    <w:rPr>
                      <w:rFonts w:hint="default" w:ascii="Times New Roman" w:hAnsi="Times New Roman" w:eastAsia="宋体" w:cs="Times New Roman"/>
                      <w:b w:val="0"/>
                      <w:bCs w:val="0"/>
                      <w:color w:val="auto"/>
                      <w:kern w:val="0"/>
                      <w:szCs w:val="21"/>
                    </w:rPr>
                    <w:t>《大气污染物综合排放标准》(GB16297-1996)表2中二级标准</w:t>
                  </w:r>
                  <w:r>
                    <w:rPr>
                      <w:rFonts w:hint="default" w:ascii="Times New Roman" w:hAnsi="Times New Roman" w:eastAsia="宋体" w:cs="Times New Roman"/>
                      <w:b w:val="0"/>
                      <w:bCs w:val="0"/>
                      <w:color w:val="auto"/>
                      <w:kern w:val="0"/>
                      <w:szCs w:val="21"/>
                      <w:lang w:eastAsia="zh-CN"/>
                    </w:rPr>
                    <w:t>、《挥发性有机物排放控制标准》（DB61/T1061-2017）表1</w:t>
                  </w:r>
                </w:p>
              </w:tc>
            </w:tr>
          </w:tbl>
          <w:p w14:paraId="73D6CDCB">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（4）废气</w:t>
            </w:r>
            <w:r>
              <w:rPr>
                <w:rFonts w:hint="default" w:ascii="Times New Roman" w:hAnsi="Times New Roman" w:eastAsia="宋体" w:cs="Times New Roman"/>
                <w:bCs/>
                <w:color w:val="auto"/>
                <w:sz w:val="24"/>
                <w:lang w:val="en-US" w:eastAsia="zh-CN"/>
              </w:rPr>
              <w:t>处理措施合理性</w:t>
            </w:r>
            <w:r>
              <w:rPr>
                <w:rFonts w:hint="default" w:ascii="Times New Roman" w:hAnsi="Times New Roman" w:eastAsia="宋体" w:cs="Times New Roman"/>
                <w:bCs/>
                <w:color w:val="auto"/>
                <w:sz w:val="24"/>
              </w:rPr>
              <w:t>分析</w:t>
            </w:r>
          </w:p>
          <w:p w14:paraId="5F8E6122">
            <w:pPr>
              <w:spacing w:line="360" w:lineRule="auto"/>
              <w:ind w:firstLine="480" w:firstLineChars="200"/>
              <w:rPr>
                <w:rStyle w:val="27"/>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lang w:val="en-US" w:eastAsia="zh-CN"/>
              </w:rPr>
              <w:t>本项目</w:t>
            </w:r>
            <w:r>
              <w:rPr>
                <w:rFonts w:hint="default" w:ascii="Times New Roman" w:hAnsi="Times New Roman" w:eastAsia="宋体" w:cs="Times New Roman"/>
                <w:color w:val="auto"/>
                <w:kern w:val="0"/>
                <w:sz w:val="24"/>
                <w:lang w:val="en-US" w:eastAsia="zh-CN" w:bidi="en-US"/>
              </w:rPr>
              <w:t>焊接烟尘经滤筒除尘器处理、喷砂粉尘经“干式过滤+滤筒除尘器”处理后经20m高排气筒DA007排放，</w:t>
            </w:r>
            <w:r>
              <w:rPr>
                <w:rFonts w:hint="default" w:ascii="Times New Roman" w:hAnsi="Times New Roman" w:eastAsia="宋体" w:cs="Times New Roman"/>
                <w:bCs/>
                <w:color w:val="auto"/>
                <w:kern w:val="0"/>
                <w:sz w:val="24"/>
                <w:highlight w:val="none"/>
                <w:lang w:val="en-US" w:eastAsia="zh-CN" w:bidi="en-US"/>
              </w:rPr>
              <w:t>颗粒物</w:t>
            </w:r>
            <w:r>
              <w:rPr>
                <w:rFonts w:hint="default" w:ascii="Times New Roman" w:hAnsi="Times New Roman" w:eastAsia="宋体" w:cs="Times New Roman"/>
                <w:color w:val="auto"/>
                <w:spacing w:val="0"/>
                <w:kern w:val="2"/>
                <w:position w:val="0"/>
                <w:sz w:val="24"/>
                <w:szCs w:val="24"/>
                <w:lang w:val="en-US" w:eastAsia="zh-CN"/>
              </w:rPr>
              <w:t>排放浓度为1.0318mg/m</w:t>
            </w:r>
            <w:r>
              <w:rPr>
                <w:rFonts w:hint="default" w:ascii="Times New Roman" w:hAnsi="Times New Roman" w:eastAsia="宋体" w:cs="Times New Roman"/>
                <w:color w:val="auto"/>
                <w:spacing w:val="0"/>
                <w:kern w:val="2"/>
                <w:position w:val="0"/>
                <w:sz w:val="24"/>
                <w:szCs w:val="24"/>
                <w:vertAlign w:val="superscript"/>
                <w:lang w:val="en-US" w:eastAsia="zh-CN"/>
              </w:rPr>
              <w:t>3</w:t>
            </w:r>
            <w:r>
              <w:rPr>
                <w:rFonts w:hint="default" w:ascii="Times New Roman" w:hAnsi="Times New Roman" w:eastAsia="宋体" w:cs="Times New Roman"/>
                <w:color w:val="auto"/>
                <w:spacing w:val="0"/>
                <w:kern w:val="2"/>
                <w:position w:val="0"/>
                <w:sz w:val="24"/>
                <w:szCs w:val="24"/>
                <w:lang w:val="en-US" w:eastAsia="zh-CN"/>
              </w:rPr>
              <w:t>，排放速率为0.0449kg/h，</w:t>
            </w:r>
            <w:r>
              <w:rPr>
                <w:rFonts w:hint="default" w:ascii="Times New Roman" w:hAnsi="Times New Roman" w:eastAsia="宋体" w:cs="Times New Roman"/>
                <w:bCs/>
                <w:color w:val="auto"/>
                <w:kern w:val="0"/>
                <w:sz w:val="24"/>
                <w:highlight w:val="none"/>
                <w:lang w:val="en-US" w:eastAsia="zh-CN" w:bidi="en-US"/>
              </w:rPr>
              <w:t>颗粒物有组织排放浓度及排放速率满足《大气污染物综合排放标准》（GB16297-1996）表2中的二级标准（120mg/m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、1.75kg/h）要求。</w:t>
            </w:r>
            <w:r>
              <w:rPr>
                <w:rStyle w:val="27"/>
                <w:rFonts w:hint="default" w:ascii="Times New Roman" w:hAnsi="Times New Roman" w:eastAsia="宋体" w:cs="Times New Roman"/>
                <w:color w:val="auto"/>
                <w:sz w:val="24"/>
                <w:szCs w:val="24"/>
                <w:lang w:val="en-US" w:eastAsia="zh-CN"/>
              </w:rPr>
              <w:t>参考《排污许可证申请与核发技术规范铁路、船舶、航空航天和其他运输设备制造业》（HJ 1124-2020）附录A表面处理（涂装）排污单位表A.6表面处理(涂装)排污单位废气污染防治推荐可行技术</w:t>
            </w:r>
            <w:r>
              <w:rPr>
                <w:rStyle w:val="27"/>
                <w:rFonts w:hint="default" w:ascii="Times New Roman" w:hAnsi="Times New Roman" w:eastAsia="宋体" w:cs="Times New Roman"/>
                <w:color w:val="auto"/>
                <w:sz w:val="24"/>
                <w:szCs w:val="24"/>
                <w:lang w:eastAsia="zh-CN"/>
              </w:rPr>
              <w:t>，</w:t>
            </w:r>
            <w:r>
              <w:rPr>
                <w:rStyle w:val="27"/>
                <w:rFonts w:hint="default" w:ascii="Times New Roman" w:hAnsi="Times New Roman" w:eastAsia="宋体" w:cs="Times New Roman"/>
                <w:color w:val="auto"/>
                <w:sz w:val="24"/>
                <w:szCs w:val="24"/>
                <w:lang w:val="en-US" w:eastAsia="zh-CN"/>
              </w:rPr>
              <w:t>预处理工段颗粒物采用袋式除尘为可行的末端治理技术。</w:t>
            </w:r>
          </w:p>
          <w:p w14:paraId="0E70D58A">
            <w:pPr>
              <w:spacing w:line="360" w:lineRule="auto"/>
              <w:ind w:firstLine="480" w:firstLineChars="200"/>
              <w:rPr>
                <w:rFonts w:hint="default" w:ascii="Times New Roman" w:hAnsi="Times New Roman" w:eastAsia="宋体" w:cs="Times New Roman"/>
                <w:bCs/>
                <w:color w:val="auto"/>
                <w:kern w:val="0"/>
                <w:sz w:val="24"/>
                <w:highlight w:val="none"/>
                <w:lang w:val="en-US" w:eastAsia="zh-CN" w:bidi="en-US"/>
              </w:rPr>
            </w:pPr>
            <w:r>
              <w:rPr>
                <w:rStyle w:val="27"/>
                <w:rFonts w:hint="default" w:ascii="Times New Roman" w:hAnsi="Times New Roman" w:eastAsia="宋体" w:cs="Times New Roman"/>
                <w:color w:val="auto"/>
                <w:sz w:val="24"/>
                <w:szCs w:val="24"/>
                <w:lang w:val="en-US" w:eastAsia="zh-CN"/>
              </w:rPr>
              <w:t>本项目有机废气依托现有工程喷漆废气处理系统，</w:t>
            </w:r>
            <w:r>
              <w:rPr>
                <w:rFonts w:hint="default" w:ascii="Times New Roman" w:hAnsi="Times New Roman" w:eastAsia="宋体" w:cs="Times New Roman"/>
                <w:bCs/>
                <w:color w:val="auto"/>
                <w:kern w:val="0"/>
                <w:sz w:val="24"/>
                <w:highlight w:val="none"/>
                <w:lang w:val="en-US" w:eastAsia="zh-CN" w:bidi="en-US"/>
              </w:rPr>
              <w:t>采用“干式过滤+活性炭浓缩吸附+催化燃烧”的工艺进行处理，废气处理达标后通过15m高排气筒排放。颗粒物排放浓度为0.0493mg/m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，排放速率为0.0039kg/h，非甲烷总烃排放浓度为0.7881mg/m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，排放速率为0.0630kg/h，二甲苯排放浓度为0.3798mg/m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，排放速率为0.0304kg/h，颗粒物有组织排放浓度及排放速率满足《大气污染物综合排放标准》（GB16297-1996）表2中的二级标准（120mg/m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、1.75kg/h）要求，吸附和脱附阶段非甲烷总烃、二甲苯有组织排放浓度满足《挥发性有机物排放控制标准》（DB61/T1061-2017）表1排放限值（非甲烷总烃50mg/m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、二甲苯10mg/m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w:t>
            </w:r>
          </w:p>
          <w:p w14:paraId="0C82E214">
            <w:pPr>
              <w:spacing w:line="360" w:lineRule="auto"/>
              <w:ind w:firstLine="480" w:firstLineChars="200"/>
              <w:rPr>
                <w:rFonts w:hint="default" w:ascii="Times New Roman" w:hAnsi="Times New Roman" w:eastAsia="宋体" w:cs="Times New Roman"/>
                <w:bCs/>
                <w:color w:val="auto"/>
                <w:kern w:val="0"/>
                <w:sz w:val="24"/>
                <w:highlight w:val="none"/>
                <w:lang w:val="en-US" w:eastAsia="zh-CN" w:bidi="en-US"/>
              </w:rPr>
            </w:pPr>
            <w:r>
              <w:rPr>
                <w:rFonts w:hint="default" w:ascii="Times New Roman" w:hAnsi="Times New Roman" w:eastAsia="宋体" w:cs="Times New Roman"/>
                <w:bCs/>
                <w:color w:val="auto"/>
                <w:kern w:val="0"/>
                <w:sz w:val="24"/>
                <w:highlight w:val="none"/>
                <w:lang w:val="en-US" w:eastAsia="zh-CN" w:bidi="en-US"/>
              </w:rPr>
              <w:t>根据</w:t>
            </w:r>
            <w:r>
              <w:rPr>
                <w:rFonts w:hint="default" w:ascii="Times New Roman" w:hAnsi="Times New Roman" w:eastAsia="宋体" w:cs="Times New Roman"/>
                <w:color w:val="auto"/>
                <w:sz w:val="24"/>
                <w:szCs w:val="24"/>
                <w:highlight w:val="none"/>
                <w:lang w:val="en-US" w:eastAsia="zh-CN"/>
              </w:rPr>
              <w:t>陕西润卓环境技术有限公司对本项目DA002监测数据，现有工程喷漆废气中颗粒物排放浓度为4.6mg/m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、排放速率为0.240kg/h，非甲烷总烃排放浓度为6.64mg/m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，二甲苯未检出。与本项目预测结果叠加后，颗粒物排放浓度为4.6493mg/m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、排放速率为0.2439kg/h，非甲烷总烃排放浓度为7.4281mg/m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，二甲苯</w:t>
            </w:r>
            <w:r>
              <w:rPr>
                <w:rFonts w:hint="default" w:ascii="Times New Roman" w:hAnsi="Times New Roman" w:eastAsia="宋体" w:cs="Times New Roman"/>
                <w:bCs/>
                <w:color w:val="auto"/>
                <w:kern w:val="0"/>
                <w:sz w:val="24"/>
                <w:highlight w:val="none"/>
                <w:lang w:val="en-US" w:eastAsia="zh-CN" w:bidi="en-US"/>
              </w:rPr>
              <w:t>排放浓度为0.3798mg/m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bCs/>
                <w:color w:val="auto"/>
                <w:kern w:val="0"/>
                <w:sz w:val="24"/>
                <w:highlight w:val="none"/>
                <w:lang w:val="en-US" w:eastAsia="zh-CN" w:bidi="en-US"/>
              </w:rPr>
              <w:t>颗粒物有组织排放浓度及排放速率仍满足《大气污染物综合排放标准》（GB16297-1996）表2中的二级标准（120mg/m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、1.75kg/h）要求，吸附和脱附阶段非甲烷总烃、二甲苯有组织排放浓度仍满足《挥发性有机物排放控制标准》（DB61/T1061-2017）表1排放限值（非甲烷总烃50mg/m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、二甲苯10mg/m</w:t>
            </w:r>
            <w:r>
              <w:rPr>
                <w:rFonts w:hint="default" w:ascii="Times New Roman" w:hAnsi="Times New Roman" w:eastAsia="宋体" w:cs="Times New Roman"/>
                <w:bCs/>
                <w:color w:val="auto"/>
                <w:kern w:val="0"/>
                <w:sz w:val="24"/>
                <w:highlight w:val="none"/>
                <w:vertAlign w:val="superscript"/>
                <w:lang w:val="en-US" w:eastAsia="zh-CN" w:bidi="en-US"/>
              </w:rPr>
              <w:t>3</w:t>
            </w:r>
            <w:r>
              <w:rPr>
                <w:rFonts w:hint="default" w:ascii="Times New Roman" w:hAnsi="Times New Roman" w:eastAsia="宋体" w:cs="Times New Roman"/>
                <w:bCs/>
                <w:color w:val="auto"/>
                <w:kern w:val="0"/>
                <w:sz w:val="24"/>
                <w:highlight w:val="none"/>
                <w:lang w:val="en-US" w:eastAsia="zh-CN" w:bidi="en-US"/>
              </w:rPr>
              <w:t>）。</w:t>
            </w:r>
          </w:p>
          <w:p w14:paraId="3D56063B">
            <w:pPr>
              <w:spacing w:line="360" w:lineRule="auto"/>
              <w:ind w:firstLine="480" w:firstLineChars="200"/>
              <w:rPr>
                <w:rStyle w:val="27"/>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color w:val="auto"/>
                <w:kern w:val="0"/>
                <w:sz w:val="24"/>
                <w:highlight w:val="none"/>
                <w:lang w:val="en-US" w:eastAsia="zh-CN" w:bidi="en-US"/>
              </w:rPr>
              <w:t>根据</w:t>
            </w:r>
            <w:r>
              <w:rPr>
                <w:rStyle w:val="27"/>
                <w:rFonts w:hint="default" w:ascii="Times New Roman" w:hAnsi="Times New Roman" w:eastAsia="宋体" w:cs="Times New Roman"/>
                <w:color w:val="auto"/>
                <w:sz w:val="24"/>
                <w:szCs w:val="24"/>
                <w:lang w:val="en-US" w:eastAsia="zh-CN"/>
              </w:rPr>
              <w:t>《排污许可证申请与核发技术规范铁路、船舶、航空航天和其他运输设备制造业》（HJ 1124-2020）附录A表面处理(涂装)排污单位表A.6表面处理(涂装)排污单位废气污染防治推荐可行技术，调漆废气推荐可行技术为“活性炭吸附”，喷漆室废气中颗粒物处理推荐可行技术包括“化学纤维过滤”，喷漆室废气中挥发性有机物、二甲苯推荐可行技术包括“吸附/浓缩+热力燃烧/催化氧化”，烘干室废气中挥发性有机物、二甲苯推荐可行技术包括“吸附/浓缩+热力燃烧/催化氧化”。因此本项目采用“干式过滤</w:t>
            </w:r>
            <w:r>
              <w:rPr>
                <w:rFonts w:hint="default" w:ascii="Times New Roman" w:hAnsi="Times New Roman" w:eastAsia="宋体" w:cs="Times New Roman"/>
                <w:bCs/>
                <w:color w:val="auto"/>
                <w:kern w:val="0"/>
                <w:sz w:val="24"/>
                <w:highlight w:val="none"/>
                <w:lang w:val="en-US" w:eastAsia="zh-CN" w:bidi="en-US"/>
              </w:rPr>
              <w:t>+活性炭浓缩吸附+催化燃烧”</w:t>
            </w:r>
            <w:r>
              <w:rPr>
                <w:rStyle w:val="27"/>
                <w:rFonts w:hint="default" w:ascii="Times New Roman" w:hAnsi="Times New Roman" w:eastAsia="宋体" w:cs="Times New Roman"/>
                <w:color w:val="auto"/>
                <w:sz w:val="24"/>
                <w:szCs w:val="24"/>
                <w:lang w:val="en-US" w:eastAsia="zh-CN"/>
              </w:rPr>
              <w:t>为可行的末端治理技术。</w:t>
            </w:r>
          </w:p>
          <w:p w14:paraId="65854B30">
            <w:pPr>
              <w:wordWrap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本项目有机废气综合处理效率为95%，满足《挥发性有机物排放控制标准》（DB61/T1061-2017）表1中处理效率85%以上的要求，及《重污染天气重点行业应急减排措施制定技术指南(2020年修订版)》（环办大气函[2020]340号）工业涂装绩效分级指标中“调漆、喷漆、流平、烘干、清洗等工序含VOCs废气采用吸附浓缩+燃烧、燃烧等治理技术，处理效率≥95%”的要求。</w:t>
            </w:r>
          </w:p>
          <w:p w14:paraId="14DD27B0">
            <w:pPr>
              <w:wordWrap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（5）排气筒设置合理性分析</w:t>
            </w:r>
          </w:p>
          <w:p w14:paraId="5AED46A9">
            <w:pPr>
              <w:wordWrap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color w:val="auto"/>
                <w:sz w:val="24"/>
                <w:szCs w:val="32"/>
                <w:highlight w:val="none"/>
                <w:lang w:val="en-US" w:eastAsia="zh-CN"/>
              </w:rPr>
              <w:t>根据</w:t>
            </w:r>
            <w:r>
              <w:rPr>
                <w:rFonts w:hint="default" w:ascii="Times New Roman" w:hAnsi="Times New Roman" w:eastAsia="宋体" w:cs="Times New Roman"/>
                <w:color w:val="auto"/>
                <w:sz w:val="24"/>
                <w:szCs w:val="24"/>
                <w:lang w:val="zh-TW"/>
              </w:rPr>
              <w:t>《大气污染物综合排放标准》</w:t>
            </w:r>
            <w:r>
              <w:rPr>
                <w:rFonts w:hint="default" w:ascii="Times New Roman" w:hAnsi="Times New Roman" w:eastAsia="宋体" w:cs="Times New Roman"/>
                <w:color w:val="auto"/>
                <w:sz w:val="24"/>
                <w:szCs w:val="24"/>
                <w:lang w:val="zh-TW" w:eastAsia="zh-CN"/>
              </w:rPr>
              <w:t>（</w:t>
            </w:r>
            <w:r>
              <w:rPr>
                <w:rFonts w:hint="default" w:ascii="Times New Roman" w:hAnsi="Times New Roman" w:eastAsia="宋体" w:cs="Times New Roman"/>
                <w:color w:val="auto"/>
                <w:sz w:val="24"/>
                <w:szCs w:val="24"/>
                <w:lang w:val="zh-TW"/>
              </w:rPr>
              <w:t>GB16297-1996</w:t>
            </w:r>
            <w:r>
              <w:rPr>
                <w:rFonts w:hint="default" w:ascii="Times New Roman" w:hAnsi="Times New Roman" w:eastAsia="宋体" w:cs="Times New Roman"/>
                <w:color w:val="auto"/>
                <w:sz w:val="24"/>
                <w:szCs w:val="24"/>
                <w:lang w:val="zh-TW" w:eastAsia="zh-CN"/>
              </w:rPr>
              <w:t>），</w:t>
            </w:r>
            <w:r>
              <w:rPr>
                <w:rFonts w:hint="default" w:ascii="Times New Roman" w:hAnsi="Times New Roman" w:eastAsia="宋体" w:cs="Times New Roman"/>
                <w:color w:val="auto"/>
                <w:sz w:val="24"/>
                <w:szCs w:val="24"/>
                <w:lang w:val="en-US" w:eastAsia="zh-CN"/>
              </w:rPr>
              <w:t>排气筒高度应高出周围200m半径范围的建筑5m以上，不能达到该要求的排气筒，应按其高度对应的表列排放速率标准值严格50%执行，</w:t>
            </w:r>
            <w:r>
              <w:rPr>
                <w:rFonts w:hint="default" w:ascii="Times New Roman" w:hAnsi="Times New Roman" w:eastAsia="宋体" w:cs="Times New Roman"/>
                <w:bCs/>
                <w:color w:val="auto"/>
                <w:sz w:val="24"/>
                <w:szCs w:val="22"/>
                <w:lang w:val="en-US" w:eastAsia="zh-CN"/>
              </w:rPr>
              <w:t>根据生产厂房、生产工艺的要求设置，</w:t>
            </w:r>
            <w:r>
              <w:rPr>
                <w:rFonts w:hint="default" w:ascii="Times New Roman" w:hAnsi="Times New Roman" w:eastAsia="宋体" w:cs="Times New Roman"/>
                <w:bCs/>
                <w:color w:val="auto"/>
                <w:sz w:val="24"/>
                <w:szCs w:val="22"/>
              </w:rPr>
              <w:t>本项目</w:t>
            </w:r>
            <w:r>
              <w:rPr>
                <w:rFonts w:hint="default" w:ascii="Times New Roman" w:hAnsi="Times New Roman" w:eastAsia="宋体" w:cs="Times New Roman"/>
                <w:bCs/>
                <w:color w:val="auto"/>
                <w:sz w:val="24"/>
                <w:szCs w:val="22"/>
                <w:lang w:val="en-US" w:eastAsia="zh-CN"/>
              </w:rPr>
              <w:t>新建1</w:t>
            </w:r>
            <w:r>
              <w:rPr>
                <w:rFonts w:hint="default" w:ascii="Times New Roman" w:hAnsi="Times New Roman" w:eastAsia="宋体" w:cs="Times New Roman"/>
                <w:bCs/>
                <w:color w:val="auto"/>
                <w:sz w:val="24"/>
                <w:szCs w:val="22"/>
              </w:rPr>
              <w:t>根排气筒，高度为</w:t>
            </w:r>
            <w:r>
              <w:rPr>
                <w:rFonts w:hint="default" w:ascii="Times New Roman" w:hAnsi="Times New Roman" w:eastAsia="宋体" w:cs="Times New Roman"/>
                <w:bCs/>
                <w:color w:val="auto"/>
                <w:sz w:val="24"/>
                <w:szCs w:val="22"/>
                <w:lang w:val="en-US" w:eastAsia="zh-CN"/>
              </w:rPr>
              <w:t>20</w:t>
            </w:r>
            <w:r>
              <w:rPr>
                <w:rFonts w:hint="default" w:ascii="Times New Roman" w:hAnsi="Times New Roman" w:eastAsia="宋体" w:cs="Times New Roman"/>
                <w:bCs/>
                <w:color w:val="auto"/>
                <w:sz w:val="24"/>
                <w:szCs w:val="22"/>
                <w:lang w:eastAsia="zh-CN"/>
              </w:rPr>
              <w:t>m，</w:t>
            </w:r>
            <w:r>
              <w:rPr>
                <w:rFonts w:hint="default" w:ascii="Times New Roman" w:hAnsi="Times New Roman" w:eastAsia="宋体" w:cs="Times New Roman"/>
                <w:bCs/>
                <w:color w:val="auto"/>
                <w:sz w:val="24"/>
                <w:szCs w:val="22"/>
                <w:lang w:val="en-US" w:eastAsia="zh-CN"/>
              </w:rPr>
              <w:t>依托现有工程1根排气筒，高度为15m</w:t>
            </w:r>
            <w:r>
              <w:rPr>
                <w:rFonts w:hint="default" w:ascii="Times New Roman" w:hAnsi="Times New Roman" w:eastAsia="宋体" w:cs="Times New Roman"/>
                <w:bCs/>
                <w:color w:val="auto"/>
                <w:sz w:val="24"/>
                <w:szCs w:val="22"/>
                <w:lang w:eastAsia="zh-CN"/>
              </w:rPr>
              <w:t>。</w:t>
            </w:r>
            <w:r>
              <w:rPr>
                <w:rFonts w:hint="default" w:ascii="Times New Roman" w:hAnsi="Times New Roman" w:eastAsia="宋体" w:cs="Times New Roman"/>
                <w:bCs/>
                <w:color w:val="auto"/>
                <w:sz w:val="24"/>
                <w:szCs w:val="22"/>
              </w:rPr>
              <w:t>周围半径200m距离内建筑物</w:t>
            </w:r>
            <w:r>
              <w:rPr>
                <w:rFonts w:hint="default" w:ascii="Times New Roman" w:hAnsi="Times New Roman" w:eastAsia="宋体" w:cs="Times New Roman"/>
                <w:bCs/>
                <w:color w:val="auto"/>
                <w:sz w:val="24"/>
                <w:szCs w:val="22"/>
                <w:lang w:val="en-US" w:eastAsia="zh-CN"/>
              </w:rPr>
              <w:t>多为高层住宅</w:t>
            </w:r>
            <w:r>
              <w:rPr>
                <w:rFonts w:hint="default" w:ascii="Times New Roman" w:hAnsi="Times New Roman" w:eastAsia="宋体" w:cs="Times New Roman"/>
                <w:bCs/>
                <w:color w:val="auto"/>
                <w:sz w:val="24"/>
                <w:szCs w:val="22"/>
                <w:lang w:eastAsia="zh-CN"/>
              </w:rPr>
              <w:t>。</w:t>
            </w:r>
            <w:r>
              <w:rPr>
                <w:rFonts w:hint="default" w:ascii="Times New Roman" w:hAnsi="Times New Roman" w:eastAsia="宋体" w:cs="Times New Roman"/>
                <w:bCs/>
                <w:color w:val="auto"/>
                <w:sz w:val="24"/>
                <w:szCs w:val="22"/>
                <w:lang w:val="en-US" w:eastAsia="zh-CN"/>
              </w:rPr>
              <w:t>本项目排气筒不满足</w:t>
            </w:r>
            <w:r>
              <w:rPr>
                <w:rFonts w:hint="default" w:ascii="Times New Roman" w:hAnsi="Times New Roman" w:eastAsia="宋体" w:cs="Times New Roman"/>
                <w:color w:val="auto"/>
                <w:sz w:val="24"/>
                <w:szCs w:val="24"/>
                <w:lang w:val="en-US" w:eastAsia="zh-CN"/>
              </w:rPr>
              <w:t>高出周围200m半径范围的建筑5m以上，排放速率严格50%执行。根据工程分析结果，</w:t>
            </w:r>
            <w:r>
              <w:rPr>
                <w:rFonts w:hint="default" w:ascii="Times New Roman" w:hAnsi="Times New Roman" w:eastAsia="宋体" w:cs="Times New Roman"/>
                <w:color w:val="auto"/>
                <w:sz w:val="24"/>
                <w:lang w:val="en-US" w:eastAsia="zh-CN"/>
              </w:rPr>
              <w:t>本项目工艺粉尘</w:t>
            </w:r>
            <w:r>
              <w:rPr>
                <w:rFonts w:hint="default" w:ascii="Times New Roman" w:hAnsi="Times New Roman" w:eastAsia="宋体" w:cs="Times New Roman"/>
                <w:color w:val="auto"/>
                <w:kern w:val="0"/>
                <w:sz w:val="24"/>
                <w:lang w:val="en-US" w:eastAsia="zh-CN" w:bidi="en-US"/>
              </w:rPr>
              <w:t>经滤筒除尘器处理后排放速率为0.054kg/h，有机废气经干式过滤处理后排放速率为0.0039kg/h，满足</w:t>
            </w:r>
            <w:r>
              <w:rPr>
                <w:rFonts w:hint="default" w:ascii="Times New Roman" w:hAnsi="Times New Roman" w:eastAsia="宋体" w:cs="Times New Roman"/>
                <w:color w:val="auto"/>
                <w:sz w:val="24"/>
                <w:szCs w:val="24"/>
                <w:lang w:val="zh-TW"/>
              </w:rPr>
              <w:t>《大气污染物综合排放标准》</w:t>
            </w:r>
            <w:r>
              <w:rPr>
                <w:rFonts w:hint="default" w:ascii="Times New Roman" w:hAnsi="Times New Roman" w:eastAsia="宋体" w:cs="Times New Roman"/>
                <w:color w:val="auto"/>
                <w:sz w:val="24"/>
                <w:szCs w:val="24"/>
                <w:lang w:val="zh-TW" w:eastAsia="zh-CN"/>
              </w:rPr>
              <w:t>（</w:t>
            </w:r>
            <w:r>
              <w:rPr>
                <w:rFonts w:hint="default" w:ascii="Times New Roman" w:hAnsi="Times New Roman" w:eastAsia="宋体" w:cs="Times New Roman"/>
                <w:color w:val="auto"/>
                <w:sz w:val="24"/>
                <w:szCs w:val="24"/>
                <w:lang w:val="zh-TW"/>
              </w:rPr>
              <w:t>GB16297-1996</w:t>
            </w:r>
            <w:r>
              <w:rPr>
                <w:rFonts w:hint="default" w:ascii="Times New Roman" w:hAnsi="Times New Roman" w:eastAsia="宋体" w:cs="Times New Roman"/>
                <w:color w:val="auto"/>
                <w:sz w:val="24"/>
                <w:szCs w:val="24"/>
                <w:lang w:val="zh-TW" w:eastAsia="zh-CN"/>
              </w:rPr>
              <w:t>）</w:t>
            </w:r>
            <w:r>
              <w:rPr>
                <w:rFonts w:hint="default" w:ascii="Times New Roman" w:hAnsi="Times New Roman" w:eastAsia="宋体" w:cs="Times New Roman"/>
                <w:color w:val="auto"/>
                <w:sz w:val="24"/>
                <w:szCs w:val="24"/>
                <w:lang w:val="en-US" w:eastAsia="zh-CN"/>
              </w:rPr>
              <w:t>2级标准严格50%要求</w:t>
            </w:r>
            <w:r>
              <w:rPr>
                <w:rFonts w:hint="default" w:ascii="Times New Roman" w:hAnsi="Times New Roman" w:eastAsia="宋体" w:cs="Times New Roman"/>
                <w:bCs/>
                <w:color w:val="auto"/>
                <w:sz w:val="24"/>
                <w:szCs w:val="22"/>
              </w:rPr>
              <w:t>。</w:t>
            </w:r>
          </w:p>
          <w:p w14:paraId="68351430">
            <w:pPr>
              <w:wordWrap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（6）非正常情况污染排放</w:t>
            </w:r>
          </w:p>
          <w:p w14:paraId="020AF300">
            <w:pPr>
              <w:wordWrap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项目非正常情况主要是设备开停时环保设施未提前开启或环保设施故障无法运行，造成废气超标排放，以最不利情况下废气处理系统停运，收集效率为零考虑，源强最大的时段废气排放1h对周围环境的影响，具体见下表。</w:t>
            </w:r>
          </w:p>
          <w:p w14:paraId="79123164">
            <w:pPr>
              <w:autoSpaceDE w:val="0"/>
              <w:autoSpaceDN w:val="0"/>
              <w:spacing w:line="240" w:lineRule="auto"/>
              <w:jc w:val="center"/>
              <w:rPr>
                <w:rFonts w:hint="default" w:ascii="Times New Roman" w:hAnsi="Times New Roman" w:eastAsia="宋体" w:cs="Times New Roman"/>
                <w:b/>
                <w:color w:val="auto"/>
                <w:szCs w:val="21"/>
                <w:lang w:val="en-US" w:eastAsia="zh-CN"/>
              </w:rPr>
            </w:pPr>
            <w:r>
              <w:rPr>
                <w:rFonts w:hint="default" w:ascii="Times New Roman" w:hAnsi="Times New Roman" w:eastAsia="宋体" w:cs="Times New Roman"/>
                <w:b/>
                <w:color w:val="auto"/>
                <w:szCs w:val="21"/>
                <w:lang w:val="en-US" w:eastAsia="zh-CN"/>
              </w:rPr>
              <w:t>表4-3   非正常情况废气排放情况一览表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1592"/>
              <w:gridCol w:w="1592"/>
              <w:gridCol w:w="1592"/>
              <w:gridCol w:w="1595"/>
            </w:tblGrid>
            <w:tr w14:paraId="75430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4" w:type="pct"/>
                  <w:tcBorders>
                    <w:tl2br w:val="nil"/>
                    <w:tr2bl w:val="nil"/>
                  </w:tcBorders>
                  <w:noWrap w:val="0"/>
                  <w:vAlign w:val="center"/>
                </w:tcPr>
                <w:p w14:paraId="0A00CB00">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产排污环节</w:t>
                  </w:r>
                </w:p>
              </w:tc>
              <w:tc>
                <w:tcPr>
                  <w:tcW w:w="955" w:type="pct"/>
                  <w:tcBorders>
                    <w:tl2br w:val="nil"/>
                    <w:tr2bl w:val="nil"/>
                  </w:tcBorders>
                  <w:noWrap w:val="0"/>
                  <w:vAlign w:val="center"/>
                </w:tcPr>
                <w:p w14:paraId="479C0FE8">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yellow"/>
                      <w:lang w:val="en-US" w:eastAsia="zh-CN"/>
                    </w:rPr>
                  </w:pPr>
                  <w:r>
                    <w:rPr>
                      <w:rFonts w:hint="default" w:ascii="Times New Roman" w:hAnsi="Times New Roman" w:eastAsia="宋体" w:cs="Times New Roman"/>
                      <w:color w:val="auto"/>
                      <w:sz w:val="21"/>
                      <w:szCs w:val="21"/>
                      <w:lang w:val="en-US" w:eastAsia="zh-CN"/>
                    </w:rPr>
                    <w:t>焊接、喷砂</w:t>
                  </w:r>
                </w:p>
              </w:tc>
              <w:tc>
                <w:tcPr>
                  <w:tcW w:w="2869" w:type="pct"/>
                  <w:gridSpan w:val="3"/>
                  <w:tcBorders>
                    <w:tl2br w:val="nil"/>
                    <w:tr2bl w:val="nil"/>
                  </w:tcBorders>
                  <w:noWrap w:val="0"/>
                  <w:vAlign w:val="center"/>
                </w:tcPr>
                <w:p w14:paraId="3052ADDF">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喷漆</w:t>
                  </w:r>
                </w:p>
              </w:tc>
            </w:tr>
            <w:tr w14:paraId="7B9DE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4" w:type="pct"/>
                  <w:tcBorders>
                    <w:tl2br w:val="nil"/>
                    <w:tr2bl w:val="nil"/>
                  </w:tcBorders>
                  <w:noWrap w:val="0"/>
                  <w:vAlign w:val="center"/>
                </w:tcPr>
                <w:p w14:paraId="41FE1CC2">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污染物种类</w:t>
                  </w:r>
                </w:p>
              </w:tc>
              <w:tc>
                <w:tcPr>
                  <w:tcW w:w="955" w:type="pct"/>
                  <w:tcBorders>
                    <w:tl2br w:val="nil"/>
                    <w:tr2bl w:val="nil"/>
                  </w:tcBorders>
                  <w:noWrap w:val="0"/>
                  <w:vAlign w:val="center"/>
                </w:tcPr>
                <w:p w14:paraId="01A6CDD2">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颗粒物</w:t>
                  </w:r>
                </w:p>
              </w:tc>
              <w:tc>
                <w:tcPr>
                  <w:tcW w:w="955" w:type="pct"/>
                  <w:tcBorders>
                    <w:tl2br w:val="nil"/>
                    <w:tr2bl w:val="nil"/>
                  </w:tcBorders>
                  <w:noWrap w:val="0"/>
                  <w:vAlign w:val="center"/>
                </w:tcPr>
                <w:p w14:paraId="6533F406">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颗粒物</w:t>
                  </w:r>
                </w:p>
              </w:tc>
              <w:tc>
                <w:tcPr>
                  <w:tcW w:w="955" w:type="pct"/>
                  <w:tcBorders>
                    <w:tl2br w:val="nil"/>
                    <w:tr2bl w:val="nil"/>
                  </w:tcBorders>
                  <w:noWrap w:val="0"/>
                  <w:vAlign w:val="center"/>
                </w:tcPr>
                <w:p w14:paraId="5AB5636F">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非甲烷总烃</w:t>
                  </w:r>
                </w:p>
              </w:tc>
              <w:tc>
                <w:tcPr>
                  <w:tcW w:w="957" w:type="pct"/>
                  <w:tcBorders>
                    <w:tl2br w:val="nil"/>
                    <w:tr2bl w:val="nil"/>
                  </w:tcBorders>
                  <w:noWrap w:val="0"/>
                  <w:vAlign w:val="center"/>
                </w:tcPr>
                <w:p w14:paraId="03342B03">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二甲苯</w:t>
                  </w:r>
                </w:p>
              </w:tc>
            </w:tr>
            <w:tr w14:paraId="3E3B6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1174" w:type="pct"/>
                  <w:tcBorders>
                    <w:tl2br w:val="nil"/>
                    <w:tr2bl w:val="nil"/>
                  </w:tcBorders>
                  <w:noWrap w:val="0"/>
                  <w:vAlign w:val="center"/>
                </w:tcPr>
                <w:p w14:paraId="28AE28CD">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非正常频次</w:t>
                  </w:r>
                </w:p>
              </w:tc>
              <w:tc>
                <w:tcPr>
                  <w:tcW w:w="955" w:type="pct"/>
                  <w:tcBorders>
                    <w:tl2br w:val="nil"/>
                    <w:tr2bl w:val="nil"/>
                  </w:tcBorders>
                  <w:noWrap w:val="0"/>
                  <w:vAlign w:val="center"/>
                </w:tcPr>
                <w:p w14:paraId="0DB7D962">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1次/年</w:t>
                  </w:r>
                </w:p>
              </w:tc>
              <w:tc>
                <w:tcPr>
                  <w:tcW w:w="955" w:type="pct"/>
                  <w:tcBorders>
                    <w:tl2br w:val="nil"/>
                    <w:tr2bl w:val="nil"/>
                  </w:tcBorders>
                  <w:noWrap w:val="0"/>
                  <w:vAlign w:val="center"/>
                </w:tcPr>
                <w:p w14:paraId="05CB7B87">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1次/年</w:t>
                  </w:r>
                </w:p>
              </w:tc>
              <w:tc>
                <w:tcPr>
                  <w:tcW w:w="955" w:type="pct"/>
                  <w:tcBorders>
                    <w:tl2br w:val="nil"/>
                    <w:tr2bl w:val="nil"/>
                  </w:tcBorders>
                  <w:noWrap w:val="0"/>
                  <w:vAlign w:val="center"/>
                </w:tcPr>
                <w:p w14:paraId="1D85C30B">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1次/年</w:t>
                  </w:r>
                </w:p>
              </w:tc>
              <w:tc>
                <w:tcPr>
                  <w:tcW w:w="957" w:type="pct"/>
                  <w:tcBorders>
                    <w:tl2br w:val="nil"/>
                    <w:tr2bl w:val="nil"/>
                  </w:tcBorders>
                  <w:noWrap w:val="0"/>
                  <w:vAlign w:val="center"/>
                </w:tcPr>
                <w:p w14:paraId="4834653F">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1次/年</w:t>
                  </w:r>
                </w:p>
              </w:tc>
            </w:tr>
            <w:tr w14:paraId="1AB53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4" w:type="pct"/>
                  <w:tcBorders>
                    <w:tl2br w:val="nil"/>
                    <w:tr2bl w:val="nil"/>
                  </w:tcBorders>
                  <w:noWrap w:val="0"/>
                  <w:vAlign w:val="center"/>
                </w:tcPr>
                <w:p w14:paraId="3BC7E864">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排放浓度mg/m</w:t>
                  </w:r>
                  <w:r>
                    <w:rPr>
                      <w:rFonts w:hint="default" w:ascii="Times New Roman" w:hAnsi="Times New Roman" w:eastAsia="宋体" w:cs="Times New Roman"/>
                      <w:b w:val="0"/>
                      <w:bCs w:val="0"/>
                      <w:color w:val="auto"/>
                      <w:szCs w:val="21"/>
                      <w:highlight w:val="none"/>
                      <w:vertAlign w:val="superscript"/>
                      <w:lang w:val="en-US" w:eastAsia="zh-CN"/>
                    </w:rPr>
                    <w:t>3</w:t>
                  </w:r>
                </w:p>
              </w:tc>
              <w:tc>
                <w:tcPr>
                  <w:tcW w:w="955" w:type="pct"/>
                  <w:tcBorders>
                    <w:tl2br w:val="nil"/>
                    <w:tr2bl w:val="nil"/>
                  </w:tcBorders>
                  <w:noWrap w:val="0"/>
                  <w:vAlign w:val="center"/>
                </w:tcPr>
                <w:p w14:paraId="574A5420">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20.6360</w:t>
                  </w:r>
                </w:p>
              </w:tc>
              <w:tc>
                <w:tcPr>
                  <w:tcW w:w="955" w:type="pct"/>
                  <w:tcBorders>
                    <w:tl2br w:val="nil"/>
                    <w:tr2bl w:val="nil"/>
                  </w:tcBorders>
                  <w:noWrap w:val="0"/>
                  <w:vAlign w:val="center"/>
                </w:tcPr>
                <w:p w14:paraId="3BAB2217">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0.0493</w:t>
                  </w:r>
                </w:p>
              </w:tc>
              <w:tc>
                <w:tcPr>
                  <w:tcW w:w="955" w:type="pct"/>
                  <w:tcBorders>
                    <w:tl2br w:val="nil"/>
                    <w:tr2bl w:val="nil"/>
                  </w:tcBorders>
                  <w:noWrap w:val="0"/>
                  <w:vAlign w:val="center"/>
                </w:tcPr>
                <w:p w14:paraId="32C3F713">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0.7881</w:t>
                  </w:r>
                </w:p>
              </w:tc>
              <w:tc>
                <w:tcPr>
                  <w:tcW w:w="957" w:type="pct"/>
                  <w:tcBorders>
                    <w:tl2br w:val="nil"/>
                    <w:tr2bl w:val="nil"/>
                  </w:tcBorders>
                  <w:noWrap w:val="0"/>
                  <w:vAlign w:val="center"/>
                </w:tcPr>
                <w:p w14:paraId="1C34743C">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0.3798</w:t>
                  </w:r>
                </w:p>
              </w:tc>
            </w:tr>
            <w:tr w14:paraId="05F64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4" w:type="pct"/>
                  <w:tcBorders>
                    <w:tl2br w:val="nil"/>
                    <w:tr2bl w:val="nil"/>
                  </w:tcBorders>
                  <w:noWrap w:val="0"/>
                  <w:vAlign w:val="center"/>
                </w:tcPr>
                <w:p w14:paraId="0F05A33C">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持续时间</w:t>
                  </w:r>
                </w:p>
              </w:tc>
              <w:tc>
                <w:tcPr>
                  <w:tcW w:w="955" w:type="pct"/>
                  <w:tcBorders>
                    <w:tl2br w:val="nil"/>
                    <w:tr2bl w:val="nil"/>
                  </w:tcBorders>
                  <w:noWrap w:val="0"/>
                  <w:vAlign w:val="center"/>
                </w:tcPr>
                <w:p w14:paraId="3653079A">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1h</w:t>
                  </w:r>
                </w:p>
              </w:tc>
              <w:tc>
                <w:tcPr>
                  <w:tcW w:w="955" w:type="pct"/>
                  <w:tcBorders>
                    <w:tl2br w:val="nil"/>
                    <w:tr2bl w:val="nil"/>
                  </w:tcBorders>
                  <w:noWrap w:val="0"/>
                  <w:vAlign w:val="center"/>
                </w:tcPr>
                <w:p w14:paraId="2116C2A3">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1h</w:t>
                  </w:r>
                </w:p>
              </w:tc>
              <w:tc>
                <w:tcPr>
                  <w:tcW w:w="955" w:type="pct"/>
                  <w:tcBorders>
                    <w:tl2br w:val="nil"/>
                    <w:tr2bl w:val="nil"/>
                  </w:tcBorders>
                  <w:noWrap w:val="0"/>
                  <w:vAlign w:val="center"/>
                </w:tcPr>
                <w:p w14:paraId="5D28A48F">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1h</w:t>
                  </w:r>
                </w:p>
              </w:tc>
              <w:tc>
                <w:tcPr>
                  <w:tcW w:w="957" w:type="pct"/>
                  <w:tcBorders>
                    <w:tl2br w:val="nil"/>
                    <w:tr2bl w:val="nil"/>
                  </w:tcBorders>
                  <w:noWrap w:val="0"/>
                  <w:vAlign w:val="center"/>
                </w:tcPr>
                <w:p w14:paraId="4C963115">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1h</w:t>
                  </w:r>
                </w:p>
              </w:tc>
            </w:tr>
            <w:tr w14:paraId="6CB11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74" w:type="pct"/>
                  <w:tcBorders>
                    <w:tl2br w:val="nil"/>
                    <w:tr2bl w:val="nil"/>
                  </w:tcBorders>
                  <w:noWrap w:val="0"/>
                  <w:vAlign w:val="center"/>
                </w:tcPr>
                <w:p w14:paraId="2B484E32">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排放量kg</w:t>
                  </w:r>
                </w:p>
              </w:tc>
              <w:tc>
                <w:tcPr>
                  <w:tcW w:w="955" w:type="pct"/>
                  <w:tcBorders>
                    <w:tl2br w:val="nil"/>
                    <w:tr2bl w:val="nil"/>
                  </w:tcBorders>
                  <w:noWrap w:val="0"/>
                  <w:vAlign w:val="center"/>
                </w:tcPr>
                <w:p w14:paraId="39D3D724">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0.8977</w:t>
                  </w:r>
                </w:p>
              </w:tc>
              <w:tc>
                <w:tcPr>
                  <w:tcW w:w="955" w:type="pct"/>
                  <w:tcBorders>
                    <w:tl2br w:val="nil"/>
                    <w:tr2bl w:val="nil"/>
                  </w:tcBorders>
                  <w:noWrap w:val="0"/>
                  <w:vAlign w:val="center"/>
                </w:tcPr>
                <w:p w14:paraId="7EB1BFFF">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0.0039</w:t>
                  </w:r>
                </w:p>
              </w:tc>
              <w:tc>
                <w:tcPr>
                  <w:tcW w:w="955" w:type="pct"/>
                  <w:tcBorders>
                    <w:tl2br w:val="nil"/>
                    <w:tr2bl w:val="nil"/>
                  </w:tcBorders>
                  <w:noWrap w:val="0"/>
                  <w:vAlign w:val="center"/>
                </w:tcPr>
                <w:p w14:paraId="4BBB0DD9">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0.0630</w:t>
                  </w:r>
                </w:p>
              </w:tc>
              <w:tc>
                <w:tcPr>
                  <w:tcW w:w="957" w:type="pct"/>
                  <w:tcBorders>
                    <w:tl2br w:val="nil"/>
                    <w:tr2bl w:val="nil"/>
                  </w:tcBorders>
                  <w:noWrap w:val="0"/>
                  <w:vAlign w:val="center"/>
                </w:tcPr>
                <w:p w14:paraId="76D47C7D">
                  <w:pPr>
                    <w:keepNext w:val="0"/>
                    <w:keepLines w:val="0"/>
                    <w:pageBreakBefore w:val="0"/>
                    <w:widowControl w:val="0"/>
                    <w:kinsoku w:val="0"/>
                    <w:wordWrap/>
                    <w:overflowPunct w:val="0"/>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0.0304</w:t>
                  </w:r>
                </w:p>
              </w:tc>
            </w:tr>
          </w:tbl>
          <w:p w14:paraId="3295F153">
            <w:pPr>
              <w:wordWrap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kern w:val="2"/>
                <w:sz w:val="24"/>
                <w:szCs w:val="32"/>
                <w:highlight w:val="none"/>
                <w:lang w:val="en-US" w:eastAsia="zh-CN" w:bidi="ar-SA"/>
              </w:rPr>
              <w:t>防治措施：在非正常工况下，需严格控制生产，装置开启时先运行废气处理系统，关闭时后停废气处理装置，避免开停时出现废气事故排放；加强废气处理设施的运营维护，定期检修、定期更换活性炭，确保废气处理设施正常运行；当出现非正常排放时，建设单位应采取紧急处理措施，暂时停止生产，及时维修，直到生产设施或环保设施正常运转，坚决杜绝非正常排放。</w:t>
            </w:r>
          </w:p>
          <w:p w14:paraId="06996C0F">
            <w:pPr>
              <w:wordWrap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rPr>
              <w:t>（</w:t>
            </w:r>
            <w:r>
              <w:rPr>
                <w:rFonts w:hint="default" w:ascii="Times New Roman" w:hAnsi="Times New Roman" w:eastAsia="宋体" w:cs="Times New Roman"/>
                <w:bCs/>
                <w:color w:val="auto"/>
                <w:sz w:val="24"/>
                <w:szCs w:val="22"/>
                <w:lang w:val="en-US" w:eastAsia="zh-CN"/>
              </w:rPr>
              <w:t>7</w:t>
            </w:r>
            <w:r>
              <w:rPr>
                <w:rFonts w:hint="default" w:ascii="Times New Roman" w:hAnsi="Times New Roman" w:eastAsia="宋体" w:cs="Times New Roman"/>
                <w:bCs/>
                <w:color w:val="auto"/>
                <w:sz w:val="24"/>
                <w:szCs w:val="22"/>
              </w:rPr>
              <w:t>）废气监测计划</w:t>
            </w:r>
          </w:p>
          <w:p w14:paraId="0947ECAC">
            <w:pPr>
              <w:wordWrap w:val="0"/>
              <w:spacing w:line="360" w:lineRule="auto"/>
              <w:ind w:firstLine="480" w:firstLineChars="200"/>
              <w:rPr>
                <w:rFonts w:hint="default" w:ascii="Times New Roman" w:hAnsi="Times New Roman" w:eastAsia="宋体" w:cs="Times New Roman"/>
                <w:bCs/>
                <w:color w:val="auto"/>
                <w:sz w:val="24"/>
                <w:szCs w:val="22"/>
              </w:rPr>
            </w:pPr>
            <w:r>
              <w:rPr>
                <w:rFonts w:hint="default" w:ascii="Times New Roman" w:hAnsi="Times New Roman" w:eastAsia="宋体" w:cs="Times New Roman"/>
                <w:bCs/>
                <w:color w:val="auto"/>
                <w:sz w:val="24"/>
                <w:szCs w:val="22"/>
                <w:lang w:val="en-US" w:eastAsia="zh-CN"/>
              </w:rPr>
              <w:t>根据本项目运营期各项污染物的污染特点及排污单位自行监测技术指南 涂装</w:t>
            </w:r>
            <w:r>
              <w:rPr>
                <w:rStyle w:val="27"/>
                <w:rFonts w:hint="default" w:ascii="Times New Roman" w:hAnsi="Times New Roman" w:eastAsia="宋体" w:cs="Times New Roman"/>
                <w:color w:val="auto"/>
                <w:sz w:val="24"/>
                <w:szCs w:val="24"/>
                <w:lang w:val="en-US" w:eastAsia="zh-CN"/>
              </w:rPr>
              <w:t>》（HJ 1086-2020）</w:t>
            </w:r>
            <w:r>
              <w:rPr>
                <w:rFonts w:hint="default" w:ascii="Times New Roman" w:hAnsi="Times New Roman" w:eastAsia="宋体" w:cs="Times New Roman"/>
                <w:bCs/>
                <w:color w:val="auto"/>
                <w:sz w:val="24"/>
                <w:szCs w:val="22"/>
                <w:lang w:val="en-US" w:eastAsia="zh-CN"/>
              </w:rPr>
              <w:t>中的相关监测要求，制定了本项目废气运营期污染源与环境监测计划表，见表4-4。</w:t>
            </w:r>
          </w:p>
          <w:p w14:paraId="51802B18">
            <w:pPr>
              <w:spacing w:line="240" w:lineRule="auto"/>
              <w:jc w:val="center"/>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w:t>
            </w:r>
            <w:r>
              <w:rPr>
                <w:rFonts w:hint="default" w:ascii="Times New Roman" w:hAnsi="Times New Roman" w:eastAsia="宋体" w:cs="Times New Roman"/>
                <w:b/>
                <w:color w:val="auto"/>
                <w:kern w:val="0"/>
                <w:szCs w:val="21"/>
                <w:lang w:val="en-US" w:eastAsia="zh-CN"/>
              </w:rPr>
              <w:t xml:space="preserve">4-4  </w:t>
            </w:r>
            <w:r>
              <w:rPr>
                <w:rFonts w:hint="default" w:ascii="Times New Roman" w:hAnsi="Times New Roman" w:eastAsia="宋体" w:cs="Times New Roman"/>
                <w:b/>
                <w:color w:val="auto"/>
                <w:kern w:val="0"/>
                <w:szCs w:val="21"/>
              </w:rPr>
              <w:t>运营期环境监测计划</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370"/>
              <w:gridCol w:w="778"/>
              <w:gridCol w:w="706"/>
              <w:gridCol w:w="975"/>
              <w:gridCol w:w="656"/>
              <w:gridCol w:w="656"/>
              <w:gridCol w:w="2738"/>
              <w:gridCol w:w="1448"/>
            </w:tblGrid>
            <w:tr w14:paraId="20B2B0E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277" w:hRule="atLeast"/>
                <w:jc w:val="center"/>
              </w:trPr>
              <w:tc>
                <w:tcPr>
                  <w:tcW w:w="1148" w:type="dxa"/>
                  <w:gridSpan w:val="2"/>
                  <w:tcBorders>
                    <w:tl2br w:val="nil"/>
                    <w:tr2bl w:val="nil"/>
                  </w:tcBorders>
                  <w:vAlign w:val="center"/>
                </w:tcPr>
                <w:p w14:paraId="4684A05B">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污染源名称</w:t>
                  </w:r>
                </w:p>
              </w:tc>
              <w:tc>
                <w:tcPr>
                  <w:tcW w:w="706" w:type="dxa"/>
                  <w:tcBorders>
                    <w:tl2br w:val="nil"/>
                    <w:tr2bl w:val="nil"/>
                  </w:tcBorders>
                  <w:vAlign w:val="center"/>
                </w:tcPr>
                <w:p w14:paraId="1BE4B76B">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监测项目</w:t>
                  </w:r>
                </w:p>
              </w:tc>
              <w:tc>
                <w:tcPr>
                  <w:tcW w:w="975" w:type="dxa"/>
                  <w:tcBorders>
                    <w:tl2br w:val="nil"/>
                    <w:tr2bl w:val="nil"/>
                  </w:tcBorders>
                  <w:vAlign w:val="center"/>
                </w:tcPr>
                <w:p w14:paraId="5FE25867">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监测点位置</w:t>
                  </w:r>
                </w:p>
              </w:tc>
              <w:tc>
                <w:tcPr>
                  <w:tcW w:w="656" w:type="dxa"/>
                  <w:tcBorders>
                    <w:tl2br w:val="nil"/>
                    <w:tr2bl w:val="nil"/>
                  </w:tcBorders>
                  <w:vAlign w:val="center"/>
                </w:tcPr>
                <w:p w14:paraId="33350D51">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w:t>
                  </w:r>
                </w:p>
                <w:p w14:paraId="33E64F46">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点数</w:t>
                  </w:r>
                </w:p>
              </w:tc>
              <w:tc>
                <w:tcPr>
                  <w:tcW w:w="656" w:type="dxa"/>
                  <w:tcBorders>
                    <w:tl2br w:val="nil"/>
                    <w:tr2bl w:val="nil"/>
                  </w:tcBorders>
                  <w:vAlign w:val="center"/>
                </w:tcPr>
                <w:p w14:paraId="182E11FC">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w:t>
                  </w:r>
                </w:p>
                <w:p w14:paraId="2B55A2DE">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频率</w:t>
                  </w:r>
                </w:p>
              </w:tc>
              <w:tc>
                <w:tcPr>
                  <w:tcW w:w="2738" w:type="dxa"/>
                  <w:tcBorders>
                    <w:tl2br w:val="nil"/>
                    <w:tr2bl w:val="nil"/>
                  </w:tcBorders>
                  <w:vAlign w:val="center"/>
                </w:tcPr>
                <w:p w14:paraId="7E98C554">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控制指标</w:t>
                  </w:r>
                </w:p>
              </w:tc>
              <w:tc>
                <w:tcPr>
                  <w:tcW w:w="1448" w:type="dxa"/>
                  <w:tcBorders>
                    <w:tl2br w:val="nil"/>
                    <w:tr2bl w:val="nil"/>
                  </w:tcBorders>
                  <w:vAlign w:val="center"/>
                </w:tcPr>
                <w:p w14:paraId="7C29E401">
                  <w:pPr>
                    <w:kinsoku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备注</w:t>
                  </w:r>
                </w:p>
              </w:tc>
            </w:tr>
            <w:tr w14:paraId="1607C0C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06" w:hRule="atLeast"/>
                <w:jc w:val="center"/>
              </w:trPr>
              <w:tc>
                <w:tcPr>
                  <w:tcW w:w="370" w:type="dxa"/>
                  <w:vMerge w:val="restart"/>
                  <w:tcBorders>
                    <w:tl2br w:val="nil"/>
                    <w:tr2bl w:val="nil"/>
                  </w:tcBorders>
                  <w:vAlign w:val="center"/>
                </w:tcPr>
                <w:p w14:paraId="63288A30">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778" w:type="dxa"/>
                  <w:tcBorders>
                    <w:tl2br w:val="nil"/>
                    <w:tr2bl w:val="nil"/>
                  </w:tcBorders>
                  <w:vAlign w:val="center"/>
                </w:tcPr>
                <w:p w14:paraId="0CE164AB">
                  <w:pPr>
                    <w:kinsoku w:val="0"/>
                    <w:snapToGrid w:val="0"/>
                    <w:spacing w:line="240" w:lineRule="auto"/>
                    <w:ind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DA007</w:t>
                  </w:r>
                </w:p>
              </w:tc>
              <w:tc>
                <w:tcPr>
                  <w:tcW w:w="706" w:type="dxa"/>
                  <w:tcBorders>
                    <w:tl2br w:val="nil"/>
                    <w:tr2bl w:val="nil"/>
                  </w:tcBorders>
                  <w:vAlign w:val="center"/>
                </w:tcPr>
                <w:p w14:paraId="0A7A71B5">
                  <w:pPr>
                    <w:kinsoku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颗粒物</w:t>
                  </w:r>
                </w:p>
              </w:tc>
              <w:tc>
                <w:tcPr>
                  <w:tcW w:w="975" w:type="dxa"/>
                  <w:tcBorders>
                    <w:tl2br w:val="nil"/>
                    <w:tr2bl w:val="nil"/>
                  </w:tcBorders>
                  <w:vAlign w:val="center"/>
                </w:tcPr>
                <w:p w14:paraId="65C9EA36">
                  <w:pPr>
                    <w:kinsoku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排气筒出口</w:t>
                  </w:r>
                </w:p>
              </w:tc>
              <w:tc>
                <w:tcPr>
                  <w:tcW w:w="656" w:type="dxa"/>
                  <w:tcBorders>
                    <w:tl2br w:val="nil"/>
                    <w:tr2bl w:val="nil"/>
                  </w:tcBorders>
                  <w:vAlign w:val="center"/>
                </w:tcPr>
                <w:p w14:paraId="32B8622B">
                  <w:pPr>
                    <w:kinsoku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1</w:t>
                  </w:r>
                </w:p>
              </w:tc>
              <w:tc>
                <w:tcPr>
                  <w:tcW w:w="656" w:type="dxa"/>
                  <w:tcBorders>
                    <w:tl2br w:val="nil"/>
                    <w:tr2bl w:val="nil"/>
                  </w:tcBorders>
                  <w:vAlign w:val="center"/>
                </w:tcPr>
                <w:p w14:paraId="493D6156">
                  <w:pPr>
                    <w:kinsoku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1次/年</w:t>
                  </w:r>
                </w:p>
              </w:tc>
              <w:tc>
                <w:tcPr>
                  <w:tcW w:w="2738" w:type="dxa"/>
                  <w:tcBorders>
                    <w:tl2br w:val="nil"/>
                    <w:tr2bl w:val="nil"/>
                  </w:tcBorders>
                  <w:vAlign w:val="center"/>
                </w:tcPr>
                <w:p w14:paraId="5697AAFC">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 w:val="21"/>
                      <w:szCs w:val="21"/>
                      <w:lang w:val="en-US" w:eastAsia="zh-CN"/>
                    </w:rPr>
                    <w:t>《大气污染物综合排放标准》（GB16297-1996）</w:t>
                  </w:r>
                </w:p>
              </w:tc>
              <w:tc>
                <w:tcPr>
                  <w:tcW w:w="1448" w:type="dxa"/>
                  <w:tcBorders>
                    <w:tl2br w:val="nil"/>
                    <w:tr2bl w:val="nil"/>
                  </w:tcBorders>
                  <w:vAlign w:val="center"/>
                </w:tcPr>
                <w:p w14:paraId="29EB9B5A">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w:t>
                  </w:r>
                </w:p>
              </w:tc>
            </w:tr>
            <w:tr w14:paraId="39DA078A">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06" w:hRule="atLeast"/>
                <w:jc w:val="center"/>
              </w:trPr>
              <w:tc>
                <w:tcPr>
                  <w:tcW w:w="370" w:type="dxa"/>
                  <w:vMerge w:val="continue"/>
                  <w:tcBorders>
                    <w:tl2br w:val="nil"/>
                    <w:tr2bl w:val="nil"/>
                  </w:tcBorders>
                  <w:vAlign w:val="center"/>
                </w:tcPr>
                <w:p w14:paraId="7326BB3F">
                  <w:pPr>
                    <w:kinsoku w:val="0"/>
                    <w:snapToGrid w:val="0"/>
                    <w:spacing w:line="240" w:lineRule="auto"/>
                    <w:ind w:firstLine="0" w:firstLineChars="0"/>
                    <w:jc w:val="center"/>
                    <w:rPr>
                      <w:rFonts w:hint="default" w:ascii="Times New Roman" w:hAnsi="Times New Roman" w:eastAsia="宋体" w:cs="Times New Roman"/>
                      <w:color w:val="auto"/>
                      <w:szCs w:val="21"/>
                    </w:rPr>
                  </w:pPr>
                </w:p>
              </w:tc>
              <w:tc>
                <w:tcPr>
                  <w:tcW w:w="778" w:type="dxa"/>
                  <w:vMerge w:val="restart"/>
                  <w:tcBorders>
                    <w:tl2br w:val="nil"/>
                    <w:tr2bl w:val="nil"/>
                  </w:tcBorders>
                  <w:vAlign w:val="center"/>
                </w:tcPr>
                <w:p w14:paraId="4DBB08AB">
                  <w:pPr>
                    <w:kinsoku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DA002</w:t>
                  </w:r>
                </w:p>
              </w:tc>
              <w:tc>
                <w:tcPr>
                  <w:tcW w:w="706" w:type="dxa"/>
                  <w:tcBorders>
                    <w:tl2br w:val="nil"/>
                    <w:tr2bl w:val="nil"/>
                  </w:tcBorders>
                  <w:vAlign w:val="center"/>
                </w:tcPr>
                <w:p w14:paraId="29AF61B7">
                  <w:pPr>
                    <w:kinsoku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颗粒物、二甲苯</w:t>
                  </w:r>
                </w:p>
              </w:tc>
              <w:tc>
                <w:tcPr>
                  <w:tcW w:w="975" w:type="dxa"/>
                  <w:tcBorders>
                    <w:tl2br w:val="nil"/>
                    <w:tr2bl w:val="nil"/>
                  </w:tcBorders>
                  <w:vAlign w:val="center"/>
                </w:tcPr>
                <w:p w14:paraId="62D0B205">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排气筒出口</w:t>
                  </w:r>
                </w:p>
              </w:tc>
              <w:tc>
                <w:tcPr>
                  <w:tcW w:w="656" w:type="dxa"/>
                  <w:tcBorders>
                    <w:tl2br w:val="nil"/>
                    <w:tr2bl w:val="nil"/>
                  </w:tcBorders>
                  <w:vAlign w:val="center"/>
                </w:tcPr>
                <w:p w14:paraId="7E328DE8">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656" w:type="dxa"/>
                  <w:tcBorders>
                    <w:tl2br w:val="nil"/>
                    <w:tr2bl w:val="nil"/>
                  </w:tcBorders>
                  <w:vAlign w:val="center"/>
                </w:tcPr>
                <w:p w14:paraId="6731316C">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1次/年</w:t>
                  </w:r>
                </w:p>
              </w:tc>
              <w:tc>
                <w:tcPr>
                  <w:tcW w:w="2738" w:type="dxa"/>
                  <w:tcBorders>
                    <w:tl2br w:val="nil"/>
                    <w:tr2bl w:val="nil"/>
                  </w:tcBorders>
                  <w:vAlign w:val="center"/>
                </w:tcPr>
                <w:p w14:paraId="56E1B0FC">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《大气污染物综合排放标准》（GB16297-1996）</w:t>
                  </w:r>
                </w:p>
                <w:p w14:paraId="515CED8F">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《挥发性有机物排放控制标准》（DB61/T1061-2017）</w:t>
                  </w:r>
                </w:p>
              </w:tc>
              <w:tc>
                <w:tcPr>
                  <w:tcW w:w="1448" w:type="dxa"/>
                  <w:vMerge w:val="restart"/>
                  <w:tcBorders>
                    <w:tl2br w:val="nil"/>
                    <w:tr2bl w:val="nil"/>
                  </w:tcBorders>
                  <w:vAlign w:val="center"/>
                </w:tcPr>
                <w:p w14:paraId="7CC171D7">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与现有工程监测计划一致，不新增监测点位及频次</w:t>
                  </w:r>
                </w:p>
              </w:tc>
            </w:tr>
            <w:tr w14:paraId="5CCCACA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06" w:hRule="atLeast"/>
                <w:jc w:val="center"/>
              </w:trPr>
              <w:tc>
                <w:tcPr>
                  <w:tcW w:w="370" w:type="dxa"/>
                  <w:vMerge w:val="continue"/>
                  <w:tcBorders>
                    <w:tl2br w:val="nil"/>
                    <w:tr2bl w:val="nil"/>
                  </w:tcBorders>
                  <w:vAlign w:val="center"/>
                </w:tcPr>
                <w:p w14:paraId="032061EF">
                  <w:pPr>
                    <w:kinsoku w:val="0"/>
                    <w:snapToGrid w:val="0"/>
                    <w:spacing w:line="240" w:lineRule="auto"/>
                    <w:ind w:firstLine="0" w:firstLineChars="0"/>
                    <w:jc w:val="center"/>
                    <w:rPr>
                      <w:rFonts w:hint="default" w:ascii="Times New Roman" w:hAnsi="Times New Roman" w:eastAsia="宋体" w:cs="Times New Roman"/>
                      <w:color w:val="auto"/>
                      <w:szCs w:val="21"/>
                    </w:rPr>
                  </w:pPr>
                </w:p>
              </w:tc>
              <w:tc>
                <w:tcPr>
                  <w:tcW w:w="778" w:type="dxa"/>
                  <w:vMerge w:val="continue"/>
                  <w:tcBorders>
                    <w:tl2br w:val="nil"/>
                    <w:tr2bl w:val="nil"/>
                  </w:tcBorders>
                  <w:vAlign w:val="center"/>
                </w:tcPr>
                <w:p w14:paraId="4B379DFB">
                  <w:pPr>
                    <w:kinsoku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p>
              </w:tc>
              <w:tc>
                <w:tcPr>
                  <w:tcW w:w="706" w:type="dxa"/>
                  <w:tcBorders>
                    <w:tl2br w:val="nil"/>
                    <w:tr2bl w:val="nil"/>
                  </w:tcBorders>
                  <w:vAlign w:val="center"/>
                </w:tcPr>
                <w:p w14:paraId="6284EC4E">
                  <w:pPr>
                    <w:kinsoku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非甲烷总烃</w:t>
                  </w:r>
                </w:p>
              </w:tc>
              <w:tc>
                <w:tcPr>
                  <w:tcW w:w="975" w:type="dxa"/>
                  <w:tcBorders>
                    <w:tl2br w:val="nil"/>
                    <w:tr2bl w:val="nil"/>
                  </w:tcBorders>
                  <w:vAlign w:val="center"/>
                </w:tcPr>
                <w:p w14:paraId="5A0E2121">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排气筒</w:t>
                  </w:r>
                  <w:r>
                    <w:rPr>
                      <w:rFonts w:hint="default" w:ascii="Times New Roman" w:hAnsi="Times New Roman" w:eastAsia="宋体" w:cs="Times New Roman"/>
                      <w:color w:val="auto"/>
                      <w:szCs w:val="21"/>
                      <w:lang w:val="en-US" w:eastAsia="zh-CN"/>
                    </w:rPr>
                    <w:t>进、</w:t>
                  </w:r>
                  <w:r>
                    <w:rPr>
                      <w:rFonts w:hint="default" w:ascii="Times New Roman" w:hAnsi="Times New Roman" w:eastAsia="宋体" w:cs="Times New Roman"/>
                      <w:color w:val="auto"/>
                      <w:szCs w:val="21"/>
                    </w:rPr>
                    <w:t>出口</w:t>
                  </w:r>
                </w:p>
              </w:tc>
              <w:tc>
                <w:tcPr>
                  <w:tcW w:w="656" w:type="dxa"/>
                  <w:tcBorders>
                    <w:tl2br w:val="nil"/>
                    <w:tr2bl w:val="nil"/>
                  </w:tcBorders>
                  <w:vAlign w:val="center"/>
                </w:tcPr>
                <w:p w14:paraId="29A46C62">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656" w:type="dxa"/>
                  <w:tcBorders>
                    <w:tl2br w:val="nil"/>
                    <w:tr2bl w:val="nil"/>
                  </w:tcBorders>
                  <w:vAlign w:val="center"/>
                </w:tcPr>
                <w:p w14:paraId="2EC1C990">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1次/年</w:t>
                  </w:r>
                </w:p>
              </w:tc>
              <w:tc>
                <w:tcPr>
                  <w:tcW w:w="2738" w:type="dxa"/>
                  <w:tcBorders>
                    <w:tl2br w:val="nil"/>
                    <w:tr2bl w:val="nil"/>
                  </w:tcBorders>
                  <w:vAlign w:val="center"/>
                </w:tcPr>
                <w:p w14:paraId="2E90361C">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《挥发性有机物排放控制标准》（DB61/T1061-2017）</w:t>
                  </w:r>
                </w:p>
              </w:tc>
              <w:tc>
                <w:tcPr>
                  <w:tcW w:w="1448" w:type="dxa"/>
                  <w:vMerge w:val="continue"/>
                  <w:tcBorders>
                    <w:tl2br w:val="nil"/>
                    <w:tr2bl w:val="nil"/>
                  </w:tcBorders>
                  <w:vAlign w:val="center"/>
                </w:tcPr>
                <w:p w14:paraId="7D41618A">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p>
              </w:tc>
            </w:tr>
            <w:tr w14:paraId="1D02BC2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44" w:hRule="atLeast"/>
                <w:jc w:val="center"/>
              </w:trPr>
              <w:tc>
                <w:tcPr>
                  <w:tcW w:w="370" w:type="dxa"/>
                  <w:vMerge w:val="continue"/>
                  <w:tcBorders>
                    <w:tl2br w:val="nil"/>
                    <w:tr2bl w:val="nil"/>
                  </w:tcBorders>
                  <w:vAlign w:val="center"/>
                </w:tcPr>
                <w:p w14:paraId="0286AB1C">
                  <w:pPr>
                    <w:kinsoku w:val="0"/>
                    <w:snapToGrid w:val="0"/>
                    <w:spacing w:line="240" w:lineRule="auto"/>
                    <w:ind w:firstLine="0" w:firstLineChars="0"/>
                    <w:jc w:val="center"/>
                    <w:rPr>
                      <w:rFonts w:hint="default" w:ascii="Times New Roman" w:hAnsi="Times New Roman" w:eastAsia="宋体" w:cs="Times New Roman"/>
                      <w:color w:val="auto"/>
                      <w:szCs w:val="21"/>
                    </w:rPr>
                  </w:pPr>
                </w:p>
              </w:tc>
              <w:tc>
                <w:tcPr>
                  <w:tcW w:w="778" w:type="dxa"/>
                  <w:tcBorders>
                    <w:tl2br w:val="nil"/>
                    <w:tr2bl w:val="nil"/>
                  </w:tcBorders>
                  <w:vAlign w:val="center"/>
                </w:tcPr>
                <w:p w14:paraId="6A17DDC7">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厂界</w:t>
                  </w:r>
                </w:p>
              </w:tc>
              <w:tc>
                <w:tcPr>
                  <w:tcW w:w="706" w:type="dxa"/>
                  <w:tcBorders>
                    <w:tl2br w:val="nil"/>
                    <w:tr2bl w:val="nil"/>
                  </w:tcBorders>
                  <w:vAlign w:val="center"/>
                </w:tcPr>
                <w:p w14:paraId="065C9C72">
                  <w:pPr>
                    <w:kinsoku w:val="0"/>
                    <w:snapToGrid w:val="0"/>
                    <w:spacing w:line="240" w:lineRule="auto"/>
                    <w:ind w:firstLine="0" w:firstLine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颗粒物</w:t>
                  </w:r>
                </w:p>
              </w:tc>
              <w:tc>
                <w:tcPr>
                  <w:tcW w:w="975" w:type="dxa"/>
                  <w:tcBorders>
                    <w:tl2br w:val="nil"/>
                    <w:tr2bl w:val="nil"/>
                  </w:tcBorders>
                  <w:vAlign w:val="center"/>
                </w:tcPr>
                <w:p w14:paraId="2D2682C1">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上风向一个、下风向三个</w:t>
                  </w:r>
                </w:p>
              </w:tc>
              <w:tc>
                <w:tcPr>
                  <w:tcW w:w="656" w:type="dxa"/>
                  <w:tcBorders>
                    <w:tl2br w:val="nil"/>
                    <w:tr2bl w:val="nil"/>
                  </w:tcBorders>
                  <w:vAlign w:val="center"/>
                </w:tcPr>
                <w:p w14:paraId="40A72841">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656" w:type="dxa"/>
                  <w:tcBorders>
                    <w:tl2br w:val="nil"/>
                    <w:tr2bl w:val="nil"/>
                  </w:tcBorders>
                  <w:vAlign w:val="center"/>
                </w:tcPr>
                <w:p w14:paraId="76FB05D6">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1次/</w:t>
                  </w:r>
                  <w:r>
                    <w:rPr>
                      <w:rFonts w:hint="default" w:ascii="Times New Roman" w:hAnsi="Times New Roman" w:eastAsia="宋体" w:cs="Times New Roman"/>
                      <w:color w:val="auto"/>
                      <w:szCs w:val="21"/>
                      <w:lang w:val="en-US" w:eastAsia="zh-CN"/>
                    </w:rPr>
                    <w:t>半</w:t>
                  </w:r>
                  <w:r>
                    <w:rPr>
                      <w:rFonts w:hint="default" w:ascii="Times New Roman" w:hAnsi="Times New Roman" w:eastAsia="宋体" w:cs="Times New Roman"/>
                      <w:color w:val="auto"/>
                      <w:szCs w:val="21"/>
                    </w:rPr>
                    <w:t>年</w:t>
                  </w:r>
                </w:p>
              </w:tc>
              <w:tc>
                <w:tcPr>
                  <w:tcW w:w="2738" w:type="dxa"/>
                  <w:tcBorders>
                    <w:tl2br w:val="nil"/>
                    <w:tr2bl w:val="nil"/>
                  </w:tcBorders>
                  <w:vAlign w:val="center"/>
                </w:tcPr>
                <w:p w14:paraId="100E82A9">
                  <w:pPr>
                    <w:kinsoku w:val="0"/>
                    <w:snapToGrid w:val="0"/>
                    <w:spacing w:line="240" w:lineRule="auto"/>
                    <w:ind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 w:val="21"/>
                      <w:szCs w:val="21"/>
                      <w:lang w:val="en-US" w:eastAsia="zh-CN"/>
                    </w:rPr>
                    <w:t>《大气污染物综合排放标准》（GB16297-1996）</w:t>
                  </w:r>
                </w:p>
              </w:tc>
              <w:tc>
                <w:tcPr>
                  <w:tcW w:w="1448" w:type="dxa"/>
                  <w:vMerge w:val="continue"/>
                  <w:tcBorders>
                    <w:tl2br w:val="nil"/>
                    <w:tr2bl w:val="nil"/>
                  </w:tcBorders>
                  <w:vAlign w:val="center"/>
                </w:tcPr>
                <w:p w14:paraId="177C2F1D">
                  <w:pPr>
                    <w:kinsoku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p>
              </w:tc>
            </w:tr>
          </w:tbl>
          <w:p w14:paraId="365433F4">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outlineLvl w:val="0"/>
              <w:rPr>
                <w:rFonts w:hint="default" w:ascii="Times New Roman" w:hAnsi="Times New Roman" w:eastAsia="宋体" w:cs="Times New Roman"/>
                <w:b w:val="0"/>
                <w:bCs w:val="0"/>
                <w:color w:val="auto"/>
                <w:kern w:val="0"/>
                <w:sz w:val="24"/>
                <w:szCs w:val="24"/>
                <w:lang w:val="en-US" w:eastAsia="zh-CN"/>
              </w:rPr>
            </w:pPr>
            <w:r>
              <w:rPr>
                <w:rFonts w:hint="default" w:ascii="Times New Roman" w:hAnsi="Times New Roman" w:eastAsia="宋体" w:cs="Times New Roman"/>
                <w:b w:val="0"/>
                <w:bCs w:val="0"/>
                <w:color w:val="auto"/>
                <w:kern w:val="0"/>
                <w:sz w:val="24"/>
                <w:szCs w:val="24"/>
                <w:lang w:val="en-US" w:eastAsia="zh-CN"/>
              </w:rPr>
              <w:t>（8）污染物排放量与排污许可规范、同类项目对比分析</w:t>
            </w:r>
          </w:p>
          <w:p w14:paraId="23608BA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本项目属于</w:t>
            </w:r>
            <w:r>
              <w:rPr>
                <w:rFonts w:hint="default" w:ascii="Times New Roman" w:hAnsi="Times New Roman" w:eastAsia="宋体" w:cs="Times New Roman"/>
                <w:color w:val="auto"/>
                <w:sz w:val="24"/>
              </w:rPr>
              <w:t>C</w:t>
            </w:r>
            <w:r>
              <w:rPr>
                <w:rFonts w:hint="default" w:ascii="Times New Roman" w:hAnsi="Times New Roman" w:eastAsia="宋体" w:cs="Times New Roman"/>
                <w:color w:val="auto"/>
                <w:sz w:val="24"/>
                <w:lang w:val="en-US" w:eastAsia="zh-CN"/>
              </w:rPr>
              <w:t>3541 制浆和造纸专用设备制造</w:t>
            </w:r>
            <w:r>
              <w:rPr>
                <w:rFonts w:hint="default" w:ascii="Times New Roman" w:hAnsi="Times New Roman" w:eastAsia="宋体" w:cs="Times New Roman"/>
                <w:b w:val="0"/>
                <w:bCs w:val="0"/>
                <w:color w:val="auto"/>
                <w:kern w:val="0"/>
                <w:sz w:val="24"/>
                <w:szCs w:val="24"/>
                <w:highlight w:val="none"/>
                <w:lang w:val="en-US" w:eastAsia="zh-CN"/>
              </w:rPr>
              <w:t>，参照《排污许可排污许可证申请与核发技术规范 总则》和</w:t>
            </w:r>
            <w:r>
              <w:rPr>
                <w:rStyle w:val="27"/>
                <w:rFonts w:hint="default" w:ascii="Times New Roman" w:hAnsi="Times New Roman" w:eastAsia="宋体" w:cs="Times New Roman"/>
                <w:color w:val="auto"/>
                <w:sz w:val="24"/>
                <w:szCs w:val="24"/>
                <w:lang w:val="en-US" w:eastAsia="zh-CN"/>
              </w:rPr>
              <w:t>《排污许可证申请与核发技术规范铁路、船舶、航空航天和其他运输设备制造业》（HJ 1124-2020）附录A表面处理(涂装)排污单位，《排污许可证申请与核发技术规范铁路、船舶、航空航天和其他运输设备制造业》（HJ 1124-2020）对废气污染物无许可排放量计算要求，</w:t>
            </w:r>
            <w:r>
              <w:rPr>
                <w:rFonts w:hint="default" w:ascii="Times New Roman" w:hAnsi="Times New Roman" w:eastAsia="宋体" w:cs="Times New Roman"/>
                <w:b w:val="0"/>
                <w:bCs w:val="0"/>
                <w:color w:val="auto"/>
                <w:kern w:val="0"/>
                <w:sz w:val="24"/>
                <w:szCs w:val="24"/>
                <w:highlight w:val="none"/>
                <w:lang w:val="en-US" w:eastAsia="zh-CN"/>
              </w:rPr>
              <w:t>无相应行业的排污许可排污许可证申请与核发技术规范。因此，本次污染物排放量核算与排污许可规范符合性分析参考《排污许可排污许可证申请与核发技术规范 总则》5.2.3许可排放量计算方法。</w:t>
            </w:r>
          </w:p>
          <w:p w14:paraId="7B07E5F1">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position w:val="-10"/>
                <w:sz w:val="24"/>
                <w:szCs w:val="24"/>
                <w:highlight w:val="none"/>
                <w:lang w:val="en-US" w:eastAsia="zh-CN"/>
              </w:rPr>
              <w:object>
                <v:shape id="_x0000_i1028" o:spt="75" type="#_x0000_t75" style="height:18pt;width:101pt;" o:ole="t" filled="f" o:preferrelative="t" stroked="f" coordsize="21600,21600">
                  <v:path/>
                  <v:fill on="f" focussize="0,0"/>
                  <v:stroke on="f"/>
                  <v:imagedata r:id="rId17" o:title=""/>
                  <o:lock v:ext="edit" aspectratio="t"/>
                  <w10:wrap type="none"/>
                  <w10:anchorlock/>
                </v:shape>
                <o:OLEObject Type="Embed" ProgID="Equation.KSEE3" ShapeID="_x0000_i1028" DrawAspect="Content" ObjectID="_1468075728" r:id="rId16">
                  <o:LockedField>false</o:LockedField>
                </o:OLEObject>
              </w:object>
            </w:r>
          </w:p>
          <w:p w14:paraId="49C3B086">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center"/>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position w:val="-28"/>
                <w:sz w:val="24"/>
                <w:szCs w:val="24"/>
                <w:highlight w:val="none"/>
                <w:lang w:val="en-US" w:eastAsia="zh-CN"/>
              </w:rPr>
              <w:object>
                <v:shape id="_x0000_i1029" o:spt="75" type="#_x0000_t75" style="height:34pt;width:75pt;" o:ole="t" filled="f" o:preferrelative="t" stroked="f" coordsize="21600,21600">
                  <v:path/>
                  <v:fill on="f" focussize="0,0"/>
                  <v:stroke on="f"/>
                  <v:imagedata r:id="rId19" o:title=""/>
                  <o:lock v:ext="edit" aspectratio="t"/>
                  <w10:wrap type="none"/>
                  <w10:anchorlock/>
                </v:shape>
                <o:OLEObject Type="Embed" ProgID="Equation.KSEE3" ShapeID="_x0000_i1029" DrawAspect="Content" ObjectID="_1468075729" r:id="rId18">
                  <o:LockedField>false</o:LockedField>
                </o:OLEObject>
              </w:object>
            </w:r>
          </w:p>
          <w:p w14:paraId="6AAF7DFF">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式中：M</w:t>
            </w:r>
            <w:r>
              <w:rPr>
                <w:rFonts w:hint="default" w:ascii="Times New Roman" w:hAnsi="Times New Roman" w:eastAsia="宋体" w:cs="Times New Roman"/>
                <w:b w:val="0"/>
                <w:bCs w:val="0"/>
                <w:color w:val="auto"/>
                <w:kern w:val="0"/>
                <w:sz w:val="24"/>
                <w:szCs w:val="24"/>
                <w:highlight w:val="none"/>
                <w:vertAlign w:val="subscript"/>
                <w:lang w:val="en-US" w:eastAsia="zh-CN"/>
              </w:rPr>
              <w:t>i</w:t>
            </w:r>
            <w:r>
              <w:rPr>
                <w:rFonts w:hint="default" w:ascii="Times New Roman" w:hAnsi="Times New Roman" w:eastAsia="宋体" w:cs="Times New Roman"/>
                <w:b w:val="0"/>
                <w:bCs w:val="0"/>
                <w:color w:val="auto"/>
                <w:kern w:val="0"/>
                <w:sz w:val="24"/>
                <w:szCs w:val="24"/>
                <w:highlight w:val="none"/>
                <w:lang w:val="en-US" w:eastAsia="zh-CN"/>
              </w:rPr>
              <w:t>——第i个主要排放口污染物年许可排放量，t；</w:t>
            </w:r>
          </w:p>
          <w:p w14:paraId="45CD4E3D">
            <w:pPr>
              <w:keepNext w:val="0"/>
              <w:keepLines w:val="0"/>
              <w:pageBreakBefore w:val="0"/>
              <w:widowControl w:val="0"/>
              <w:numPr>
                <w:ilvl w:val="0"/>
                <w:numId w:val="0"/>
              </w:numPr>
              <w:suppressLineNumbers w:val="0"/>
              <w:kinsoku/>
              <w:wordWrap/>
              <w:overflowPunct/>
              <w:topLinePunct w:val="0"/>
              <w:autoSpaceDE w:val="0"/>
              <w:autoSpaceDN w:val="0"/>
              <w:bidi w:val="0"/>
              <w:adjustRightInd w:val="0"/>
              <w:spacing w:before="0" w:beforeAutospacing="0" w:after="0" w:afterAutospacing="0" w:line="360" w:lineRule="auto"/>
              <w:ind w:left="0" w:leftChars="0" w:right="0" w:rightChars="0" w:firstLine="420" w:firstLineChars="175"/>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Q——第i个主要排放口风量(标态)，m</w:t>
            </w:r>
            <w:r>
              <w:rPr>
                <w:rFonts w:hint="default" w:ascii="Times New Roman" w:hAnsi="Times New Roman" w:eastAsia="宋体" w:cs="Times New Roman"/>
                <w:b w:val="0"/>
                <w:bCs w:val="0"/>
                <w:color w:val="auto"/>
                <w:kern w:val="0"/>
                <w:sz w:val="24"/>
                <w:szCs w:val="24"/>
                <w:highlight w:val="none"/>
                <w:vertAlign w:val="superscript"/>
                <w:lang w:val="en-US" w:eastAsia="zh-CN"/>
              </w:rPr>
              <w:t>3</w:t>
            </w:r>
            <w:r>
              <w:rPr>
                <w:rFonts w:hint="default" w:ascii="Times New Roman" w:hAnsi="Times New Roman" w:eastAsia="宋体" w:cs="Times New Roman"/>
                <w:b w:val="0"/>
                <w:bCs w:val="0"/>
                <w:color w:val="auto"/>
                <w:kern w:val="0"/>
                <w:sz w:val="24"/>
                <w:szCs w:val="24"/>
                <w:highlight w:val="none"/>
                <w:lang w:val="en-US" w:eastAsia="zh-CN"/>
              </w:rPr>
              <w:t>/h，本次取值DA007为43500，DA002为80000；</w:t>
            </w:r>
          </w:p>
          <w:p w14:paraId="448CF8CD">
            <w:pPr>
              <w:keepNext w:val="0"/>
              <w:keepLines w:val="0"/>
              <w:pageBreakBefore w:val="0"/>
              <w:widowControl w:val="0"/>
              <w:numPr>
                <w:ilvl w:val="0"/>
                <w:numId w:val="0"/>
              </w:numPr>
              <w:suppressLineNumbers w:val="0"/>
              <w:kinsoku/>
              <w:wordWrap/>
              <w:overflowPunct/>
              <w:topLinePunct w:val="0"/>
              <w:autoSpaceDE w:val="0"/>
              <w:autoSpaceDN w:val="0"/>
              <w:bidi w:val="0"/>
              <w:adjustRightInd w:val="0"/>
              <w:spacing w:before="0" w:beforeAutospacing="0" w:after="0" w:afterAutospacing="0" w:line="360" w:lineRule="auto"/>
              <w:ind w:left="0" w:leftChars="0" w:right="0" w:rightChars="0" w:firstLine="420" w:firstLineChars="175"/>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C——污染物许可排放浓度限值(标态)，mg/m</w:t>
            </w:r>
            <w:r>
              <w:rPr>
                <w:rFonts w:hint="default" w:ascii="Times New Roman" w:hAnsi="Times New Roman" w:eastAsia="宋体" w:cs="Times New Roman"/>
                <w:b w:val="0"/>
                <w:bCs w:val="0"/>
                <w:color w:val="auto"/>
                <w:kern w:val="0"/>
                <w:sz w:val="24"/>
                <w:szCs w:val="24"/>
                <w:highlight w:val="none"/>
                <w:vertAlign w:val="superscript"/>
                <w:lang w:val="en-US" w:eastAsia="zh-CN"/>
              </w:rPr>
              <w:t>3</w:t>
            </w:r>
            <w:r>
              <w:rPr>
                <w:rFonts w:hint="default" w:ascii="Times New Roman" w:hAnsi="Times New Roman" w:eastAsia="宋体" w:cs="Times New Roman"/>
                <w:b w:val="0"/>
                <w:bCs w:val="0"/>
                <w:color w:val="auto"/>
                <w:kern w:val="0"/>
                <w:sz w:val="24"/>
                <w:szCs w:val="24"/>
                <w:highlight w:val="none"/>
                <w:lang w:val="en-US" w:eastAsia="zh-CN"/>
              </w:rPr>
              <w:t>，本次取值为颗粒物120，非甲烷总烃50；</w:t>
            </w:r>
          </w:p>
          <w:p w14:paraId="7B3D0CD4">
            <w:pPr>
              <w:keepNext w:val="0"/>
              <w:keepLines w:val="0"/>
              <w:pageBreakBefore w:val="0"/>
              <w:widowControl w:val="0"/>
              <w:numPr>
                <w:ilvl w:val="0"/>
                <w:numId w:val="0"/>
              </w:numPr>
              <w:suppressLineNumbers w:val="0"/>
              <w:kinsoku/>
              <w:wordWrap/>
              <w:overflowPunct/>
              <w:topLinePunct w:val="0"/>
              <w:autoSpaceDE w:val="0"/>
              <w:autoSpaceDN w:val="0"/>
              <w:bidi w:val="0"/>
              <w:adjustRightInd w:val="0"/>
              <w:spacing w:before="0" w:beforeAutospacing="0" w:after="0" w:afterAutospacing="0" w:line="360" w:lineRule="auto"/>
              <w:ind w:left="0" w:leftChars="0" w:right="0" w:rightChars="0" w:firstLine="420" w:firstLineChars="175"/>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T——第i个主要排放口对应装置设计年生产时间，h，本次取值DA007为2400，DA002为2400；</w:t>
            </w:r>
          </w:p>
          <w:p w14:paraId="4401FF1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E</w:t>
            </w:r>
            <w:r>
              <w:rPr>
                <w:rFonts w:hint="default" w:ascii="Times New Roman" w:hAnsi="Times New Roman" w:eastAsia="宋体" w:cs="Times New Roman"/>
                <w:b w:val="0"/>
                <w:bCs w:val="0"/>
                <w:color w:val="auto"/>
                <w:kern w:val="0"/>
                <w:sz w:val="24"/>
                <w:szCs w:val="24"/>
                <w:highlight w:val="none"/>
                <w:vertAlign w:val="subscript"/>
                <w:lang w:val="en-US" w:eastAsia="zh-CN"/>
              </w:rPr>
              <w:t>年许可</w:t>
            </w:r>
            <w:r>
              <w:rPr>
                <w:rFonts w:hint="default" w:ascii="Times New Roman" w:hAnsi="Times New Roman" w:eastAsia="宋体" w:cs="Times New Roman"/>
                <w:b w:val="0"/>
                <w:bCs w:val="0"/>
                <w:color w:val="auto"/>
                <w:kern w:val="0"/>
                <w:sz w:val="24"/>
                <w:szCs w:val="24"/>
                <w:highlight w:val="none"/>
                <w:lang w:val="en-US" w:eastAsia="zh-CN"/>
              </w:rPr>
              <w:t>——污染物年许可排放量，t/a。</w:t>
            </w:r>
          </w:p>
          <w:p w14:paraId="514DFE3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因此依据《排污许可排污许可证申请与核发技术规范 总则》，计算颗粒物年许可排放量为35.57t/a，非甲烷总烃年许可排放量为9.60t/a。本次评价计算有组织颗粒物排放量为0.1102t/a，非甲烷总烃排放量为0.3105t/a，未超过排污许可规范计算的许可排放量，符合排污许可规范要求。</w:t>
            </w:r>
          </w:p>
          <w:p w14:paraId="2727FA88">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本次评价收集了同类项目“东方电气自动控制工程有限公司喷漆房催化燃烧改造项目”竣工环境保护验收报告表，项目采用油性涂料进行喷涂，废气采用“干式过滤+活性炭吸附浓缩+催化燃烧”的工艺进行处理，与本项目相同。该项目喷漆过程中油漆、稀释剂、固化剂用量合计4.054t/a，颗粒物排放量为0.64t/a，非甲烷总烃排放量为0.125t/a。本项目油漆、稀释剂、固化剂用量合计9.5t/a，类比计算颗粒物排放量为1.50t/a，非甲烷总烃排放量为0.2929t/a。</w:t>
            </w:r>
          </w:p>
          <w:p w14:paraId="4F18BC52">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本次评价收集了同类项目“南阳市利民科技开发有限公司喷砂房、喷漆房建设项目”竣工环境保护验收报告表，该项目年产5000套物流设备（单台设备0.4t），颗粒物产生量为0.1816t/a，颗粒物采用“沉降+滤布滤芯+旋风除尘+滤筒除尘”的工艺进行处理，与本项目相同。本项目</w:t>
            </w:r>
            <w:r>
              <w:rPr>
                <w:rFonts w:hint="default" w:ascii="Times New Roman" w:hAnsi="Times New Roman" w:eastAsia="宋体" w:cs="Times New Roman"/>
                <w:color w:val="auto"/>
                <w:sz w:val="24"/>
                <w:lang w:val="en-US" w:eastAsia="zh-CN"/>
              </w:rPr>
              <w:t>辊子加工量为1040t/a，</w:t>
            </w:r>
            <w:r>
              <w:rPr>
                <w:rFonts w:hint="default" w:ascii="Times New Roman" w:hAnsi="Times New Roman" w:eastAsia="宋体" w:cs="Times New Roman"/>
                <w:b w:val="0"/>
                <w:bCs w:val="0"/>
                <w:color w:val="auto"/>
                <w:kern w:val="0"/>
                <w:sz w:val="24"/>
                <w:szCs w:val="24"/>
                <w:highlight w:val="none"/>
                <w:lang w:val="en-US" w:eastAsia="zh-CN"/>
              </w:rPr>
              <w:t>类比计算颗粒物排放量为0.0944t/a。</w:t>
            </w:r>
          </w:p>
          <w:p w14:paraId="54AE8FD2">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outlineLvl w:val="0"/>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本次评价收集了同类项目“</w:t>
            </w:r>
            <w:r>
              <w:rPr>
                <w:rFonts w:hint="default" w:ascii="Times New Roman" w:hAnsi="Times New Roman" w:eastAsia="宋体" w:cs="Times New Roman"/>
                <w:color w:val="auto"/>
                <w:kern w:val="0"/>
                <w:sz w:val="24"/>
                <w:szCs w:val="20"/>
                <w:lang w:val="en-US" w:eastAsia="zh-CN"/>
              </w:rPr>
              <w:t>西安欧仑催化科技有限公司年产32万台KX11排气总成项目”竣工环境保护验收监测报告表，该项目为焊接烟尘采用布袋除尘器处理，</w:t>
            </w:r>
            <w:r>
              <w:rPr>
                <w:rFonts w:hint="default" w:ascii="Times New Roman" w:hAnsi="Times New Roman" w:eastAsia="宋体" w:cs="Times New Roman"/>
                <w:b w:val="0"/>
                <w:bCs w:val="0"/>
                <w:color w:val="auto"/>
                <w:kern w:val="0"/>
                <w:sz w:val="24"/>
                <w:szCs w:val="24"/>
                <w:highlight w:val="none"/>
                <w:lang w:val="en-US" w:eastAsia="zh-CN"/>
              </w:rPr>
              <w:t>与本项目相近。</w:t>
            </w:r>
            <w:r>
              <w:rPr>
                <w:rFonts w:hint="default" w:ascii="Times New Roman" w:hAnsi="Times New Roman" w:eastAsia="宋体" w:cs="Times New Roman"/>
                <w:color w:val="auto"/>
                <w:kern w:val="0"/>
                <w:sz w:val="24"/>
                <w:szCs w:val="20"/>
                <w:lang w:val="en-US" w:eastAsia="zh-CN"/>
              </w:rPr>
              <w:t>焊丝用量为23t/a，颗粒物排放量为0.0068t/a。本项目焊丝用量共计0.0073t/a，</w:t>
            </w:r>
            <w:r>
              <w:rPr>
                <w:rFonts w:hint="default" w:ascii="Times New Roman" w:hAnsi="Times New Roman" w:eastAsia="宋体" w:cs="Times New Roman"/>
                <w:b w:val="0"/>
                <w:bCs w:val="0"/>
                <w:color w:val="auto"/>
                <w:kern w:val="0"/>
                <w:sz w:val="24"/>
                <w:szCs w:val="24"/>
                <w:highlight w:val="none"/>
                <w:lang w:val="en-US" w:eastAsia="zh-CN"/>
              </w:rPr>
              <w:t>类比计算颗粒物排放量为1.50t/a。对比结果见表4-5。</w:t>
            </w:r>
          </w:p>
          <w:p w14:paraId="45754EB7">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360" w:lineRule="auto"/>
              <w:ind w:left="0" w:right="0"/>
              <w:jc w:val="center"/>
              <w:textAlignment w:val="auto"/>
              <w:outlineLvl w:val="0"/>
              <w:rPr>
                <w:rFonts w:hint="default" w:ascii="Times New Roman" w:hAnsi="Times New Roman" w:eastAsia="宋体" w:cs="Times New Roman"/>
                <w:b/>
                <w:bCs/>
                <w:color w:val="auto"/>
                <w:kern w:val="0"/>
                <w:sz w:val="24"/>
                <w:szCs w:val="24"/>
                <w:highlight w:val="none"/>
                <w:lang w:val="en-US" w:eastAsia="zh-CN"/>
              </w:rPr>
            </w:pPr>
            <w:r>
              <w:rPr>
                <w:rFonts w:hint="default" w:ascii="Times New Roman" w:hAnsi="Times New Roman" w:eastAsia="宋体" w:cs="Times New Roman"/>
                <w:b/>
                <w:bCs/>
                <w:color w:val="auto"/>
                <w:kern w:val="0"/>
                <w:sz w:val="24"/>
                <w:szCs w:val="24"/>
                <w:highlight w:val="none"/>
                <w:lang w:val="en-US" w:eastAsia="zh-CN"/>
              </w:rPr>
              <w:t>表4-5 本项目污染物核算结果与同类项目对比情况</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179"/>
              <w:gridCol w:w="2308"/>
              <w:gridCol w:w="2945"/>
            </w:tblGrid>
            <w:tr w14:paraId="2EA72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Align w:val="center"/>
                </w:tcPr>
                <w:p w14:paraId="14E406F2">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序号</w:t>
                  </w:r>
                </w:p>
              </w:tc>
              <w:tc>
                <w:tcPr>
                  <w:tcW w:w="2179" w:type="dxa"/>
                  <w:vAlign w:val="center"/>
                </w:tcPr>
                <w:p w14:paraId="26ADD3CD">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污染物种类</w:t>
                  </w:r>
                </w:p>
              </w:tc>
              <w:tc>
                <w:tcPr>
                  <w:tcW w:w="2308" w:type="dxa"/>
                  <w:vAlign w:val="center"/>
                </w:tcPr>
                <w:p w14:paraId="1013121A">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有组织排放量</w:t>
                  </w:r>
                </w:p>
              </w:tc>
              <w:tc>
                <w:tcPr>
                  <w:tcW w:w="2945" w:type="dxa"/>
                  <w:vAlign w:val="center"/>
                </w:tcPr>
                <w:p w14:paraId="5F3AC7AF">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类比计算排放量</w:t>
                  </w:r>
                </w:p>
              </w:tc>
            </w:tr>
            <w:tr w14:paraId="39C87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restart"/>
                  <w:vAlign w:val="center"/>
                </w:tcPr>
                <w:p w14:paraId="6E884C01">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2179" w:type="dxa"/>
                  <w:vAlign w:val="center"/>
                </w:tcPr>
                <w:p w14:paraId="5E227567">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2308" w:type="dxa"/>
                  <w:vAlign w:val="center"/>
                </w:tcPr>
                <w:p w14:paraId="42FA3E09">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0.1513</w:t>
                  </w:r>
                </w:p>
              </w:tc>
              <w:tc>
                <w:tcPr>
                  <w:tcW w:w="2945" w:type="dxa"/>
                  <w:vAlign w:val="center"/>
                </w:tcPr>
                <w:p w14:paraId="59DE71C3">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0.2929</w:t>
                  </w:r>
                </w:p>
              </w:tc>
            </w:tr>
            <w:tr w14:paraId="63972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continue"/>
                  <w:vAlign w:val="center"/>
                </w:tcPr>
                <w:p w14:paraId="0843913A">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179" w:type="dxa"/>
                  <w:vAlign w:val="center"/>
                </w:tcPr>
                <w:p w14:paraId="5AEAC0BE">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颗粒物（喷漆）</w:t>
                  </w:r>
                </w:p>
              </w:tc>
              <w:tc>
                <w:tcPr>
                  <w:tcW w:w="2308" w:type="dxa"/>
                  <w:vAlign w:val="center"/>
                </w:tcPr>
                <w:p w14:paraId="4FBB746B">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0.0095</w:t>
                  </w:r>
                </w:p>
              </w:tc>
              <w:tc>
                <w:tcPr>
                  <w:tcW w:w="2945" w:type="dxa"/>
                  <w:vAlign w:val="center"/>
                </w:tcPr>
                <w:p w14:paraId="0431A692">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1.50</w:t>
                  </w:r>
                </w:p>
              </w:tc>
            </w:tr>
            <w:tr w14:paraId="0D5B8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dxa"/>
                  <w:vMerge w:val="continue"/>
                  <w:vAlign w:val="center"/>
                </w:tcPr>
                <w:p w14:paraId="69CF7D3C">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179" w:type="dxa"/>
                  <w:vAlign w:val="center"/>
                </w:tcPr>
                <w:p w14:paraId="3BFEF998">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颗粒物（焊接+喷砂）</w:t>
                  </w:r>
                </w:p>
              </w:tc>
              <w:tc>
                <w:tcPr>
                  <w:tcW w:w="2308" w:type="dxa"/>
                  <w:vAlign w:val="center"/>
                </w:tcPr>
                <w:p w14:paraId="43DF06CB">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0.1077</w:t>
                  </w:r>
                </w:p>
              </w:tc>
              <w:tc>
                <w:tcPr>
                  <w:tcW w:w="2945" w:type="dxa"/>
                  <w:vAlign w:val="center"/>
                </w:tcPr>
                <w:p w14:paraId="659C4612">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0.1017</w:t>
                  </w:r>
                </w:p>
              </w:tc>
            </w:tr>
          </w:tbl>
          <w:p w14:paraId="7DB3ECED">
            <w:pPr>
              <w:spacing w:line="360" w:lineRule="auto"/>
              <w:ind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由对比结果可知，受工艺细节差异与污染物收集措施等影响，计算结果与同类项目存在差异，但与同类项目实际监测结果相近。因此判定本次评价计算结果可信，满足环境影响评价要求。</w:t>
            </w:r>
          </w:p>
          <w:p w14:paraId="42287B40">
            <w:pPr>
              <w:spacing w:line="360" w:lineRule="auto"/>
              <w:ind w:firstLine="482" w:firstLineChars="200"/>
              <w:rPr>
                <w:rFonts w:hint="default" w:ascii="Times New Roman" w:hAnsi="Times New Roman" w:eastAsia="宋体" w:cs="Times New Roman"/>
                <w:b/>
                <w:bCs/>
                <w:color w:val="auto"/>
                <w:kern w:val="0"/>
                <w:sz w:val="24"/>
                <w:szCs w:val="20"/>
              </w:rPr>
            </w:pPr>
            <w:r>
              <w:rPr>
                <w:rFonts w:hint="default" w:ascii="Times New Roman" w:hAnsi="Times New Roman" w:eastAsia="宋体" w:cs="Times New Roman"/>
                <w:b/>
                <w:bCs/>
                <w:color w:val="auto"/>
                <w:kern w:val="0"/>
                <w:sz w:val="24"/>
                <w:szCs w:val="20"/>
              </w:rPr>
              <w:t>2、废水</w:t>
            </w:r>
          </w:p>
          <w:p w14:paraId="2FB09EA8">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lang w:val="en-US" w:eastAsia="zh-CN"/>
              </w:rPr>
              <w:t>本项目无废水产生</w:t>
            </w:r>
            <w:r>
              <w:rPr>
                <w:rFonts w:hint="default" w:ascii="Times New Roman" w:hAnsi="Times New Roman" w:eastAsia="宋体" w:cs="Times New Roman"/>
                <w:color w:val="auto"/>
                <w:kern w:val="0"/>
                <w:sz w:val="24"/>
              </w:rPr>
              <w:t>。</w:t>
            </w:r>
          </w:p>
          <w:p w14:paraId="0CD21D9D">
            <w:pPr>
              <w:autoSpaceDE w:val="0"/>
              <w:autoSpaceDN w:val="0"/>
              <w:spacing w:line="360" w:lineRule="auto"/>
              <w:ind w:firstLine="482" w:firstLineChars="200"/>
              <w:textAlignment w:val="baseline"/>
              <w:rPr>
                <w:rFonts w:hint="default" w:ascii="Times New Roman" w:hAnsi="Times New Roman" w:eastAsia="宋体" w:cs="Times New Roman"/>
                <w:color w:val="auto"/>
                <w:kern w:val="0"/>
                <w:sz w:val="24"/>
                <w:szCs w:val="20"/>
              </w:rPr>
            </w:pPr>
            <w:r>
              <w:rPr>
                <w:rFonts w:hint="default" w:ascii="Times New Roman" w:hAnsi="Times New Roman" w:eastAsia="宋体" w:cs="Times New Roman"/>
                <w:b/>
                <w:color w:val="auto"/>
                <w:kern w:val="0"/>
                <w:sz w:val="24"/>
                <w:szCs w:val="20"/>
              </w:rPr>
              <w:t>3、</w:t>
            </w:r>
            <w:r>
              <w:rPr>
                <w:rFonts w:hint="default" w:ascii="Times New Roman" w:hAnsi="Times New Roman" w:eastAsia="宋体" w:cs="Times New Roman"/>
                <w:b/>
                <w:bCs/>
                <w:color w:val="auto"/>
                <w:kern w:val="0"/>
                <w:sz w:val="24"/>
                <w:szCs w:val="20"/>
              </w:rPr>
              <w:t>噪声</w:t>
            </w:r>
          </w:p>
          <w:p w14:paraId="4168D145">
            <w:pPr>
              <w:autoSpaceDN w:val="0"/>
              <w:spacing w:line="360" w:lineRule="auto"/>
              <w:ind w:firstLine="480" w:firstLineChars="200"/>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lang w:val="zh-CN"/>
              </w:rPr>
              <w:t>（1）噪声源强</w:t>
            </w:r>
          </w:p>
          <w:p w14:paraId="398112F0">
            <w:pPr>
              <w:spacing w:line="360" w:lineRule="auto"/>
              <w:ind w:firstLine="480" w:firstLineChars="200"/>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rPr>
              <w:t>项目生产过程的噪声源为车间内生产设备</w:t>
            </w:r>
            <w:r>
              <w:rPr>
                <w:rFonts w:hint="default" w:ascii="Times New Roman" w:hAnsi="Times New Roman" w:eastAsia="宋体" w:cs="Times New Roman"/>
                <w:color w:val="auto"/>
                <w:kern w:val="0"/>
                <w:sz w:val="24"/>
                <w:szCs w:val="20"/>
                <w:highlight w:val="none"/>
                <w:lang w:val="en-US" w:eastAsia="zh-CN"/>
              </w:rPr>
              <w:t>机械</w:t>
            </w:r>
            <w:r>
              <w:rPr>
                <w:rFonts w:hint="default" w:ascii="Times New Roman" w:hAnsi="Times New Roman" w:eastAsia="宋体" w:cs="Times New Roman"/>
                <w:color w:val="auto"/>
                <w:kern w:val="0"/>
                <w:sz w:val="24"/>
                <w:szCs w:val="20"/>
                <w:highlight w:val="none"/>
              </w:rPr>
              <w:t>噪声，根</w:t>
            </w:r>
            <w:r>
              <w:rPr>
                <w:rFonts w:hint="default" w:ascii="Times New Roman" w:hAnsi="Times New Roman" w:eastAsia="宋体" w:cs="Times New Roman"/>
                <w:color w:val="auto"/>
                <w:spacing w:val="-4"/>
                <w:kern w:val="0"/>
                <w:sz w:val="24"/>
                <w:szCs w:val="20"/>
                <w:highlight w:val="none"/>
              </w:rPr>
              <w:t>源强约为</w:t>
            </w:r>
            <w:r>
              <w:rPr>
                <w:rFonts w:hint="default" w:ascii="Times New Roman" w:hAnsi="Times New Roman" w:eastAsia="宋体" w:cs="Times New Roman"/>
                <w:color w:val="auto"/>
                <w:spacing w:val="-4"/>
                <w:kern w:val="0"/>
                <w:sz w:val="24"/>
                <w:szCs w:val="20"/>
                <w:highlight w:val="none"/>
                <w:lang w:val="en-US" w:eastAsia="zh-CN"/>
              </w:rPr>
              <w:t>80</w:t>
            </w:r>
            <w:r>
              <w:rPr>
                <w:rFonts w:hint="default" w:ascii="Times New Roman" w:hAnsi="Times New Roman" w:eastAsia="宋体" w:cs="Times New Roman"/>
                <w:color w:val="auto"/>
                <w:spacing w:val="-4"/>
                <w:kern w:val="0"/>
                <w:sz w:val="24"/>
                <w:szCs w:val="20"/>
                <w:highlight w:val="none"/>
              </w:rPr>
              <w:t>dB</w:t>
            </w:r>
            <w:r>
              <w:rPr>
                <w:rFonts w:hint="default" w:ascii="Times New Roman" w:hAnsi="Times New Roman" w:eastAsia="宋体" w:cs="Times New Roman"/>
                <w:color w:val="auto"/>
                <w:spacing w:val="-4"/>
                <w:kern w:val="0"/>
                <w:sz w:val="24"/>
                <w:szCs w:val="20"/>
                <w:highlight w:val="none"/>
                <w:lang w:eastAsia="zh-CN"/>
              </w:rPr>
              <w:t>（</w:t>
            </w:r>
            <w:r>
              <w:rPr>
                <w:rFonts w:hint="default" w:ascii="Times New Roman" w:hAnsi="Times New Roman" w:eastAsia="宋体" w:cs="Times New Roman"/>
                <w:color w:val="auto"/>
                <w:spacing w:val="-4"/>
                <w:kern w:val="0"/>
                <w:sz w:val="24"/>
                <w:szCs w:val="20"/>
                <w:highlight w:val="none"/>
              </w:rPr>
              <w:t>A</w:t>
            </w:r>
            <w:r>
              <w:rPr>
                <w:rFonts w:hint="default" w:ascii="Times New Roman" w:hAnsi="Times New Roman" w:eastAsia="宋体" w:cs="Times New Roman"/>
                <w:color w:val="auto"/>
                <w:spacing w:val="-4"/>
                <w:kern w:val="0"/>
                <w:sz w:val="24"/>
                <w:szCs w:val="20"/>
                <w:highlight w:val="none"/>
                <w:lang w:eastAsia="zh-CN"/>
              </w:rPr>
              <w:t>）</w:t>
            </w:r>
            <w:r>
              <w:rPr>
                <w:rFonts w:hint="default" w:ascii="Times New Roman" w:hAnsi="Times New Roman" w:eastAsia="宋体" w:cs="Times New Roman"/>
                <w:color w:val="auto"/>
                <w:spacing w:val="-4"/>
                <w:kern w:val="0"/>
                <w:sz w:val="24"/>
                <w:szCs w:val="20"/>
                <w:highlight w:val="none"/>
              </w:rPr>
              <w:t>~</w:t>
            </w:r>
            <w:r>
              <w:rPr>
                <w:rFonts w:hint="default" w:ascii="Times New Roman" w:hAnsi="Times New Roman" w:eastAsia="宋体" w:cs="Times New Roman"/>
                <w:color w:val="auto"/>
                <w:spacing w:val="-4"/>
                <w:kern w:val="0"/>
                <w:sz w:val="24"/>
                <w:szCs w:val="20"/>
                <w:highlight w:val="none"/>
                <w:lang w:val="en-US" w:eastAsia="zh-CN"/>
              </w:rPr>
              <w:t>90</w:t>
            </w:r>
            <w:r>
              <w:rPr>
                <w:rFonts w:hint="default" w:ascii="Times New Roman" w:hAnsi="Times New Roman" w:eastAsia="宋体" w:cs="Times New Roman"/>
                <w:color w:val="auto"/>
                <w:spacing w:val="-4"/>
                <w:kern w:val="0"/>
                <w:sz w:val="24"/>
                <w:szCs w:val="20"/>
                <w:highlight w:val="none"/>
              </w:rPr>
              <w:t>dB</w:t>
            </w:r>
            <w:r>
              <w:rPr>
                <w:rFonts w:hint="default" w:ascii="Times New Roman" w:hAnsi="Times New Roman" w:eastAsia="宋体" w:cs="Times New Roman"/>
                <w:color w:val="auto"/>
                <w:spacing w:val="-4"/>
                <w:kern w:val="0"/>
                <w:sz w:val="24"/>
                <w:szCs w:val="20"/>
                <w:highlight w:val="none"/>
                <w:lang w:eastAsia="zh-CN"/>
              </w:rPr>
              <w:t>（</w:t>
            </w:r>
            <w:r>
              <w:rPr>
                <w:rFonts w:hint="default" w:ascii="Times New Roman" w:hAnsi="Times New Roman" w:eastAsia="宋体" w:cs="Times New Roman"/>
                <w:color w:val="auto"/>
                <w:spacing w:val="-4"/>
                <w:kern w:val="0"/>
                <w:sz w:val="24"/>
                <w:szCs w:val="20"/>
                <w:highlight w:val="none"/>
              </w:rPr>
              <w:t>A</w:t>
            </w:r>
            <w:r>
              <w:rPr>
                <w:rFonts w:hint="default" w:ascii="Times New Roman" w:hAnsi="Times New Roman" w:eastAsia="宋体" w:cs="Times New Roman"/>
                <w:color w:val="auto"/>
                <w:spacing w:val="-4"/>
                <w:kern w:val="0"/>
                <w:sz w:val="24"/>
                <w:szCs w:val="20"/>
                <w:highlight w:val="none"/>
                <w:lang w:eastAsia="zh-CN"/>
              </w:rPr>
              <w:t>）</w:t>
            </w:r>
            <w:r>
              <w:rPr>
                <w:rFonts w:hint="default" w:ascii="Times New Roman" w:hAnsi="Times New Roman" w:eastAsia="宋体" w:cs="Times New Roman"/>
                <w:color w:val="auto"/>
                <w:kern w:val="0"/>
                <w:sz w:val="24"/>
                <w:szCs w:val="20"/>
                <w:highlight w:val="none"/>
              </w:rPr>
              <w:t>，项目设备及噪声源强见表4-</w:t>
            </w:r>
            <w:r>
              <w:rPr>
                <w:rFonts w:hint="default" w:ascii="Times New Roman" w:hAnsi="Times New Roman" w:eastAsia="宋体" w:cs="Times New Roman"/>
                <w:color w:val="auto"/>
                <w:kern w:val="0"/>
                <w:sz w:val="24"/>
                <w:szCs w:val="20"/>
                <w:highlight w:val="none"/>
                <w:lang w:val="en-US" w:eastAsia="zh-CN"/>
              </w:rPr>
              <w:t>7</w:t>
            </w:r>
            <w:r>
              <w:rPr>
                <w:rFonts w:hint="default" w:ascii="Times New Roman" w:hAnsi="Times New Roman" w:eastAsia="宋体" w:cs="Times New Roman"/>
                <w:color w:val="auto"/>
                <w:kern w:val="0"/>
                <w:sz w:val="24"/>
                <w:szCs w:val="20"/>
                <w:highlight w:val="none"/>
              </w:rPr>
              <w:t>。</w:t>
            </w:r>
          </w:p>
          <w:p w14:paraId="68B11AD0">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rPr>
              <w:t>表</w:t>
            </w:r>
            <w:r>
              <w:rPr>
                <w:rFonts w:hint="default" w:ascii="Times New Roman" w:hAnsi="Times New Roman" w:eastAsia="宋体" w:cs="Times New Roman"/>
                <w:b/>
                <w:bCs/>
                <w:color w:val="auto"/>
                <w:highlight w:val="none"/>
                <w:lang w:val="en-US" w:eastAsia="zh-CN"/>
              </w:rPr>
              <w:t xml:space="preserve">4-7 </w:t>
            </w:r>
            <w:r>
              <w:rPr>
                <w:rFonts w:hint="default" w:ascii="Times New Roman" w:hAnsi="Times New Roman" w:eastAsia="宋体" w:cs="Times New Roman"/>
                <w:b/>
                <w:bCs/>
                <w:color w:val="auto"/>
                <w:highlight w:val="none"/>
              </w:rPr>
              <w:t>项目主要设备噪声源强和距离</w:t>
            </w:r>
            <w:r>
              <w:rPr>
                <w:rFonts w:hint="default" w:ascii="Times New Roman" w:hAnsi="Times New Roman" w:eastAsia="宋体" w:cs="Times New Roman"/>
                <w:b/>
                <w:bCs/>
                <w:color w:val="auto"/>
                <w:highlight w:val="none"/>
                <w:lang w:eastAsia="zh-CN"/>
              </w:rPr>
              <w:t>（</w:t>
            </w:r>
            <w:r>
              <w:rPr>
                <w:rFonts w:hint="default" w:ascii="Times New Roman" w:hAnsi="Times New Roman" w:eastAsia="宋体" w:cs="Times New Roman"/>
                <w:b/>
                <w:bCs/>
                <w:color w:val="auto"/>
                <w:highlight w:val="none"/>
                <w:lang w:val="en-US" w:eastAsia="zh-CN"/>
              </w:rPr>
              <w:t>室内声源）</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
              <w:gridCol w:w="389"/>
              <w:gridCol w:w="515"/>
              <w:gridCol w:w="415"/>
              <w:gridCol w:w="766"/>
              <w:gridCol w:w="766"/>
              <w:gridCol w:w="479"/>
              <w:gridCol w:w="404"/>
              <w:gridCol w:w="555"/>
              <w:gridCol w:w="545"/>
              <w:gridCol w:w="632"/>
              <w:gridCol w:w="515"/>
              <w:gridCol w:w="782"/>
              <w:gridCol w:w="637"/>
              <w:gridCol w:w="670"/>
            </w:tblGrid>
            <w:tr w14:paraId="37B26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 w:type="pct"/>
                  <w:vMerge w:val="restart"/>
                  <w:noWrap w:val="0"/>
                  <w:vAlign w:val="center"/>
                </w:tcPr>
                <w:p w14:paraId="77CDAAF2">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233" w:type="pct"/>
                  <w:vMerge w:val="restart"/>
                  <w:noWrap w:val="0"/>
                  <w:vAlign w:val="center"/>
                </w:tcPr>
                <w:p w14:paraId="2CB64293">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建筑物名称</w:t>
                  </w:r>
                </w:p>
              </w:tc>
              <w:tc>
                <w:tcPr>
                  <w:tcW w:w="309" w:type="pct"/>
                  <w:vMerge w:val="restart"/>
                  <w:noWrap w:val="0"/>
                  <w:vAlign w:val="center"/>
                </w:tcPr>
                <w:p w14:paraId="2B03B9E2">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声源名称</w:t>
                  </w:r>
                </w:p>
              </w:tc>
              <w:tc>
                <w:tcPr>
                  <w:tcW w:w="249" w:type="pct"/>
                  <w:vMerge w:val="restart"/>
                  <w:noWrap w:val="0"/>
                  <w:vAlign w:val="center"/>
                </w:tcPr>
                <w:p w14:paraId="7996BB9F">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数量</w:t>
                  </w:r>
                </w:p>
              </w:tc>
              <w:tc>
                <w:tcPr>
                  <w:tcW w:w="459" w:type="pct"/>
                  <w:noWrap w:val="0"/>
                  <w:vAlign w:val="center"/>
                </w:tcPr>
                <w:p w14:paraId="00065A63">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声源源强</w:t>
                  </w:r>
                </w:p>
              </w:tc>
              <w:tc>
                <w:tcPr>
                  <w:tcW w:w="459" w:type="pct"/>
                  <w:vMerge w:val="restart"/>
                  <w:noWrap w:val="0"/>
                  <w:vAlign w:val="center"/>
                </w:tcPr>
                <w:p w14:paraId="6479330C">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声源控制措施</w:t>
                  </w:r>
                </w:p>
              </w:tc>
              <w:tc>
                <w:tcPr>
                  <w:tcW w:w="863" w:type="pct"/>
                  <w:gridSpan w:val="3"/>
                  <w:noWrap w:val="0"/>
                  <w:vAlign w:val="center"/>
                </w:tcPr>
                <w:p w14:paraId="5F45930F">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空间相对位置/m</w:t>
                  </w:r>
                </w:p>
              </w:tc>
              <w:tc>
                <w:tcPr>
                  <w:tcW w:w="327" w:type="pct"/>
                  <w:vMerge w:val="restart"/>
                  <w:noWrap w:val="0"/>
                  <w:vAlign w:val="center"/>
                </w:tcPr>
                <w:p w14:paraId="36A603BB">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距室内边界距离/m</w:t>
                  </w:r>
                </w:p>
              </w:tc>
              <w:tc>
                <w:tcPr>
                  <w:tcW w:w="379" w:type="pct"/>
                  <w:vMerge w:val="restart"/>
                  <w:noWrap w:val="0"/>
                  <w:vAlign w:val="center"/>
                </w:tcPr>
                <w:p w14:paraId="2E2D68FB">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室内边界声级/dB（A）</w:t>
                  </w:r>
                </w:p>
              </w:tc>
              <w:tc>
                <w:tcPr>
                  <w:tcW w:w="309" w:type="pct"/>
                  <w:vMerge w:val="restart"/>
                  <w:noWrap w:val="0"/>
                  <w:vAlign w:val="center"/>
                </w:tcPr>
                <w:p w14:paraId="06CF7652">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运行时间</w:t>
                  </w:r>
                </w:p>
              </w:tc>
              <w:tc>
                <w:tcPr>
                  <w:tcW w:w="469" w:type="pct"/>
                  <w:vMerge w:val="restart"/>
                  <w:noWrap w:val="0"/>
                  <w:vAlign w:val="center"/>
                </w:tcPr>
                <w:p w14:paraId="6BF9725C">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建筑物插入损失/dB（A）</w:t>
                  </w:r>
                </w:p>
              </w:tc>
              <w:tc>
                <w:tcPr>
                  <w:tcW w:w="784" w:type="pct"/>
                  <w:gridSpan w:val="2"/>
                  <w:noWrap w:val="0"/>
                  <w:vAlign w:val="center"/>
                </w:tcPr>
                <w:p w14:paraId="2419A08B">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建筑物外噪声</w:t>
                  </w:r>
                </w:p>
              </w:tc>
            </w:tr>
            <w:tr w14:paraId="6ABBC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54" w:type="pct"/>
                  <w:vMerge w:val="continue"/>
                  <w:noWrap w:val="0"/>
                  <w:vAlign w:val="center"/>
                </w:tcPr>
                <w:p w14:paraId="3ABE4A12">
                  <w:pPr>
                    <w:adjustRightInd w:val="0"/>
                    <w:snapToGrid w:val="0"/>
                    <w:spacing w:line="240" w:lineRule="auto"/>
                    <w:jc w:val="center"/>
                    <w:rPr>
                      <w:rFonts w:hint="default" w:ascii="Times New Roman" w:hAnsi="Times New Roman" w:eastAsia="宋体" w:cs="Times New Roman"/>
                      <w:color w:val="auto"/>
                      <w:sz w:val="21"/>
                      <w:szCs w:val="21"/>
                    </w:rPr>
                  </w:pPr>
                </w:p>
              </w:tc>
              <w:tc>
                <w:tcPr>
                  <w:tcW w:w="233" w:type="pct"/>
                  <w:vMerge w:val="continue"/>
                  <w:noWrap w:val="0"/>
                  <w:vAlign w:val="center"/>
                </w:tcPr>
                <w:p w14:paraId="6863E283">
                  <w:pPr>
                    <w:adjustRightInd w:val="0"/>
                    <w:snapToGrid w:val="0"/>
                    <w:spacing w:line="240" w:lineRule="auto"/>
                    <w:jc w:val="center"/>
                    <w:rPr>
                      <w:rFonts w:hint="default" w:ascii="Times New Roman" w:hAnsi="Times New Roman" w:eastAsia="宋体" w:cs="Times New Roman"/>
                      <w:color w:val="auto"/>
                      <w:sz w:val="21"/>
                      <w:szCs w:val="21"/>
                    </w:rPr>
                  </w:pPr>
                </w:p>
              </w:tc>
              <w:tc>
                <w:tcPr>
                  <w:tcW w:w="309" w:type="pct"/>
                  <w:vMerge w:val="continue"/>
                  <w:noWrap w:val="0"/>
                  <w:vAlign w:val="center"/>
                </w:tcPr>
                <w:p w14:paraId="7DB8A3DE">
                  <w:pPr>
                    <w:adjustRightInd w:val="0"/>
                    <w:snapToGrid w:val="0"/>
                    <w:spacing w:line="240" w:lineRule="auto"/>
                    <w:jc w:val="center"/>
                    <w:rPr>
                      <w:rFonts w:hint="default" w:ascii="Times New Roman" w:hAnsi="Times New Roman" w:eastAsia="宋体" w:cs="Times New Roman"/>
                      <w:color w:val="auto"/>
                      <w:sz w:val="21"/>
                      <w:szCs w:val="21"/>
                    </w:rPr>
                  </w:pPr>
                </w:p>
              </w:tc>
              <w:tc>
                <w:tcPr>
                  <w:tcW w:w="249" w:type="pct"/>
                  <w:vMerge w:val="continue"/>
                  <w:noWrap w:val="0"/>
                  <w:vAlign w:val="center"/>
                </w:tcPr>
                <w:p w14:paraId="1DC948CD">
                  <w:pPr>
                    <w:adjustRightInd w:val="0"/>
                    <w:snapToGrid w:val="0"/>
                    <w:spacing w:line="240" w:lineRule="auto"/>
                    <w:jc w:val="center"/>
                    <w:rPr>
                      <w:rFonts w:hint="default" w:ascii="Times New Roman" w:hAnsi="Times New Roman" w:eastAsia="宋体" w:cs="Times New Roman"/>
                      <w:color w:val="auto"/>
                      <w:sz w:val="21"/>
                      <w:szCs w:val="21"/>
                    </w:rPr>
                  </w:pPr>
                </w:p>
              </w:tc>
              <w:tc>
                <w:tcPr>
                  <w:tcW w:w="459" w:type="pct"/>
                  <w:noWrap w:val="0"/>
                  <w:vAlign w:val="center"/>
                </w:tcPr>
                <w:p w14:paraId="236913A2">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声功率级/dB（A）</w:t>
                  </w:r>
                </w:p>
              </w:tc>
              <w:tc>
                <w:tcPr>
                  <w:tcW w:w="459" w:type="pct"/>
                  <w:vMerge w:val="continue"/>
                  <w:noWrap w:val="0"/>
                  <w:vAlign w:val="center"/>
                </w:tcPr>
                <w:p w14:paraId="37D05E8C">
                  <w:pPr>
                    <w:adjustRightInd w:val="0"/>
                    <w:snapToGrid w:val="0"/>
                    <w:spacing w:line="240" w:lineRule="auto"/>
                    <w:jc w:val="center"/>
                    <w:rPr>
                      <w:rFonts w:hint="default" w:ascii="Times New Roman" w:hAnsi="Times New Roman" w:eastAsia="宋体" w:cs="Times New Roman"/>
                      <w:color w:val="auto"/>
                      <w:sz w:val="21"/>
                      <w:szCs w:val="21"/>
                    </w:rPr>
                  </w:pPr>
                </w:p>
              </w:tc>
              <w:tc>
                <w:tcPr>
                  <w:tcW w:w="287" w:type="pct"/>
                  <w:noWrap w:val="0"/>
                  <w:vAlign w:val="center"/>
                </w:tcPr>
                <w:p w14:paraId="21347BFB">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X</w:t>
                  </w:r>
                </w:p>
              </w:tc>
              <w:tc>
                <w:tcPr>
                  <w:tcW w:w="242" w:type="pct"/>
                  <w:noWrap w:val="0"/>
                  <w:vAlign w:val="center"/>
                </w:tcPr>
                <w:p w14:paraId="022BD3D8">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w:t>
                  </w:r>
                </w:p>
              </w:tc>
              <w:tc>
                <w:tcPr>
                  <w:tcW w:w="333" w:type="pct"/>
                  <w:noWrap w:val="0"/>
                  <w:vAlign w:val="center"/>
                </w:tcPr>
                <w:p w14:paraId="192F616B">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w:t>
                  </w:r>
                </w:p>
              </w:tc>
              <w:tc>
                <w:tcPr>
                  <w:tcW w:w="327" w:type="pct"/>
                  <w:vMerge w:val="continue"/>
                  <w:noWrap w:val="0"/>
                  <w:vAlign w:val="center"/>
                </w:tcPr>
                <w:p w14:paraId="6F01F706">
                  <w:pPr>
                    <w:adjustRightInd w:val="0"/>
                    <w:snapToGrid w:val="0"/>
                    <w:spacing w:line="240" w:lineRule="auto"/>
                    <w:jc w:val="center"/>
                    <w:rPr>
                      <w:rFonts w:hint="default" w:ascii="Times New Roman" w:hAnsi="Times New Roman" w:eastAsia="宋体" w:cs="Times New Roman"/>
                      <w:color w:val="auto"/>
                      <w:sz w:val="21"/>
                      <w:szCs w:val="21"/>
                    </w:rPr>
                  </w:pPr>
                </w:p>
              </w:tc>
              <w:tc>
                <w:tcPr>
                  <w:tcW w:w="379" w:type="pct"/>
                  <w:vMerge w:val="continue"/>
                  <w:noWrap w:val="0"/>
                  <w:vAlign w:val="center"/>
                </w:tcPr>
                <w:p w14:paraId="5C14E40D">
                  <w:pPr>
                    <w:adjustRightInd w:val="0"/>
                    <w:snapToGrid w:val="0"/>
                    <w:spacing w:line="240" w:lineRule="auto"/>
                    <w:jc w:val="center"/>
                    <w:rPr>
                      <w:rFonts w:hint="default" w:ascii="Times New Roman" w:hAnsi="Times New Roman" w:eastAsia="宋体" w:cs="Times New Roman"/>
                      <w:color w:val="auto"/>
                      <w:sz w:val="21"/>
                      <w:szCs w:val="21"/>
                    </w:rPr>
                  </w:pPr>
                </w:p>
              </w:tc>
              <w:tc>
                <w:tcPr>
                  <w:tcW w:w="309" w:type="pct"/>
                  <w:vMerge w:val="continue"/>
                  <w:noWrap w:val="0"/>
                  <w:vAlign w:val="center"/>
                </w:tcPr>
                <w:p w14:paraId="4666CF5F">
                  <w:pPr>
                    <w:adjustRightInd w:val="0"/>
                    <w:snapToGrid w:val="0"/>
                    <w:spacing w:line="240" w:lineRule="auto"/>
                    <w:jc w:val="center"/>
                    <w:rPr>
                      <w:rFonts w:hint="default" w:ascii="Times New Roman" w:hAnsi="Times New Roman" w:eastAsia="宋体" w:cs="Times New Roman"/>
                      <w:color w:val="auto"/>
                      <w:sz w:val="21"/>
                      <w:szCs w:val="21"/>
                    </w:rPr>
                  </w:pPr>
                </w:p>
              </w:tc>
              <w:tc>
                <w:tcPr>
                  <w:tcW w:w="469" w:type="pct"/>
                  <w:vMerge w:val="continue"/>
                  <w:noWrap w:val="0"/>
                  <w:vAlign w:val="center"/>
                </w:tcPr>
                <w:p w14:paraId="49C63296">
                  <w:pPr>
                    <w:adjustRightInd w:val="0"/>
                    <w:snapToGrid w:val="0"/>
                    <w:spacing w:line="240" w:lineRule="auto"/>
                    <w:jc w:val="center"/>
                    <w:rPr>
                      <w:rFonts w:hint="default" w:ascii="Times New Roman" w:hAnsi="Times New Roman" w:eastAsia="宋体" w:cs="Times New Roman"/>
                      <w:color w:val="auto"/>
                      <w:sz w:val="21"/>
                      <w:szCs w:val="21"/>
                    </w:rPr>
                  </w:pPr>
                </w:p>
              </w:tc>
              <w:tc>
                <w:tcPr>
                  <w:tcW w:w="382" w:type="pct"/>
                  <w:noWrap w:val="0"/>
                  <w:vAlign w:val="center"/>
                </w:tcPr>
                <w:p w14:paraId="1454FA7A">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声压级</w:t>
                  </w:r>
                </w:p>
                <w:p w14:paraId="6BDDCC53">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/dB（A）</w:t>
                  </w:r>
                </w:p>
              </w:tc>
              <w:tc>
                <w:tcPr>
                  <w:tcW w:w="402" w:type="pct"/>
                  <w:noWrap w:val="0"/>
                  <w:vAlign w:val="center"/>
                </w:tcPr>
                <w:p w14:paraId="332C4D07">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建筑物外距离/m</w:t>
                  </w:r>
                </w:p>
              </w:tc>
            </w:tr>
            <w:tr w14:paraId="6D546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 w:type="pct"/>
                  <w:vMerge w:val="restart"/>
                  <w:noWrap w:val="0"/>
                  <w:vAlign w:val="center"/>
                </w:tcPr>
                <w:p w14:paraId="25CCE33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w:t>
                  </w:r>
                </w:p>
              </w:tc>
              <w:tc>
                <w:tcPr>
                  <w:tcW w:w="233" w:type="pct"/>
                  <w:vMerge w:val="restart"/>
                  <w:noWrap w:val="0"/>
                  <w:vAlign w:val="center"/>
                </w:tcPr>
                <w:p w14:paraId="3B65678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TRP车间</w:t>
                  </w:r>
                </w:p>
              </w:tc>
              <w:tc>
                <w:tcPr>
                  <w:tcW w:w="309" w:type="pct"/>
                  <w:shd w:val="clear" w:color="auto" w:fill="auto"/>
                  <w:noWrap w:val="0"/>
                  <w:vAlign w:val="center"/>
                </w:tcPr>
                <w:p w14:paraId="7D5F87C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喷砂机</w:t>
                  </w:r>
                </w:p>
              </w:tc>
              <w:tc>
                <w:tcPr>
                  <w:tcW w:w="249" w:type="pct"/>
                  <w:shd w:val="clear" w:color="auto" w:fill="auto"/>
                  <w:noWrap w:val="0"/>
                  <w:vAlign w:val="center"/>
                </w:tcPr>
                <w:p w14:paraId="432C79B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w:t>
                  </w:r>
                </w:p>
              </w:tc>
              <w:tc>
                <w:tcPr>
                  <w:tcW w:w="459" w:type="pct"/>
                  <w:shd w:val="clear" w:color="auto" w:fill="auto"/>
                  <w:noWrap w:val="0"/>
                  <w:vAlign w:val="center"/>
                </w:tcPr>
                <w:p w14:paraId="08466ED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88</w:t>
                  </w:r>
                </w:p>
              </w:tc>
              <w:tc>
                <w:tcPr>
                  <w:tcW w:w="459" w:type="pct"/>
                  <w:vMerge w:val="restart"/>
                  <w:noWrap w:val="0"/>
                  <w:vAlign w:val="center"/>
                </w:tcPr>
                <w:p w14:paraId="50B58FE9">
                  <w:p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18"/>
                      <w:szCs w:val="18"/>
                      <w:highlight w:val="none"/>
                      <w:lang w:val="en-US" w:eastAsia="zh-CN"/>
                    </w:rPr>
                    <w:t>合理布局、采用低噪声设备、减振、厂房隔声、风机设备软连接</w:t>
                  </w:r>
                </w:p>
              </w:tc>
              <w:tc>
                <w:tcPr>
                  <w:tcW w:w="287" w:type="pct"/>
                  <w:noWrap w:val="0"/>
                  <w:vAlign w:val="center"/>
                </w:tcPr>
                <w:p w14:paraId="018B76AB">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455</w:t>
                  </w:r>
                </w:p>
              </w:tc>
              <w:tc>
                <w:tcPr>
                  <w:tcW w:w="242" w:type="pct"/>
                  <w:noWrap w:val="0"/>
                  <w:vAlign w:val="center"/>
                </w:tcPr>
                <w:p w14:paraId="4F105486">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w:t>
                  </w:r>
                </w:p>
              </w:tc>
              <w:tc>
                <w:tcPr>
                  <w:tcW w:w="333" w:type="pct"/>
                  <w:noWrap w:val="0"/>
                  <w:vAlign w:val="center"/>
                </w:tcPr>
                <w:p w14:paraId="73CEA53A">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327" w:type="pct"/>
                  <w:noWrap w:val="0"/>
                  <w:vAlign w:val="center"/>
                </w:tcPr>
                <w:p w14:paraId="6CBB1AB5">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379" w:type="pct"/>
                  <w:noWrap w:val="0"/>
                  <w:vAlign w:val="center"/>
                </w:tcPr>
                <w:p w14:paraId="535ED131">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68</w:t>
                  </w:r>
                </w:p>
              </w:tc>
              <w:tc>
                <w:tcPr>
                  <w:tcW w:w="309" w:type="pct"/>
                  <w:vMerge w:val="restart"/>
                  <w:noWrap w:val="0"/>
                  <w:vAlign w:val="center"/>
                </w:tcPr>
                <w:p w14:paraId="09048BB0">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8h/d，300d/a</w:t>
                  </w:r>
                </w:p>
              </w:tc>
              <w:tc>
                <w:tcPr>
                  <w:tcW w:w="469" w:type="pct"/>
                  <w:noWrap w:val="0"/>
                  <w:vAlign w:val="center"/>
                </w:tcPr>
                <w:p w14:paraId="021B758F">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382" w:type="pct"/>
                  <w:noWrap w:val="0"/>
                  <w:vAlign w:val="center"/>
                </w:tcPr>
                <w:p w14:paraId="46150EEB">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48</w:t>
                  </w:r>
                </w:p>
              </w:tc>
              <w:tc>
                <w:tcPr>
                  <w:tcW w:w="402" w:type="pct"/>
                  <w:noWrap w:val="0"/>
                  <w:vAlign w:val="center"/>
                </w:tcPr>
                <w:p w14:paraId="0EE3C876">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r>
            <w:tr w14:paraId="0652C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54" w:type="pct"/>
                  <w:vMerge w:val="continue"/>
                  <w:noWrap w:val="0"/>
                  <w:vAlign w:val="center"/>
                </w:tcPr>
                <w:p w14:paraId="14606DFA">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33" w:type="pct"/>
                  <w:vMerge w:val="continue"/>
                  <w:noWrap w:val="0"/>
                  <w:vAlign w:val="center"/>
                </w:tcPr>
                <w:p w14:paraId="2BACFE2E">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309" w:type="pct"/>
                  <w:shd w:val="clear" w:color="auto" w:fill="auto"/>
                  <w:noWrap w:val="0"/>
                  <w:vAlign w:val="center"/>
                </w:tcPr>
                <w:p w14:paraId="341F9F0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焊接站</w:t>
                  </w:r>
                </w:p>
              </w:tc>
              <w:tc>
                <w:tcPr>
                  <w:tcW w:w="249" w:type="pct"/>
                  <w:shd w:val="clear" w:color="auto" w:fill="auto"/>
                  <w:noWrap w:val="0"/>
                  <w:vAlign w:val="center"/>
                </w:tcPr>
                <w:p w14:paraId="725CA42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w:t>
                  </w:r>
                </w:p>
              </w:tc>
              <w:tc>
                <w:tcPr>
                  <w:tcW w:w="459" w:type="pct"/>
                  <w:shd w:val="clear" w:color="auto" w:fill="auto"/>
                  <w:noWrap w:val="0"/>
                  <w:vAlign w:val="center"/>
                </w:tcPr>
                <w:p w14:paraId="6E72718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83</w:t>
                  </w:r>
                </w:p>
              </w:tc>
              <w:tc>
                <w:tcPr>
                  <w:tcW w:w="459" w:type="pct"/>
                  <w:vMerge w:val="continue"/>
                  <w:noWrap w:val="0"/>
                  <w:vAlign w:val="center"/>
                </w:tcPr>
                <w:p w14:paraId="1B979DE1">
                  <w:pPr>
                    <w:adjustRightInd w:val="0"/>
                    <w:snapToGrid w:val="0"/>
                    <w:spacing w:line="240" w:lineRule="auto"/>
                    <w:jc w:val="center"/>
                    <w:rPr>
                      <w:rFonts w:hint="default" w:ascii="Times New Roman" w:hAnsi="Times New Roman" w:eastAsia="宋体" w:cs="Times New Roman"/>
                      <w:color w:val="auto"/>
                      <w:sz w:val="21"/>
                      <w:szCs w:val="21"/>
                    </w:rPr>
                  </w:pPr>
                </w:p>
              </w:tc>
              <w:tc>
                <w:tcPr>
                  <w:tcW w:w="287" w:type="pct"/>
                  <w:noWrap w:val="0"/>
                  <w:vAlign w:val="center"/>
                </w:tcPr>
                <w:p w14:paraId="2653B039">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405</w:t>
                  </w:r>
                </w:p>
              </w:tc>
              <w:tc>
                <w:tcPr>
                  <w:tcW w:w="242" w:type="pct"/>
                  <w:noWrap w:val="0"/>
                  <w:vAlign w:val="center"/>
                </w:tcPr>
                <w:p w14:paraId="0FD58852">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w:t>
                  </w:r>
                </w:p>
              </w:tc>
              <w:tc>
                <w:tcPr>
                  <w:tcW w:w="333" w:type="pct"/>
                  <w:noWrap w:val="0"/>
                  <w:vAlign w:val="center"/>
                </w:tcPr>
                <w:p w14:paraId="4F6E9DF9">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327" w:type="pct"/>
                  <w:noWrap w:val="0"/>
                  <w:vAlign w:val="center"/>
                </w:tcPr>
                <w:p w14:paraId="3E29CC2D">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379" w:type="pct"/>
                  <w:noWrap w:val="0"/>
                  <w:vAlign w:val="center"/>
                </w:tcPr>
                <w:p w14:paraId="17F9318E">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63</w:t>
                  </w:r>
                </w:p>
              </w:tc>
              <w:tc>
                <w:tcPr>
                  <w:tcW w:w="309" w:type="pct"/>
                  <w:vMerge w:val="continue"/>
                  <w:noWrap w:val="0"/>
                  <w:vAlign w:val="center"/>
                </w:tcPr>
                <w:p w14:paraId="5ED3BEC0">
                  <w:pPr>
                    <w:adjustRightInd w:val="0"/>
                    <w:snapToGrid w:val="0"/>
                    <w:spacing w:line="240" w:lineRule="auto"/>
                    <w:jc w:val="center"/>
                    <w:rPr>
                      <w:rFonts w:hint="default" w:ascii="Times New Roman" w:hAnsi="Times New Roman" w:eastAsia="宋体" w:cs="Times New Roman"/>
                      <w:color w:val="auto"/>
                      <w:sz w:val="21"/>
                      <w:szCs w:val="21"/>
                    </w:rPr>
                  </w:pPr>
                </w:p>
              </w:tc>
              <w:tc>
                <w:tcPr>
                  <w:tcW w:w="469" w:type="pct"/>
                  <w:noWrap w:val="0"/>
                  <w:vAlign w:val="center"/>
                </w:tcPr>
                <w:p w14:paraId="29D175E2">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382" w:type="pct"/>
                  <w:noWrap w:val="0"/>
                  <w:vAlign w:val="center"/>
                </w:tcPr>
                <w:p w14:paraId="371C2D54">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43</w:t>
                  </w:r>
                </w:p>
              </w:tc>
              <w:tc>
                <w:tcPr>
                  <w:tcW w:w="402" w:type="pct"/>
                  <w:noWrap w:val="0"/>
                  <w:vAlign w:val="center"/>
                </w:tcPr>
                <w:p w14:paraId="7D4DAE72">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80</w:t>
                  </w:r>
                </w:p>
              </w:tc>
            </w:tr>
            <w:tr w14:paraId="2A8C2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54" w:type="pct"/>
                  <w:vMerge w:val="continue"/>
                  <w:vAlign w:val="center"/>
                </w:tcPr>
                <w:p w14:paraId="3B3A9996">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33" w:type="pct"/>
                  <w:vMerge w:val="continue"/>
                  <w:vAlign w:val="center"/>
                </w:tcPr>
                <w:p w14:paraId="208088AC">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0" w:type="auto"/>
                  <w:shd w:val="clear" w:color="auto" w:fill="auto"/>
                  <w:vAlign w:val="center"/>
                </w:tcPr>
                <w:p w14:paraId="77A447E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车床</w:t>
                  </w:r>
                </w:p>
              </w:tc>
              <w:tc>
                <w:tcPr>
                  <w:tcW w:w="0" w:type="auto"/>
                  <w:shd w:val="clear" w:color="auto" w:fill="auto"/>
                  <w:vAlign w:val="center"/>
                </w:tcPr>
                <w:p w14:paraId="66D3397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w:t>
                  </w:r>
                </w:p>
              </w:tc>
              <w:tc>
                <w:tcPr>
                  <w:tcW w:w="0" w:type="auto"/>
                  <w:shd w:val="clear" w:color="auto" w:fill="auto"/>
                  <w:vAlign w:val="center"/>
                </w:tcPr>
                <w:p w14:paraId="049F407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459" w:type="pct"/>
                  <w:vMerge w:val="continue"/>
                  <w:vAlign w:val="center"/>
                </w:tcPr>
                <w:p w14:paraId="56E096BE">
                  <w:pPr>
                    <w:adjustRightInd w:val="0"/>
                    <w:snapToGrid w:val="0"/>
                    <w:spacing w:line="240" w:lineRule="auto"/>
                    <w:jc w:val="center"/>
                    <w:rPr>
                      <w:rFonts w:hint="default" w:ascii="Times New Roman" w:hAnsi="Times New Roman" w:eastAsia="宋体" w:cs="Times New Roman"/>
                      <w:color w:val="auto"/>
                      <w:sz w:val="21"/>
                      <w:szCs w:val="21"/>
                    </w:rPr>
                  </w:pPr>
                </w:p>
              </w:tc>
              <w:tc>
                <w:tcPr>
                  <w:tcW w:w="0" w:type="auto"/>
                  <w:vAlign w:val="center"/>
                </w:tcPr>
                <w:p w14:paraId="7B40FAAA">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405</w:t>
                  </w:r>
                </w:p>
              </w:tc>
              <w:tc>
                <w:tcPr>
                  <w:tcW w:w="0" w:type="auto"/>
                  <w:vAlign w:val="center"/>
                </w:tcPr>
                <w:p w14:paraId="173FD5B1">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c>
                <w:tcPr>
                  <w:tcW w:w="0" w:type="auto"/>
                  <w:vAlign w:val="center"/>
                </w:tcPr>
                <w:p w14:paraId="29A31182">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0" w:type="auto"/>
                  <w:vAlign w:val="center"/>
                </w:tcPr>
                <w:p w14:paraId="2E54A8C1">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0" w:type="auto"/>
                  <w:vAlign w:val="center"/>
                </w:tcPr>
                <w:p w14:paraId="34691BDB">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309" w:type="pct"/>
                  <w:vMerge w:val="continue"/>
                  <w:vAlign w:val="center"/>
                </w:tcPr>
                <w:p w14:paraId="571D6BE5">
                  <w:pPr>
                    <w:adjustRightInd w:val="0"/>
                    <w:snapToGrid w:val="0"/>
                    <w:spacing w:line="240" w:lineRule="auto"/>
                    <w:jc w:val="center"/>
                    <w:rPr>
                      <w:rFonts w:hint="default" w:ascii="Times New Roman" w:hAnsi="Times New Roman" w:eastAsia="宋体" w:cs="Times New Roman"/>
                      <w:color w:val="auto"/>
                      <w:sz w:val="21"/>
                      <w:szCs w:val="21"/>
                    </w:rPr>
                  </w:pPr>
                </w:p>
              </w:tc>
              <w:tc>
                <w:tcPr>
                  <w:tcW w:w="0" w:type="auto"/>
                  <w:vAlign w:val="center"/>
                </w:tcPr>
                <w:p w14:paraId="5BC53F6A">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0" w:type="auto"/>
                  <w:vAlign w:val="center"/>
                </w:tcPr>
                <w:p w14:paraId="00ECD9AF">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w:t>
                  </w:r>
                </w:p>
              </w:tc>
              <w:tc>
                <w:tcPr>
                  <w:tcW w:w="0" w:type="auto"/>
                  <w:vAlign w:val="center"/>
                </w:tcPr>
                <w:p w14:paraId="6564BF85">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80</w:t>
                  </w:r>
                </w:p>
              </w:tc>
            </w:tr>
            <w:tr w14:paraId="4CDA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54" w:type="pct"/>
                  <w:vMerge w:val="continue"/>
                  <w:vAlign w:val="center"/>
                </w:tcPr>
                <w:p w14:paraId="68612657">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33" w:type="pct"/>
                  <w:vMerge w:val="continue"/>
                  <w:vAlign w:val="center"/>
                </w:tcPr>
                <w:p w14:paraId="6171F7A0">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0" w:type="auto"/>
                  <w:shd w:val="clear" w:color="auto" w:fill="auto"/>
                  <w:vAlign w:val="center"/>
                </w:tcPr>
                <w:p w14:paraId="53E9B96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焊接站</w:t>
                  </w:r>
                </w:p>
              </w:tc>
              <w:tc>
                <w:tcPr>
                  <w:tcW w:w="0" w:type="auto"/>
                  <w:shd w:val="clear" w:color="auto" w:fill="auto"/>
                  <w:vAlign w:val="center"/>
                </w:tcPr>
                <w:p w14:paraId="2A88141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w:t>
                  </w:r>
                </w:p>
              </w:tc>
              <w:tc>
                <w:tcPr>
                  <w:tcW w:w="0" w:type="auto"/>
                  <w:shd w:val="clear" w:color="auto" w:fill="auto"/>
                  <w:vAlign w:val="center"/>
                </w:tcPr>
                <w:p w14:paraId="54836D3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80</w:t>
                  </w:r>
                </w:p>
              </w:tc>
              <w:tc>
                <w:tcPr>
                  <w:tcW w:w="459" w:type="pct"/>
                  <w:vMerge w:val="continue"/>
                  <w:vAlign w:val="center"/>
                </w:tcPr>
                <w:p w14:paraId="3BF9146C">
                  <w:pPr>
                    <w:adjustRightInd w:val="0"/>
                    <w:snapToGrid w:val="0"/>
                    <w:spacing w:line="240" w:lineRule="auto"/>
                    <w:jc w:val="center"/>
                    <w:rPr>
                      <w:rFonts w:hint="default" w:ascii="Times New Roman" w:hAnsi="Times New Roman" w:eastAsia="宋体" w:cs="Times New Roman"/>
                      <w:color w:val="auto"/>
                      <w:sz w:val="21"/>
                      <w:szCs w:val="21"/>
                    </w:rPr>
                  </w:pPr>
                </w:p>
              </w:tc>
              <w:tc>
                <w:tcPr>
                  <w:tcW w:w="0" w:type="auto"/>
                  <w:vAlign w:val="center"/>
                </w:tcPr>
                <w:p w14:paraId="23EDF38E">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405</w:t>
                  </w:r>
                </w:p>
              </w:tc>
              <w:tc>
                <w:tcPr>
                  <w:tcW w:w="0" w:type="auto"/>
                  <w:vAlign w:val="center"/>
                </w:tcPr>
                <w:p w14:paraId="6308D99E">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120</w:t>
                  </w:r>
                </w:p>
              </w:tc>
              <w:tc>
                <w:tcPr>
                  <w:tcW w:w="0" w:type="auto"/>
                  <w:vAlign w:val="center"/>
                </w:tcPr>
                <w:p w14:paraId="31591C49">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0" w:type="auto"/>
                  <w:vAlign w:val="center"/>
                </w:tcPr>
                <w:p w14:paraId="6509A8FD">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0" w:type="auto"/>
                  <w:vAlign w:val="center"/>
                </w:tcPr>
                <w:p w14:paraId="4ED58509">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309" w:type="pct"/>
                  <w:vMerge w:val="continue"/>
                  <w:vAlign w:val="center"/>
                </w:tcPr>
                <w:p w14:paraId="042B1D70">
                  <w:pPr>
                    <w:adjustRightInd w:val="0"/>
                    <w:snapToGrid w:val="0"/>
                    <w:spacing w:line="240" w:lineRule="auto"/>
                    <w:jc w:val="center"/>
                    <w:rPr>
                      <w:rFonts w:hint="default" w:ascii="Times New Roman" w:hAnsi="Times New Roman" w:eastAsia="宋体" w:cs="Times New Roman"/>
                      <w:color w:val="auto"/>
                      <w:sz w:val="21"/>
                      <w:szCs w:val="21"/>
                    </w:rPr>
                  </w:pPr>
                </w:p>
              </w:tc>
              <w:tc>
                <w:tcPr>
                  <w:tcW w:w="0" w:type="auto"/>
                  <w:vAlign w:val="center"/>
                </w:tcPr>
                <w:p w14:paraId="3F154356">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0" w:type="auto"/>
                  <w:vAlign w:val="center"/>
                </w:tcPr>
                <w:p w14:paraId="269693B0">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w:t>
                  </w:r>
                </w:p>
              </w:tc>
              <w:tc>
                <w:tcPr>
                  <w:tcW w:w="0" w:type="auto"/>
                  <w:vAlign w:val="center"/>
                </w:tcPr>
                <w:p w14:paraId="41C73146">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80</w:t>
                  </w:r>
                </w:p>
              </w:tc>
            </w:tr>
            <w:tr w14:paraId="5D86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54" w:type="pct"/>
                  <w:vMerge w:val="continue"/>
                  <w:vAlign w:val="center"/>
                </w:tcPr>
                <w:p w14:paraId="765F62E5">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233" w:type="pct"/>
                  <w:vMerge w:val="continue"/>
                  <w:vAlign w:val="center"/>
                </w:tcPr>
                <w:p w14:paraId="3024C6AA">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0" w:type="auto"/>
                  <w:shd w:val="clear" w:color="auto" w:fill="auto"/>
                  <w:vAlign w:val="center"/>
                </w:tcPr>
                <w:p w14:paraId="45BF8C5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环保设备风机</w:t>
                  </w:r>
                </w:p>
              </w:tc>
              <w:tc>
                <w:tcPr>
                  <w:tcW w:w="0" w:type="auto"/>
                  <w:shd w:val="clear" w:color="auto" w:fill="auto"/>
                  <w:vAlign w:val="center"/>
                </w:tcPr>
                <w:p w14:paraId="34DA923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w:t>
                  </w:r>
                </w:p>
              </w:tc>
              <w:tc>
                <w:tcPr>
                  <w:tcW w:w="0" w:type="auto"/>
                  <w:shd w:val="clear" w:color="auto" w:fill="auto"/>
                  <w:vAlign w:val="center"/>
                </w:tcPr>
                <w:p w14:paraId="3E3AE56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90</w:t>
                  </w:r>
                </w:p>
              </w:tc>
              <w:tc>
                <w:tcPr>
                  <w:tcW w:w="459" w:type="pct"/>
                  <w:vMerge w:val="continue"/>
                  <w:vAlign w:val="center"/>
                </w:tcPr>
                <w:p w14:paraId="2FB68A19">
                  <w:pPr>
                    <w:adjustRightInd w:val="0"/>
                    <w:snapToGrid w:val="0"/>
                    <w:spacing w:line="240" w:lineRule="auto"/>
                    <w:jc w:val="center"/>
                    <w:rPr>
                      <w:rFonts w:hint="default" w:ascii="Times New Roman" w:hAnsi="Times New Roman" w:eastAsia="宋体" w:cs="Times New Roman"/>
                      <w:color w:val="auto"/>
                      <w:sz w:val="21"/>
                      <w:szCs w:val="21"/>
                    </w:rPr>
                  </w:pPr>
                </w:p>
              </w:tc>
              <w:tc>
                <w:tcPr>
                  <w:tcW w:w="0" w:type="auto"/>
                  <w:vAlign w:val="center"/>
                </w:tcPr>
                <w:p w14:paraId="50350AEB">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396</w:t>
                  </w:r>
                </w:p>
              </w:tc>
              <w:tc>
                <w:tcPr>
                  <w:tcW w:w="0" w:type="auto"/>
                  <w:vAlign w:val="center"/>
                </w:tcPr>
                <w:p w14:paraId="5D7DF636">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110</w:t>
                  </w:r>
                </w:p>
              </w:tc>
              <w:tc>
                <w:tcPr>
                  <w:tcW w:w="0" w:type="auto"/>
                  <w:vAlign w:val="center"/>
                </w:tcPr>
                <w:p w14:paraId="56F32024">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0" w:type="auto"/>
                  <w:vAlign w:val="center"/>
                </w:tcPr>
                <w:p w14:paraId="38302B7D">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0" w:type="auto"/>
                  <w:vAlign w:val="center"/>
                </w:tcPr>
                <w:p w14:paraId="3BAE45ED">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w:t>
                  </w:r>
                </w:p>
              </w:tc>
              <w:tc>
                <w:tcPr>
                  <w:tcW w:w="309" w:type="pct"/>
                  <w:vMerge w:val="continue"/>
                  <w:vAlign w:val="center"/>
                </w:tcPr>
                <w:p w14:paraId="2CAD2438">
                  <w:pPr>
                    <w:adjustRightInd w:val="0"/>
                    <w:snapToGrid w:val="0"/>
                    <w:spacing w:line="240" w:lineRule="auto"/>
                    <w:jc w:val="center"/>
                    <w:rPr>
                      <w:rFonts w:hint="default" w:ascii="Times New Roman" w:hAnsi="Times New Roman" w:eastAsia="宋体" w:cs="Times New Roman"/>
                      <w:color w:val="auto"/>
                      <w:sz w:val="21"/>
                      <w:szCs w:val="21"/>
                    </w:rPr>
                  </w:pPr>
                </w:p>
              </w:tc>
              <w:tc>
                <w:tcPr>
                  <w:tcW w:w="0" w:type="auto"/>
                  <w:vAlign w:val="center"/>
                </w:tcPr>
                <w:p w14:paraId="6410708D">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0" w:type="auto"/>
                  <w:vAlign w:val="center"/>
                </w:tcPr>
                <w:p w14:paraId="70C43BC8">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w:t>
                  </w:r>
                </w:p>
              </w:tc>
              <w:tc>
                <w:tcPr>
                  <w:tcW w:w="0" w:type="auto"/>
                  <w:vAlign w:val="center"/>
                </w:tcPr>
                <w:p w14:paraId="24032C94">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80</w:t>
                  </w:r>
                </w:p>
              </w:tc>
            </w:tr>
          </w:tbl>
          <w:p w14:paraId="39D98AFF">
            <w:pPr>
              <w:keepNext w:val="0"/>
              <w:keepLines w:val="0"/>
              <w:suppressLineNumbers w:val="0"/>
              <w:bidi w:val="0"/>
              <w:spacing w:before="0" w:beforeAutospacing="0" w:after="0" w:afterAutospacing="0" w:line="360" w:lineRule="auto"/>
              <w:ind w:left="0" w:leftChars="0" w:right="0" w:firstLine="316" w:firstLineChars="175"/>
              <w:rPr>
                <w:rFonts w:hint="default" w:ascii="Times New Roman" w:hAnsi="Times New Roman" w:eastAsia="宋体" w:cs="Times New Roman"/>
                <w:color w:val="auto"/>
                <w:kern w:val="0"/>
                <w:sz w:val="24"/>
                <w:szCs w:val="20"/>
              </w:rPr>
            </w:pPr>
            <w:r>
              <w:rPr>
                <w:rFonts w:hint="default" w:ascii="Times New Roman" w:hAnsi="Times New Roman" w:eastAsia="宋体" w:cs="Times New Roman"/>
                <w:b/>
                <w:bCs/>
                <w:color w:val="auto"/>
                <w:sz w:val="18"/>
                <w:szCs w:val="18"/>
                <w:lang w:val="en-US" w:eastAsia="zh-CN"/>
              </w:rPr>
              <w:t>注：以项目厂界西南角为（0,0,0），距室内边界距离按最近距离计。</w:t>
            </w:r>
          </w:p>
          <w:p w14:paraId="225D0EF3">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（2）达标情况</w:t>
            </w:r>
          </w:p>
          <w:p w14:paraId="76A0335C">
            <w:pPr>
              <w:pStyle w:val="40"/>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1）预测模式</w:t>
            </w:r>
          </w:p>
          <w:p w14:paraId="3D114DCF">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噪声预测按照《环境影响评价技术导则·声环境》（HJ2.4-2021）中推荐的模式进行预测。</w:t>
            </w:r>
          </w:p>
          <w:p w14:paraId="66CE7390">
            <w:pPr>
              <w:keepNext w:val="0"/>
              <w:keepLines w:val="0"/>
              <w:suppressLineNumbers w:val="0"/>
              <w:bidi w:val="0"/>
              <w:spacing w:before="0" w:beforeAutospacing="0" w:after="0" w:afterAutospacing="0" w:line="360" w:lineRule="auto"/>
              <w:ind w:left="0" w:leftChars="0" w:right="0" w:firstLine="1140" w:firstLineChars="47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p2</w:t>
            </w: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p1</w:t>
            </w:r>
            <w:r>
              <w:rPr>
                <w:rFonts w:hint="default" w:ascii="Times New Roman" w:hAnsi="Times New Roman" w:eastAsia="宋体" w:cs="Times New Roman"/>
                <w:color w:val="auto"/>
                <w:sz w:val="24"/>
                <w:szCs w:val="24"/>
              </w:rPr>
              <w:t>-（TL+6）</w:t>
            </w:r>
          </w:p>
          <w:p w14:paraId="0CE53127">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式中：L</w:t>
            </w:r>
            <w:r>
              <w:rPr>
                <w:rFonts w:hint="default" w:ascii="Times New Roman" w:hAnsi="Times New Roman" w:eastAsia="宋体" w:cs="Times New Roman"/>
                <w:color w:val="auto"/>
                <w:sz w:val="24"/>
                <w:szCs w:val="24"/>
                <w:vertAlign w:val="subscript"/>
              </w:rPr>
              <w:t>p1</w:t>
            </w:r>
            <w:r>
              <w:rPr>
                <w:rFonts w:hint="default" w:ascii="Times New Roman" w:hAnsi="Times New Roman" w:eastAsia="宋体" w:cs="Times New Roman"/>
                <w:color w:val="auto"/>
                <w:sz w:val="24"/>
                <w:szCs w:val="24"/>
              </w:rPr>
              <w:t>—靠近开口处（或窗户）室内某倍频带的声压级或A声级，dB；</w:t>
            </w:r>
          </w:p>
          <w:p w14:paraId="1031028D">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p2</w:t>
            </w:r>
            <w:r>
              <w:rPr>
                <w:rFonts w:hint="default" w:ascii="Times New Roman" w:hAnsi="Times New Roman" w:eastAsia="宋体" w:cs="Times New Roman"/>
                <w:color w:val="auto"/>
                <w:sz w:val="24"/>
                <w:szCs w:val="24"/>
              </w:rPr>
              <w:t>—靠近开口处（或窗户）室外某倍频带的声压级或A声级，dB；</w:t>
            </w:r>
          </w:p>
          <w:p w14:paraId="13CC98AE">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TL—隔墙（或窗户）倍频带或A声级的隔声量，dB。</w:t>
            </w:r>
          </w:p>
          <w:p w14:paraId="601783C8">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p(r)</w:t>
            </w: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p(r0)</w:t>
            </w:r>
            <w:r>
              <w:rPr>
                <w:rFonts w:hint="default" w:ascii="Times New Roman" w:hAnsi="Times New Roman" w:eastAsia="宋体" w:cs="Times New Roman"/>
                <w:color w:val="auto"/>
                <w:sz w:val="24"/>
                <w:szCs w:val="24"/>
              </w:rPr>
              <w:t>-20lg（r/r</w:t>
            </w:r>
            <w:r>
              <w:rPr>
                <w:rFonts w:hint="default" w:ascii="Times New Roman" w:hAnsi="Times New Roman" w:eastAsia="宋体" w:cs="Times New Roman"/>
                <w:color w:val="auto"/>
                <w:sz w:val="24"/>
                <w:szCs w:val="24"/>
                <w:vertAlign w:val="subscript"/>
              </w:rPr>
              <w:t>0</w:t>
            </w:r>
            <w:r>
              <w:rPr>
                <w:rFonts w:hint="default" w:ascii="Times New Roman" w:hAnsi="Times New Roman" w:eastAsia="宋体" w:cs="Times New Roman"/>
                <w:color w:val="auto"/>
                <w:sz w:val="24"/>
                <w:szCs w:val="24"/>
              </w:rPr>
              <w:t>）</w:t>
            </w:r>
          </w:p>
          <w:p w14:paraId="3B841C20">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式中：L</w:t>
            </w:r>
            <w:r>
              <w:rPr>
                <w:rFonts w:hint="default" w:ascii="Times New Roman" w:hAnsi="Times New Roman" w:eastAsia="宋体" w:cs="Times New Roman"/>
                <w:color w:val="auto"/>
                <w:sz w:val="24"/>
                <w:szCs w:val="24"/>
                <w:vertAlign w:val="subscript"/>
              </w:rPr>
              <w:t>p(r)</w:t>
            </w:r>
            <w:r>
              <w:rPr>
                <w:rFonts w:hint="default" w:ascii="Times New Roman" w:hAnsi="Times New Roman" w:eastAsia="宋体" w:cs="Times New Roman"/>
                <w:color w:val="auto"/>
                <w:sz w:val="24"/>
                <w:szCs w:val="24"/>
              </w:rPr>
              <w:t>—预测点处声压级，dB；</w:t>
            </w:r>
          </w:p>
          <w:p w14:paraId="4B833B1F">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p(r0)</w:t>
            </w:r>
            <w:r>
              <w:rPr>
                <w:rFonts w:hint="default" w:ascii="Times New Roman" w:hAnsi="Times New Roman" w:eastAsia="宋体" w:cs="Times New Roman"/>
                <w:color w:val="auto"/>
                <w:sz w:val="24"/>
                <w:szCs w:val="24"/>
              </w:rPr>
              <w:t>—参考位置r</w:t>
            </w:r>
            <w:r>
              <w:rPr>
                <w:rFonts w:hint="default" w:ascii="Times New Roman" w:hAnsi="Times New Roman" w:eastAsia="宋体" w:cs="Times New Roman"/>
                <w:color w:val="auto"/>
                <w:sz w:val="24"/>
                <w:szCs w:val="24"/>
                <w:vertAlign w:val="subscript"/>
              </w:rPr>
              <w:t>0</w:t>
            </w:r>
            <w:r>
              <w:rPr>
                <w:rFonts w:hint="default" w:ascii="Times New Roman" w:hAnsi="Times New Roman" w:eastAsia="宋体" w:cs="Times New Roman"/>
                <w:color w:val="auto"/>
                <w:sz w:val="24"/>
                <w:szCs w:val="24"/>
              </w:rPr>
              <w:t>处的声压级，dB；</w:t>
            </w:r>
          </w:p>
          <w:p w14:paraId="620B533D">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r—预测点距声源的距离；</w:t>
            </w:r>
          </w:p>
          <w:p w14:paraId="0449DD51">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eastAsia="宋体" w:cs="Times New Roman"/>
                <w:bCs/>
                <w:color w:val="auto"/>
                <w:sz w:val="24"/>
                <w:szCs w:val="24"/>
              </w:rPr>
            </w:pPr>
            <w:r>
              <w:rPr>
                <w:rFonts w:hint="default" w:ascii="Times New Roman" w:hAnsi="Times New Roman" w:eastAsia="宋体" w:cs="Times New Roman"/>
                <w:color w:val="auto"/>
                <w:sz w:val="24"/>
                <w:szCs w:val="24"/>
              </w:rPr>
              <w:t>r</w:t>
            </w:r>
            <w:r>
              <w:rPr>
                <w:rFonts w:hint="default" w:ascii="Times New Roman" w:hAnsi="Times New Roman" w:eastAsia="宋体" w:cs="Times New Roman"/>
                <w:color w:val="auto"/>
                <w:sz w:val="24"/>
                <w:szCs w:val="24"/>
                <w:vertAlign w:val="subscript"/>
              </w:rPr>
              <w:t>0</w:t>
            </w:r>
            <w:r>
              <w:rPr>
                <w:rFonts w:hint="default" w:ascii="Times New Roman" w:hAnsi="Times New Roman" w:eastAsia="宋体" w:cs="Times New Roman"/>
                <w:color w:val="auto"/>
                <w:sz w:val="24"/>
                <w:szCs w:val="24"/>
              </w:rPr>
              <w:t>—参考位置距声源的距离。</w:t>
            </w:r>
          </w:p>
          <w:p w14:paraId="67F2D2E1">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②噪声贡献值计算公式：</w:t>
            </w:r>
          </w:p>
          <w:p w14:paraId="55E83153">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eqg</w:t>
            </w:r>
            <w:r>
              <w:rPr>
                <w:rFonts w:hint="default" w:ascii="Times New Roman" w:hAnsi="Times New Roman" w:eastAsia="宋体" w:cs="Times New Roman"/>
                <w:color w:val="auto"/>
                <w:sz w:val="24"/>
                <w:szCs w:val="24"/>
              </w:rPr>
              <w:t>=10lg（</w:t>
            </w:r>
            <w:r>
              <w:rPr>
                <w:rFonts w:hint="default" w:ascii="Times New Roman" w:hAnsi="Times New Roman" w:eastAsia="宋体" w:cs="Times New Roman"/>
                <w:color w:val="auto"/>
                <w:position w:val="-28"/>
                <w:sz w:val="24"/>
                <w:szCs w:val="24"/>
              </w:rPr>
              <w:object>
                <v:shape id="_x0000_i1030" o:spt="75" type="#_x0000_t75" style="height:33pt;width:33.75pt;" o:ole="t" filled="f" o:preferrelative="t" stroked="f" coordsize="21600,21600">
                  <v:path/>
                  <v:fill on="f" focussize="0,0"/>
                  <v:stroke on="f"/>
                  <v:imagedata r:id="rId21" o:title=""/>
                  <o:lock v:ext="edit" aspectratio="t"/>
                  <w10:wrap type="none"/>
                  <w10:anchorlock/>
                </v:shape>
                <o:OLEObject Type="Embed" ProgID="Equation.3" ShapeID="_x0000_i1030" DrawAspect="Content" ObjectID="_1468075730" r:id="rId20">
                  <o:LockedField>false</o:LockedField>
                </o:OLEObject>
              </w:object>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vertAlign w:val="superscript"/>
              </w:rPr>
              <w:t>0.1LAi</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rPr>
              <w:sym w:font="Times New Roman" w:char="F02B"/>
            </w:r>
            <w:r>
              <w:rPr>
                <w:rFonts w:hint="default" w:ascii="Times New Roman" w:hAnsi="Times New Roman" w:eastAsia="宋体" w:cs="Times New Roman"/>
                <w:color w:val="auto"/>
                <w:sz w:val="24"/>
                <w:szCs w:val="24"/>
              </w:rPr>
              <w:sym w:font="Times New Roman" w:char="F02D"/>
            </w:r>
            <w:r>
              <w:rPr>
                <w:rFonts w:hint="default" w:ascii="Times New Roman" w:hAnsi="Times New Roman" w:eastAsia="宋体" w:cs="Times New Roman"/>
                <w:color w:val="auto"/>
                <w:sz w:val="24"/>
                <w:szCs w:val="24"/>
              </w:rPr>
              <w:sym w:font="Times New Roman" w:char="F03D"/>
            </w:r>
          </w:p>
          <w:p w14:paraId="68D79903">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式中：L</w:t>
            </w:r>
            <w:r>
              <w:rPr>
                <w:rFonts w:hint="default" w:ascii="Times New Roman" w:hAnsi="Times New Roman" w:eastAsia="宋体" w:cs="Times New Roman"/>
                <w:color w:val="auto"/>
                <w:sz w:val="24"/>
                <w:szCs w:val="24"/>
                <w:vertAlign w:val="subscript"/>
              </w:rPr>
              <w:t>eqg</w:t>
            </w:r>
            <w:r>
              <w:rPr>
                <w:rFonts w:hint="default" w:ascii="Times New Roman" w:hAnsi="Times New Roman" w:eastAsia="宋体" w:cs="Times New Roman"/>
                <w:color w:val="auto"/>
                <w:sz w:val="24"/>
                <w:szCs w:val="24"/>
              </w:rPr>
              <w:t>—噪声贡献值，dB；</w:t>
            </w:r>
          </w:p>
          <w:p w14:paraId="447B6C6F">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T——预测计算的时间段，s；</w:t>
            </w:r>
          </w:p>
          <w:p w14:paraId="21DE443A">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t</w:t>
            </w:r>
            <w:r>
              <w:rPr>
                <w:rFonts w:hint="default" w:ascii="Times New Roman" w:hAnsi="Times New Roman" w:eastAsia="宋体" w:cs="Times New Roman"/>
                <w:color w:val="auto"/>
                <w:sz w:val="24"/>
                <w:szCs w:val="24"/>
                <w:vertAlign w:val="subscript"/>
              </w:rPr>
              <w:t>i</w:t>
            </w:r>
            <w:r>
              <w:rPr>
                <w:rFonts w:hint="default" w:ascii="Times New Roman" w:hAnsi="Times New Roman" w:eastAsia="宋体" w:cs="Times New Roman"/>
                <w:color w:val="auto"/>
                <w:sz w:val="24"/>
                <w:szCs w:val="24"/>
              </w:rPr>
              <w:t>—— i 声源在 T 时段内的运行时间，s;</w:t>
            </w:r>
          </w:p>
          <w:p w14:paraId="5B6FFA50">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Ai</w:t>
            </w:r>
            <w:r>
              <w:rPr>
                <w:rFonts w:hint="default" w:ascii="Times New Roman" w:hAnsi="Times New Roman" w:eastAsia="宋体" w:cs="Times New Roman"/>
                <w:color w:val="auto"/>
                <w:sz w:val="24"/>
                <w:szCs w:val="24"/>
              </w:rPr>
              <w:t>—i 声源在预测点产生的等效连续 A 声级，dB。</w:t>
            </w:r>
          </w:p>
          <w:p w14:paraId="21E2AF99">
            <w:pPr>
              <w:keepNext w:val="0"/>
              <w:keepLines w:val="0"/>
              <w:suppressLineNumbers w:val="0"/>
              <w:adjustRightInd w:val="0"/>
              <w:snapToGrid w:val="0"/>
              <w:spacing w:before="0" w:beforeAutospacing="0" w:after="0" w:afterAutospacing="0" w:line="360" w:lineRule="auto"/>
              <w:ind w:left="0" w:right="0"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③噪声预测计算公式：</w:t>
            </w:r>
          </w:p>
          <w:p w14:paraId="01F51993">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ep</w:t>
            </w:r>
            <w:r>
              <w:rPr>
                <w:rFonts w:hint="default" w:ascii="Times New Roman" w:hAnsi="Times New Roman" w:eastAsia="宋体" w:cs="Times New Roman"/>
                <w:color w:val="auto"/>
                <w:sz w:val="24"/>
                <w:szCs w:val="24"/>
              </w:rPr>
              <w:t>=10lg（10</w:t>
            </w:r>
            <w:r>
              <w:rPr>
                <w:rFonts w:hint="default" w:ascii="Times New Roman" w:hAnsi="Times New Roman" w:eastAsia="宋体" w:cs="Times New Roman"/>
                <w:color w:val="auto"/>
                <w:sz w:val="24"/>
                <w:szCs w:val="24"/>
                <w:vertAlign w:val="superscript"/>
              </w:rPr>
              <w:t>0.1Leqg</w:t>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vertAlign w:val="superscript"/>
              </w:rPr>
              <w:t>0.1Leqb</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rPr>
              <w:sym w:font="Times New Roman" w:char="F02B"/>
            </w:r>
            <w:r>
              <w:rPr>
                <w:rFonts w:hint="default" w:ascii="Times New Roman" w:hAnsi="Times New Roman" w:eastAsia="宋体" w:cs="Times New Roman"/>
                <w:color w:val="auto"/>
                <w:sz w:val="24"/>
                <w:szCs w:val="24"/>
              </w:rPr>
              <w:sym w:font="Times New Roman" w:char="F02D"/>
            </w:r>
            <w:r>
              <w:rPr>
                <w:rFonts w:hint="default" w:ascii="Times New Roman" w:hAnsi="Times New Roman" w:eastAsia="宋体" w:cs="Times New Roman"/>
                <w:color w:val="auto"/>
                <w:sz w:val="24"/>
                <w:szCs w:val="24"/>
              </w:rPr>
              <w:sym w:font="Times New Roman" w:char="F03D"/>
            </w:r>
          </w:p>
          <w:p w14:paraId="25B570FE">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式中：L</w:t>
            </w:r>
            <w:r>
              <w:rPr>
                <w:rFonts w:hint="default" w:ascii="Times New Roman" w:hAnsi="Times New Roman" w:eastAsia="宋体" w:cs="Times New Roman"/>
                <w:color w:val="auto"/>
                <w:sz w:val="24"/>
                <w:szCs w:val="24"/>
                <w:vertAlign w:val="subscript"/>
              </w:rPr>
              <w:t>ep</w:t>
            </w:r>
            <w:r>
              <w:rPr>
                <w:rFonts w:hint="default" w:ascii="Times New Roman" w:hAnsi="Times New Roman" w:eastAsia="宋体" w:cs="Times New Roman"/>
                <w:color w:val="auto"/>
                <w:sz w:val="24"/>
                <w:szCs w:val="24"/>
              </w:rPr>
              <w:t>—预测点的噪声预测值，dB；</w:t>
            </w:r>
          </w:p>
          <w:p w14:paraId="074F5852">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eqg</w:t>
            </w:r>
            <w:r>
              <w:rPr>
                <w:rFonts w:hint="default" w:ascii="Times New Roman" w:hAnsi="Times New Roman" w:eastAsia="宋体" w:cs="Times New Roman"/>
                <w:color w:val="auto"/>
                <w:sz w:val="24"/>
                <w:szCs w:val="24"/>
              </w:rPr>
              <w:t>——建设项目声源在预测点产生的噪声贡献值，dB；</w:t>
            </w:r>
          </w:p>
          <w:p w14:paraId="70EBAAA9">
            <w:pPr>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rPr>
              <w:t>L</w:t>
            </w:r>
            <w:r>
              <w:rPr>
                <w:rFonts w:hint="default" w:ascii="Times New Roman" w:hAnsi="Times New Roman" w:eastAsia="宋体" w:cs="Times New Roman"/>
                <w:color w:val="auto"/>
                <w:sz w:val="24"/>
                <w:szCs w:val="24"/>
                <w:vertAlign w:val="subscript"/>
              </w:rPr>
              <w:t>eqb</w:t>
            </w:r>
            <w:r>
              <w:rPr>
                <w:rFonts w:hint="default" w:ascii="Times New Roman" w:hAnsi="Times New Roman" w:eastAsia="宋体" w:cs="Times New Roman"/>
                <w:color w:val="auto"/>
                <w:sz w:val="24"/>
                <w:szCs w:val="24"/>
              </w:rPr>
              <w:t>—预测点的背景噪声值，dB。</w:t>
            </w:r>
            <w:r>
              <w:rPr>
                <w:rFonts w:hint="default" w:ascii="Times New Roman" w:hAnsi="Times New Roman" w:eastAsia="宋体" w:cs="Times New Roman"/>
                <w:color w:val="auto"/>
                <w:sz w:val="24"/>
                <w:szCs w:val="24"/>
                <w:highlight w:val="none"/>
                <w:lang w:val="en-US" w:eastAsia="zh-CN"/>
              </w:rPr>
              <w:t xml:space="preserve">  </w:t>
            </w:r>
          </w:p>
          <w:p w14:paraId="12085AA5">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2）预测结果</w:t>
            </w:r>
          </w:p>
          <w:p w14:paraId="7D9755E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red"/>
                <w:lang w:val="en-US" w:eastAsia="zh-CN"/>
              </w:rPr>
            </w:pPr>
            <w:r>
              <w:rPr>
                <w:rFonts w:hint="default" w:ascii="Times New Roman" w:hAnsi="Times New Roman" w:eastAsia="宋体" w:cs="Times New Roman"/>
                <w:color w:val="auto"/>
                <w:sz w:val="24"/>
                <w:szCs w:val="24"/>
              </w:rPr>
              <w:t>根据项目的机械设备声级、所在位置，利用噪声预测模式和方法，对厂</w:t>
            </w:r>
            <w:r>
              <w:rPr>
                <w:rFonts w:hint="default" w:ascii="Times New Roman" w:hAnsi="Times New Roman" w:eastAsia="宋体" w:cs="Times New Roman"/>
                <w:color w:val="auto"/>
                <w:sz w:val="24"/>
                <w:szCs w:val="24"/>
                <w:highlight w:val="none"/>
              </w:rPr>
              <w:t>界噪声进行预测计算，得到项目建成后各预测点的昼</w:t>
            </w:r>
            <w:r>
              <w:rPr>
                <w:rFonts w:hint="default" w:ascii="Times New Roman" w:hAnsi="Times New Roman" w:eastAsia="宋体" w:cs="Times New Roman"/>
                <w:color w:val="auto"/>
                <w:sz w:val="24"/>
                <w:szCs w:val="24"/>
                <w:highlight w:val="none"/>
                <w:lang w:val="en-US" w:eastAsia="zh-CN"/>
              </w:rPr>
              <w:t>间</w:t>
            </w:r>
            <w:r>
              <w:rPr>
                <w:rFonts w:hint="default" w:ascii="Times New Roman" w:hAnsi="Times New Roman" w:eastAsia="宋体" w:cs="Times New Roman"/>
                <w:color w:val="auto"/>
                <w:sz w:val="24"/>
                <w:szCs w:val="24"/>
                <w:highlight w:val="none"/>
              </w:rPr>
              <w:t>噪声级</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现有工程贡献值为陕西润卓环境技术有限公司</w:t>
            </w:r>
            <w:r>
              <w:rPr>
                <w:rFonts w:hint="default" w:ascii="Times New Roman" w:hAnsi="Times New Roman" w:eastAsia="宋体" w:cs="Times New Roman"/>
                <w:bCs/>
                <w:color w:val="auto"/>
                <w:spacing w:val="0"/>
                <w:kern w:val="21"/>
                <w:sz w:val="24"/>
                <w:szCs w:val="24"/>
                <w:highlight w:val="none"/>
                <w:lang w:val="en-US" w:eastAsia="zh-CN"/>
              </w:rPr>
              <w:t>监测报告（润卓监(噪)字(2024)第028号）监测结果，敏感点为</w:t>
            </w:r>
            <w:r>
              <w:rPr>
                <w:rFonts w:hint="default" w:ascii="Times New Roman" w:hAnsi="Times New Roman" w:eastAsia="宋体" w:cs="Times New Roman"/>
                <w:color w:val="auto"/>
                <w:sz w:val="24"/>
                <w:highlight w:val="none"/>
              </w:rPr>
              <w:t>陕西明铖检测技术有限公司</w:t>
            </w:r>
            <w:r>
              <w:rPr>
                <w:rFonts w:hint="default" w:ascii="Times New Roman" w:hAnsi="Times New Roman" w:eastAsia="宋体" w:cs="Times New Roman"/>
                <w:bCs/>
                <w:color w:val="auto"/>
                <w:spacing w:val="0"/>
                <w:kern w:val="21"/>
                <w:sz w:val="24"/>
                <w:szCs w:val="24"/>
                <w:highlight w:val="none"/>
                <w:lang w:val="en-US" w:eastAsia="zh-CN"/>
              </w:rPr>
              <w:t>监测报告</w:t>
            </w:r>
            <w:r>
              <w:rPr>
                <w:rFonts w:hint="default" w:ascii="Times New Roman" w:hAnsi="Times New Roman" w:eastAsia="宋体" w:cs="Times New Roman"/>
                <w:color w:val="auto"/>
                <w:sz w:val="24"/>
                <w:highlight w:val="none"/>
                <w:lang w:val="en-US" w:eastAsia="zh-CN"/>
              </w:rPr>
              <w:t>（SXMC-H2407011）</w:t>
            </w:r>
            <w:r>
              <w:rPr>
                <w:rFonts w:hint="default" w:ascii="Times New Roman" w:hAnsi="Times New Roman" w:eastAsia="宋体" w:cs="Times New Roman"/>
                <w:bCs/>
                <w:color w:val="auto"/>
                <w:spacing w:val="0"/>
                <w:kern w:val="21"/>
                <w:sz w:val="24"/>
                <w:szCs w:val="24"/>
                <w:highlight w:val="none"/>
                <w:lang w:val="en-US" w:eastAsia="zh-CN"/>
              </w:rPr>
              <w:t>监测结果，监测期间，现有工程正常运行。预测结果间</w:t>
            </w:r>
            <w:r>
              <w:rPr>
                <w:rFonts w:hint="default" w:ascii="Times New Roman" w:hAnsi="Times New Roman" w:eastAsia="宋体" w:cs="Times New Roman"/>
                <w:bCs/>
                <w:color w:val="auto"/>
                <w:spacing w:val="0"/>
                <w:kern w:val="21"/>
                <w:sz w:val="24"/>
                <w:szCs w:val="24"/>
                <w:lang w:val="en-US" w:eastAsia="zh-CN"/>
              </w:rPr>
              <w:t>表4-8。</w:t>
            </w:r>
          </w:p>
          <w:p w14:paraId="42E9FEFB">
            <w:pPr>
              <w:pStyle w:val="36"/>
              <w:keepNext w:val="0"/>
              <w:keepLines w:val="0"/>
              <w:suppressLineNumbers w:val="0"/>
              <w:adjustRightInd w:val="0"/>
              <w:spacing w:before="0" w:beforeAutospacing="0" w:after="0" w:afterAutospacing="0" w:line="240" w:lineRule="auto"/>
              <w:ind w:left="0" w:right="0" w:firstLine="42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表4-8 厂界噪声影响预测结果表   单位：dB(A)</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579"/>
              <w:gridCol w:w="1537"/>
              <w:gridCol w:w="1763"/>
              <w:gridCol w:w="1669"/>
              <w:gridCol w:w="604"/>
            </w:tblGrid>
            <w:tr w14:paraId="454B6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pct"/>
                  <w:vMerge w:val="restar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FA5499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w:t>
                  </w:r>
                </w:p>
                <w:p w14:paraId="3AF0BD3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点位</w:t>
                  </w:r>
                </w:p>
              </w:tc>
              <w:tc>
                <w:tcPr>
                  <w:tcW w:w="948" w:type="pct"/>
                  <w:tcBorders>
                    <w:top w:val="single" w:color="auto" w:sz="4" w:space="0"/>
                    <w:left w:val="single" w:color="auto" w:sz="4" w:space="0"/>
                    <w:right w:val="single" w:color="auto" w:sz="4" w:space="0"/>
                  </w:tcBorders>
                  <w:noWrap w:val="0"/>
                  <w:tcMar>
                    <w:top w:w="57" w:type="dxa"/>
                    <w:left w:w="0" w:type="dxa"/>
                    <w:bottom w:w="57" w:type="dxa"/>
                    <w:right w:w="0" w:type="dxa"/>
                  </w:tcMar>
                  <w:vAlign w:val="center"/>
                </w:tcPr>
                <w:p w14:paraId="5D46D84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现有工程贡献值</w:t>
                  </w:r>
                </w:p>
              </w:tc>
              <w:tc>
                <w:tcPr>
                  <w:tcW w:w="922" w:type="pct"/>
                  <w:tcBorders>
                    <w:top w:val="single" w:color="auto" w:sz="4" w:space="0"/>
                    <w:left w:val="single" w:color="auto" w:sz="4" w:space="0"/>
                    <w:right w:val="single" w:color="auto" w:sz="4" w:space="0"/>
                  </w:tcBorders>
                  <w:noWrap w:val="0"/>
                  <w:tcMar>
                    <w:top w:w="57" w:type="dxa"/>
                    <w:left w:w="0" w:type="dxa"/>
                    <w:bottom w:w="57" w:type="dxa"/>
                    <w:right w:w="0" w:type="dxa"/>
                  </w:tcMar>
                  <w:vAlign w:val="center"/>
                </w:tcPr>
                <w:p w14:paraId="746649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本项目贡献值</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46BA03E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叠加贡献值</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6CB5FE1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贡献值执行标准</w:t>
                  </w:r>
                </w:p>
              </w:tc>
              <w:tc>
                <w:tcPr>
                  <w:tcW w:w="362" w:type="pct"/>
                  <w:vMerge w:val="restart"/>
                  <w:tcBorders>
                    <w:top w:val="single" w:color="auto" w:sz="4" w:space="0"/>
                    <w:left w:val="single" w:color="auto" w:sz="4" w:space="0"/>
                    <w:right w:val="single" w:color="auto" w:sz="4" w:space="0"/>
                  </w:tcBorders>
                  <w:noWrap w:val="0"/>
                  <w:tcMar>
                    <w:top w:w="57" w:type="dxa"/>
                    <w:left w:w="0" w:type="dxa"/>
                    <w:bottom w:w="57" w:type="dxa"/>
                    <w:right w:w="0" w:type="dxa"/>
                  </w:tcMar>
                  <w:vAlign w:val="center"/>
                </w:tcPr>
                <w:p w14:paraId="50B15A3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达标情况</w:t>
                  </w:r>
                </w:p>
              </w:tc>
            </w:tr>
            <w:tr w14:paraId="7E84D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pct"/>
                  <w:vMerge w:val="continue"/>
                  <w:tcBorders>
                    <w:top w:val="single" w:color="auto" w:sz="4" w:space="0"/>
                    <w:left w:val="single" w:color="auto" w:sz="4" w:space="0"/>
                    <w:bottom w:val="single" w:color="auto" w:sz="4" w:space="0"/>
                    <w:right w:val="single" w:color="auto" w:sz="4" w:space="0"/>
                  </w:tcBorders>
                  <w:noWrap w:val="0"/>
                  <w:vAlign w:val="center"/>
                </w:tcPr>
                <w:p w14:paraId="0A4071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948" w:type="pct"/>
                  <w:tcBorders>
                    <w:left w:val="single" w:color="auto" w:sz="4" w:space="0"/>
                    <w:bottom w:val="single" w:color="auto" w:sz="4" w:space="0"/>
                    <w:right w:val="single" w:color="auto" w:sz="4" w:space="0"/>
                  </w:tcBorders>
                  <w:noWrap w:val="0"/>
                  <w:vAlign w:val="center"/>
                </w:tcPr>
                <w:p w14:paraId="63CA12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w:t>
                  </w:r>
                </w:p>
              </w:tc>
              <w:tc>
                <w:tcPr>
                  <w:tcW w:w="922" w:type="pct"/>
                  <w:tcBorders>
                    <w:left w:val="single" w:color="auto" w:sz="4" w:space="0"/>
                    <w:bottom w:val="single" w:color="auto" w:sz="4" w:space="0"/>
                    <w:right w:val="single" w:color="auto" w:sz="4" w:space="0"/>
                  </w:tcBorders>
                  <w:noWrap w:val="0"/>
                  <w:vAlign w:val="center"/>
                </w:tcPr>
                <w:p w14:paraId="691990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4A64AE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1F1072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362" w:type="pct"/>
                  <w:vMerge w:val="continue"/>
                  <w:tcBorders>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7965AA1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16FC7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2583368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东厂界</w:t>
                  </w:r>
                </w:p>
              </w:tc>
              <w:tc>
                <w:tcPr>
                  <w:tcW w:w="94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53388FB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55</w:t>
                  </w:r>
                </w:p>
              </w:tc>
              <w:tc>
                <w:tcPr>
                  <w:tcW w:w="92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4784AC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44.37</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584BBE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55.37</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54856F3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36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406C7D0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08A4C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3C985E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南厂界</w:t>
                  </w:r>
                </w:p>
              </w:tc>
              <w:tc>
                <w:tcPr>
                  <w:tcW w:w="94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4D7FE81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w:t>
                  </w:r>
                </w:p>
              </w:tc>
              <w:tc>
                <w:tcPr>
                  <w:tcW w:w="92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6462898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34.52</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72C0277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56.04</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7C08F74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36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2031DB0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59C15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F57CA0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西厂界</w:t>
                  </w:r>
                </w:p>
              </w:tc>
              <w:tc>
                <w:tcPr>
                  <w:tcW w:w="94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5C50B36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w:t>
                  </w:r>
                </w:p>
              </w:tc>
              <w:tc>
                <w:tcPr>
                  <w:tcW w:w="92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CC2656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20.65</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493CC29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56.01</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777B3DC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36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3235F5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5A20C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5C60503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北厂界</w:t>
                  </w:r>
                </w:p>
              </w:tc>
              <w:tc>
                <w:tcPr>
                  <w:tcW w:w="94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64CD95C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w:t>
                  </w:r>
                </w:p>
              </w:tc>
              <w:tc>
                <w:tcPr>
                  <w:tcW w:w="92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6EC734F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28.56</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A8CCA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58.01</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4B60543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36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06FE866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bl>
          <w:p w14:paraId="69B7FFE8">
            <w:pPr>
              <w:pStyle w:val="36"/>
              <w:keepNext w:val="0"/>
              <w:keepLines w:val="0"/>
              <w:suppressLineNumbers w:val="0"/>
              <w:adjustRightInd w:val="0"/>
              <w:spacing w:before="0" w:beforeAutospacing="0" w:after="0" w:afterAutospacing="0" w:line="240" w:lineRule="auto"/>
              <w:ind w:left="0" w:right="0" w:firstLine="42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表4-9 敏感点噪声影响预测结果表   单位：dB(A)</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579"/>
              <w:gridCol w:w="1537"/>
              <w:gridCol w:w="1763"/>
              <w:gridCol w:w="1669"/>
              <w:gridCol w:w="604"/>
            </w:tblGrid>
            <w:tr w14:paraId="0AA0E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pct"/>
                  <w:vMerge w:val="restar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08C7BF2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预测</w:t>
                  </w:r>
                </w:p>
                <w:p w14:paraId="6F0FA5C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点位</w:t>
                  </w:r>
                </w:p>
              </w:tc>
              <w:tc>
                <w:tcPr>
                  <w:tcW w:w="948" w:type="pct"/>
                  <w:tcBorders>
                    <w:top w:val="single" w:color="auto" w:sz="4" w:space="0"/>
                    <w:left w:val="single" w:color="auto" w:sz="4" w:space="0"/>
                    <w:right w:val="single" w:color="auto" w:sz="4" w:space="0"/>
                  </w:tcBorders>
                  <w:noWrap w:val="0"/>
                  <w:tcMar>
                    <w:top w:w="57" w:type="dxa"/>
                    <w:left w:w="0" w:type="dxa"/>
                    <w:bottom w:w="57" w:type="dxa"/>
                    <w:right w:w="0" w:type="dxa"/>
                  </w:tcMar>
                  <w:vAlign w:val="center"/>
                </w:tcPr>
                <w:p w14:paraId="6521628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背景值</w:t>
                  </w:r>
                </w:p>
              </w:tc>
              <w:tc>
                <w:tcPr>
                  <w:tcW w:w="922" w:type="pct"/>
                  <w:tcBorders>
                    <w:top w:val="single" w:color="auto" w:sz="4" w:space="0"/>
                    <w:left w:val="single" w:color="auto" w:sz="4" w:space="0"/>
                    <w:right w:val="single" w:color="auto" w:sz="4" w:space="0"/>
                  </w:tcBorders>
                  <w:noWrap w:val="0"/>
                  <w:tcMar>
                    <w:top w:w="57" w:type="dxa"/>
                    <w:left w:w="0" w:type="dxa"/>
                    <w:bottom w:w="57" w:type="dxa"/>
                    <w:right w:w="0" w:type="dxa"/>
                  </w:tcMar>
                  <w:vAlign w:val="center"/>
                </w:tcPr>
                <w:p w14:paraId="0C62C9C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本项目贡献值</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50257F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预测值</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318E32A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贡献值执行标准</w:t>
                  </w:r>
                </w:p>
              </w:tc>
              <w:tc>
                <w:tcPr>
                  <w:tcW w:w="362" w:type="pct"/>
                  <w:vMerge w:val="restart"/>
                  <w:tcBorders>
                    <w:top w:val="single" w:color="auto" w:sz="4" w:space="0"/>
                    <w:left w:val="single" w:color="auto" w:sz="4" w:space="0"/>
                    <w:right w:val="single" w:color="auto" w:sz="4" w:space="0"/>
                  </w:tcBorders>
                  <w:noWrap w:val="0"/>
                  <w:tcMar>
                    <w:top w:w="57" w:type="dxa"/>
                    <w:left w:w="0" w:type="dxa"/>
                    <w:bottom w:w="57" w:type="dxa"/>
                    <w:right w:w="0" w:type="dxa"/>
                  </w:tcMar>
                  <w:vAlign w:val="center"/>
                </w:tcPr>
                <w:p w14:paraId="201083D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达标情况</w:t>
                  </w:r>
                </w:p>
              </w:tc>
            </w:tr>
            <w:tr w14:paraId="6009D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5" w:type="pct"/>
                  <w:vMerge w:val="continue"/>
                  <w:tcBorders>
                    <w:top w:val="single" w:color="auto" w:sz="4" w:space="0"/>
                    <w:left w:val="single" w:color="auto" w:sz="4" w:space="0"/>
                    <w:bottom w:val="single" w:color="auto" w:sz="4" w:space="0"/>
                    <w:right w:val="single" w:color="auto" w:sz="4" w:space="0"/>
                  </w:tcBorders>
                  <w:noWrap w:val="0"/>
                  <w:vAlign w:val="center"/>
                </w:tcPr>
                <w:p w14:paraId="6655F5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948" w:type="pct"/>
                  <w:tcBorders>
                    <w:left w:val="single" w:color="auto" w:sz="4" w:space="0"/>
                    <w:bottom w:val="single" w:color="auto" w:sz="4" w:space="0"/>
                    <w:right w:val="single" w:color="auto" w:sz="4" w:space="0"/>
                  </w:tcBorders>
                  <w:noWrap w:val="0"/>
                  <w:vAlign w:val="center"/>
                </w:tcPr>
                <w:p w14:paraId="7FDE1A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w:t>
                  </w:r>
                </w:p>
              </w:tc>
              <w:tc>
                <w:tcPr>
                  <w:tcW w:w="922" w:type="pct"/>
                  <w:tcBorders>
                    <w:left w:val="single" w:color="auto" w:sz="4" w:space="0"/>
                    <w:bottom w:val="single" w:color="auto" w:sz="4" w:space="0"/>
                    <w:right w:val="single" w:color="auto" w:sz="4" w:space="0"/>
                  </w:tcBorders>
                  <w:noWrap w:val="0"/>
                  <w:vAlign w:val="center"/>
                </w:tcPr>
                <w:p w14:paraId="49E2EB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5032E9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6A9F359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362" w:type="pct"/>
                  <w:vMerge w:val="continue"/>
                  <w:tcBorders>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5ED67DC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25E91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75"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7029C8CB">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highlight w:val="none"/>
                      <w:lang w:val="en-US" w:eastAsia="zh-CN"/>
                    </w:rPr>
                    <w:t>南侧杨河村</w:t>
                  </w:r>
                </w:p>
              </w:tc>
              <w:tc>
                <w:tcPr>
                  <w:tcW w:w="1579"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3F3F931D">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highlight w:val="none"/>
                      <w:lang w:val="en-US" w:eastAsia="zh-CN"/>
                    </w:rPr>
                    <w:t>50</w:t>
                  </w:r>
                </w:p>
              </w:tc>
              <w:tc>
                <w:tcPr>
                  <w:tcW w:w="92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2A14E32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42.06</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5BC5AE0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50.65</w:t>
                  </w:r>
                </w:p>
              </w:tc>
              <w:tc>
                <w:tcPr>
                  <w:tcW w:w="100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0BF0477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36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3250B42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1A9DA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75"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469C47A5">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西侧维美德家属楼</w:t>
                  </w:r>
                </w:p>
              </w:tc>
              <w:tc>
                <w:tcPr>
                  <w:tcW w:w="1579"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217F0BA8">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highlight w:val="none"/>
                      <w:lang w:val="en-US" w:eastAsia="zh-CN"/>
                    </w:rPr>
                    <w:t>48</w:t>
                  </w:r>
                </w:p>
              </w:tc>
              <w:tc>
                <w:tcPr>
                  <w:tcW w:w="92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16532A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30.41</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068FF6C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48.07</w:t>
                  </w:r>
                </w:p>
              </w:tc>
              <w:tc>
                <w:tcPr>
                  <w:tcW w:w="1669"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102948E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604"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0DDB693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14:paraId="0804D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75"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7899178B">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西侧至乐小区</w:t>
                  </w:r>
                </w:p>
              </w:tc>
              <w:tc>
                <w:tcPr>
                  <w:tcW w:w="1579"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6ECAB8D4">
                  <w:pPr>
                    <w:pStyle w:val="37"/>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highlight w:val="none"/>
                      <w:lang w:val="en-US" w:eastAsia="zh-CN"/>
                    </w:rPr>
                    <w:t>49</w:t>
                  </w:r>
                </w:p>
              </w:tc>
              <w:tc>
                <w:tcPr>
                  <w:tcW w:w="922"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6AE9CBA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28.78</w:t>
                  </w:r>
                </w:p>
              </w:tc>
              <w:tc>
                <w:tcPr>
                  <w:tcW w:w="1058" w:type="pct"/>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69AFB09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49.04</w:t>
                  </w:r>
                </w:p>
              </w:tc>
              <w:tc>
                <w:tcPr>
                  <w:tcW w:w="1669"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017FCD6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604" w:type="dxa"/>
                  <w:tcBorders>
                    <w:top w:val="single" w:color="auto" w:sz="4" w:space="0"/>
                    <w:left w:val="single" w:color="auto" w:sz="4" w:space="0"/>
                    <w:bottom w:val="single" w:color="auto" w:sz="4" w:space="0"/>
                    <w:right w:val="single" w:color="auto" w:sz="4" w:space="0"/>
                  </w:tcBorders>
                  <w:noWrap w:val="0"/>
                  <w:tcMar>
                    <w:top w:w="57" w:type="dxa"/>
                    <w:left w:w="0" w:type="dxa"/>
                    <w:bottom w:w="57" w:type="dxa"/>
                    <w:right w:w="0" w:type="dxa"/>
                  </w:tcMar>
                  <w:vAlign w:val="center"/>
                </w:tcPr>
                <w:p w14:paraId="0864CA2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bl>
          <w:p w14:paraId="4B09175A">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3）噪声治理措施</w:t>
            </w:r>
          </w:p>
          <w:p w14:paraId="7854ECB7">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评价要求项目应采取的具体噪声治理措施如下： </w:t>
            </w:r>
          </w:p>
          <w:p w14:paraId="1382D482">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①项目在设备选型上优先选用低噪声、低振动设备。 </w:t>
            </w:r>
          </w:p>
          <w:p w14:paraId="00AADAF7">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②高噪声合理布局，远离周围居民，设备均安置在室内，夜间不进行生产；产生振动的设备基础均安装减振垫，风机采用软性链接等。</w:t>
            </w:r>
          </w:p>
          <w:p w14:paraId="1686C000">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③应加产噪设备及降噪措施的维护保养，防止设备故障形成的非正常生产噪声以及噪声防治措施失效造成噪声超标。</w:t>
            </w:r>
          </w:p>
          <w:p w14:paraId="3EDE06A8">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④加强日常管理，提高环保意识尽可能地降低各种噪声对环境的影响。厂房设置隔声窗，运营期门窗紧闭，使噪声受到最大程度的隔绝和吸收。合理安排生产时间，禁止部分高噪声设备夜间运行。 </w:t>
            </w:r>
          </w:p>
          <w:p w14:paraId="5FE4703B">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（4）影响分析</w:t>
            </w:r>
          </w:p>
          <w:p w14:paraId="6F6CA01B">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项目严格按照上述治理措施治理后，项目厂界昼间噪声满足《工业企业厂界环境噪声排放标准》（GB12348-2008）中的2类标准限值。项目建成后厂界噪声对周围声环境质量影响较小，不会降低该区域声环境质量。</w:t>
            </w:r>
          </w:p>
          <w:p w14:paraId="39CC6776">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（5）监测计划</w:t>
            </w:r>
          </w:p>
          <w:p w14:paraId="708D885E">
            <w:pPr>
              <w:keepNext w:val="0"/>
              <w:keepLines w:val="0"/>
              <w:suppressLineNumbers w:val="0"/>
              <w:bidi w:val="0"/>
              <w:spacing w:before="0" w:beforeAutospacing="0" w:after="0" w:afterAutospacing="0" w:line="360" w:lineRule="auto"/>
              <w:ind w:left="0" w:leftChars="0" w:right="0" w:firstLine="420" w:firstLineChars="175"/>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项目运行后厂界噪声监测计划间表4-10。</w:t>
            </w:r>
          </w:p>
          <w:p w14:paraId="4CDEA016">
            <w:pPr>
              <w:pStyle w:val="36"/>
              <w:keepNext w:val="0"/>
              <w:keepLines w:val="0"/>
              <w:suppressLineNumbers w:val="0"/>
              <w:adjustRightInd w:val="0"/>
              <w:spacing w:before="0" w:beforeAutospacing="0" w:after="0" w:afterAutospacing="0" w:line="240" w:lineRule="auto"/>
              <w:ind w:left="0" w:right="0" w:firstLine="42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表4-10  噪声监测要求</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1267"/>
              <w:gridCol w:w="1407"/>
              <w:gridCol w:w="1368"/>
              <w:gridCol w:w="2461"/>
            </w:tblGrid>
            <w:tr w14:paraId="2D856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pct"/>
                  <w:tcBorders>
                    <w:top w:val="single" w:color="auto" w:sz="4" w:space="0"/>
                    <w:left w:val="single" w:color="auto" w:sz="4" w:space="0"/>
                    <w:bottom w:val="single" w:color="auto" w:sz="4" w:space="0"/>
                    <w:right w:val="single" w:color="auto" w:sz="4" w:space="0"/>
                  </w:tcBorders>
                  <w:noWrap w:val="0"/>
                  <w:vAlign w:val="center"/>
                </w:tcPr>
                <w:p w14:paraId="1394A72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污染源名称</w:t>
                  </w:r>
                </w:p>
              </w:tc>
              <w:tc>
                <w:tcPr>
                  <w:tcW w:w="760" w:type="pct"/>
                  <w:tcBorders>
                    <w:top w:val="single" w:color="auto" w:sz="4" w:space="0"/>
                    <w:left w:val="single" w:color="auto" w:sz="4" w:space="0"/>
                    <w:bottom w:val="single" w:color="auto" w:sz="4" w:space="0"/>
                    <w:right w:val="single" w:color="auto" w:sz="4" w:space="0"/>
                  </w:tcBorders>
                  <w:noWrap w:val="0"/>
                  <w:vAlign w:val="center"/>
                </w:tcPr>
                <w:p w14:paraId="764E0E2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844" w:type="pct"/>
                  <w:tcBorders>
                    <w:top w:val="single" w:color="auto" w:sz="4" w:space="0"/>
                    <w:left w:val="single" w:color="auto" w:sz="4" w:space="0"/>
                    <w:bottom w:val="single" w:color="auto" w:sz="4" w:space="0"/>
                    <w:right w:val="single" w:color="auto" w:sz="4" w:space="0"/>
                  </w:tcBorders>
                  <w:noWrap w:val="0"/>
                  <w:vAlign w:val="center"/>
                </w:tcPr>
                <w:p w14:paraId="3B32269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监测点</w:t>
                  </w:r>
                </w:p>
              </w:tc>
              <w:tc>
                <w:tcPr>
                  <w:tcW w:w="821" w:type="pct"/>
                  <w:tcBorders>
                    <w:top w:val="single" w:color="auto" w:sz="4" w:space="0"/>
                    <w:left w:val="single" w:color="auto" w:sz="4" w:space="0"/>
                    <w:bottom w:val="single" w:color="auto" w:sz="4" w:space="0"/>
                    <w:right w:val="single" w:color="auto" w:sz="4" w:space="0"/>
                  </w:tcBorders>
                  <w:noWrap w:val="0"/>
                  <w:vAlign w:val="center"/>
                </w:tcPr>
                <w:p w14:paraId="0399C36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监测频率</w:t>
                  </w:r>
                </w:p>
              </w:tc>
              <w:tc>
                <w:tcPr>
                  <w:tcW w:w="1477" w:type="pct"/>
                  <w:tcBorders>
                    <w:top w:val="single" w:color="auto" w:sz="4" w:space="0"/>
                    <w:left w:val="single" w:color="auto" w:sz="4" w:space="0"/>
                    <w:bottom w:val="single" w:color="auto" w:sz="4" w:space="0"/>
                    <w:right w:val="single" w:color="auto" w:sz="4" w:space="0"/>
                  </w:tcBorders>
                  <w:noWrap w:val="0"/>
                  <w:vAlign w:val="center"/>
                </w:tcPr>
                <w:p w14:paraId="3B491E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备注</w:t>
                  </w:r>
                </w:p>
              </w:tc>
            </w:tr>
            <w:tr w14:paraId="61D06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pct"/>
                  <w:tcBorders>
                    <w:top w:val="single" w:color="auto" w:sz="4" w:space="0"/>
                    <w:left w:val="single" w:color="auto" w:sz="4" w:space="0"/>
                    <w:bottom w:val="single" w:color="auto" w:sz="4" w:space="0"/>
                    <w:right w:val="single" w:color="auto" w:sz="4" w:space="0"/>
                  </w:tcBorders>
                  <w:noWrap w:val="0"/>
                  <w:vAlign w:val="center"/>
                </w:tcPr>
                <w:p w14:paraId="4AE087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厂界噪声</w:t>
                  </w:r>
                </w:p>
              </w:tc>
              <w:tc>
                <w:tcPr>
                  <w:tcW w:w="760" w:type="pct"/>
                  <w:tcBorders>
                    <w:top w:val="single" w:color="auto" w:sz="4" w:space="0"/>
                    <w:left w:val="single" w:color="auto" w:sz="4" w:space="0"/>
                    <w:bottom w:val="single" w:color="auto" w:sz="4" w:space="0"/>
                    <w:right w:val="single" w:color="auto" w:sz="4" w:space="0"/>
                  </w:tcBorders>
                  <w:noWrap w:val="0"/>
                  <w:vAlign w:val="center"/>
                </w:tcPr>
                <w:p w14:paraId="3B9FCB0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Leq（A）</w:t>
                  </w:r>
                </w:p>
              </w:tc>
              <w:tc>
                <w:tcPr>
                  <w:tcW w:w="844" w:type="pct"/>
                  <w:tcBorders>
                    <w:top w:val="single" w:color="auto" w:sz="4" w:space="0"/>
                    <w:left w:val="single" w:color="auto" w:sz="4" w:space="0"/>
                    <w:bottom w:val="single" w:color="auto" w:sz="4" w:space="0"/>
                    <w:right w:val="single" w:color="auto" w:sz="4" w:space="0"/>
                  </w:tcBorders>
                  <w:noWrap w:val="0"/>
                  <w:vAlign w:val="center"/>
                </w:tcPr>
                <w:p w14:paraId="603643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厂界四周</w:t>
                  </w:r>
                </w:p>
              </w:tc>
              <w:tc>
                <w:tcPr>
                  <w:tcW w:w="821" w:type="pct"/>
                  <w:tcBorders>
                    <w:top w:val="single" w:color="auto" w:sz="4" w:space="0"/>
                    <w:left w:val="single" w:color="auto" w:sz="4" w:space="0"/>
                    <w:bottom w:val="single" w:color="auto" w:sz="4" w:space="0"/>
                    <w:right w:val="single" w:color="auto" w:sz="4" w:space="0"/>
                  </w:tcBorders>
                  <w:noWrap w:val="0"/>
                  <w:vAlign w:val="center"/>
                </w:tcPr>
                <w:p w14:paraId="27A1264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1次/季度</w:t>
                  </w:r>
                </w:p>
              </w:tc>
              <w:tc>
                <w:tcPr>
                  <w:tcW w:w="1477" w:type="pct"/>
                  <w:tcBorders>
                    <w:top w:val="single" w:color="auto" w:sz="4" w:space="0"/>
                    <w:left w:val="single" w:color="auto" w:sz="4" w:space="0"/>
                    <w:bottom w:val="single" w:color="auto" w:sz="4" w:space="0"/>
                    <w:right w:val="single" w:color="auto" w:sz="4" w:space="0"/>
                  </w:tcBorders>
                  <w:noWrap w:val="0"/>
                  <w:vAlign w:val="center"/>
                </w:tcPr>
                <w:p w14:paraId="39268B0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与现有工程监测频次一致，不新增监测点位</w:t>
                  </w:r>
                </w:p>
              </w:tc>
            </w:tr>
          </w:tbl>
          <w:p w14:paraId="02453217">
            <w:pPr>
              <w:spacing w:line="360" w:lineRule="auto"/>
              <w:ind w:firstLine="482"/>
              <w:rPr>
                <w:rFonts w:hint="default" w:ascii="Times New Roman" w:hAnsi="Times New Roman" w:eastAsia="宋体" w:cs="Times New Roman"/>
                <w:b/>
                <w:bCs/>
                <w:color w:val="auto"/>
                <w:kern w:val="0"/>
                <w:sz w:val="24"/>
                <w:szCs w:val="20"/>
              </w:rPr>
            </w:pPr>
            <w:r>
              <w:rPr>
                <w:rFonts w:hint="default" w:ascii="Times New Roman" w:hAnsi="Times New Roman" w:eastAsia="宋体" w:cs="Times New Roman"/>
                <w:b/>
                <w:bCs/>
                <w:color w:val="auto"/>
                <w:kern w:val="0"/>
                <w:sz w:val="24"/>
                <w:szCs w:val="20"/>
              </w:rPr>
              <w:t>4、固体废弃物</w:t>
            </w:r>
          </w:p>
          <w:p w14:paraId="0388EF96">
            <w:pPr>
              <w:spacing w:line="360" w:lineRule="auto"/>
              <w:ind w:firstLine="480" w:firstLineChars="200"/>
              <w:rPr>
                <w:rFonts w:hint="default" w:ascii="Times New Roman" w:hAnsi="Times New Roman" w:eastAsia="宋体" w:cs="Times New Roman"/>
                <w:bCs/>
                <w:color w:val="auto"/>
                <w:kern w:val="0"/>
                <w:sz w:val="24"/>
                <w:szCs w:val="20"/>
              </w:rPr>
            </w:pP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1</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rPr>
              <w:t>固体废弃物</w:t>
            </w:r>
            <w:r>
              <w:rPr>
                <w:rFonts w:hint="default" w:ascii="Times New Roman" w:hAnsi="Times New Roman" w:eastAsia="宋体" w:cs="Times New Roman"/>
                <w:bCs/>
                <w:color w:val="auto"/>
                <w:kern w:val="0"/>
                <w:sz w:val="24"/>
                <w:szCs w:val="20"/>
                <w:lang w:val="en-US" w:eastAsia="zh-CN"/>
              </w:rPr>
              <w:t>产排</w:t>
            </w:r>
            <w:r>
              <w:rPr>
                <w:rFonts w:hint="default" w:ascii="Times New Roman" w:hAnsi="Times New Roman" w:eastAsia="宋体" w:cs="Times New Roman"/>
                <w:bCs/>
                <w:color w:val="auto"/>
                <w:kern w:val="0"/>
                <w:sz w:val="24"/>
                <w:szCs w:val="20"/>
              </w:rPr>
              <w:t>情况</w:t>
            </w:r>
          </w:p>
          <w:p w14:paraId="7B9E7FB9">
            <w:pPr>
              <w:spacing w:line="360" w:lineRule="auto"/>
              <w:ind w:firstLine="480" w:firstLineChars="200"/>
              <w:rPr>
                <w:rFonts w:hint="default" w:ascii="Times New Roman" w:hAnsi="Times New Roman" w:eastAsia="宋体" w:cs="Times New Roman"/>
                <w:bCs/>
                <w:color w:val="auto"/>
                <w:kern w:val="0"/>
                <w:sz w:val="24"/>
                <w:szCs w:val="20"/>
              </w:rPr>
            </w:pPr>
            <w:r>
              <w:rPr>
                <w:rFonts w:hint="default" w:ascii="Times New Roman" w:hAnsi="Times New Roman" w:eastAsia="宋体" w:cs="Times New Roman"/>
                <w:bCs/>
                <w:color w:val="auto"/>
                <w:kern w:val="0"/>
                <w:sz w:val="24"/>
                <w:szCs w:val="20"/>
              </w:rPr>
              <w:t>本项目</w:t>
            </w:r>
            <w:r>
              <w:rPr>
                <w:rFonts w:hint="default" w:ascii="Times New Roman" w:hAnsi="Times New Roman" w:eastAsia="宋体" w:cs="Times New Roman"/>
                <w:bCs/>
                <w:color w:val="auto"/>
                <w:kern w:val="0"/>
                <w:sz w:val="24"/>
                <w:szCs w:val="20"/>
                <w:lang w:val="en-US" w:eastAsia="zh-CN"/>
              </w:rPr>
              <w:t>不新增劳动定员，因此无生活垃圾产生，</w:t>
            </w:r>
            <w:r>
              <w:rPr>
                <w:rFonts w:hint="default" w:ascii="Times New Roman" w:hAnsi="Times New Roman" w:eastAsia="宋体" w:cs="Times New Roman"/>
                <w:bCs/>
                <w:color w:val="auto"/>
                <w:kern w:val="0"/>
                <w:sz w:val="24"/>
                <w:szCs w:val="20"/>
              </w:rPr>
              <w:t>产生固废主要为生产固废。</w:t>
            </w:r>
          </w:p>
          <w:p w14:paraId="15C9813B">
            <w:pPr>
              <w:spacing w:line="360" w:lineRule="auto"/>
              <w:ind w:firstLine="480" w:firstLineChars="200"/>
              <w:contextualSpacing/>
              <w:rPr>
                <w:rFonts w:hint="default" w:ascii="Times New Roman" w:hAnsi="Times New Roman" w:eastAsia="宋体" w:cs="Times New Roman"/>
                <w:bCs/>
                <w:color w:val="auto"/>
                <w:kern w:val="0"/>
                <w:sz w:val="24"/>
                <w:szCs w:val="20"/>
              </w:rPr>
            </w:pPr>
            <w:r>
              <w:rPr>
                <w:rFonts w:hint="default" w:ascii="Times New Roman" w:hAnsi="Times New Roman" w:eastAsia="宋体" w:cs="Times New Roman"/>
                <w:bCs/>
                <w:color w:val="auto"/>
                <w:kern w:val="0"/>
                <w:sz w:val="24"/>
                <w:szCs w:val="20"/>
              </w:rPr>
              <w:t>①生产固废</w:t>
            </w:r>
          </w:p>
          <w:p w14:paraId="3FC1979A">
            <w:pPr>
              <w:spacing w:line="360" w:lineRule="auto"/>
              <w:ind w:firstLine="480" w:firstLineChars="200"/>
              <w:contextualSpacing/>
              <w:rPr>
                <w:rFonts w:hint="default" w:ascii="Times New Roman" w:hAnsi="Times New Roman" w:eastAsia="宋体" w:cs="Times New Roman"/>
                <w:bCs/>
                <w:color w:val="auto"/>
                <w:kern w:val="0"/>
                <w:sz w:val="24"/>
                <w:szCs w:val="20"/>
              </w:rPr>
            </w:pPr>
            <w:r>
              <w:rPr>
                <w:rFonts w:hint="default" w:ascii="Times New Roman" w:hAnsi="Times New Roman" w:eastAsia="宋体" w:cs="Times New Roman"/>
                <w:bCs/>
                <w:color w:val="auto"/>
                <w:kern w:val="0"/>
                <w:sz w:val="24"/>
                <w:szCs w:val="20"/>
              </w:rPr>
              <w:t>本项目生产固废主要包括一般固废：</w:t>
            </w:r>
            <w:r>
              <w:rPr>
                <w:rFonts w:hint="default" w:ascii="Times New Roman" w:hAnsi="Times New Roman" w:eastAsia="宋体" w:cs="Times New Roman"/>
                <w:bCs/>
                <w:color w:val="auto"/>
                <w:kern w:val="0"/>
                <w:sz w:val="24"/>
                <w:szCs w:val="20"/>
                <w:lang w:val="en-US" w:eastAsia="zh-CN"/>
              </w:rPr>
              <w:t>废金属碎屑</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废金属边角料、焊渣、除尘器收尘、废催化剂</w:t>
            </w:r>
            <w:r>
              <w:rPr>
                <w:rFonts w:hint="default" w:ascii="Times New Roman" w:hAnsi="Times New Roman" w:eastAsia="宋体" w:cs="Times New Roman"/>
                <w:bCs/>
                <w:color w:val="auto"/>
                <w:kern w:val="0"/>
                <w:sz w:val="24"/>
                <w:szCs w:val="20"/>
              </w:rPr>
              <w:t>；危险废物</w:t>
            </w:r>
            <w:r>
              <w:rPr>
                <w:rFonts w:hint="default" w:ascii="Times New Roman" w:hAnsi="Times New Roman" w:eastAsia="宋体" w:cs="Times New Roman"/>
                <w:bCs/>
                <w:color w:val="auto"/>
                <w:kern w:val="0"/>
                <w:sz w:val="24"/>
                <w:szCs w:val="20"/>
                <w:highlight w:val="none"/>
              </w:rPr>
              <w:t>：</w:t>
            </w:r>
            <w:r>
              <w:rPr>
                <w:rFonts w:hint="default" w:ascii="Times New Roman" w:hAnsi="Times New Roman" w:eastAsia="宋体" w:cs="Times New Roman"/>
                <w:bCs/>
                <w:color w:val="auto"/>
                <w:kern w:val="0"/>
                <w:sz w:val="24"/>
                <w:szCs w:val="20"/>
                <w:highlight w:val="none"/>
                <w:lang w:val="en-US" w:eastAsia="zh-CN"/>
              </w:rPr>
              <w:t>废切削液、</w:t>
            </w:r>
            <w:r>
              <w:rPr>
                <w:rFonts w:hint="default" w:ascii="Times New Roman" w:hAnsi="Times New Roman" w:eastAsia="宋体" w:cs="Times New Roman"/>
                <w:bCs/>
                <w:color w:val="auto"/>
                <w:kern w:val="0"/>
                <w:sz w:val="24"/>
                <w:szCs w:val="20"/>
                <w:highlight w:val="none"/>
              </w:rPr>
              <w:t>废</w:t>
            </w:r>
            <w:r>
              <w:rPr>
                <w:rFonts w:hint="default" w:ascii="Times New Roman" w:hAnsi="Times New Roman" w:eastAsia="宋体" w:cs="Times New Roman"/>
                <w:b w:val="0"/>
                <w:bCs w:val="0"/>
                <w:color w:val="auto"/>
                <w:spacing w:val="0"/>
                <w:sz w:val="24"/>
                <w:szCs w:val="24"/>
                <w:lang w:val="en-US" w:eastAsia="zh-CN"/>
              </w:rPr>
              <w:t>润滑油</w:t>
            </w:r>
            <w:r>
              <w:rPr>
                <w:rFonts w:hint="default" w:ascii="Times New Roman" w:hAnsi="Times New Roman" w:eastAsia="宋体" w:cs="Times New Roman"/>
                <w:bCs/>
                <w:color w:val="auto"/>
                <w:kern w:val="0"/>
                <w:sz w:val="24"/>
                <w:szCs w:val="20"/>
                <w:highlight w:val="none"/>
                <w:lang w:val="en-US" w:eastAsia="zh-CN"/>
              </w:rPr>
              <w:t>、含油废手套及抹布、废油漆桶、废漆渣、废活性炭、废滤芯</w:t>
            </w:r>
            <w:r>
              <w:rPr>
                <w:rFonts w:hint="default" w:ascii="Times New Roman" w:hAnsi="Times New Roman" w:eastAsia="宋体" w:cs="Times New Roman"/>
                <w:bCs/>
                <w:color w:val="auto"/>
                <w:kern w:val="0"/>
                <w:sz w:val="24"/>
                <w:szCs w:val="20"/>
              </w:rPr>
              <w:t>。</w:t>
            </w:r>
          </w:p>
          <w:p w14:paraId="366B160B">
            <w:pPr>
              <w:spacing w:line="360" w:lineRule="auto"/>
              <w:ind w:firstLine="480" w:firstLineChars="200"/>
              <w:contextualSpacing/>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废金属边角料、废金属屑主要为钢材</w:t>
            </w:r>
            <w:r>
              <w:rPr>
                <w:rFonts w:hint="default" w:ascii="Times New Roman" w:hAnsi="Times New Roman" w:eastAsia="宋体" w:cs="Times New Roman"/>
                <w:color w:val="auto"/>
                <w:sz w:val="24"/>
                <w:szCs w:val="24"/>
                <w:lang w:val="en-US" w:eastAsia="zh-CN"/>
              </w:rPr>
              <w:t>机加</w:t>
            </w:r>
            <w:r>
              <w:rPr>
                <w:rFonts w:hint="default" w:ascii="Times New Roman" w:hAnsi="Times New Roman" w:eastAsia="宋体" w:cs="Times New Roman"/>
                <w:color w:val="auto"/>
                <w:sz w:val="24"/>
                <w:szCs w:val="24"/>
              </w:rPr>
              <w:t>过程中会产生</w:t>
            </w:r>
            <w:r>
              <w:rPr>
                <w:rFonts w:hint="default" w:ascii="Times New Roman" w:hAnsi="Times New Roman" w:eastAsia="宋体" w:cs="Times New Roman"/>
                <w:color w:val="auto"/>
                <w:sz w:val="24"/>
                <w:szCs w:val="24"/>
                <w:lang w:val="en-US" w:eastAsia="zh-CN"/>
              </w:rPr>
              <w:t>固体废物</w:t>
            </w:r>
            <w:r>
              <w:rPr>
                <w:rFonts w:hint="default" w:ascii="Times New Roman" w:hAnsi="Times New Roman" w:eastAsia="宋体" w:cs="Times New Roman"/>
                <w:color w:val="auto"/>
                <w:sz w:val="24"/>
                <w:szCs w:val="24"/>
              </w:rPr>
              <w:t>，约为原料的</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‰，计算</w:t>
            </w:r>
            <w:r>
              <w:rPr>
                <w:rFonts w:hint="default" w:ascii="Times New Roman" w:hAnsi="Times New Roman" w:eastAsia="宋体" w:cs="Times New Roman"/>
                <w:color w:val="auto"/>
                <w:sz w:val="24"/>
                <w:szCs w:val="24"/>
                <w:lang w:val="en-US" w:eastAsia="zh-CN"/>
              </w:rPr>
              <w:t>废</w:t>
            </w:r>
            <w:r>
              <w:rPr>
                <w:rFonts w:hint="default" w:ascii="Times New Roman" w:hAnsi="Times New Roman" w:eastAsia="宋体" w:cs="Times New Roman"/>
                <w:bCs/>
                <w:color w:val="auto"/>
                <w:kern w:val="0"/>
                <w:sz w:val="24"/>
                <w:szCs w:val="20"/>
                <w:lang w:val="en-US" w:eastAsia="zh-CN"/>
              </w:rPr>
              <w:t>边角料、废金属屑</w:t>
            </w:r>
            <w:r>
              <w:rPr>
                <w:rFonts w:hint="default" w:ascii="Times New Roman" w:hAnsi="Times New Roman" w:eastAsia="宋体" w:cs="Times New Roman"/>
                <w:color w:val="auto"/>
                <w:sz w:val="24"/>
                <w:szCs w:val="24"/>
                <w:lang w:val="en-US" w:eastAsia="zh-CN"/>
              </w:rPr>
              <w:t>产生量为11.5/a，</w:t>
            </w:r>
            <w:r>
              <w:rPr>
                <w:rFonts w:hint="default" w:ascii="Times New Roman" w:hAnsi="Times New Roman" w:eastAsia="宋体" w:cs="Times New Roman"/>
                <w:bCs/>
                <w:color w:val="auto"/>
                <w:kern w:val="0"/>
                <w:sz w:val="24"/>
                <w:szCs w:val="20"/>
                <w:lang w:val="en-US" w:eastAsia="zh-CN"/>
              </w:rPr>
              <w:t>收集后统一外售处理。</w:t>
            </w:r>
            <w:r>
              <w:rPr>
                <w:rFonts w:hint="default" w:ascii="Times New Roman" w:hAnsi="Times New Roman" w:eastAsia="宋体" w:cs="Times New Roman"/>
                <w:bCs/>
                <w:color w:val="auto"/>
                <w:kern w:val="0"/>
                <w:sz w:val="24"/>
                <w:szCs w:val="20"/>
              </w:rPr>
              <w:t>根据</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lang w:eastAsia="zh-CN"/>
              </w:rPr>
              <w:t>固体废物分类与代码目录</w:t>
            </w:r>
            <w:r>
              <w:rPr>
                <w:rFonts w:hint="default" w:ascii="Times New Roman" w:hAnsi="Times New Roman" w:eastAsia="宋体" w:cs="Times New Roman"/>
                <w:bCs/>
                <w:color w:val="auto"/>
                <w:kern w:val="0"/>
                <w:sz w:val="24"/>
              </w:rPr>
              <w:t>》（</w:t>
            </w:r>
            <w:r>
              <w:rPr>
                <w:rFonts w:hint="default" w:ascii="Times New Roman" w:hAnsi="Times New Roman" w:eastAsia="宋体" w:cs="Times New Roman"/>
                <w:bCs/>
                <w:color w:val="auto"/>
                <w:kern w:val="0"/>
                <w:sz w:val="24"/>
                <w:highlight w:val="none"/>
                <w:lang w:val="en-US" w:eastAsia="zh-CN"/>
              </w:rPr>
              <w:t>生态环境部公告2024年第4号</w:t>
            </w:r>
            <w:r>
              <w:rPr>
                <w:rFonts w:hint="default" w:ascii="Times New Roman" w:hAnsi="Times New Roman" w:eastAsia="宋体" w:cs="Times New Roman"/>
                <w:bCs/>
                <w:color w:val="auto"/>
                <w:kern w:val="0"/>
                <w:sz w:val="24"/>
              </w:rPr>
              <w:t>），属于</w:t>
            </w:r>
            <w:r>
              <w:rPr>
                <w:rFonts w:hint="default" w:ascii="Times New Roman" w:hAnsi="Times New Roman" w:eastAsia="宋体" w:cs="Times New Roman"/>
                <w:bCs/>
                <w:color w:val="auto"/>
                <w:kern w:val="0"/>
                <w:sz w:val="24"/>
                <w:lang w:val="en-US" w:eastAsia="zh-CN"/>
              </w:rPr>
              <w:t>SW17可再生类废物中的废钢铁</w:t>
            </w:r>
            <w:r>
              <w:rPr>
                <w:rFonts w:hint="default" w:ascii="Times New Roman" w:hAnsi="Times New Roman" w:eastAsia="宋体" w:cs="Times New Roman"/>
                <w:bCs/>
                <w:color w:val="auto"/>
                <w:kern w:val="0"/>
                <w:sz w:val="24"/>
              </w:rPr>
              <w:t>，代码为</w:t>
            </w:r>
            <w:r>
              <w:rPr>
                <w:rFonts w:hint="default" w:ascii="Times New Roman" w:hAnsi="Times New Roman" w:eastAsia="宋体" w:cs="Times New Roman"/>
                <w:bCs/>
                <w:color w:val="auto"/>
                <w:kern w:val="0"/>
                <w:sz w:val="24"/>
                <w:lang w:val="en-US" w:eastAsia="zh-CN"/>
              </w:rPr>
              <w:t>900-001-S17</w:t>
            </w:r>
            <w:r>
              <w:rPr>
                <w:rFonts w:hint="default" w:ascii="Times New Roman" w:hAnsi="Times New Roman" w:eastAsia="宋体" w:cs="Times New Roman"/>
                <w:bCs/>
                <w:color w:val="auto"/>
                <w:kern w:val="0"/>
                <w:sz w:val="24"/>
                <w:szCs w:val="20"/>
              </w:rPr>
              <w:t>。</w:t>
            </w:r>
          </w:p>
          <w:p w14:paraId="62556B23">
            <w:pPr>
              <w:spacing w:line="360" w:lineRule="auto"/>
              <w:ind w:firstLine="480" w:firstLineChars="200"/>
              <w:contextualSpacing/>
              <w:rPr>
                <w:rFonts w:hint="default" w:ascii="Times New Roman" w:hAnsi="Times New Roman" w:eastAsia="宋体" w:cs="Times New Roman"/>
                <w:bCs/>
                <w:color w:val="auto"/>
                <w:kern w:val="0"/>
                <w:sz w:val="24"/>
                <w:lang w:val="en-US" w:eastAsia="zh-CN"/>
              </w:rPr>
            </w:pPr>
            <w:r>
              <w:rPr>
                <w:rFonts w:hint="default" w:ascii="Times New Roman" w:hAnsi="Times New Roman" w:eastAsia="宋体" w:cs="Times New Roman"/>
                <w:bCs/>
                <w:color w:val="auto"/>
                <w:kern w:val="0"/>
                <w:sz w:val="24"/>
                <w:szCs w:val="20"/>
                <w:lang w:val="en-US" w:eastAsia="zh-CN"/>
              </w:rPr>
              <w:t>焊渣产生量约占焊丝使用量的1%，计算焊渣产生量为0.25t/a</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bCs/>
                <w:color w:val="auto"/>
                <w:kern w:val="0"/>
                <w:sz w:val="24"/>
                <w:szCs w:val="20"/>
                <w:lang w:val="en-US" w:eastAsia="zh-CN"/>
              </w:rPr>
              <w:t>收集后统一外售处理。</w:t>
            </w:r>
            <w:r>
              <w:rPr>
                <w:rFonts w:hint="default" w:ascii="Times New Roman" w:hAnsi="Times New Roman" w:eastAsia="宋体" w:cs="Times New Roman"/>
                <w:bCs/>
                <w:color w:val="auto"/>
                <w:kern w:val="0"/>
                <w:sz w:val="24"/>
                <w:szCs w:val="20"/>
              </w:rPr>
              <w:t>根据</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lang w:eastAsia="zh-CN"/>
              </w:rPr>
              <w:t>固体废物分类与代码目录</w:t>
            </w:r>
            <w:r>
              <w:rPr>
                <w:rFonts w:hint="default" w:ascii="Times New Roman" w:hAnsi="Times New Roman" w:eastAsia="宋体" w:cs="Times New Roman"/>
                <w:bCs/>
                <w:color w:val="auto"/>
                <w:kern w:val="0"/>
                <w:sz w:val="24"/>
              </w:rPr>
              <w:t>》（</w:t>
            </w:r>
            <w:r>
              <w:rPr>
                <w:rFonts w:hint="default" w:ascii="Times New Roman" w:hAnsi="Times New Roman" w:eastAsia="宋体" w:cs="Times New Roman"/>
                <w:bCs/>
                <w:color w:val="auto"/>
                <w:kern w:val="0"/>
                <w:sz w:val="24"/>
                <w:highlight w:val="none"/>
                <w:lang w:val="en-US" w:eastAsia="zh-CN"/>
              </w:rPr>
              <w:t>生态环境部公告2024年第4号</w:t>
            </w:r>
            <w:r>
              <w:rPr>
                <w:rFonts w:hint="default" w:ascii="Times New Roman" w:hAnsi="Times New Roman" w:eastAsia="宋体" w:cs="Times New Roman"/>
                <w:bCs/>
                <w:color w:val="auto"/>
                <w:kern w:val="0"/>
                <w:sz w:val="24"/>
              </w:rPr>
              <w:t>），属于</w:t>
            </w:r>
            <w:r>
              <w:rPr>
                <w:rFonts w:hint="default" w:ascii="Times New Roman" w:hAnsi="Times New Roman" w:eastAsia="宋体" w:cs="Times New Roman"/>
                <w:bCs/>
                <w:color w:val="auto"/>
                <w:kern w:val="0"/>
                <w:sz w:val="24"/>
                <w:lang w:val="en-US" w:eastAsia="zh-CN"/>
              </w:rPr>
              <w:t>SW59其他工业固体废物</w:t>
            </w:r>
            <w:r>
              <w:rPr>
                <w:rFonts w:hint="default" w:ascii="Times New Roman" w:hAnsi="Times New Roman" w:eastAsia="宋体" w:cs="Times New Roman"/>
                <w:bCs/>
                <w:color w:val="auto"/>
                <w:kern w:val="0"/>
                <w:sz w:val="24"/>
              </w:rPr>
              <w:t>，代码为</w:t>
            </w:r>
            <w:r>
              <w:rPr>
                <w:rFonts w:hint="default" w:ascii="Times New Roman" w:hAnsi="Times New Roman" w:eastAsia="宋体" w:cs="Times New Roman"/>
                <w:bCs/>
                <w:color w:val="auto"/>
                <w:kern w:val="0"/>
                <w:sz w:val="24"/>
                <w:lang w:val="en-US" w:eastAsia="zh-CN"/>
              </w:rPr>
              <w:t>900-099-S59。</w:t>
            </w:r>
          </w:p>
          <w:p w14:paraId="10CE61F8">
            <w:pPr>
              <w:spacing w:line="360" w:lineRule="auto"/>
              <w:ind w:firstLine="480" w:firstLineChars="200"/>
              <w:contextualSpacing/>
              <w:rPr>
                <w:rFonts w:hint="default" w:ascii="Times New Roman" w:hAnsi="Times New Roman" w:eastAsia="宋体" w:cs="Times New Roman"/>
                <w:bCs/>
                <w:color w:val="auto"/>
                <w:kern w:val="0"/>
                <w:sz w:val="24"/>
                <w:szCs w:val="20"/>
              </w:rPr>
            </w:pPr>
            <w:r>
              <w:rPr>
                <w:rFonts w:hint="default" w:ascii="Times New Roman" w:hAnsi="Times New Roman" w:eastAsia="宋体" w:cs="Times New Roman"/>
                <w:bCs/>
                <w:color w:val="auto"/>
                <w:kern w:val="0"/>
                <w:sz w:val="24"/>
                <w:lang w:val="en-US" w:eastAsia="zh-CN"/>
              </w:rPr>
              <w:t>除尘器收尘主要为喷砂设备自带滤筒除尘器和焊接工段滤筒除尘器收尘，根据工程分析结果，除尘器收尘产生量为2.05t/a</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bCs/>
                <w:color w:val="auto"/>
                <w:kern w:val="0"/>
                <w:sz w:val="24"/>
                <w:szCs w:val="20"/>
                <w:lang w:val="en-US" w:eastAsia="zh-CN"/>
              </w:rPr>
              <w:t>收集后统一外售处理。</w:t>
            </w:r>
            <w:r>
              <w:rPr>
                <w:rFonts w:hint="default" w:ascii="Times New Roman" w:hAnsi="Times New Roman" w:eastAsia="宋体" w:cs="Times New Roman"/>
                <w:bCs/>
                <w:color w:val="auto"/>
                <w:kern w:val="0"/>
                <w:sz w:val="24"/>
                <w:szCs w:val="20"/>
              </w:rPr>
              <w:t>根据</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lang w:eastAsia="zh-CN"/>
              </w:rPr>
              <w:t>固体废物分类与代码目录</w:t>
            </w:r>
            <w:r>
              <w:rPr>
                <w:rFonts w:hint="default" w:ascii="Times New Roman" w:hAnsi="Times New Roman" w:eastAsia="宋体" w:cs="Times New Roman"/>
                <w:bCs/>
                <w:color w:val="auto"/>
                <w:kern w:val="0"/>
                <w:sz w:val="24"/>
              </w:rPr>
              <w:t>》（</w:t>
            </w:r>
            <w:r>
              <w:rPr>
                <w:rFonts w:hint="default" w:ascii="Times New Roman" w:hAnsi="Times New Roman" w:eastAsia="宋体" w:cs="Times New Roman"/>
                <w:bCs/>
                <w:color w:val="auto"/>
                <w:kern w:val="0"/>
                <w:sz w:val="24"/>
                <w:highlight w:val="none"/>
                <w:lang w:val="en-US" w:eastAsia="zh-CN"/>
              </w:rPr>
              <w:t>生态环境部公告2024年第4号</w:t>
            </w:r>
            <w:r>
              <w:rPr>
                <w:rFonts w:hint="default" w:ascii="Times New Roman" w:hAnsi="Times New Roman" w:eastAsia="宋体" w:cs="Times New Roman"/>
                <w:bCs/>
                <w:color w:val="auto"/>
                <w:kern w:val="0"/>
                <w:sz w:val="24"/>
              </w:rPr>
              <w:t>），属于</w:t>
            </w:r>
            <w:r>
              <w:rPr>
                <w:rFonts w:hint="default" w:ascii="Times New Roman" w:hAnsi="Times New Roman" w:eastAsia="宋体" w:cs="Times New Roman"/>
                <w:bCs/>
                <w:color w:val="auto"/>
                <w:kern w:val="0"/>
                <w:sz w:val="24"/>
                <w:lang w:val="en-US" w:eastAsia="zh-CN"/>
              </w:rPr>
              <w:t>SW17可再生类废物中的废钢铁</w:t>
            </w:r>
            <w:r>
              <w:rPr>
                <w:rFonts w:hint="default" w:ascii="Times New Roman" w:hAnsi="Times New Roman" w:eastAsia="宋体" w:cs="Times New Roman"/>
                <w:bCs/>
                <w:color w:val="auto"/>
                <w:kern w:val="0"/>
                <w:sz w:val="24"/>
              </w:rPr>
              <w:t>，代码为</w:t>
            </w:r>
            <w:r>
              <w:rPr>
                <w:rFonts w:hint="default" w:ascii="Times New Roman" w:hAnsi="Times New Roman" w:eastAsia="宋体" w:cs="Times New Roman"/>
                <w:bCs/>
                <w:color w:val="auto"/>
                <w:kern w:val="0"/>
                <w:sz w:val="24"/>
                <w:lang w:val="en-US" w:eastAsia="zh-CN"/>
              </w:rPr>
              <w:t>900-001-S17</w:t>
            </w:r>
            <w:r>
              <w:rPr>
                <w:rFonts w:hint="default" w:ascii="Times New Roman" w:hAnsi="Times New Roman" w:eastAsia="宋体" w:cs="Times New Roman"/>
                <w:bCs/>
                <w:color w:val="auto"/>
                <w:kern w:val="0"/>
                <w:sz w:val="24"/>
                <w:szCs w:val="20"/>
              </w:rPr>
              <w:t>。</w:t>
            </w:r>
          </w:p>
          <w:p w14:paraId="7DA5F24B">
            <w:pPr>
              <w:spacing w:line="360" w:lineRule="auto"/>
              <w:ind w:firstLine="480" w:firstLineChars="200"/>
              <w:contextualSpacing/>
              <w:rPr>
                <w:rFonts w:hint="default" w:ascii="Times New Roman" w:hAnsi="Times New Roman" w:eastAsia="宋体" w:cs="Times New Roman"/>
                <w:bCs/>
                <w:color w:val="auto"/>
                <w:kern w:val="0"/>
                <w:sz w:val="24"/>
                <w:szCs w:val="20"/>
                <w:lang w:val="en-US" w:eastAsia="zh-CN"/>
              </w:rPr>
            </w:pPr>
            <w:r>
              <w:rPr>
                <w:rFonts w:hint="default" w:ascii="Times New Roman" w:hAnsi="Times New Roman" w:eastAsia="宋体" w:cs="Times New Roman"/>
                <w:bCs/>
                <w:color w:val="auto"/>
                <w:kern w:val="0"/>
                <w:sz w:val="24"/>
                <w:szCs w:val="20"/>
                <w:lang w:val="en-US" w:eastAsia="zh-CN"/>
              </w:rPr>
              <w:t>废催化剂主要为喷漆房有机废气处理设施定期更换的废催化剂，更换周期为3a，更换量为0.32t。由于本项目喷漆废气依托现有工程有机废气处理措施处理，且本项目建成后，不影响废催化剂更换周期，因此本次评价不再重复计算。</w:t>
            </w:r>
          </w:p>
          <w:p w14:paraId="3AC3B9F9">
            <w:pPr>
              <w:spacing w:line="360" w:lineRule="auto"/>
              <w:ind w:firstLine="480" w:firstLineChars="200"/>
              <w:rPr>
                <w:rFonts w:hint="default" w:ascii="Times New Roman" w:hAnsi="Times New Roman" w:eastAsia="宋体" w:cs="Times New Roman"/>
                <w:color w:val="auto"/>
                <w:kern w:val="0"/>
                <w:sz w:val="24"/>
                <w:szCs w:val="22"/>
              </w:rPr>
            </w:pPr>
            <w:r>
              <w:rPr>
                <w:rFonts w:hint="default" w:ascii="Times New Roman" w:hAnsi="Times New Roman" w:eastAsia="宋体" w:cs="Times New Roman"/>
                <w:bCs/>
                <w:color w:val="auto"/>
                <w:kern w:val="0"/>
                <w:sz w:val="24"/>
                <w:szCs w:val="20"/>
                <w:lang w:val="en-US" w:eastAsia="zh-CN"/>
              </w:rPr>
              <w:t>废润滑油的产生量约0.61t/a，</w:t>
            </w:r>
            <w:r>
              <w:rPr>
                <w:rFonts w:hint="default" w:ascii="Times New Roman" w:hAnsi="Times New Roman" w:eastAsia="宋体" w:cs="Times New Roman"/>
                <w:color w:val="auto"/>
                <w:kern w:val="0"/>
                <w:sz w:val="24"/>
                <w:szCs w:val="22"/>
              </w:rPr>
              <w:t>属于危险废物（类别为HW08</w:t>
            </w:r>
            <w:r>
              <w:rPr>
                <w:rFonts w:hint="default" w:ascii="Times New Roman" w:hAnsi="Times New Roman" w:eastAsia="宋体" w:cs="Times New Roman"/>
                <w:color w:val="auto"/>
                <w:kern w:val="0"/>
                <w:sz w:val="24"/>
                <w:szCs w:val="22"/>
                <w:lang w:val="en-US" w:eastAsia="zh-CN"/>
              </w:rPr>
              <w:t>废矿物油与含矿物油废物</w:t>
            </w:r>
            <w:r>
              <w:rPr>
                <w:rFonts w:hint="default" w:ascii="Times New Roman" w:hAnsi="Times New Roman" w:eastAsia="宋体" w:cs="Times New Roman"/>
                <w:color w:val="auto"/>
                <w:kern w:val="0"/>
                <w:sz w:val="24"/>
                <w:szCs w:val="22"/>
              </w:rPr>
              <w:t>，</w:t>
            </w:r>
            <w:r>
              <w:rPr>
                <w:rFonts w:hint="default" w:ascii="Times New Roman" w:hAnsi="Times New Roman" w:eastAsia="宋体" w:cs="Times New Roman"/>
                <w:color w:val="auto"/>
                <w:kern w:val="0"/>
                <w:sz w:val="24"/>
                <w:szCs w:val="22"/>
                <w:lang w:val="en-US" w:eastAsia="zh-CN"/>
              </w:rPr>
              <w:t>车辆、轮船及其它机械维修过程中产生的废发动机油、制动器油、自动变速器油、齿轮油等废矿物油</w:t>
            </w:r>
            <w:r>
              <w:rPr>
                <w:rFonts w:hint="default" w:ascii="Times New Roman" w:hAnsi="Times New Roman" w:eastAsia="宋体" w:cs="Times New Roman"/>
                <w:color w:val="auto"/>
                <w:kern w:val="0"/>
                <w:sz w:val="24"/>
                <w:szCs w:val="22"/>
              </w:rPr>
              <w:t>，代码为900-2</w:t>
            </w:r>
            <w:r>
              <w:rPr>
                <w:rFonts w:hint="default" w:ascii="Times New Roman" w:hAnsi="Times New Roman" w:eastAsia="宋体" w:cs="Times New Roman"/>
                <w:color w:val="auto"/>
                <w:kern w:val="0"/>
                <w:sz w:val="24"/>
                <w:szCs w:val="22"/>
                <w:lang w:val="en-US" w:eastAsia="zh-CN"/>
              </w:rPr>
              <w:t>14</w:t>
            </w:r>
            <w:r>
              <w:rPr>
                <w:rFonts w:hint="default" w:ascii="Times New Roman" w:hAnsi="Times New Roman" w:eastAsia="宋体" w:cs="Times New Roman"/>
                <w:color w:val="auto"/>
                <w:kern w:val="0"/>
                <w:sz w:val="24"/>
                <w:szCs w:val="22"/>
              </w:rPr>
              <w:t>-08）</w:t>
            </w:r>
            <w:r>
              <w:rPr>
                <w:rFonts w:hint="default" w:ascii="Times New Roman" w:hAnsi="Times New Roman" w:eastAsia="宋体" w:cs="Times New Roman"/>
                <w:color w:val="auto"/>
                <w:kern w:val="0"/>
                <w:sz w:val="24"/>
                <w:szCs w:val="22"/>
                <w:lang w:eastAsia="zh-CN"/>
              </w:rPr>
              <w:t>，</w:t>
            </w:r>
            <w:r>
              <w:rPr>
                <w:rFonts w:hint="default" w:ascii="Times New Roman" w:hAnsi="Times New Roman" w:eastAsia="宋体" w:cs="Times New Roman"/>
                <w:color w:val="auto"/>
                <w:kern w:val="0"/>
                <w:sz w:val="24"/>
                <w:szCs w:val="22"/>
                <w:lang w:val="en-US" w:eastAsia="zh-CN"/>
              </w:rPr>
              <w:t>废油桶</w:t>
            </w:r>
            <w:r>
              <w:rPr>
                <w:rFonts w:hint="default" w:ascii="Times New Roman" w:hAnsi="Times New Roman" w:eastAsia="宋体" w:cs="Times New Roman"/>
                <w:color w:val="auto"/>
                <w:kern w:val="0"/>
                <w:sz w:val="24"/>
                <w:szCs w:val="22"/>
              </w:rPr>
              <w:t>产生量为</w:t>
            </w:r>
            <w:r>
              <w:rPr>
                <w:rFonts w:hint="default" w:ascii="Times New Roman" w:hAnsi="Times New Roman" w:eastAsia="宋体" w:cs="Times New Roman"/>
                <w:color w:val="auto"/>
                <w:kern w:val="0"/>
                <w:sz w:val="24"/>
                <w:szCs w:val="22"/>
                <w:lang w:val="en-US" w:eastAsia="zh-CN"/>
              </w:rPr>
              <w:t>1.2</w:t>
            </w:r>
            <w:r>
              <w:rPr>
                <w:rFonts w:hint="default" w:ascii="Times New Roman" w:hAnsi="Times New Roman" w:eastAsia="宋体" w:cs="Times New Roman"/>
                <w:color w:val="auto"/>
                <w:kern w:val="0"/>
                <w:sz w:val="24"/>
                <w:szCs w:val="22"/>
              </w:rPr>
              <w:t>t/a，属于危险废物（类别为HW08</w:t>
            </w:r>
            <w:r>
              <w:rPr>
                <w:rFonts w:hint="default" w:ascii="Times New Roman" w:hAnsi="Times New Roman" w:eastAsia="宋体" w:cs="Times New Roman"/>
                <w:color w:val="auto"/>
                <w:kern w:val="0"/>
                <w:sz w:val="24"/>
                <w:szCs w:val="22"/>
                <w:lang w:val="en-US" w:eastAsia="zh-CN"/>
              </w:rPr>
              <w:t>废矿物油与含矿物油废物</w:t>
            </w:r>
            <w:r>
              <w:rPr>
                <w:rFonts w:hint="default" w:ascii="Times New Roman" w:hAnsi="Times New Roman" w:eastAsia="宋体" w:cs="Times New Roman"/>
                <w:color w:val="auto"/>
                <w:kern w:val="0"/>
                <w:sz w:val="24"/>
                <w:szCs w:val="22"/>
              </w:rPr>
              <w:t>，其他生产、销售、使用过程中产生的废矿物油及含矿物油废物，代码为900-249-08）</w:t>
            </w:r>
            <w:r>
              <w:rPr>
                <w:rFonts w:hint="default" w:ascii="Times New Roman" w:hAnsi="Times New Roman" w:eastAsia="宋体" w:cs="Times New Roman"/>
                <w:color w:val="auto"/>
                <w:kern w:val="0"/>
                <w:sz w:val="24"/>
                <w:szCs w:val="22"/>
                <w:lang w:eastAsia="zh-CN"/>
              </w:rPr>
              <w:t>，</w:t>
            </w:r>
            <w:r>
              <w:rPr>
                <w:rFonts w:hint="default" w:ascii="Times New Roman" w:hAnsi="Times New Roman" w:eastAsia="宋体" w:cs="Times New Roman"/>
                <w:bCs/>
                <w:color w:val="auto"/>
                <w:kern w:val="0"/>
                <w:sz w:val="24"/>
                <w:szCs w:val="20"/>
              </w:rPr>
              <w:t>暂存于</w:t>
            </w:r>
            <w:r>
              <w:rPr>
                <w:rFonts w:hint="default" w:ascii="Times New Roman" w:hAnsi="Times New Roman" w:eastAsia="宋体" w:cs="Times New Roman"/>
                <w:bCs/>
                <w:color w:val="auto"/>
                <w:kern w:val="0"/>
                <w:sz w:val="24"/>
                <w:szCs w:val="20"/>
                <w:lang w:eastAsia="zh-CN"/>
              </w:rPr>
              <w:t>危废</w:t>
            </w:r>
            <w:r>
              <w:rPr>
                <w:rFonts w:hint="default" w:ascii="Times New Roman" w:hAnsi="Times New Roman" w:eastAsia="宋体" w:cs="Times New Roman"/>
                <w:bCs/>
                <w:color w:val="auto"/>
                <w:kern w:val="0"/>
                <w:sz w:val="24"/>
                <w:szCs w:val="20"/>
                <w:lang w:val="en-US" w:eastAsia="zh-CN"/>
              </w:rPr>
              <w:t>贮存库</w:t>
            </w:r>
            <w:r>
              <w:rPr>
                <w:rFonts w:hint="default" w:ascii="Times New Roman" w:hAnsi="Times New Roman" w:eastAsia="宋体" w:cs="Times New Roman"/>
                <w:bCs/>
                <w:color w:val="auto"/>
                <w:kern w:val="0"/>
                <w:sz w:val="24"/>
                <w:szCs w:val="20"/>
              </w:rPr>
              <w:t>，交由有资质单位统一处</w:t>
            </w:r>
            <w:r>
              <w:rPr>
                <w:rFonts w:hint="default" w:ascii="Times New Roman" w:hAnsi="Times New Roman" w:eastAsia="宋体" w:cs="Times New Roman"/>
                <w:color w:val="auto"/>
                <w:kern w:val="0"/>
                <w:sz w:val="24"/>
                <w:szCs w:val="22"/>
              </w:rPr>
              <w:t>理。</w:t>
            </w:r>
          </w:p>
          <w:p w14:paraId="7791969E">
            <w:pPr>
              <w:spacing w:line="360" w:lineRule="auto"/>
              <w:ind w:firstLine="480" w:firstLineChars="200"/>
              <w:rPr>
                <w:rFonts w:hint="default" w:ascii="Times New Roman" w:hAnsi="Times New Roman" w:eastAsia="宋体" w:cs="Times New Roman"/>
                <w:bCs/>
                <w:color w:val="auto"/>
                <w:kern w:val="0"/>
                <w:sz w:val="24"/>
                <w:szCs w:val="20"/>
              </w:rPr>
            </w:pPr>
            <w:r>
              <w:rPr>
                <w:rFonts w:hint="default" w:ascii="Times New Roman" w:hAnsi="Times New Roman" w:eastAsia="宋体" w:cs="Times New Roman"/>
                <w:bCs/>
                <w:color w:val="auto"/>
                <w:kern w:val="0"/>
                <w:sz w:val="24"/>
                <w:szCs w:val="20"/>
                <w:highlight w:val="none"/>
                <w:lang w:val="en-US" w:eastAsia="zh-CN"/>
              </w:rPr>
              <w:t>含油</w:t>
            </w:r>
            <w:r>
              <w:rPr>
                <w:rFonts w:hint="default" w:ascii="Times New Roman" w:hAnsi="Times New Roman" w:eastAsia="宋体" w:cs="Times New Roman"/>
                <w:bCs/>
                <w:color w:val="auto"/>
                <w:kern w:val="0"/>
                <w:sz w:val="24"/>
                <w:szCs w:val="20"/>
                <w:lang w:val="en-US" w:eastAsia="zh-CN"/>
              </w:rPr>
              <w:t>废手套及抹布产生量为0.01t/a</w:t>
            </w:r>
            <w:r>
              <w:rPr>
                <w:rFonts w:hint="default" w:ascii="Times New Roman" w:hAnsi="Times New Roman" w:eastAsia="宋体" w:cs="Times New Roman"/>
                <w:color w:val="auto"/>
                <w:kern w:val="0"/>
                <w:sz w:val="24"/>
                <w:szCs w:val="22"/>
              </w:rPr>
              <w:t>，本项目对其进行了分类收集，因此</w:t>
            </w:r>
            <w:r>
              <w:rPr>
                <w:rFonts w:hint="default" w:ascii="Times New Roman" w:hAnsi="Times New Roman" w:eastAsia="宋体" w:cs="Times New Roman"/>
                <w:color w:val="auto"/>
                <w:kern w:val="0"/>
                <w:sz w:val="24"/>
                <w:szCs w:val="22"/>
                <w:lang w:val="en-US" w:eastAsia="zh-CN"/>
              </w:rPr>
              <w:t>废</w:t>
            </w:r>
            <w:r>
              <w:rPr>
                <w:rFonts w:hint="default" w:ascii="Times New Roman" w:hAnsi="Times New Roman" w:eastAsia="宋体" w:cs="Times New Roman"/>
                <w:color w:val="auto"/>
                <w:kern w:val="0"/>
                <w:sz w:val="24"/>
                <w:szCs w:val="22"/>
                <w:lang w:eastAsia="zh-CN"/>
              </w:rPr>
              <w:t>手套及抹布</w:t>
            </w:r>
            <w:r>
              <w:rPr>
                <w:rFonts w:hint="default" w:ascii="Times New Roman" w:hAnsi="Times New Roman" w:eastAsia="宋体" w:cs="Times New Roman"/>
                <w:color w:val="auto"/>
                <w:kern w:val="0"/>
                <w:sz w:val="24"/>
                <w:szCs w:val="22"/>
              </w:rPr>
              <w:t>属性仍为危险废物</w:t>
            </w:r>
            <w:r>
              <w:rPr>
                <w:rFonts w:hint="default" w:ascii="Times New Roman" w:hAnsi="Times New Roman" w:eastAsia="宋体" w:cs="Times New Roman"/>
                <w:color w:val="auto"/>
                <w:kern w:val="0"/>
                <w:sz w:val="24"/>
                <w:szCs w:val="22"/>
                <w:lang w:eastAsia="zh-CN"/>
              </w:rPr>
              <w:t>（</w:t>
            </w:r>
            <w:r>
              <w:rPr>
                <w:rFonts w:hint="default" w:ascii="Times New Roman" w:hAnsi="Times New Roman" w:eastAsia="宋体" w:cs="Times New Roman"/>
                <w:color w:val="auto"/>
                <w:kern w:val="0"/>
                <w:sz w:val="24"/>
                <w:szCs w:val="22"/>
              </w:rPr>
              <w:t>HW49非特定行业</w:t>
            </w:r>
            <w:r>
              <w:rPr>
                <w:rFonts w:hint="default" w:ascii="Times New Roman" w:hAnsi="Times New Roman" w:eastAsia="宋体" w:cs="Times New Roman"/>
                <w:color w:val="auto"/>
                <w:kern w:val="0"/>
                <w:sz w:val="24"/>
                <w:szCs w:val="22"/>
                <w:lang w:val="en-US" w:eastAsia="zh-CN"/>
              </w:rPr>
              <w:t xml:space="preserve"> </w:t>
            </w:r>
            <w:r>
              <w:rPr>
                <w:rFonts w:hint="default" w:ascii="Times New Roman" w:hAnsi="Times New Roman" w:eastAsia="宋体" w:cs="Times New Roman"/>
                <w:color w:val="auto"/>
                <w:kern w:val="0"/>
                <w:sz w:val="24"/>
                <w:szCs w:val="22"/>
              </w:rPr>
              <w:t>含有或沾染毒性、感染性危险废物的废弃包装物、容器、过滤吸附介质，废物代码为900-041-49</w:t>
            </w:r>
            <w:r>
              <w:rPr>
                <w:rFonts w:hint="default" w:ascii="Times New Roman" w:hAnsi="Times New Roman" w:eastAsia="宋体" w:cs="Times New Roman"/>
                <w:color w:val="auto"/>
                <w:kern w:val="0"/>
                <w:sz w:val="24"/>
                <w:szCs w:val="22"/>
                <w:lang w:eastAsia="zh-CN"/>
              </w:rPr>
              <w:t>）</w:t>
            </w:r>
            <w:r>
              <w:rPr>
                <w:rFonts w:hint="default" w:ascii="Times New Roman" w:hAnsi="Times New Roman" w:eastAsia="宋体" w:cs="Times New Roman"/>
                <w:bCs/>
                <w:color w:val="auto"/>
                <w:kern w:val="0"/>
                <w:sz w:val="24"/>
                <w:szCs w:val="20"/>
              </w:rPr>
              <w:t>，暂存于</w:t>
            </w:r>
            <w:r>
              <w:rPr>
                <w:rFonts w:hint="default" w:ascii="Times New Roman" w:hAnsi="Times New Roman" w:eastAsia="宋体" w:cs="Times New Roman"/>
                <w:bCs/>
                <w:color w:val="auto"/>
                <w:kern w:val="0"/>
                <w:sz w:val="24"/>
                <w:szCs w:val="20"/>
                <w:lang w:eastAsia="zh-CN"/>
              </w:rPr>
              <w:t>危废贮存库</w:t>
            </w:r>
            <w:r>
              <w:rPr>
                <w:rFonts w:hint="default" w:ascii="Times New Roman" w:hAnsi="Times New Roman" w:eastAsia="宋体" w:cs="Times New Roman"/>
                <w:bCs/>
                <w:color w:val="auto"/>
                <w:kern w:val="0"/>
                <w:sz w:val="24"/>
                <w:szCs w:val="20"/>
              </w:rPr>
              <w:t>，交由有资质单位统一处</w:t>
            </w:r>
            <w:r>
              <w:rPr>
                <w:rFonts w:hint="default" w:ascii="Times New Roman" w:hAnsi="Times New Roman" w:eastAsia="宋体" w:cs="Times New Roman"/>
                <w:color w:val="auto"/>
                <w:kern w:val="0"/>
                <w:sz w:val="24"/>
                <w:szCs w:val="22"/>
              </w:rPr>
              <w:t>理。</w:t>
            </w:r>
          </w:p>
          <w:p w14:paraId="538CAF1D">
            <w:pPr>
              <w:spacing w:line="360" w:lineRule="auto"/>
              <w:ind w:firstLine="480" w:firstLineChars="200"/>
              <w:contextualSpacing/>
              <w:rPr>
                <w:rFonts w:hint="default" w:ascii="Times New Roman" w:hAnsi="Times New Roman" w:eastAsia="宋体" w:cs="Times New Roman"/>
                <w:color w:val="auto"/>
                <w:kern w:val="0"/>
                <w:sz w:val="24"/>
                <w:szCs w:val="22"/>
                <w:lang w:eastAsia="zh-CN"/>
              </w:rPr>
            </w:pPr>
            <w:r>
              <w:rPr>
                <w:rFonts w:hint="default" w:ascii="Times New Roman" w:hAnsi="Times New Roman" w:eastAsia="宋体" w:cs="Times New Roman"/>
                <w:bCs/>
                <w:color w:val="auto"/>
                <w:kern w:val="0"/>
                <w:sz w:val="24"/>
                <w:szCs w:val="20"/>
                <w:lang w:val="en-US" w:eastAsia="zh-CN"/>
              </w:rPr>
              <w:t>废切削液主要来源于车床机加过程中用于冷却抑尘的切削液，产生量为1t/a，属于危险废物（类别为HW09油/水、烃/水混合物或乳化液 使用切削油或切削液进行机械加工过程中产生的油/水、烃/水混合物或乳化液，废物代码为900-006-09），</w:t>
            </w:r>
            <w:r>
              <w:rPr>
                <w:rFonts w:hint="default" w:ascii="Times New Roman" w:hAnsi="Times New Roman" w:eastAsia="宋体" w:cs="Times New Roman"/>
                <w:bCs/>
                <w:color w:val="auto"/>
                <w:kern w:val="0"/>
                <w:sz w:val="24"/>
                <w:szCs w:val="20"/>
              </w:rPr>
              <w:t>暂存于</w:t>
            </w:r>
            <w:r>
              <w:rPr>
                <w:rFonts w:hint="default" w:ascii="Times New Roman" w:hAnsi="Times New Roman" w:eastAsia="宋体" w:cs="Times New Roman"/>
                <w:bCs/>
                <w:color w:val="auto"/>
                <w:kern w:val="0"/>
                <w:sz w:val="24"/>
                <w:szCs w:val="20"/>
                <w:lang w:eastAsia="zh-CN"/>
              </w:rPr>
              <w:t>危废贮存库</w:t>
            </w:r>
            <w:r>
              <w:rPr>
                <w:rFonts w:hint="default" w:ascii="Times New Roman" w:hAnsi="Times New Roman" w:eastAsia="宋体" w:cs="Times New Roman"/>
                <w:bCs/>
                <w:color w:val="auto"/>
                <w:kern w:val="0"/>
                <w:sz w:val="24"/>
                <w:szCs w:val="20"/>
              </w:rPr>
              <w:t>，交由有资质单位统一处</w:t>
            </w:r>
            <w:r>
              <w:rPr>
                <w:rFonts w:hint="default" w:ascii="Times New Roman" w:hAnsi="Times New Roman" w:eastAsia="宋体" w:cs="Times New Roman"/>
                <w:color w:val="auto"/>
                <w:kern w:val="0"/>
                <w:sz w:val="24"/>
                <w:szCs w:val="22"/>
              </w:rPr>
              <w:t>理</w:t>
            </w:r>
            <w:r>
              <w:rPr>
                <w:rFonts w:hint="default" w:ascii="Times New Roman" w:hAnsi="Times New Roman" w:eastAsia="宋体" w:cs="Times New Roman"/>
                <w:color w:val="auto"/>
                <w:kern w:val="0"/>
                <w:sz w:val="24"/>
                <w:szCs w:val="22"/>
                <w:lang w:eastAsia="zh-CN"/>
              </w:rPr>
              <w:t>。</w:t>
            </w:r>
          </w:p>
          <w:p w14:paraId="44638AEC">
            <w:pPr>
              <w:spacing w:line="360" w:lineRule="auto"/>
              <w:ind w:firstLine="480" w:firstLineChars="200"/>
              <w:contextualSpacing/>
              <w:rPr>
                <w:rFonts w:hint="default" w:ascii="Times New Roman" w:hAnsi="Times New Roman" w:eastAsia="宋体" w:cs="Times New Roman"/>
                <w:bCs/>
                <w:color w:val="auto"/>
                <w:kern w:val="0"/>
                <w:sz w:val="24"/>
                <w:lang w:val="en-US" w:eastAsia="zh-CN"/>
              </w:rPr>
            </w:pPr>
            <w:r>
              <w:rPr>
                <w:rFonts w:hint="default" w:ascii="Times New Roman" w:hAnsi="Times New Roman" w:eastAsia="宋体" w:cs="Times New Roman"/>
                <w:bCs/>
                <w:color w:val="auto"/>
                <w:kern w:val="0"/>
                <w:sz w:val="24"/>
                <w:szCs w:val="20"/>
                <w:lang w:eastAsia="zh-CN"/>
              </w:rPr>
              <w:t>本项目</w:t>
            </w:r>
            <w:r>
              <w:rPr>
                <w:rFonts w:hint="default" w:ascii="Times New Roman" w:hAnsi="Times New Roman" w:eastAsia="宋体" w:cs="Times New Roman"/>
                <w:bCs/>
                <w:color w:val="auto"/>
                <w:kern w:val="0"/>
                <w:sz w:val="24"/>
                <w:szCs w:val="20"/>
                <w:lang w:val="en-US" w:eastAsia="zh-CN"/>
              </w:rPr>
              <w:t>油漆</w:t>
            </w:r>
            <w:r>
              <w:rPr>
                <w:rFonts w:hint="default" w:ascii="Times New Roman" w:hAnsi="Times New Roman" w:eastAsia="宋体" w:cs="Times New Roman"/>
                <w:bCs/>
                <w:color w:val="auto"/>
                <w:kern w:val="0"/>
                <w:sz w:val="24"/>
                <w:szCs w:val="20"/>
                <w:lang w:eastAsia="zh-CN"/>
              </w:rPr>
              <w:t>、固化剂、清洗剂用量合计</w:t>
            </w:r>
            <w:r>
              <w:rPr>
                <w:rFonts w:hint="default" w:ascii="Times New Roman" w:hAnsi="Times New Roman" w:eastAsia="宋体" w:cs="Times New Roman"/>
                <w:bCs/>
                <w:color w:val="auto"/>
                <w:kern w:val="0"/>
                <w:sz w:val="24"/>
                <w:szCs w:val="20"/>
                <w:lang w:val="en-US" w:eastAsia="zh-CN"/>
              </w:rPr>
              <w:t>9.5</w:t>
            </w:r>
            <w:r>
              <w:rPr>
                <w:rFonts w:hint="default" w:ascii="Times New Roman" w:hAnsi="Times New Roman" w:eastAsia="宋体" w:cs="Times New Roman"/>
                <w:bCs/>
                <w:color w:val="auto"/>
                <w:kern w:val="0"/>
                <w:sz w:val="24"/>
                <w:szCs w:val="20"/>
                <w:lang w:eastAsia="zh-CN"/>
              </w:rPr>
              <w:t>t/a，漆桶规格为18~25L，重量为10~25kg，计算废漆桶重量约为</w:t>
            </w:r>
            <w:r>
              <w:rPr>
                <w:rFonts w:hint="default" w:ascii="Times New Roman" w:hAnsi="Times New Roman" w:eastAsia="宋体" w:cs="Times New Roman"/>
                <w:bCs/>
                <w:color w:val="auto"/>
                <w:kern w:val="0"/>
                <w:sz w:val="24"/>
                <w:szCs w:val="20"/>
                <w:lang w:val="en-US" w:eastAsia="zh-CN"/>
              </w:rPr>
              <w:t>11</w:t>
            </w:r>
            <w:r>
              <w:rPr>
                <w:rFonts w:hint="default" w:ascii="Times New Roman" w:hAnsi="Times New Roman" w:eastAsia="宋体" w:cs="Times New Roman"/>
                <w:bCs/>
                <w:color w:val="auto"/>
                <w:kern w:val="0"/>
                <w:sz w:val="24"/>
                <w:szCs w:val="20"/>
                <w:lang w:eastAsia="zh-CN"/>
              </w:rPr>
              <w:t>t/a。油性漆废漆桶属于危险废物（类别为HW12染料、涂料废物</w:t>
            </w:r>
            <w:r>
              <w:rPr>
                <w:rFonts w:hint="default" w:ascii="Times New Roman" w:hAnsi="Times New Roman" w:eastAsia="宋体" w:cs="Times New Roman"/>
                <w:bCs/>
                <w:color w:val="auto"/>
                <w:kern w:val="0"/>
                <w:sz w:val="24"/>
                <w:szCs w:val="20"/>
                <w:lang w:val="en-US" w:eastAsia="zh-CN"/>
              </w:rPr>
              <w:t xml:space="preserve"> 使用油漆(不包括水性漆)、有机溶剂进行喷漆、上漆过程中产生的废物</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废物代码为</w:t>
            </w:r>
            <w:r>
              <w:rPr>
                <w:rFonts w:hint="default" w:ascii="Times New Roman" w:hAnsi="Times New Roman" w:eastAsia="宋体" w:cs="Times New Roman"/>
                <w:bCs/>
                <w:color w:val="auto"/>
                <w:kern w:val="0"/>
                <w:sz w:val="24"/>
                <w:szCs w:val="20"/>
                <w:lang w:eastAsia="zh-CN"/>
              </w:rPr>
              <w:t>900-252-12），</w:t>
            </w:r>
            <w:r>
              <w:rPr>
                <w:rFonts w:hint="default" w:ascii="Times New Roman" w:hAnsi="Times New Roman" w:eastAsia="宋体" w:cs="Times New Roman"/>
                <w:bCs/>
                <w:color w:val="auto"/>
                <w:kern w:val="0"/>
                <w:sz w:val="24"/>
                <w:szCs w:val="20"/>
              </w:rPr>
              <w:t>暂存于</w:t>
            </w:r>
            <w:r>
              <w:rPr>
                <w:rFonts w:hint="default" w:ascii="Times New Roman" w:hAnsi="Times New Roman" w:eastAsia="宋体" w:cs="Times New Roman"/>
                <w:bCs/>
                <w:color w:val="auto"/>
                <w:kern w:val="0"/>
                <w:sz w:val="24"/>
                <w:szCs w:val="20"/>
                <w:lang w:eastAsia="zh-CN"/>
              </w:rPr>
              <w:t>危废贮存库</w:t>
            </w:r>
            <w:r>
              <w:rPr>
                <w:rFonts w:hint="default" w:ascii="Times New Roman" w:hAnsi="Times New Roman" w:eastAsia="宋体" w:cs="Times New Roman"/>
                <w:bCs/>
                <w:color w:val="auto"/>
                <w:kern w:val="0"/>
                <w:sz w:val="24"/>
                <w:szCs w:val="20"/>
              </w:rPr>
              <w:t>，交由有资质单位统一处</w:t>
            </w:r>
            <w:r>
              <w:rPr>
                <w:rFonts w:hint="default" w:ascii="Times New Roman" w:hAnsi="Times New Roman" w:eastAsia="宋体" w:cs="Times New Roman"/>
                <w:color w:val="auto"/>
                <w:kern w:val="0"/>
                <w:sz w:val="24"/>
                <w:szCs w:val="22"/>
              </w:rPr>
              <w:t>理</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 xml:space="preserve"> </w:t>
            </w:r>
          </w:p>
          <w:p w14:paraId="6DD5114E">
            <w:pPr>
              <w:spacing w:line="360" w:lineRule="auto"/>
              <w:ind w:firstLine="480" w:firstLineChars="200"/>
              <w:contextualSpacing/>
              <w:rPr>
                <w:rFonts w:hint="default" w:ascii="Times New Roman" w:hAnsi="Times New Roman" w:eastAsia="宋体" w:cs="Times New Roman"/>
                <w:bCs/>
                <w:color w:val="auto"/>
                <w:kern w:val="0"/>
                <w:sz w:val="24"/>
                <w:lang w:val="en-US" w:eastAsia="zh-CN"/>
              </w:rPr>
            </w:pPr>
            <w:r>
              <w:rPr>
                <w:rFonts w:hint="default" w:ascii="Times New Roman" w:hAnsi="Times New Roman" w:eastAsia="宋体" w:cs="Times New Roman"/>
                <w:bCs/>
                <w:color w:val="auto"/>
                <w:kern w:val="0"/>
                <w:sz w:val="24"/>
                <w:szCs w:val="20"/>
                <w:lang w:val="en-US" w:eastAsia="zh-CN"/>
              </w:rPr>
              <w:t>根据工程分析内容，本项目油性漆漆渣产生量为0.63t/a。油性漆漆渣属于危险废物</w:t>
            </w:r>
            <w:r>
              <w:rPr>
                <w:rFonts w:hint="default" w:ascii="Times New Roman" w:hAnsi="Times New Roman" w:eastAsia="宋体" w:cs="Times New Roman"/>
                <w:bCs/>
                <w:color w:val="auto"/>
                <w:kern w:val="0"/>
                <w:sz w:val="24"/>
                <w:szCs w:val="20"/>
                <w:lang w:eastAsia="zh-CN"/>
              </w:rPr>
              <w:t>（类别为HW12染料、涂料废物</w:t>
            </w:r>
            <w:r>
              <w:rPr>
                <w:rFonts w:hint="default" w:ascii="Times New Roman" w:hAnsi="Times New Roman" w:eastAsia="宋体" w:cs="Times New Roman"/>
                <w:bCs/>
                <w:color w:val="auto"/>
                <w:kern w:val="0"/>
                <w:sz w:val="24"/>
                <w:szCs w:val="20"/>
                <w:lang w:val="en-US" w:eastAsia="zh-CN"/>
              </w:rPr>
              <w:t xml:space="preserve"> 使用油漆(不包括水性漆)、有机溶剂进行喷漆、上漆过程中产生的废物</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废物代码为</w:t>
            </w:r>
            <w:r>
              <w:rPr>
                <w:rFonts w:hint="default" w:ascii="Times New Roman" w:hAnsi="Times New Roman" w:eastAsia="宋体" w:cs="Times New Roman"/>
                <w:bCs/>
                <w:color w:val="auto"/>
                <w:kern w:val="0"/>
                <w:sz w:val="24"/>
                <w:szCs w:val="20"/>
                <w:lang w:eastAsia="zh-CN"/>
              </w:rPr>
              <w:t>900-252-12），</w:t>
            </w:r>
            <w:r>
              <w:rPr>
                <w:rFonts w:hint="default" w:ascii="Times New Roman" w:hAnsi="Times New Roman" w:eastAsia="宋体" w:cs="Times New Roman"/>
                <w:bCs/>
                <w:color w:val="auto"/>
                <w:kern w:val="0"/>
                <w:sz w:val="24"/>
                <w:szCs w:val="20"/>
              </w:rPr>
              <w:t>暂存于</w:t>
            </w:r>
            <w:r>
              <w:rPr>
                <w:rFonts w:hint="default" w:ascii="Times New Roman" w:hAnsi="Times New Roman" w:eastAsia="宋体" w:cs="Times New Roman"/>
                <w:bCs/>
                <w:color w:val="auto"/>
                <w:kern w:val="0"/>
                <w:sz w:val="24"/>
                <w:szCs w:val="20"/>
                <w:lang w:eastAsia="zh-CN"/>
              </w:rPr>
              <w:t>危废贮存库</w:t>
            </w:r>
            <w:r>
              <w:rPr>
                <w:rFonts w:hint="default" w:ascii="Times New Roman" w:hAnsi="Times New Roman" w:eastAsia="宋体" w:cs="Times New Roman"/>
                <w:bCs/>
                <w:color w:val="auto"/>
                <w:kern w:val="0"/>
                <w:sz w:val="24"/>
                <w:szCs w:val="20"/>
              </w:rPr>
              <w:t>，交由有资质单位统一处</w:t>
            </w:r>
            <w:r>
              <w:rPr>
                <w:rFonts w:hint="default" w:ascii="Times New Roman" w:hAnsi="Times New Roman" w:eastAsia="宋体" w:cs="Times New Roman"/>
                <w:color w:val="auto"/>
                <w:kern w:val="0"/>
                <w:sz w:val="24"/>
                <w:szCs w:val="22"/>
              </w:rPr>
              <w:t>理</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 xml:space="preserve"> </w:t>
            </w:r>
          </w:p>
          <w:p w14:paraId="03AFDA31">
            <w:pPr>
              <w:spacing w:line="360" w:lineRule="auto"/>
              <w:ind w:firstLine="480" w:firstLineChars="200"/>
              <w:contextualSpacing/>
              <w:rPr>
                <w:rFonts w:hint="default" w:ascii="Times New Roman" w:hAnsi="Times New Roman" w:eastAsia="宋体" w:cs="Times New Roman"/>
                <w:bCs/>
                <w:color w:val="auto"/>
                <w:kern w:val="0"/>
                <w:sz w:val="24"/>
                <w:szCs w:val="20"/>
              </w:rPr>
            </w:pPr>
            <w:r>
              <w:rPr>
                <w:rFonts w:hint="default" w:ascii="Times New Roman" w:hAnsi="Times New Roman" w:eastAsia="宋体" w:cs="Times New Roman"/>
                <w:bCs/>
                <w:color w:val="auto"/>
                <w:kern w:val="0"/>
                <w:sz w:val="24"/>
                <w:szCs w:val="20"/>
                <w:lang w:val="en-US" w:eastAsia="zh-CN"/>
              </w:rPr>
              <w:t>本项目废滤芯、废过滤棉主要来源于喷漆房有机废气处理设施定期更换产生的固体废物，由于本项目喷漆废气依托现有工程有机废气处理措施处理，活性炭采用脱附风机进行再生，设计处理能力已考虑到厂区远期建设内容，更换周期高于本项目更换频次要求，因此本次评价不再重复计算。</w:t>
            </w:r>
          </w:p>
          <w:p w14:paraId="69C4B745">
            <w:pPr>
              <w:spacing w:line="360" w:lineRule="auto"/>
              <w:ind w:firstLine="480" w:firstLineChars="200"/>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Cs/>
                <w:color w:val="auto"/>
                <w:kern w:val="0"/>
                <w:sz w:val="24"/>
                <w:szCs w:val="20"/>
              </w:rPr>
              <w:t>本项目各类固废产生量及利用处置方式见表4-</w:t>
            </w:r>
            <w:r>
              <w:rPr>
                <w:rFonts w:hint="default" w:ascii="Times New Roman" w:hAnsi="Times New Roman" w:eastAsia="宋体" w:cs="Times New Roman"/>
                <w:bCs/>
                <w:color w:val="auto"/>
                <w:kern w:val="0"/>
                <w:sz w:val="24"/>
                <w:szCs w:val="20"/>
                <w:lang w:val="en-US" w:eastAsia="zh-CN"/>
              </w:rPr>
              <w:t>11</w:t>
            </w:r>
            <w:r>
              <w:rPr>
                <w:rFonts w:hint="default" w:ascii="Times New Roman" w:hAnsi="Times New Roman" w:eastAsia="宋体" w:cs="Times New Roman"/>
                <w:bCs/>
                <w:color w:val="auto"/>
                <w:kern w:val="0"/>
                <w:sz w:val="24"/>
                <w:szCs w:val="20"/>
              </w:rPr>
              <w:t>。</w:t>
            </w:r>
          </w:p>
          <w:p w14:paraId="139616C9">
            <w:pPr>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表4-</w:t>
            </w:r>
            <w:r>
              <w:rPr>
                <w:rFonts w:hint="default" w:ascii="Times New Roman" w:hAnsi="Times New Roman" w:eastAsia="宋体" w:cs="Times New Roman"/>
                <w:b/>
                <w:bCs/>
                <w:color w:val="auto"/>
                <w:kern w:val="0"/>
                <w:szCs w:val="21"/>
                <w:highlight w:val="none"/>
                <w:lang w:val="en-US" w:eastAsia="zh-CN"/>
              </w:rPr>
              <w:t>11</w:t>
            </w:r>
            <w:r>
              <w:rPr>
                <w:rFonts w:hint="default" w:ascii="Times New Roman" w:hAnsi="Times New Roman" w:eastAsia="宋体" w:cs="Times New Roman"/>
                <w:b/>
                <w:bCs/>
                <w:color w:val="auto"/>
                <w:kern w:val="0"/>
                <w:szCs w:val="21"/>
                <w:highlight w:val="none"/>
              </w:rPr>
              <w:t xml:space="preserve">   固体废物产生量及利用处置方式</w:t>
            </w:r>
          </w:p>
          <w:tbl>
            <w:tblPr>
              <w:tblStyle w:val="19"/>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56"/>
              <w:gridCol w:w="1214"/>
              <w:gridCol w:w="765"/>
              <w:gridCol w:w="660"/>
              <w:gridCol w:w="1944"/>
              <w:gridCol w:w="945"/>
              <w:gridCol w:w="1328"/>
              <w:gridCol w:w="1105"/>
            </w:tblGrid>
            <w:tr w14:paraId="6ACE5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2475BF3F">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序号</w:t>
                  </w:r>
                </w:p>
              </w:tc>
              <w:tc>
                <w:tcPr>
                  <w:tcW w:w="1214" w:type="dxa"/>
                  <w:tcBorders>
                    <w:top w:val="single" w:color="auto" w:sz="4" w:space="0"/>
                    <w:left w:val="single" w:color="auto" w:sz="4" w:space="0"/>
                    <w:bottom w:val="single" w:color="auto" w:sz="4" w:space="0"/>
                    <w:right w:val="single" w:color="auto" w:sz="4" w:space="0"/>
                  </w:tcBorders>
                  <w:vAlign w:val="center"/>
                </w:tcPr>
                <w:p w14:paraId="35A7360F">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固废名称</w:t>
                  </w:r>
                </w:p>
              </w:tc>
              <w:tc>
                <w:tcPr>
                  <w:tcW w:w="765" w:type="dxa"/>
                  <w:tcBorders>
                    <w:top w:val="single" w:color="auto" w:sz="4" w:space="0"/>
                    <w:left w:val="single" w:color="auto" w:sz="4" w:space="0"/>
                    <w:bottom w:val="single" w:color="auto" w:sz="4" w:space="0"/>
                    <w:right w:val="single" w:color="auto" w:sz="4" w:space="0"/>
                  </w:tcBorders>
                  <w:vAlign w:val="center"/>
                </w:tcPr>
                <w:p w14:paraId="67BF5460">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产生环节</w:t>
                  </w:r>
                </w:p>
              </w:tc>
              <w:tc>
                <w:tcPr>
                  <w:tcW w:w="660" w:type="dxa"/>
                  <w:tcBorders>
                    <w:top w:val="single" w:color="auto" w:sz="4" w:space="0"/>
                    <w:left w:val="single" w:color="auto" w:sz="4" w:space="0"/>
                    <w:bottom w:val="single" w:color="auto" w:sz="4" w:space="0"/>
                    <w:right w:val="single" w:color="auto" w:sz="4" w:space="0"/>
                  </w:tcBorders>
                  <w:vAlign w:val="center"/>
                </w:tcPr>
                <w:p w14:paraId="1BEF110D">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物理性状</w:t>
                  </w:r>
                </w:p>
              </w:tc>
              <w:tc>
                <w:tcPr>
                  <w:tcW w:w="1944" w:type="dxa"/>
                  <w:tcBorders>
                    <w:top w:val="single" w:color="auto" w:sz="4" w:space="0"/>
                    <w:left w:val="single" w:color="auto" w:sz="4" w:space="0"/>
                    <w:bottom w:val="single" w:color="auto" w:sz="4" w:space="0"/>
                    <w:right w:val="single" w:color="auto" w:sz="4" w:space="0"/>
                  </w:tcBorders>
                  <w:vAlign w:val="center"/>
                </w:tcPr>
                <w:p w14:paraId="4FACEB60">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属性</w:t>
                  </w:r>
                </w:p>
              </w:tc>
              <w:tc>
                <w:tcPr>
                  <w:tcW w:w="945" w:type="dxa"/>
                  <w:tcBorders>
                    <w:top w:val="single" w:color="auto" w:sz="4" w:space="0"/>
                    <w:left w:val="single" w:color="auto" w:sz="4" w:space="0"/>
                    <w:bottom w:val="single" w:color="auto" w:sz="4" w:space="0"/>
                    <w:right w:val="single" w:color="auto" w:sz="4" w:space="0"/>
                  </w:tcBorders>
                  <w:vAlign w:val="center"/>
                </w:tcPr>
                <w:p w14:paraId="05F4F076">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产生量</w:t>
                  </w:r>
                </w:p>
                <w:p w14:paraId="75DAC1F3">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（t/a）</w:t>
                  </w:r>
                </w:p>
              </w:tc>
              <w:tc>
                <w:tcPr>
                  <w:tcW w:w="1328" w:type="dxa"/>
                  <w:tcBorders>
                    <w:top w:val="single" w:color="auto" w:sz="4" w:space="0"/>
                    <w:left w:val="single" w:color="auto" w:sz="4" w:space="0"/>
                    <w:bottom w:val="single" w:color="auto" w:sz="4" w:space="0"/>
                    <w:right w:val="single" w:color="auto" w:sz="4" w:space="0"/>
                  </w:tcBorders>
                  <w:vAlign w:val="center"/>
                </w:tcPr>
                <w:p w14:paraId="6793045E">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利用处置方式</w:t>
                  </w:r>
                </w:p>
              </w:tc>
              <w:tc>
                <w:tcPr>
                  <w:tcW w:w="1105" w:type="dxa"/>
                  <w:tcBorders>
                    <w:top w:val="single" w:color="auto" w:sz="4" w:space="0"/>
                    <w:left w:val="single" w:color="auto" w:sz="4" w:space="0"/>
                    <w:bottom w:val="single" w:color="auto" w:sz="4" w:space="0"/>
                    <w:right w:val="single" w:color="auto" w:sz="4" w:space="0"/>
                  </w:tcBorders>
                  <w:vAlign w:val="center"/>
                </w:tcPr>
                <w:p w14:paraId="05132E04">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是否符合</w:t>
                  </w:r>
                </w:p>
                <w:p w14:paraId="27A5E4A8">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环保要求</w:t>
                  </w:r>
                </w:p>
              </w:tc>
            </w:tr>
            <w:tr w14:paraId="7C61C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7395F871">
                  <w:pPr>
                    <w:jc w:val="center"/>
                    <w:rPr>
                      <w:rFonts w:hint="default" w:ascii="Times New Roman" w:hAnsi="Times New Roman" w:eastAsia="宋体" w:cs="Times New Roman"/>
                      <w:bCs/>
                      <w:color w:val="auto"/>
                      <w:kern w:val="0"/>
                      <w:szCs w:val="21"/>
                      <w:highlight w:val="none"/>
                      <w:lang w:val="en-US" w:eastAsia="zh-CN"/>
                    </w:rPr>
                  </w:pPr>
                  <w:r>
                    <w:rPr>
                      <w:rFonts w:hint="default" w:ascii="Times New Roman" w:hAnsi="Times New Roman" w:eastAsia="宋体" w:cs="Times New Roman"/>
                      <w:bCs/>
                      <w:color w:val="auto"/>
                      <w:kern w:val="0"/>
                      <w:szCs w:val="21"/>
                      <w:highlight w:val="none"/>
                      <w:lang w:val="en-US" w:eastAsia="zh-CN"/>
                    </w:rPr>
                    <w:t>1</w:t>
                  </w:r>
                </w:p>
              </w:tc>
              <w:tc>
                <w:tcPr>
                  <w:tcW w:w="1214" w:type="dxa"/>
                  <w:tcBorders>
                    <w:top w:val="single" w:color="auto" w:sz="4" w:space="0"/>
                    <w:left w:val="single" w:color="auto" w:sz="4" w:space="0"/>
                    <w:bottom w:val="single" w:color="auto" w:sz="4" w:space="0"/>
                    <w:right w:val="single" w:color="auto" w:sz="4" w:space="0"/>
                  </w:tcBorders>
                  <w:vAlign w:val="center"/>
                </w:tcPr>
                <w:p w14:paraId="31F4A7C7">
                  <w:pPr>
                    <w:jc w:val="center"/>
                    <w:rPr>
                      <w:rFonts w:hint="default" w:ascii="Times New Roman" w:hAnsi="Times New Roman" w:eastAsia="宋体" w:cs="Times New Roman"/>
                      <w:color w:val="auto"/>
                      <w:kern w:val="0"/>
                      <w:szCs w:val="21"/>
                      <w:highlight w:val="none"/>
                      <w:lang w:val="en-US"/>
                    </w:rPr>
                  </w:pPr>
                  <w:r>
                    <w:rPr>
                      <w:rFonts w:hint="default" w:ascii="Times New Roman" w:hAnsi="Times New Roman" w:eastAsia="宋体" w:cs="Times New Roman"/>
                      <w:color w:val="auto"/>
                      <w:kern w:val="0"/>
                      <w:szCs w:val="21"/>
                      <w:highlight w:val="none"/>
                      <w:lang w:val="en-US" w:eastAsia="zh-CN"/>
                    </w:rPr>
                    <w:t>废金属边角料、废金属屑</w:t>
                  </w:r>
                </w:p>
              </w:tc>
              <w:tc>
                <w:tcPr>
                  <w:tcW w:w="765" w:type="dxa"/>
                  <w:tcBorders>
                    <w:top w:val="single" w:color="auto" w:sz="4" w:space="0"/>
                    <w:left w:val="single" w:color="auto" w:sz="4" w:space="0"/>
                    <w:right w:val="single" w:color="auto" w:sz="4" w:space="0"/>
                  </w:tcBorders>
                  <w:vAlign w:val="center"/>
                </w:tcPr>
                <w:p w14:paraId="66EE320F">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机加</w:t>
                  </w:r>
                </w:p>
              </w:tc>
              <w:tc>
                <w:tcPr>
                  <w:tcW w:w="660" w:type="dxa"/>
                  <w:tcBorders>
                    <w:top w:val="single" w:color="auto" w:sz="4" w:space="0"/>
                    <w:left w:val="single" w:color="auto" w:sz="4" w:space="0"/>
                    <w:bottom w:val="single" w:color="auto" w:sz="4" w:space="0"/>
                    <w:right w:val="single" w:color="auto" w:sz="4" w:space="0"/>
                  </w:tcBorders>
                  <w:vAlign w:val="center"/>
                </w:tcPr>
                <w:p w14:paraId="10F66591">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固态</w:t>
                  </w:r>
                </w:p>
              </w:tc>
              <w:tc>
                <w:tcPr>
                  <w:tcW w:w="1944" w:type="dxa"/>
                  <w:tcBorders>
                    <w:top w:val="single" w:color="auto" w:sz="4" w:space="0"/>
                    <w:left w:val="single" w:color="auto" w:sz="4" w:space="0"/>
                    <w:bottom w:val="single" w:color="auto" w:sz="4" w:space="0"/>
                    <w:right w:val="single" w:color="auto" w:sz="4" w:space="0"/>
                  </w:tcBorders>
                  <w:vAlign w:val="center"/>
                </w:tcPr>
                <w:p w14:paraId="00A6B71B">
                  <w:pPr>
                    <w:tabs>
                      <w:tab w:val="right" w:leader="dot" w:pos="8834"/>
                    </w:tabs>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一般固废</w:t>
                  </w:r>
                  <w:r>
                    <w:rPr>
                      <w:rFonts w:hint="default" w:ascii="Times New Roman" w:hAnsi="Times New Roman" w:eastAsia="宋体" w:cs="Times New Roman"/>
                      <w:color w:val="auto"/>
                      <w:kern w:val="0"/>
                      <w:sz w:val="21"/>
                      <w:szCs w:val="21"/>
                      <w:highlight w:val="none"/>
                      <w:lang w:val="en-US" w:eastAsia="zh-CN"/>
                    </w:rPr>
                    <w:t>SW17</w:t>
                  </w:r>
                </w:p>
                <w:p w14:paraId="4CEF8525">
                  <w:pPr>
                    <w:tabs>
                      <w:tab w:val="right" w:leader="dot" w:pos="8834"/>
                    </w:tabs>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Cs w:val="21"/>
                      <w:highlight w:val="none"/>
                      <w:lang w:val="en-US" w:eastAsia="zh-CN"/>
                    </w:rPr>
                    <w:t>900-001-S17</w:t>
                  </w:r>
                </w:p>
              </w:tc>
              <w:tc>
                <w:tcPr>
                  <w:tcW w:w="945" w:type="dxa"/>
                  <w:tcBorders>
                    <w:top w:val="single" w:color="auto" w:sz="4" w:space="0"/>
                    <w:left w:val="single" w:color="auto" w:sz="4" w:space="0"/>
                    <w:bottom w:val="single" w:color="auto" w:sz="4" w:space="0"/>
                    <w:right w:val="single" w:color="auto" w:sz="4" w:space="0"/>
                  </w:tcBorders>
                  <w:vAlign w:val="center"/>
                </w:tcPr>
                <w:p w14:paraId="68309E81">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11.5</w:t>
                  </w:r>
                </w:p>
              </w:tc>
              <w:tc>
                <w:tcPr>
                  <w:tcW w:w="1328" w:type="dxa"/>
                  <w:vMerge w:val="restart"/>
                  <w:tcBorders>
                    <w:top w:val="single" w:color="auto" w:sz="4" w:space="0"/>
                    <w:left w:val="single" w:color="auto" w:sz="4" w:space="0"/>
                    <w:right w:val="single" w:color="auto" w:sz="4" w:space="0"/>
                  </w:tcBorders>
                  <w:vAlign w:val="center"/>
                </w:tcPr>
                <w:p w14:paraId="4051B1A7">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收集后统一外售处理</w:t>
                  </w:r>
                </w:p>
              </w:tc>
              <w:tc>
                <w:tcPr>
                  <w:tcW w:w="1105" w:type="dxa"/>
                  <w:tcBorders>
                    <w:top w:val="single" w:color="auto" w:sz="4" w:space="0"/>
                    <w:left w:val="single" w:color="auto" w:sz="4" w:space="0"/>
                    <w:bottom w:val="single" w:color="auto" w:sz="4" w:space="0"/>
                    <w:right w:val="single" w:color="auto" w:sz="4" w:space="0"/>
                  </w:tcBorders>
                  <w:vAlign w:val="center"/>
                </w:tcPr>
                <w:p w14:paraId="1FE49543">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是</w:t>
                  </w:r>
                </w:p>
              </w:tc>
            </w:tr>
            <w:tr w14:paraId="7A0D2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492B46DE">
                  <w:pPr>
                    <w:jc w:val="center"/>
                    <w:rPr>
                      <w:rFonts w:hint="default" w:ascii="Times New Roman" w:hAnsi="Times New Roman" w:eastAsia="宋体" w:cs="Times New Roman"/>
                      <w:bCs/>
                      <w:color w:val="auto"/>
                      <w:kern w:val="0"/>
                      <w:szCs w:val="21"/>
                      <w:highlight w:val="none"/>
                      <w:lang w:val="en-US" w:eastAsia="zh-CN"/>
                    </w:rPr>
                  </w:pPr>
                  <w:r>
                    <w:rPr>
                      <w:rFonts w:hint="default" w:ascii="Times New Roman" w:hAnsi="Times New Roman" w:eastAsia="宋体" w:cs="Times New Roman"/>
                      <w:bCs/>
                      <w:color w:val="auto"/>
                      <w:kern w:val="0"/>
                      <w:szCs w:val="21"/>
                      <w:highlight w:val="none"/>
                      <w:lang w:val="en-US" w:eastAsia="zh-CN"/>
                    </w:rPr>
                    <w:t>2</w:t>
                  </w:r>
                </w:p>
              </w:tc>
              <w:tc>
                <w:tcPr>
                  <w:tcW w:w="1214" w:type="dxa"/>
                  <w:tcBorders>
                    <w:top w:val="single" w:color="auto" w:sz="4" w:space="0"/>
                    <w:left w:val="single" w:color="auto" w:sz="4" w:space="0"/>
                    <w:bottom w:val="single" w:color="auto" w:sz="4" w:space="0"/>
                    <w:right w:val="single" w:color="auto" w:sz="4" w:space="0"/>
                  </w:tcBorders>
                  <w:vAlign w:val="center"/>
                </w:tcPr>
                <w:p w14:paraId="3FE8C860">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焊渣</w:t>
                  </w:r>
                </w:p>
              </w:tc>
              <w:tc>
                <w:tcPr>
                  <w:tcW w:w="765" w:type="dxa"/>
                  <w:tcBorders>
                    <w:top w:val="single" w:color="auto" w:sz="4" w:space="0"/>
                    <w:left w:val="single" w:color="auto" w:sz="4" w:space="0"/>
                    <w:right w:val="single" w:color="auto" w:sz="4" w:space="0"/>
                  </w:tcBorders>
                  <w:vAlign w:val="center"/>
                </w:tcPr>
                <w:p w14:paraId="66E65F68">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焊接</w:t>
                  </w:r>
                </w:p>
              </w:tc>
              <w:tc>
                <w:tcPr>
                  <w:tcW w:w="660" w:type="dxa"/>
                  <w:tcBorders>
                    <w:top w:val="single" w:color="auto" w:sz="4" w:space="0"/>
                    <w:left w:val="single" w:color="auto" w:sz="4" w:space="0"/>
                    <w:bottom w:val="single" w:color="auto" w:sz="4" w:space="0"/>
                    <w:right w:val="single" w:color="auto" w:sz="4" w:space="0"/>
                  </w:tcBorders>
                  <w:vAlign w:val="center"/>
                </w:tcPr>
                <w:p w14:paraId="6FEC2F37">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固态</w:t>
                  </w:r>
                </w:p>
              </w:tc>
              <w:tc>
                <w:tcPr>
                  <w:tcW w:w="1944" w:type="dxa"/>
                  <w:tcBorders>
                    <w:top w:val="single" w:color="auto" w:sz="4" w:space="0"/>
                    <w:left w:val="single" w:color="auto" w:sz="4" w:space="0"/>
                    <w:bottom w:val="single" w:color="auto" w:sz="4" w:space="0"/>
                    <w:right w:val="single" w:color="auto" w:sz="4" w:space="0"/>
                  </w:tcBorders>
                  <w:vAlign w:val="center"/>
                </w:tcPr>
                <w:p w14:paraId="53275855">
                  <w:pPr>
                    <w:tabs>
                      <w:tab w:val="right" w:leader="dot" w:pos="8834"/>
                    </w:tabs>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一般固废</w:t>
                  </w:r>
                  <w:r>
                    <w:rPr>
                      <w:rFonts w:hint="default" w:ascii="Times New Roman" w:hAnsi="Times New Roman" w:eastAsia="宋体" w:cs="Times New Roman"/>
                      <w:color w:val="auto"/>
                      <w:kern w:val="0"/>
                      <w:sz w:val="21"/>
                      <w:szCs w:val="21"/>
                      <w:highlight w:val="none"/>
                      <w:lang w:val="en-US" w:eastAsia="zh-CN"/>
                    </w:rPr>
                    <w:t>SW59</w:t>
                  </w:r>
                </w:p>
                <w:p w14:paraId="5E011E06">
                  <w:pPr>
                    <w:tabs>
                      <w:tab w:val="right" w:leader="dot" w:pos="8834"/>
                    </w:tabs>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900-099-S59</w:t>
                  </w:r>
                </w:p>
              </w:tc>
              <w:tc>
                <w:tcPr>
                  <w:tcW w:w="945" w:type="dxa"/>
                  <w:tcBorders>
                    <w:top w:val="single" w:color="auto" w:sz="4" w:space="0"/>
                    <w:left w:val="single" w:color="auto" w:sz="4" w:space="0"/>
                    <w:bottom w:val="single" w:color="auto" w:sz="4" w:space="0"/>
                    <w:right w:val="single" w:color="auto" w:sz="4" w:space="0"/>
                  </w:tcBorders>
                  <w:vAlign w:val="center"/>
                </w:tcPr>
                <w:p w14:paraId="4C96BE8B">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0.25</w:t>
                  </w:r>
                </w:p>
              </w:tc>
              <w:tc>
                <w:tcPr>
                  <w:tcW w:w="1328" w:type="dxa"/>
                  <w:vMerge w:val="continue"/>
                  <w:tcBorders>
                    <w:left w:val="single" w:color="auto" w:sz="4" w:space="0"/>
                    <w:right w:val="single" w:color="auto" w:sz="4" w:space="0"/>
                  </w:tcBorders>
                  <w:vAlign w:val="center"/>
                </w:tcPr>
                <w:p w14:paraId="5A7E7447">
                  <w:pPr>
                    <w:jc w:val="center"/>
                    <w:rPr>
                      <w:rFonts w:hint="default" w:ascii="Times New Roman" w:hAnsi="Times New Roman" w:eastAsia="宋体" w:cs="Times New Roman"/>
                      <w:bCs/>
                      <w:color w:val="auto"/>
                      <w:kern w:val="0"/>
                      <w:szCs w:val="21"/>
                      <w:highlight w:val="none"/>
                      <w:lang w:val="en-US"/>
                    </w:rPr>
                  </w:pPr>
                </w:p>
              </w:tc>
              <w:tc>
                <w:tcPr>
                  <w:tcW w:w="1105" w:type="dxa"/>
                  <w:tcBorders>
                    <w:top w:val="single" w:color="auto" w:sz="4" w:space="0"/>
                    <w:left w:val="single" w:color="auto" w:sz="4" w:space="0"/>
                    <w:bottom w:val="single" w:color="auto" w:sz="4" w:space="0"/>
                    <w:right w:val="single" w:color="auto" w:sz="4" w:space="0"/>
                  </w:tcBorders>
                  <w:vAlign w:val="center"/>
                </w:tcPr>
                <w:p w14:paraId="3EE83C37">
                  <w:pPr>
                    <w:jc w:val="center"/>
                    <w:rPr>
                      <w:rFonts w:hint="default" w:ascii="Times New Roman" w:hAnsi="Times New Roman" w:eastAsia="宋体" w:cs="Times New Roman"/>
                      <w:bCs/>
                      <w:color w:val="auto"/>
                      <w:kern w:val="0"/>
                      <w:szCs w:val="21"/>
                      <w:highlight w:val="none"/>
                      <w:lang w:val="en-US"/>
                    </w:rPr>
                  </w:pPr>
                  <w:r>
                    <w:rPr>
                      <w:rFonts w:hint="default" w:ascii="Times New Roman" w:hAnsi="Times New Roman" w:eastAsia="宋体" w:cs="Times New Roman"/>
                      <w:bCs/>
                      <w:color w:val="auto"/>
                      <w:kern w:val="0"/>
                      <w:szCs w:val="21"/>
                      <w:highlight w:val="none"/>
                    </w:rPr>
                    <w:t>是</w:t>
                  </w:r>
                </w:p>
              </w:tc>
            </w:tr>
            <w:tr w14:paraId="374F5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566BCF8F">
                  <w:pPr>
                    <w:jc w:val="center"/>
                    <w:rPr>
                      <w:rFonts w:hint="default" w:ascii="Times New Roman" w:hAnsi="Times New Roman" w:eastAsia="宋体" w:cs="Times New Roman"/>
                      <w:bCs/>
                      <w:color w:val="auto"/>
                      <w:kern w:val="0"/>
                      <w:szCs w:val="21"/>
                      <w:highlight w:val="none"/>
                      <w:lang w:val="en-US" w:eastAsia="zh-CN"/>
                    </w:rPr>
                  </w:pPr>
                  <w:r>
                    <w:rPr>
                      <w:rFonts w:hint="default" w:ascii="Times New Roman" w:hAnsi="Times New Roman" w:eastAsia="宋体" w:cs="Times New Roman"/>
                      <w:bCs/>
                      <w:color w:val="auto"/>
                      <w:kern w:val="0"/>
                      <w:szCs w:val="21"/>
                      <w:highlight w:val="none"/>
                      <w:lang w:val="en-US" w:eastAsia="zh-CN"/>
                    </w:rPr>
                    <w:t>3</w:t>
                  </w:r>
                </w:p>
              </w:tc>
              <w:tc>
                <w:tcPr>
                  <w:tcW w:w="1214" w:type="dxa"/>
                  <w:tcBorders>
                    <w:top w:val="single" w:color="auto" w:sz="4" w:space="0"/>
                    <w:left w:val="single" w:color="auto" w:sz="4" w:space="0"/>
                    <w:bottom w:val="single" w:color="auto" w:sz="4" w:space="0"/>
                    <w:right w:val="single" w:color="auto" w:sz="4" w:space="0"/>
                  </w:tcBorders>
                  <w:vAlign w:val="center"/>
                </w:tcPr>
                <w:p w14:paraId="532FB88C">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除尘器收尘</w:t>
                  </w:r>
                </w:p>
              </w:tc>
              <w:tc>
                <w:tcPr>
                  <w:tcW w:w="765" w:type="dxa"/>
                  <w:tcBorders>
                    <w:top w:val="single" w:color="auto" w:sz="4" w:space="0"/>
                    <w:left w:val="single" w:color="auto" w:sz="4" w:space="0"/>
                    <w:right w:val="single" w:color="auto" w:sz="4" w:space="0"/>
                  </w:tcBorders>
                  <w:vAlign w:val="center"/>
                </w:tcPr>
                <w:p w14:paraId="002C6F61">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废气处理</w:t>
                  </w:r>
                </w:p>
              </w:tc>
              <w:tc>
                <w:tcPr>
                  <w:tcW w:w="660" w:type="dxa"/>
                  <w:tcBorders>
                    <w:top w:val="single" w:color="auto" w:sz="4" w:space="0"/>
                    <w:left w:val="single" w:color="auto" w:sz="4" w:space="0"/>
                    <w:bottom w:val="single" w:color="auto" w:sz="4" w:space="0"/>
                    <w:right w:val="single" w:color="auto" w:sz="4" w:space="0"/>
                  </w:tcBorders>
                  <w:vAlign w:val="center"/>
                </w:tcPr>
                <w:p w14:paraId="04D1DF6B">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固态</w:t>
                  </w:r>
                </w:p>
              </w:tc>
              <w:tc>
                <w:tcPr>
                  <w:tcW w:w="1944" w:type="dxa"/>
                  <w:tcBorders>
                    <w:top w:val="single" w:color="auto" w:sz="4" w:space="0"/>
                    <w:left w:val="single" w:color="auto" w:sz="4" w:space="0"/>
                    <w:bottom w:val="single" w:color="auto" w:sz="4" w:space="0"/>
                    <w:right w:val="single" w:color="auto" w:sz="4" w:space="0"/>
                  </w:tcBorders>
                  <w:vAlign w:val="center"/>
                </w:tcPr>
                <w:p w14:paraId="302BA1B8">
                  <w:pPr>
                    <w:tabs>
                      <w:tab w:val="right" w:leader="dot" w:pos="8834"/>
                    </w:tabs>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一般固废</w:t>
                  </w:r>
                  <w:r>
                    <w:rPr>
                      <w:rFonts w:hint="default" w:ascii="Times New Roman" w:hAnsi="Times New Roman" w:eastAsia="宋体" w:cs="Times New Roman"/>
                      <w:color w:val="auto"/>
                      <w:kern w:val="0"/>
                      <w:sz w:val="21"/>
                      <w:szCs w:val="21"/>
                      <w:highlight w:val="none"/>
                      <w:lang w:val="en-US" w:eastAsia="zh-CN"/>
                    </w:rPr>
                    <w:t>SW17</w:t>
                  </w:r>
                </w:p>
                <w:p w14:paraId="5DBAF700">
                  <w:pPr>
                    <w:tabs>
                      <w:tab w:val="right" w:leader="dot" w:pos="8834"/>
                    </w:tabs>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900-001-S17</w:t>
                  </w:r>
                </w:p>
              </w:tc>
              <w:tc>
                <w:tcPr>
                  <w:tcW w:w="945" w:type="dxa"/>
                  <w:tcBorders>
                    <w:top w:val="single" w:color="auto" w:sz="4" w:space="0"/>
                    <w:left w:val="single" w:color="auto" w:sz="4" w:space="0"/>
                    <w:bottom w:val="single" w:color="auto" w:sz="4" w:space="0"/>
                    <w:right w:val="single" w:color="auto" w:sz="4" w:space="0"/>
                  </w:tcBorders>
                  <w:vAlign w:val="center"/>
                </w:tcPr>
                <w:p w14:paraId="4A2E8A6B">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2.05</w:t>
                  </w:r>
                </w:p>
              </w:tc>
              <w:tc>
                <w:tcPr>
                  <w:tcW w:w="1328" w:type="dxa"/>
                  <w:vMerge w:val="continue"/>
                  <w:tcBorders>
                    <w:left w:val="single" w:color="auto" w:sz="4" w:space="0"/>
                    <w:right w:val="single" w:color="auto" w:sz="4" w:space="0"/>
                  </w:tcBorders>
                  <w:vAlign w:val="center"/>
                </w:tcPr>
                <w:p w14:paraId="4AB62231">
                  <w:pPr>
                    <w:jc w:val="center"/>
                    <w:rPr>
                      <w:rFonts w:hint="default" w:ascii="Times New Roman" w:hAnsi="Times New Roman" w:eastAsia="宋体" w:cs="Times New Roman"/>
                      <w:bCs/>
                      <w:color w:val="auto"/>
                      <w:kern w:val="0"/>
                      <w:szCs w:val="21"/>
                      <w:highlight w:val="none"/>
                      <w:lang w:val="en-US"/>
                    </w:rPr>
                  </w:pPr>
                </w:p>
              </w:tc>
              <w:tc>
                <w:tcPr>
                  <w:tcW w:w="1105" w:type="dxa"/>
                  <w:tcBorders>
                    <w:top w:val="single" w:color="auto" w:sz="4" w:space="0"/>
                    <w:left w:val="single" w:color="auto" w:sz="4" w:space="0"/>
                    <w:bottom w:val="single" w:color="auto" w:sz="4" w:space="0"/>
                    <w:right w:val="single" w:color="auto" w:sz="4" w:space="0"/>
                  </w:tcBorders>
                  <w:vAlign w:val="center"/>
                </w:tcPr>
                <w:p w14:paraId="71C8EBAA">
                  <w:pPr>
                    <w:jc w:val="center"/>
                    <w:rPr>
                      <w:rFonts w:hint="default" w:ascii="Times New Roman" w:hAnsi="Times New Roman" w:eastAsia="宋体" w:cs="Times New Roman"/>
                      <w:bCs/>
                      <w:color w:val="auto"/>
                      <w:kern w:val="0"/>
                      <w:szCs w:val="21"/>
                      <w:highlight w:val="none"/>
                      <w:lang w:val="en-US"/>
                    </w:rPr>
                  </w:pPr>
                  <w:r>
                    <w:rPr>
                      <w:rFonts w:hint="default" w:ascii="Times New Roman" w:hAnsi="Times New Roman" w:eastAsia="宋体" w:cs="Times New Roman"/>
                      <w:bCs/>
                      <w:color w:val="auto"/>
                      <w:kern w:val="0"/>
                      <w:szCs w:val="21"/>
                      <w:highlight w:val="none"/>
                    </w:rPr>
                    <w:t>是</w:t>
                  </w:r>
                </w:p>
              </w:tc>
            </w:tr>
            <w:tr w14:paraId="7FC42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0AFF5181">
                  <w:pPr>
                    <w:jc w:val="center"/>
                    <w:rPr>
                      <w:rFonts w:hint="default" w:ascii="Times New Roman" w:hAnsi="Times New Roman" w:eastAsia="宋体" w:cs="Times New Roman"/>
                      <w:bCs/>
                      <w:color w:val="auto"/>
                      <w:kern w:val="0"/>
                      <w:szCs w:val="21"/>
                      <w:highlight w:val="none"/>
                      <w:lang w:val="en-US" w:eastAsia="zh-CN"/>
                    </w:rPr>
                  </w:pPr>
                  <w:r>
                    <w:rPr>
                      <w:rFonts w:hint="default" w:ascii="Times New Roman" w:hAnsi="Times New Roman" w:eastAsia="宋体" w:cs="Times New Roman"/>
                      <w:bCs/>
                      <w:color w:val="auto"/>
                      <w:kern w:val="0"/>
                      <w:szCs w:val="21"/>
                      <w:highlight w:val="none"/>
                      <w:lang w:val="en-US" w:eastAsia="zh-CN"/>
                    </w:rPr>
                    <w:t>4</w:t>
                  </w:r>
                </w:p>
              </w:tc>
              <w:tc>
                <w:tcPr>
                  <w:tcW w:w="1214" w:type="dxa"/>
                  <w:tcBorders>
                    <w:top w:val="single" w:color="auto" w:sz="4" w:space="0"/>
                    <w:left w:val="single" w:color="auto" w:sz="4" w:space="0"/>
                    <w:bottom w:val="single" w:color="auto" w:sz="4" w:space="0"/>
                    <w:right w:val="single" w:color="auto" w:sz="4" w:space="0"/>
                  </w:tcBorders>
                  <w:shd w:val="clear" w:color="auto" w:fill="auto"/>
                  <w:vAlign w:val="center"/>
                </w:tcPr>
                <w:p w14:paraId="72376F22">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lang w:val="en-US" w:eastAsia="zh-CN"/>
                    </w:rPr>
                    <w:t>废润滑油</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3E2C9890">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lang w:val="en-US" w:eastAsia="zh-CN"/>
                    </w:rPr>
                    <w:t>维修</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4DB57F62">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lang w:val="en-US" w:eastAsia="zh-CN"/>
                    </w:rPr>
                    <w:t>液态</w:t>
                  </w:r>
                </w:p>
              </w:tc>
              <w:tc>
                <w:tcPr>
                  <w:tcW w:w="1944" w:type="dxa"/>
                  <w:tcBorders>
                    <w:top w:val="single" w:color="auto" w:sz="4" w:space="0"/>
                    <w:left w:val="single" w:color="auto" w:sz="4" w:space="0"/>
                    <w:bottom w:val="single" w:color="auto" w:sz="4" w:space="0"/>
                    <w:right w:val="single" w:color="auto" w:sz="4" w:space="0"/>
                  </w:tcBorders>
                  <w:shd w:val="clear" w:color="auto" w:fill="auto"/>
                  <w:vAlign w:val="center"/>
                </w:tcPr>
                <w:p w14:paraId="0538A546">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危险废物</w:t>
                  </w:r>
                  <w:r>
                    <w:rPr>
                      <w:rFonts w:hint="default" w:ascii="Times New Roman" w:hAnsi="Times New Roman" w:eastAsia="宋体" w:cs="Times New Roman"/>
                      <w:color w:val="auto"/>
                      <w:kern w:val="0"/>
                      <w:szCs w:val="21"/>
                      <w:highlight w:val="none"/>
                      <w:lang w:val="en-US" w:eastAsia="zh-CN"/>
                    </w:rPr>
                    <w:t>HW08</w:t>
                  </w:r>
                </w:p>
                <w:p w14:paraId="4C541D22">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lang w:val="en-US" w:eastAsia="zh-CN"/>
                    </w:rPr>
                    <w:t>900-249-08</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480D5150">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0.61</w:t>
                  </w:r>
                </w:p>
              </w:tc>
              <w:tc>
                <w:tcPr>
                  <w:tcW w:w="1328" w:type="dxa"/>
                  <w:vMerge w:val="restart"/>
                  <w:tcBorders>
                    <w:left w:val="single" w:color="auto" w:sz="4" w:space="0"/>
                    <w:right w:val="single" w:color="auto" w:sz="4" w:space="0"/>
                  </w:tcBorders>
                  <w:vAlign w:val="center"/>
                </w:tcPr>
                <w:p w14:paraId="32D670B9">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暂存于</w:t>
                  </w:r>
                  <w:r>
                    <w:rPr>
                      <w:rFonts w:hint="default" w:ascii="Times New Roman" w:hAnsi="Times New Roman" w:eastAsia="宋体" w:cs="Times New Roman"/>
                      <w:color w:val="auto"/>
                      <w:kern w:val="0"/>
                      <w:szCs w:val="21"/>
                      <w:highlight w:val="none"/>
                      <w:lang w:eastAsia="zh-CN"/>
                    </w:rPr>
                    <w:t>危废贮存库</w:t>
                  </w:r>
                  <w:r>
                    <w:rPr>
                      <w:rFonts w:hint="default" w:ascii="Times New Roman" w:hAnsi="Times New Roman" w:eastAsia="宋体" w:cs="Times New Roman"/>
                      <w:color w:val="auto"/>
                      <w:kern w:val="0"/>
                      <w:szCs w:val="21"/>
                      <w:highlight w:val="none"/>
                    </w:rPr>
                    <w:t>，交由有资质单位处理</w:t>
                  </w:r>
                </w:p>
              </w:tc>
              <w:tc>
                <w:tcPr>
                  <w:tcW w:w="1105" w:type="dxa"/>
                  <w:tcBorders>
                    <w:top w:val="single" w:color="auto" w:sz="4" w:space="0"/>
                    <w:left w:val="single" w:color="auto" w:sz="4" w:space="0"/>
                    <w:bottom w:val="single" w:color="auto" w:sz="4" w:space="0"/>
                    <w:right w:val="single" w:color="auto" w:sz="4" w:space="0"/>
                  </w:tcBorders>
                  <w:vAlign w:val="center"/>
                </w:tcPr>
                <w:p w14:paraId="7E1D797B">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是</w:t>
                  </w:r>
                </w:p>
              </w:tc>
            </w:tr>
            <w:tr w14:paraId="2D91F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47B68070">
                  <w:pPr>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5</w:t>
                  </w:r>
                </w:p>
              </w:tc>
              <w:tc>
                <w:tcPr>
                  <w:tcW w:w="1214" w:type="dxa"/>
                  <w:tcBorders>
                    <w:top w:val="single" w:color="auto" w:sz="4" w:space="0"/>
                    <w:left w:val="single" w:color="auto" w:sz="4" w:space="0"/>
                    <w:bottom w:val="single" w:color="auto" w:sz="4" w:space="0"/>
                    <w:right w:val="single" w:color="auto" w:sz="4" w:space="0"/>
                  </w:tcBorders>
                  <w:vAlign w:val="center"/>
                </w:tcPr>
                <w:p w14:paraId="063D67E0">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废油桶</w:t>
                  </w:r>
                </w:p>
              </w:tc>
              <w:tc>
                <w:tcPr>
                  <w:tcW w:w="765" w:type="dxa"/>
                  <w:tcBorders>
                    <w:top w:val="single" w:color="auto" w:sz="4" w:space="0"/>
                    <w:left w:val="single" w:color="auto" w:sz="4" w:space="0"/>
                    <w:bottom w:val="single" w:color="auto" w:sz="4" w:space="0"/>
                    <w:right w:val="single" w:color="auto" w:sz="4" w:space="0"/>
                  </w:tcBorders>
                  <w:vAlign w:val="center"/>
                </w:tcPr>
                <w:p w14:paraId="63CD1763">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维修</w:t>
                  </w:r>
                </w:p>
              </w:tc>
              <w:tc>
                <w:tcPr>
                  <w:tcW w:w="660" w:type="dxa"/>
                  <w:tcBorders>
                    <w:top w:val="single" w:color="auto" w:sz="4" w:space="0"/>
                    <w:left w:val="single" w:color="auto" w:sz="4" w:space="0"/>
                    <w:bottom w:val="single" w:color="auto" w:sz="4" w:space="0"/>
                    <w:right w:val="single" w:color="auto" w:sz="4" w:space="0"/>
                  </w:tcBorders>
                  <w:vAlign w:val="center"/>
                </w:tcPr>
                <w:p w14:paraId="20ACB9ED">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固态</w:t>
                  </w:r>
                </w:p>
              </w:tc>
              <w:tc>
                <w:tcPr>
                  <w:tcW w:w="1944" w:type="dxa"/>
                  <w:tcBorders>
                    <w:top w:val="single" w:color="auto" w:sz="4" w:space="0"/>
                    <w:left w:val="single" w:color="auto" w:sz="4" w:space="0"/>
                    <w:bottom w:val="single" w:color="auto" w:sz="4" w:space="0"/>
                    <w:right w:val="single" w:color="auto" w:sz="4" w:space="0"/>
                  </w:tcBorders>
                  <w:vAlign w:val="center"/>
                </w:tcPr>
                <w:p w14:paraId="29790E97">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危险废物</w:t>
                  </w:r>
                  <w:r>
                    <w:rPr>
                      <w:rFonts w:hint="default" w:ascii="Times New Roman" w:hAnsi="Times New Roman" w:eastAsia="宋体" w:cs="Times New Roman"/>
                      <w:color w:val="auto"/>
                      <w:kern w:val="0"/>
                      <w:szCs w:val="21"/>
                      <w:highlight w:val="none"/>
                      <w:lang w:val="en-US" w:eastAsia="zh-CN"/>
                    </w:rPr>
                    <w:t>HW08</w:t>
                  </w:r>
                </w:p>
                <w:p w14:paraId="130406F9">
                  <w:pPr>
                    <w:jc w:val="center"/>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kern w:val="0"/>
                      <w:szCs w:val="21"/>
                      <w:highlight w:val="none"/>
                      <w:lang w:val="en-US" w:eastAsia="zh-CN"/>
                    </w:rPr>
                    <w:t>900-249-08</w:t>
                  </w:r>
                </w:p>
              </w:tc>
              <w:tc>
                <w:tcPr>
                  <w:tcW w:w="945" w:type="dxa"/>
                  <w:tcBorders>
                    <w:top w:val="single" w:color="auto" w:sz="4" w:space="0"/>
                    <w:left w:val="single" w:color="auto" w:sz="4" w:space="0"/>
                    <w:bottom w:val="single" w:color="auto" w:sz="4" w:space="0"/>
                    <w:right w:val="single" w:color="auto" w:sz="4" w:space="0"/>
                  </w:tcBorders>
                  <w:vAlign w:val="center"/>
                </w:tcPr>
                <w:p w14:paraId="6431E481">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1.2</w:t>
                  </w:r>
                </w:p>
              </w:tc>
              <w:tc>
                <w:tcPr>
                  <w:tcW w:w="1328" w:type="dxa"/>
                  <w:vMerge w:val="continue"/>
                  <w:tcBorders>
                    <w:left w:val="single" w:color="auto" w:sz="4" w:space="0"/>
                    <w:right w:val="single" w:color="auto" w:sz="4" w:space="0"/>
                  </w:tcBorders>
                  <w:vAlign w:val="center"/>
                </w:tcPr>
                <w:p w14:paraId="4EBC23C6">
                  <w:pPr>
                    <w:jc w:val="center"/>
                    <w:rPr>
                      <w:rFonts w:hint="default" w:ascii="Times New Roman" w:hAnsi="Times New Roman" w:eastAsia="宋体" w:cs="Times New Roman"/>
                      <w:color w:val="auto"/>
                      <w:kern w:val="0"/>
                      <w:szCs w:val="21"/>
                      <w:highlight w:val="none"/>
                    </w:rPr>
                  </w:pPr>
                </w:p>
              </w:tc>
              <w:tc>
                <w:tcPr>
                  <w:tcW w:w="1105" w:type="dxa"/>
                  <w:tcBorders>
                    <w:top w:val="single" w:color="auto" w:sz="4" w:space="0"/>
                    <w:left w:val="single" w:color="auto" w:sz="4" w:space="0"/>
                    <w:bottom w:val="single" w:color="auto" w:sz="4" w:space="0"/>
                    <w:right w:val="single" w:color="auto" w:sz="4" w:space="0"/>
                  </w:tcBorders>
                  <w:vAlign w:val="center"/>
                </w:tcPr>
                <w:p w14:paraId="2D43775D">
                  <w:pPr>
                    <w:jc w:val="center"/>
                    <w:rPr>
                      <w:rFonts w:hint="default" w:ascii="Times New Roman" w:hAnsi="Times New Roman" w:eastAsia="宋体" w:cs="Times New Roman"/>
                      <w:bCs/>
                      <w:color w:val="auto"/>
                      <w:kern w:val="0"/>
                      <w:szCs w:val="21"/>
                      <w:highlight w:val="none"/>
                      <w:lang w:eastAsia="zh-CN"/>
                    </w:rPr>
                  </w:pPr>
                  <w:r>
                    <w:rPr>
                      <w:rFonts w:hint="default" w:ascii="Times New Roman" w:hAnsi="Times New Roman" w:eastAsia="宋体" w:cs="Times New Roman"/>
                      <w:bCs/>
                      <w:color w:val="auto"/>
                      <w:kern w:val="0"/>
                      <w:szCs w:val="21"/>
                      <w:highlight w:val="none"/>
                      <w:lang w:eastAsia="zh-CN"/>
                    </w:rPr>
                    <w:t>是</w:t>
                  </w:r>
                </w:p>
              </w:tc>
            </w:tr>
            <w:tr w14:paraId="37F12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34F75A2D">
                  <w:pPr>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6</w:t>
                  </w:r>
                </w:p>
              </w:tc>
              <w:tc>
                <w:tcPr>
                  <w:tcW w:w="1214" w:type="dxa"/>
                  <w:tcBorders>
                    <w:top w:val="single" w:color="auto" w:sz="4" w:space="0"/>
                    <w:left w:val="single" w:color="auto" w:sz="4" w:space="0"/>
                    <w:bottom w:val="single" w:color="auto" w:sz="4" w:space="0"/>
                    <w:right w:val="single" w:color="auto" w:sz="4" w:space="0"/>
                  </w:tcBorders>
                  <w:vAlign w:val="center"/>
                </w:tcPr>
                <w:p w14:paraId="6D463D00">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含油废手套及抹布</w:t>
                  </w:r>
                </w:p>
              </w:tc>
              <w:tc>
                <w:tcPr>
                  <w:tcW w:w="765" w:type="dxa"/>
                  <w:tcBorders>
                    <w:top w:val="single" w:color="auto" w:sz="4" w:space="0"/>
                    <w:left w:val="single" w:color="auto" w:sz="4" w:space="0"/>
                    <w:bottom w:val="single" w:color="auto" w:sz="4" w:space="0"/>
                    <w:right w:val="single" w:color="auto" w:sz="4" w:space="0"/>
                  </w:tcBorders>
                  <w:vAlign w:val="center"/>
                </w:tcPr>
                <w:p w14:paraId="74DBFE48">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维修</w:t>
                  </w:r>
                </w:p>
              </w:tc>
              <w:tc>
                <w:tcPr>
                  <w:tcW w:w="660" w:type="dxa"/>
                  <w:tcBorders>
                    <w:top w:val="single" w:color="auto" w:sz="4" w:space="0"/>
                    <w:left w:val="single" w:color="auto" w:sz="4" w:space="0"/>
                    <w:bottom w:val="single" w:color="auto" w:sz="4" w:space="0"/>
                    <w:right w:val="single" w:color="auto" w:sz="4" w:space="0"/>
                  </w:tcBorders>
                  <w:vAlign w:val="center"/>
                </w:tcPr>
                <w:p w14:paraId="65B0BFD3">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固态</w:t>
                  </w:r>
                </w:p>
              </w:tc>
              <w:tc>
                <w:tcPr>
                  <w:tcW w:w="1944" w:type="dxa"/>
                  <w:tcBorders>
                    <w:top w:val="single" w:color="auto" w:sz="4" w:space="0"/>
                    <w:left w:val="single" w:color="auto" w:sz="4" w:space="0"/>
                    <w:bottom w:val="single" w:color="auto" w:sz="4" w:space="0"/>
                    <w:right w:val="single" w:color="auto" w:sz="4" w:space="0"/>
                  </w:tcBorders>
                  <w:vAlign w:val="center"/>
                </w:tcPr>
                <w:p w14:paraId="7D6EE1E9">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危险废物</w:t>
                  </w:r>
                  <w:r>
                    <w:rPr>
                      <w:rFonts w:hint="default" w:ascii="Times New Roman" w:hAnsi="Times New Roman" w:eastAsia="宋体" w:cs="Times New Roman"/>
                      <w:color w:val="auto"/>
                      <w:kern w:val="0"/>
                      <w:szCs w:val="21"/>
                      <w:highlight w:val="none"/>
                      <w:lang w:val="en-US" w:eastAsia="zh-CN"/>
                    </w:rPr>
                    <w:t>HW49 900-041-49</w:t>
                  </w:r>
                </w:p>
              </w:tc>
              <w:tc>
                <w:tcPr>
                  <w:tcW w:w="945" w:type="dxa"/>
                  <w:tcBorders>
                    <w:top w:val="single" w:color="auto" w:sz="4" w:space="0"/>
                    <w:left w:val="single" w:color="auto" w:sz="4" w:space="0"/>
                    <w:bottom w:val="single" w:color="auto" w:sz="4" w:space="0"/>
                    <w:right w:val="single" w:color="auto" w:sz="4" w:space="0"/>
                  </w:tcBorders>
                  <w:vAlign w:val="center"/>
                </w:tcPr>
                <w:p w14:paraId="3CC70579">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0.01</w:t>
                  </w:r>
                </w:p>
              </w:tc>
              <w:tc>
                <w:tcPr>
                  <w:tcW w:w="1328" w:type="dxa"/>
                  <w:vMerge w:val="continue"/>
                  <w:tcBorders>
                    <w:left w:val="single" w:color="auto" w:sz="4" w:space="0"/>
                    <w:right w:val="single" w:color="auto" w:sz="4" w:space="0"/>
                  </w:tcBorders>
                  <w:vAlign w:val="center"/>
                </w:tcPr>
                <w:p w14:paraId="576BF60C">
                  <w:pPr>
                    <w:jc w:val="center"/>
                    <w:rPr>
                      <w:rFonts w:hint="default" w:ascii="Times New Roman" w:hAnsi="Times New Roman" w:eastAsia="宋体" w:cs="Times New Roman"/>
                      <w:color w:val="auto"/>
                      <w:kern w:val="0"/>
                      <w:szCs w:val="21"/>
                      <w:highlight w:val="none"/>
                    </w:rPr>
                  </w:pPr>
                </w:p>
              </w:tc>
              <w:tc>
                <w:tcPr>
                  <w:tcW w:w="1105" w:type="dxa"/>
                  <w:tcBorders>
                    <w:top w:val="single" w:color="auto" w:sz="4" w:space="0"/>
                    <w:left w:val="single" w:color="auto" w:sz="4" w:space="0"/>
                    <w:bottom w:val="single" w:color="auto" w:sz="4" w:space="0"/>
                    <w:right w:val="single" w:color="auto" w:sz="4" w:space="0"/>
                  </w:tcBorders>
                  <w:vAlign w:val="center"/>
                </w:tcPr>
                <w:p w14:paraId="5C652C6D">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是</w:t>
                  </w:r>
                </w:p>
              </w:tc>
            </w:tr>
            <w:tr w14:paraId="40377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4D80CDDE">
                  <w:pPr>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7</w:t>
                  </w:r>
                </w:p>
              </w:tc>
              <w:tc>
                <w:tcPr>
                  <w:tcW w:w="1214" w:type="dxa"/>
                  <w:tcBorders>
                    <w:top w:val="single" w:color="auto" w:sz="4" w:space="0"/>
                    <w:left w:val="single" w:color="auto" w:sz="4" w:space="0"/>
                    <w:bottom w:val="single" w:color="auto" w:sz="4" w:space="0"/>
                    <w:right w:val="single" w:color="auto" w:sz="4" w:space="0"/>
                  </w:tcBorders>
                  <w:vAlign w:val="center"/>
                </w:tcPr>
                <w:p w14:paraId="5CCE20C2">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废切削液</w:t>
                  </w:r>
                </w:p>
              </w:tc>
              <w:tc>
                <w:tcPr>
                  <w:tcW w:w="765" w:type="dxa"/>
                  <w:tcBorders>
                    <w:top w:val="single" w:color="auto" w:sz="4" w:space="0"/>
                    <w:left w:val="single" w:color="auto" w:sz="4" w:space="0"/>
                    <w:bottom w:val="single" w:color="auto" w:sz="4" w:space="0"/>
                    <w:right w:val="single" w:color="auto" w:sz="4" w:space="0"/>
                  </w:tcBorders>
                  <w:vAlign w:val="center"/>
                </w:tcPr>
                <w:p w14:paraId="232ED0C7">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机加</w:t>
                  </w:r>
                </w:p>
              </w:tc>
              <w:tc>
                <w:tcPr>
                  <w:tcW w:w="660" w:type="dxa"/>
                  <w:tcBorders>
                    <w:top w:val="single" w:color="auto" w:sz="4" w:space="0"/>
                    <w:left w:val="single" w:color="auto" w:sz="4" w:space="0"/>
                    <w:bottom w:val="single" w:color="auto" w:sz="4" w:space="0"/>
                    <w:right w:val="single" w:color="auto" w:sz="4" w:space="0"/>
                  </w:tcBorders>
                  <w:vAlign w:val="center"/>
                </w:tcPr>
                <w:p w14:paraId="461177EC">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液态</w:t>
                  </w:r>
                </w:p>
              </w:tc>
              <w:tc>
                <w:tcPr>
                  <w:tcW w:w="1944" w:type="dxa"/>
                  <w:tcBorders>
                    <w:top w:val="single" w:color="auto" w:sz="4" w:space="0"/>
                    <w:left w:val="single" w:color="auto" w:sz="4" w:space="0"/>
                    <w:bottom w:val="single" w:color="auto" w:sz="4" w:space="0"/>
                    <w:right w:val="single" w:color="auto" w:sz="4" w:space="0"/>
                  </w:tcBorders>
                  <w:vAlign w:val="center"/>
                </w:tcPr>
                <w:p w14:paraId="58625146">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危险废物</w:t>
                  </w:r>
                  <w:r>
                    <w:rPr>
                      <w:rFonts w:hint="default" w:ascii="Times New Roman" w:hAnsi="Times New Roman" w:eastAsia="宋体" w:cs="Times New Roman"/>
                      <w:color w:val="auto"/>
                      <w:kern w:val="0"/>
                      <w:szCs w:val="21"/>
                      <w:highlight w:val="none"/>
                      <w:lang w:val="en-US" w:eastAsia="zh-CN"/>
                    </w:rPr>
                    <w:t>HW09 900-006-09</w:t>
                  </w:r>
                </w:p>
              </w:tc>
              <w:tc>
                <w:tcPr>
                  <w:tcW w:w="945" w:type="dxa"/>
                  <w:tcBorders>
                    <w:top w:val="single" w:color="auto" w:sz="4" w:space="0"/>
                    <w:left w:val="single" w:color="auto" w:sz="4" w:space="0"/>
                    <w:bottom w:val="single" w:color="auto" w:sz="4" w:space="0"/>
                    <w:right w:val="single" w:color="auto" w:sz="4" w:space="0"/>
                  </w:tcBorders>
                  <w:vAlign w:val="center"/>
                </w:tcPr>
                <w:p w14:paraId="649CA35F">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w:t>
                  </w:r>
                </w:p>
              </w:tc>
              <w:tc>
                <w:tcPr>
                  <w:tcW w:w="1328" w:type="dxa"/>
                  <w:vMerge w:val="continue"/>
                  <w:tcBorders>
                    <w:left w:val="single" w:color="auto" w:sz="4" w:space="0"/>
                    <w:right w:val="single" w:color="auto" w:sz="4" w:space="0"/>
                  </w:tcBorders>
                  <w:vAlign w:val="center"/>
                </w:tcPr>
                <w:p w14:paraId="2C086FA2">
                  <w:pPr>
                    <w:jc w:val="center"/>
                    <w:rPr>
                      <w:rFonts w:hint="default" w:ascii="Times New Roman" w:hAnsi="Times New Roman" w:eastAsia="宋体" w:cs="Times New Roman"/>
                      <w:color w:val="auto"/>
                      <w:kern w:val="0"/>
                      <w:szCs w:val="21"/>
                      <w:highlight w:val="none"/>
                    </w:rPr>
                  </w:pPr>
                </w:p>
              </w:tc>
              <w:tc>
                <w:tcPr>
                  <w:tcW w:w="1105" w:type="dxa"/>
                  <w:tcBorders>
                    <w:top w:val="single" w:color="auto" w:sz="4" w:space="0"/>
                    <w:left w:val="single" w:color="auto" w:sz="4" w:space="0"/>
                    <w:bottom w:val="single" w:color="auto" w:sz="4" w:space="0"/>
                    <w:right w:val="single" w:color="auto" w:sz="4" w:space="0"/>
                  </w:tcBorders>
                  <w:vAlign w:val="center"/>
                </w:tcPr>
                <w:p w14:paraId="0F98A933">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是</w:t>
                  </w:r>
                </w:p>
              </w:tc>
            </w:tr>
            <w:tr w14:paraId="15DFC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7CAB01A6">
                  <w:pPr>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8</w:t>
                  </w:r>
                </w:p>
              </w:tc>
              <w:tc>
                <w:tcPr>
                  <w:tcW w:w="1214" w:type="dxa"/>
                  <w:tcBorders>
                    <w:top w:val="single" w:color="auto" w:sz="4" w:space="0"/>
                    <w:left w:val="single" w:color="auto" w:sz="4" w:space="0"/>
                    <w:bottom w:val="single" w:color="auto" w:sz="4" w:space="0"/>
                    <w:right w:val="single" w:color="auto" w:sz="4" w:space="0"/>
                  </w:tcBorders>
                  <w:vAlign w:val="center"/>
                </w:tcPr>
                <w:p w14:paraId="05EE0A94">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油漆桶</w:t>
                  </w:r>
                </w:p>
              </w:tc>
              <w:tc>
                <w:tcPr>
                  <w:tcW w:w="765" w:type="dxa"/>
                  <w:tcBorders>
                    <w:top w:val="single" w:color="auto" w:sz="4" w:space="0"/>
                    <w:left w:val="single" w:color="auto" w:sz="4" w:space="0"/>
                    <w:bottom w:val="single" w:color="auto" w:sz="4" w:space="0"/>
                    <w:right w:val="single" w:color="auto" w:sz="4" w:space="0"/>
                  </w:tcBorders>
                  <w:vAlign w:val="center"/>
                </w:tcPr>
                <w:p w14:paraId="6FE3B144">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喷漆</w:t>
                  </w:r>
                </w:p>
              </w:tc>
              <w:tc>
                <w:tcPr>
                  <w:tcW w:w="660" w:type="dxa"/>
                  <w:tcBorders>
                    <w:top w:val="single" w:color="auto" w:sz="4" w:space="0"/>
                    <w:left w:val="single" w:color="auto" w:sz="4" w:space="0"/>
                    <w:bottom w:val="single" w:color="auto" w:sz="4" w:space="0"/>
                    <w:right w:val="single" w:color="auto" w:sz="4" w:space="0"/>
                  </w:tcBorders>
                  <w:vAlign w:val="center"/>
                </w:tcPr>
                <w:p w14:paraId="5656A201">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固态</w:t>
                  </w:r>
                </w:p>
              </w:tc>
              <w:tc>
                <w:tcPr>
                  <w:tcW w:w="1944" w:type="dxa"/>
                  <w:tcBorders>
                    <w:top w:val="single" w:color="auto" w:sz="4" w:space="0"/>
                    <w:left w:val="single" w:color="auto" w:sz="4" w:space="0"/>
                    <w:bottom w:val="single" w:color="auto" w:sz="4" w:space="0"/>
                    <w:right w:val="single" w:color="auto" w:sz="4" w:space="0"/>
                  </w:tcBorders>
                  <w:vAlign w:val="center"/>
                </w:tcPr>
                <w:p w14:paraId="3DDE155C">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危险废物</w:t>
                  </w:r>
                  <w:r>
                    <w:rPr>
                      <w:rFonts w:hint="default" w:ascii="Times New Roman" w:hAnsi="Times New Roman" w:eastAsia="宋体" w:cs="Times New Roman"/>
                      <w:color w:val="auto"/>
                      <w:kern w:val="0"/>
                      <w:szCs w:val="21"/>
                      <w:highlight w:val="none"/>
                      <w:lang w:val="en-US" w:eastAsia="zh-CN"/>
                    </w:rPr>
                    <w:t>HW12</w:t>
                  </w:r>
                </w:p>
                <w:p w14:paraId="6F6F48F5">
                  <w:pPr>
                    <w:jc w:val="center"/>
                    <w:rPr>
                      <w:rFonts w:hint="default" w:ascii="Times New Roman" w:hAnsi="Times New Roman" w:eastAsia="宋体" w:cs="Times New Roman"/>
                      <w:color w:val="auto"/>
                      <w:kern w:val="0"/>
                      <w:szCs w:val="21"/>
                      <w:highlight w:val="none"/>
                      <w:lang w:val="en-US"/>
                    </w:rPr>
                  </w:pPr>
                  <w:r>
                    <w:rPr>
                      <w:rFonts w:hint="default" w:ascii="Times New Roman" w:hAnsi="Times New Roman" w:eastAsia="宋体" w:cs="Times New Roman"/>
                      <w:color w:val="auto"/>
                      <w:kern w:val="0"/>
                      <w:szCs w:val="21"/>
                      <w:highlight w:val="none"/>
                      <w:lang w:val="en-US" w:eastAsia="zh-CN"/>
                    </w:rPr>
                    <w:t>900-252-12</w:t>
                  </w:r>
                </w:p>
              </w:tc>
              <w:tc>
                <w:tcPr>
                  <w:tcW w:w="945" w:type="dxa"/>
                  <w:tcBorders>
                    <w:top w:val="single" w:color="auto" w:sz="4" w:space="0"/>
                    <w:left w:val="single" w:color="auto" w:sz="4" w:space="0"/>
                    <w:bottom w:val="single" w:color="auto" w:sz="4" w:space="0"/>
                    <w:right w:val="single" w:color="auto" w:sz="4" w:space="0"/>
                  </w:tcBorders>
                  <w:vAlign w:val="center"/>
                </w:tcPr>
                <w:p w14:paraId="6579E62A">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11</w:t>
                  </w:r>
                </w:p>
              </w:tc>
              <w:tc>
                <w:tcPr>
                  <w:tcW w:w="1328" w:type="dxa"/>
                  <w:vMerge w:val="continue"/>
                  <w:tcBorders>
                    <w:left w:val="single" w:color="auto" w:sz="4" w:space="0"/>
                    <w:right w:val="single" w:color="auto" w:sz="4" w:space="0"/>
                  </w:tcBorders>
                  <w:vAlign w:val="center"/>
                </w:tcPr>
                <w:p w14:paraId="46E26258">
                  <w:pPr>
                    <w:jc w:val="center"/>
                    <w:rPr>
                      <w:rFonts w:hint="default" w:ascii="Times New Roman" w:hAnsi="Times New Roman" w:eastAsia="宋体" w:cs="Times New Roman"/>
                      <w:color w:val="auto"/>
                      <w:kern w:val="0"/>
                      <w:szCs w:val="21"/>
                      <w:highlight w:val="none"/>
                    </w:rPr>
                  </w:pPr>
                </w:p>
              </w:tc>
              <w:tc>
                <w:tcPr>
                  <w:tcW w:w="1105" w:type="dxa"/>
                  <w:tcBorders>
                    <w:top w:val="single" w:color="auto" w:sz="4" w:space="0"/>
                    <w:left w:val="single" w:color="auto" w:sz="4" w:space="0"/>
                    <w:bottom w:val="single" w:color="auto" w:sz="4" w:space="0"/>
                    <w:right w:val="single" w:color="auto" w:sz="4" w:space="0"/>
                  </w:tcBorders>
                  <w:vAlign w:val="center"/>
                </w:tcPr>
                <w:p w14:paraId="3AAA3DEC">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是</w:t>
                  </w:r>
                </w:p>
              </w:tc>
            </w:tr>
            <w:tr w14:paraId="5A2D1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356" w:type="dxa"/>
                  <w:tcBorders>
                    <w:top w:val="single" w:color="auto" w:sz="4" w:space="0"/>
                    <w:left w:val="single" w:color="auto" w:sz="4" w:space="0"/>
                    <w:bottom w:val="single" w:color="auto" w:sz="4" w:space="0"/>
                    <w:right w:val="single" w:color="auto" w:sz="4" w:space="0"/>
                  </w:tcBorders>
                  <w:vAlign w:val="center"/>
                </w:tcPr>
                <w:p w14:paraId="2725E959">
                  <w:pPr>
                    <w:jc w:val="center"/>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9</w:t>
                  </w:r>
                </w:p>
              </w:tc>
              <w:tc>
                <w:tcPr>
                  <w:tcW w:w="1214" w:type="dxa"/>
                  <w:tcBorders>
                    <w:top w:val="single" w:color="auto" w:sz="4" w:space="0"/>
                    <w:left w:val="single" w:color="auto" w:sz="4" w:space="0"/>
                    <w:bottom w:val="single" w:color="auto" w:sz="4" w:space="0"/>
                    <w:right w:val="single" w:color="auto" w:sz="4" w:space="0"/>
                  </w:tcBorders>
                  <w:vAlign w:val="center"/>
                </w:tcPr>
                <w:p w14:paraId="1A3F6E32">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油漆渣</w:t>
                  </w:r>
                </w:p>
              </w:tc>
              <w:tc>
                <w:tcPr>
                  <w:tcW w:w="765" w:type="dxa"/>
                  <w:tcBorders>
                    <w:top w:val="single" w:color="auto" w:sz="4" w:space="0"/>
                    <w:left w:val="single" w:color="auto" w:sz="4" w:space="0"/>
                    <w:bottom w:val="single" w:color="auto" w:sz="4" w:space="0"/>
                    <w:right w:val="single" w:color="auto" w:sz="4" w:space="0"/>
                  </w:tcBorders>
                  <w:vAlign w:val="center"/>
                </w:tcPr>
                <w:p w14:paraId="2521CFA1">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喷漆</w:t>
                  </w:r>
                </w:p>
              </w:tc>
              <w:tc>
                <w:tcPr>
                  <w:tcW w:w="660" w:type="dxa"/>
                  <w:tcBorders>
                    <w:top w:val="single" w:color="auto" w:sz="4" w:space="0"/>
                    <w:left w:val="single" w:color="auto" w:sz="4" w:space="0"/>
                    <w:bottom w:val="single" w:color="auto" w:sz="4" w:space="0"/>
                    <w:right w:val="single" w:color="auto" w:sz="4" w:space="0"/>
                  </w:tcBorders>
                  <w:vAlign w:val="center"/>
                </w:tcPr>
                <w:p w14:paraId="55509D26">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固态</w:t>
                  </w:r>
                </w:p>
              </w:tc>
              <w:tc>
                <w:tcPr>
                  <w:tcW w:w="1944" w:type="dxa"/>
                  <w:tcBorders>
                    <w:top w:val="single" w:color="auto" w:sz="4" w:space="0"/>
                    <w:left w:val="single" w:color="auto" w:sz="4" w:space="0"/>
                    <w:bottom w:val="single" w:color="auto" w:sz="4" w:space="0"/>
                    <w:right w:val="single" w:color="auto" w:sz="4" w:space="0"/>
                  </w:tcBorders>
                  <w:vAlign w:val="center"/>
                </w:tcPr>
                <w:p w14:paraId="6971931A">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危险废物</w:t>
                  </w:r>
                  <w:r>
                    <w:rPr>
                      <w:rFonts w:hint="default" w:ascii="Times New Roman" w:hAnsi="Times New Roman" w:eastAsia="宋体" w:cs="Times New Roman"/>
                      <w:color w:val="auto"/>
                      <w:kern w:val="0"/>
                      <w:szCs w:val="21"/>
                      <w:highlight w:val="none"/>
                      <w:lang w:val="en-US" w:eastAsia="zh-CN"/>
                    </w:rPr>
                    <w:t>HW12</w:t>
                  </w:r>
                </w:p>
                <w:p w14:paraId="0FCBDF7C">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900-252-12</w:t>
                  </w:r>
                </w:p>
              </w:tc>
              <w:tc>
                <w:tcPr>
                  <w:tcW w:w="945" w:type="dxa"/>
                  <w:tcBorders>
                    <w:top w:val="single" w:color="auto" w:sz="4" w:space="0"/>
                    <w:left w:val="single" w:color="auto" w:sz="4" w:space="0"/>
                    <w:bottom w:val="single" w:color="auto" w:sz="4" w:space="0"/>
                    <w:right w:val="single" w:color="auto" w:sz="4" w:space="0"/>
                  </w:tcBorders>
                  <w:vAlign w:val="center"/>
                </w:tcPr>
                <w:p w14:paraId="66655B39">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0.63</w:t>
                  </w:r>
                </w:p>
              </w:tc>
              <w:tc>
                <w:tcPr>
                  <w:tcW w:w="1328" w:type="dxa"/>
                  <w:vMerge w:val="continue"/>
                  <w:tcBorders>
                    <w:left w:val="single" w:color="auto" w:sz="4" w:space="0"/>
                    <w:right w:val="single" w:color="auto" w:sz="4" w:space="0"/>
                  </w:tcBorders>
                  <w:vAlign w:val="center"/>
                </w:tcPr>
                <w:p w14:paraId="434AC14E">
                  <w:pPr>
                    <w:jc w:val="center"/>
                    <w:rPr>
                      <w:rFonts w:hint="default" w:ascii="Times New Roman" w:hAnsi="Times New Roman" w:eastAsia="宋体" w:cs="Times New Roman"/>
                      <w:color w:val="auto"/>
                      <w:kern w:val="0"/>
                      <w:szCs w:val="21"/>
                      <w:highlight w:val="none"/>
                    </w:rPr>
                  </w:pPr>
                </w:p>
              </w:tc>
              <w:tc>
                <w:tcPr>
                  <w:tcW w:w="1105" w:type="dxa"/>
                  <w:tcBorders>
                    <w:top w:val="single" w:color="auto" w:sz="4" w:space="0"/>
                    <w:left w:val="single" w:color="auto" w:sz="4" w:space="0"/>
                    <w:bottom w:val="single" w:color="auto" w:sz="4" w:space="0"/>
                    <w:right w:val="single" w:color="auto" w:sz="4" w:space="0"/>
                  </w:tcBorders>
                  <w:vAlign w:val="center"/>
                </w:tcPr>
                <w:p w14:paraId="7939288B">
                  <w:pPr>
                    <w:jc w:val="center"/>
                    <w:rPr>
                      <w:rFonts w:hint="default" w:ascii="Times New Roman" w:hAnsi="Times New Roman" w:eastAsia="宋体" w:cs="Times New Roman"/>
                      <w:bCs/>
                      <w:color w:val="auto"/>
                      <w:kern w:val="0"/>
                      <w:szCs w:val="21"/>
                      <w:highlight w:val="none"/>
                    </w:rPr>
                  </w:pPr>
                  <w:r>
                    <w:rPr>
                      <w:rFonts w:hint="default" w:ascii="Times New Roman" w:hAnsi="Times New Roman" w:eastAsia="宋体" w:cs="Times New Roman"/>
                      <w:bCs/>
                      <w:color w:val="auto"/>
                      <w:kern w:val="0"/>
                      <w:szCs w:val="21"/>
                      <w:highlight w:val="none"/>
                    </w:rPr>
                    <w:t>是</w:t>
                  </w:r>
                </w:p>
              </w:tc>
            </w:tr>
          </w:tbl>
          <w:p w14:paraId="6AC0CC34">
            <w:pPr>
              <w:spacing w:before="120" w:beforeLines="5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表4-</w:t>
            </w:r>
            <w:r>
              <w:rPr>
                <w:rFonts w:hint="default" w:ascii="Times New Roman" w:hAnsi="Times New Roman" w:eastAsia="宋体" w:cs="Times New Roman"/>
                <w:b/>
                <w:color w:val="auto"/>
                <w:szCs w:val="21"/>
                <w:lang w:val="en-US" w:eastAsia="zh-CN"/>
              </w:rPr>
              <w:t>12</w:t>
            </w:r>
            <w:r>
              <w:rPr>
                <w:rFonts w:hint="default" w:ascii="Times New Roman" w:hAnsi="Times New Roman" w:eastAsia="宋体" w:cs="Times New Roman"/>
                <w:b/>
                <w:color w:val="auto"/>
                <w:szCs w:val="21"/>
              </w:rPr>
              <w:t xml:space="preserve">   项目危险废物分析结果汇总表</w:t>
            </w:r>
          </w:p>
          <w:tbl>
            <w:tblPr>
              <w:tblStyle w:val="20"/>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3"/>
              <w:gridCol w:w="653"/>
              <w:gridCol w:w="583"/>
              <w:gridCol w:w="634"/>
              <w:gridCol w:w="557"/>
              <w:gridCol w:w="495"/>
              <w:gridCol w:w="644"/>
              <w:gridCol w:w="841"/>
              <w:gridCol w:w="750"/>
              <w:gridCol w:w="930"/>
              <w:gridCol w:w="795"/>
              <w:gridCol w:w="977"/>
            </w:tblGrid>
            <w:tr w14:paraId="4AF15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272" w:type="pct"/>
                  <w:vAlign w:val="center"/>
                </w:tcPr>
                <w:p w14:paraId="124B85D5">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序号</w:t>
                  </w:r>
                </w:p>
              </w:tc>
              <w:tc>
                <w:tcPr>
                  <w:tcW w:w="392" w:type="pct"/>
                  <w:vAlign w:val="center"/>
                </w:tcPr>
                <w:p w14:paraId="49C44BB6">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危险废物名称</w:t>
                  </w:r>
                </w:p>
              </w:tc>
              <w:tc>
                <w:tcPr>
                  <w:tcW w:w="350" w:type="pct"/>
                  <w:vAlign w:val="center"/>
                </w:tcPr>
                <w:p w14:paraId="2581C81A">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危险废物类别</w:t>
                  </w:r>
                </w:p>
              </w:tc>
              <w:tc>
                <w:tcPr>
                  <w:tcW w:w="381" w:type="pct"/>
                  <w:vAlign w:val="center"/>
                </w:tcPr>
                <w:p w14:paraId="391E87FC">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危险废物代码</w:t>
                  </w:r>
                </w:p>
              </w:tc>
              <w:tc>
                <w:tcPr>
                  <w:tcW w:w="335" w:type="pct"/>
                  <w:vAlign w:val="center"/>
                </w:tcPr>
                <w:p w14:paraId="67385EBF">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rPr>
                    <w:t>年度产生量</w:t>
                  </w:r>
                  <w:r>
                    <w:rPr>
                      <w:rFonts w:hint="default" w:ascii="Times New Roman" w:hAnsi="Times New Roman" w:eastAsia="宋体" w:cs="Times New Roman"/>
                      <w:bCs/>
                      <w:color w:val="auto"/>
                      <w:kern w:val="0"/>
                      <w:szCs w:val="21"/>
                      <w:lang w:val="en-US" w:eastAsia="zh-CN"/>
                    </w:rPr>
                    <w:t>t/a</w:t>
                  </w:r>
                </w:p>
              </w:tc>
              <w:tc>
                <w:tcPr>
                  <w:tcW w:w="297" w:type="pct"/>
                  <w:vAlign w:val="center"/>
                </w:tcPr>
                <w:p w14:paraId="128C8154">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物理性状</w:t>
                  </w:r>
                </w:p>
              </w:tc>
              <w:tc>
                <w:tcPr>
                  <w:tcW w:w="387" w:type="pct"/>
                  <w:vAlign w:val="center"/>
                </w:tcPr>
                <w:p w14:paraId="34703AA5">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环境危险特性</w:t>
                  </w:r>
                </w:p>
              </w:tc>
              <w:tc>
                <w:tcPr>
                  <w:tcW w:w="505" w:type="pct"/>
                  <w:vAlign w:val="center"/>
                </w:tcPr>
                <w:p w14:paraId="09EC2384">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主要有毒有害物质名称</w:t>
                  </w:r>
                </w:p>
              </w:tc>
              <w:tc>
                <w:tcPr>
                  <w:tcW w:w="451" w:type="pct"/>
                  <w:vAlign w:val="center"/>
                </w:tcPr>
                <w:p w14:paraId="14C8138A">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贮存方式</w:t>
                  </w:r>
                </w:p>
              </w:tc>
              <w:tc>
                <w:tcPr>
                  <w:tcW w:w="559" w:type="pct"/>
                  <w:vAlign w:val="center"/>
                </w:tcPr>
                <w:p w14:paraId="6D0F9A56">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利用处置方式和去向</w:t>
                  </w:r>
                </w:p>
              </w:tc>
              <w:tc>
                <w:tcPr>
                  <w:tcW w:w="478" w:type="pct"/>
                  <w:vAlign w:val="center"/>
                </w:tcPr>
                <w:p w14:paraId="15BF8ED2">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rPr>
                    <w:t>利用或处置量</w:t>
                  </w:r>
                  <w:r>
                    <w:rPr>
                      <w:rFonts w:hint="default" w:ascii="Times New Roman" w:hAnsi="Times New Roman" w:eastAsia="宋体" w:cs="Times New Roman"/>
                      <w:bCs/>
                      <w:color w:val="auto"/>
                      <w:kern w:val="0"/>
                      <w:szCs w:val="21"/>
                      <w:lang w:val="en-US" w:eastAsia="zh-CN"/>
                    </w:rPr>
                    <w:t>t/a</w:t>
                  </w:r>
                </w:p>
              </w:tc>
              <w:tc>
                <w:tcPr>
                  <w:tcW w:w="587" w:type="pct"/>
                  <w:vAlign w:val="center"/>
                </w:tcPr>
                <w:p w14:paraId="25D7764E">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环境管理要求</w:t>
                  </w:r>
                </w:p>
              </w:tc>
            </w:tr>
            <w:tr w14:paraId="537EC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272" w:type="pct"/>
                  <w:vAlign w:val="center"/>
                </w:tcPr>
                <w:p w14:paraId="7ED70812">
                  <w:pPr>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Cs w:val="21"/>
                    </w:rPr>
                    <w:t>1</w:t>
                  </w:r>
                </w:p>
              </w:tc>
              <w:tc>
                <w:tcPr>
                  <w:tcW w:w="392" w:type="pct"/>
                  <w:vAlign w:val="center"/>
                </w:tcPr>
                <w:p w14:paraId="151D76EE">
                  <w:pPr>
                    <w:jc w:val="center"/>
                    <w:rPr>
                      <w:rFonts w:hint="default" w:ascii="Times New Roman" w:hAnsi="Times New Roman" w:eastAsia="宋体" w:cs="Times New Roman"/>
                      <w:bCs/>
                      <w:color w:val="auto"/>
                      <w:kern w:val="0"/>
                      <w:szCs w:val="21"/>
                      <w:lang w:val="en-US"/>
                    </w:rPr>
                  </w:pPr>
                  <w:r>
                    <w:rPr>
                      <w:rFonts w:hint="default" w:ascii="Times New Roman" w:hAnsi="Times New Roman" w:eastAsia="宋体" w:cs="Times New Roman"/>
                      <w:color w:val="auto"/>
                      <w:kern w:val="0"/>
                      <w:szCs w:val="21"/>
                      <w:highlight w:val="none"/>
                      <w:lang w:val="en-US" w:eastAsia="zh-CN"/>
                    </w:rPr>
                    <w:t>废润滑油</w:t>
                  </w:r>
                </w:p>
              </w:tc>
              <w:tc>
                <w:tcPr>
                  <w:tcW w:w="350" w:type="pct"/>
                  <w:vAlign w:val="center"/>
                </w:tcPr>
                <w:p w14:paraId="5B1A688F">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HW</w:t>
                  </w:r>
                  <w:r>
                    <w:rPr>
                      <w:rFonts w:hint="default" w:ascii="Times New Roman" w:hAnsi="Times New Roman" w:eastAsia="宋体" w:cs="Times New Roman"/>
                      <w:bCs/>
                      <w:color w:val="auto"/>
                      <w:kern w:val="0"/>
                      <w:szCs w:val="21"/>
                      <w:lang w:val="en-US" w:eastAsia="zh-CN"/>
                    </w:rPr>
                    <w:t>08</w:t>
                  </w:r>
                </w:p>
              </w:tc>
              <w:tc>
                <w:tcPr>
                  <w:tcW w:w="381" w:type="pct"/>
                  <w:vAlign w:val="center"/>
                </w:tcPr>
                <w:p w14:paraId="559CF52C">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900-249-08</w:t>
                  </w:r>
                </w:p>
              </w:tc>
              <w:tc>
                <w:tcPr>
                  <w:tcW w:w="335" w:type="pct"/>
                  <w:vAlign w:val="center"/>
                </w:tcPr>
                <w:p w14:paraId="5870A62C">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 w:val="21"/>
                      <w:szCs w:val="21"/>
                      <w:highlight w:val="none"/>
                      <w:lang w:val="en-US" w:eastAsia="zh-CN" w:bidi="ar-SA"/>
                    </w:rPr>
                    <w:t>0.61</w:t>
                  </w:r>
                </w:p>
              </w:tc>
              <w:tc>
                <w:tcPr>
                  <w:tcW w:w="297" w:type="pct"/>
                  <w:vAlign w:val="center"/>
                </w:tcPr>
                <w:p w14:paraId="712E91D2">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固态</w:t>
                  </w:r>
                </w:p>
              </w:tc>
              <w:tc>
                <w:tcPr>
                  <w:tcW w:w="387" w:type="pct"/>
                  <w:vAlign w:val="center"/>
                </w:tcPr>
                <w:p w14:paraId="77DA38DF">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rPr>
                    <w:t>T</w:t>
                  </w:r>
                </w:p>
              </w:tc>
              <w:tc>
                <w:tcPr>
                  <w:tcW w:w="505" w:type="pct"/>
                  <w:vAlign w:val="center"/>
                </w:tcPr>
                <w:p w14:paraId="56BB3935">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有机物</w:t>
                  </w:r>
                </w:p>
              </w:tc>
              <w:tc>
                <w:tcPr>
                  <w:tcW w:w="451" w:type="pct"/>
                  <w:vAlign w:val="center"/>
                </w:tcPr>
                <w:p w14:paraId="03F45E2E">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专用容器</w:t>
                  </w:r>
                </w:p>
              </w:tc>
              <w:tc>
                <w:tcPr>
                  <w:tcW w:w="559" w:type="pct"/>
                  <w:vMerge w:val="restart"/>
                  <w:vAlign w:val="center"/>
                </w:tcPr>
                <w:p w14:paraId="1CA3D653">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color w:val="auto"/>
                      <w:kern w:val="0"/>
                      <w:szCs w:val="21"/>
                    </w:rPr>
                    <w:t>暂存于</w:t>
                  </w:r>
                  <w:r>
                    <w:rPr>
                      <w:rFonts w:hint="default" w:ascii="Times New Roman" w:hAnsi="Times New Roman" w:eastAsia="宋体" w:cs="Times New Roman"/>
                      <w:color w:val="auto"/>
                      <w:kern w:val="0"/>
                      <w:szCs w:val="21"/>
                      <w:lang w:eastAsia="zh-CN"/>
                    </w:rPr>
                    <w:t>危废贮存库</w:t>
                  </w:r>
                  <w:r>
                    <w:rPr>
                      <w:rFonts w:hint="default" w:ascii="Times New Roman" w:hAnsi="Times New Roman" w:eastAsia="宋体" w:cs="Times New Roman"/>
                      <w:color w:val="auto"/>
                      <w:kern w:val="0"/>
                      <w:szCs w:val="21"/>
                    </w:rPr>
                    <w:t>，交由有资质单位处理</w:t>
                  </w:r>
                </w:p>
              </w:tc>
              <w:tc>
                <w:tcPr>
                  <w:tcW w:w="478" w:type="pct"/>
                  <w:vAlign w:val="center"/>
                </w:tcPr>
                <w:p w14:paraId="136C74D4">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 w:val="21"/>
                      <w:szCs w:val="21"/>
                      <w:highlight w:val="none"/>
                      <w:lang w:val="en-US" w:eastAsia="zh-CN" w:bidi="ar-SA"/>
                    </w:rPr>
                    <w:t>0.61</w:t>
                  </w:r>
                </w:p>
              </w:tc>
              <w:tc>
                <w:tcPr>
                  <w:tcW w:w="587" w:type="pct"/>
                  <w:vMerge w:val="restart"/>
                  <w:vAlign w:val="center"/>
                </w:tcPr>
                <w:p w14:paraId="30106795">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color w:val="auto"/>
                      <w:kern w:val="0"/>
                      <w:szCs w:val="21"/>
                    </w:rPr>
                    <w:t>暂存于</w:t>
                  </w:r>
                  <w:r>
                    <w:rPr>
                      <w:rFonts w:hint="default" w:ascii="Times New Roman" w:hAnsi="Times New Roman" w:eastAsia="宋体" w:cs="Times New Roman"/>
                      <w:color w:val="auto"/>
                      <w:kern w:val="0"/>
                      <w:szCs w:val="21"/>
                      <w:lang w:eastAsia="zh-CN"/>
                    </w:rPr>
                    <w:t>危废贮存库</w:t>
                  </w:r>
                  <w:r>
                    <w:rPr>
                      <w:rFonts w:hint="default" w:ascii="Times New Roman" w:hAnsi="Times New Roman" w:eastAsia="宋体" w:cs="Times New Roman"/>
                      <w:color w:val="auto"/>
                      <w:kern w:val="0"/>
                      <w:szCs w:val="21"/>
                    </w:rPr>
                    <w:t>，交由有资质单位处理</w:t>
                  </w:r>
                </w:p>
              </w:tc>
            </w:tr>
            <w:tr w14:paraId="40253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272" w:type="pct"/>
                  <w:vAlign w:val="center"/>
                </w:tcPr>
                <w:p w14:paraId="5965F6AA">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2</w:t>
                  </w:r>
                </w:p>
              </w:tc>
              <w:tc>
                <w:tcPr>
                  <w:tcW w:w="392" w:type="pct"/>
                  <w:vAlign w:val="center"/>
                </w:tcPr>
                <w:p w14:paraId="75DE3E5F">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废油桶</w:t>
                  </w:r>
                </w:p>
              </w:tc>
              <w:tc>
                <w:tcPr>
                  <w:tcW w:w="350" w:type="pct"/>
                  <w:vAlign w:val="center"/>
                </w:tcPr>
                <w:p w14:paraId="2F93249F">
                  <w:pPr>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Cs w:val="21"/>
                    </w:rPr>
                    <w:t>HW</w:t>
                  </w:r>
                  <w:r>
                    <w:rPr>
                      <w:rFonts w:hint="default" w:ascii="Times New Roman" w:hAnsi="Times New Roman" w:eastAsia="宋体" w:cs="Times New Roman"/>
                      <w:bCs/>
                      <w:color w:val="auto"/>
                      <w:kern w:val="0"/>
                      <w:szCs w:val="21"/>
                      <w:lang w:val="en-US" w:eastAsia="zh-CN"/>
                    </w:rPr>
                    <w:t>08</w:t>
                  </w:r>
                </w:p>
              </w:tc>
              <w:tc>
                <w:tcPr>
                  <w:tcW w:w="381" w:type="pct"/>
                  <w:vAlign w:val="center"/>
                </w:tcPr>
                <w:p w14:paraId="48D92302">
                  <w:pPr>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Cs w:val="21"/>
                      <w:lang w:val="en-US" w:eastAsia="zh-CN"/>
                    </w:rPr>
                    <w:t>900-249-08</w:t>
                  </w:r>
                </w:p>
              </w:tc>
              <w:tc>
                <w:tcPr>
                  <w:tcW w:w="335" w:type="pct"/>
                  <w:vAlign w:val="center"/>
                </w:tcPr>
                <w:p w14:paraId="7EEE39CA">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1.2</w:t>
                  </w:r>
                </w:p>
              </w:tc>
              <w:tc>
                <w:tcPr>
                  <w:tcW w:w="297" w:type="pct"/>
                  <w:vAlign w:val="center"/>
                </w:tcPr>
                <w:p w14:paraId="06F61A59">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color w:val="auto"/>
                      <w:kern w:val="0"/>
                      <w:szCs w:val="21"/>
                      <w:highlight w:val="none"/>
                      <w:lang w:val="en-US" w:eastAsia="zh-CN"/>
                    </w:rPr>
                    <w:t>液态</w:t>
                  </w:r>
                </w:p>
              </w:tc>
              <w:tc>
                <w:tcPr>
                  <w:tcW w:w="387" w:type="pct"/>
                  <w:vAlign w:val="center"/>
                </w:tcPr>
                <w:p w14:paraId="5D156052">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rPr>
                    <w:t>T</w:t>
                  </w:r>
                  <w:r>
                    <w:rPr>
                      <w:rFonts w:hint="default" w:ascii="Times New Roman" w:hAnsi="Times New Roman" w:eastAsia="宋体" w:cs="Times New Roman"/>
                      <w:bCs/>
                      <w:color w:val="auto"/>
                      <w:kern w:val="0"/>
                      <w:szCs w:val="21"/>
                      <w:lang w:eastAsia="zh-CN"/>
                    </w:rPr>
                    <w:t>，</w:t>
                  </w:r>
                  <w:r>
                    <w:rPr>
                      <w:rFonts w:hint="default" w:ascii="Times New Roman" w:hAnsi="Times New Roman" w:eastAsia="宋体" w:cs="Times New Roman"/>
                      <w:bCs/>
                      <w:color w:val="auto"/>
                      <w:kern w:val="0"/>
                      <w:szCs w:val="21"/>
                      <w:lang w:val="en-US" w:eastAsia="zh-CN"/>
                    </w:rPr>
                    <w:t>I</w:t>
                  </w:r>
                </w:p>
              </w:tc>
              <w:tc>
                <w:tcPr>
                  <w:tcW w:w="505" w:type="pct"/>
                  <w:vAlign w:val="center"/>
                </w:tcPr>
                <w:p w14:paraId="03CC4D04">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有机物</w:t>
                  </w:r>
                </w:p>
              </w:tc>
              <w:tc>
                <w:tcPr>
                  <w:tcW w:w="451" w:type="pct"/>
                  <w:vAlign w:val="center"/>
                </w:tcPr>
                <w:p w14:paraId="09915D71">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托盘</w:t>
                  </w:r>
                </w:p>
              </w:tc>
              <w:tc>
                <w:tcPr>
                  <w:tcW w:w="559" w:type="pct"/>
                  <w:vMerge w:val="continue"/>
                  <w:vAlign w:val="center"/>
                </w:tcPr>
                <w:p w14:paraId="0F8BA053">
                  <w:pPr>
                    <w:jc w:val="center"/>
                    <w:rPr>
                      <w:rFonts w:hint="default" w:ascii="Times New Roman" w:hAnsi="Times New Roman" w:eastAsia="宋体" w:cs="Times New Roman"/>
                      <w:color w:val="auto"/>
                      <w:kern w:val="0"/>
                      <w:szCs w:val="21"/>
                    </w:rPr>
                  </w:pPr>
                </w:p>
              </w:tc>
              <w:tc>
                <w:tcPr>
                  <w:tcW w:w="478" w:type="pct"/>
                  <w:vAlign w:val="center"/>
                </w:tcPr>
                <w:p w14:paraId="026B107B">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1.2</w:t>
                  </w:r>
                </w:p>
              </w:tc>
              <w:tc>
                <w:tcPr>
                  <w:tcW w:w="587" w:type="pct"/>
                  <w:vMerge w:val="continue"/>
                  <w:vAlign w:val="center"/>
                </w:tcPr>
                <w:p w14:paraId="1439F8BB">
                  <w:pPr>
                    <w:jc w:val="center"/>
                    <w:rPr>
                      <w:rFonts w:hint="default" w:ascii="Times New Roman" w:hAnsi="Times New Roman" w:eastAsia="宋体" w:cs="Times New Roman"/>
                      <w:color w:val="auto"/>
                      <w:kern w:val="0"/>
                      <w:szCs w:val="21"/>
                    </w:rPr>
                  </w:pPr>
                </w:p>
              </w:tc>
            </w:tr>
            <w:tr w14:paraId="4822A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272" w:type="pct"/>
                  <w:vAlign w:val="center"/>
                </w:tcPr>
                <w:p w14:paraId="7DE3DE45">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3</w:t>
                  </w:r>
                </w:p>
              </w:tc>
              <w:tc>
                <w:tcPr>
                  <w:tcW w:w="392" w:type="pct"/>
                  <w:vAlign w:val="center"/>
                </w:tcPr>
                <w:p w14:paraId="3C0449EC">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color w:val="auto"/>
                      <w:kern w:val="0"/>
                      <w:szCs w:val="21"/>
                      <w:highlight w:val="none"/>
                      <w:lang w:val="en-US" w:eastAsia="zh-CN"/>
                    </w:rPr>
                    <w:t>含油废手套及抹布</w:t>
                  </w:r>
                </w:p>
              </w:tc>
              <w:tc>
                <w:tcPr>
                  <w:tcW w:w="350" w:type="pct"/>
                  <w:vAlign w:val="center"/>
                </w:tcPr>
                <w:p w14:paraId="5C277A10">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HW49</w:t>
                  </w:r>
                </w:p>
              </w:tc>
              <w:tc>
                <w:tcPr>
                  <w:tcW w:w="381" w:type="pct"/>
                  <w:vAlign w:val="center"/>
                </w:tcPr>
                <w:p w14:paraId="77FFEE51">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900-041-49</w:t>
                  </w:r>
                </w:p>
              </w:tc>
              <w:tc>
                <w:tcPr>
                  <w:tcW w:w="335" w:type="pct"/>
                  <w:vAlign w:val="center"/>
                </w:tcPr>
                <w:p w14:paraId="602AF0E2">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0.01</w:t>
                  </w:r>
                </w:p>
              </w:tc>
              <w:tc>
                <w:tcPr>
                  <w:tcW w:w="297" w:type="pct"/>
                  <w:vAlign w:val="center"/>
                </w:tcPr>
                <w:p w14:paraId="41BF3728">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color w:val="auto"/>
                      <w:kern w:val="0"/>
                      <w:szCs w:val="21"/>
                      <w:highlight w:val="none"/>
                      <w:lang w:val="en-US" w:eastAsia="zh-CN"/>
                    </w:rPr>
                    <w:t>固态</w:t>
                  </w:r>
                </w:p>
              </w:tc>
              <w:tc>
                <w:tcPr>
                  <w:tcW w:w="387" w:type="pct"/>
                  <w:vAlign w:val="center"/>
                </w:tcPr>
                <w:p w14:paraId="5C89ABC1">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T</w:t>
                  </w:r>
                  <w:r>
                    <w:rPr>
                      <w:rFonts w:hint="default" w:ascii="Times New Roman" w:hAnsi="Times New Roman" w:eastAsia="宋体" w:cs="Times New Roman"/>
                      <w:color w:val="auto"/>
                      <w:kern w:val="0"/>
                      <w:szCs w:val="21"/>
                      <w:lang w:val="en-US" w:eastAsia="zh-CN"/>
                    </w:rPr>
                    <w:t>/</w:t>
                  </w:r>
                  <w:r>
                    <w:rPr>
                      <w:rFonts w:hint="default" w:ascii="Times New Roman" w:hAnsi="Times New Roman" w:eastAsia="宋体" w:cs="Times New Roman"/>
                      <w:color w:val="auto"/>
                      <w:kern w:val="0"/>
                      <w:szCs w:val="21"/>
                    </w:rPr>
                    <w:t>I</w:t>
                  </w:r>
                  <w:r>
                    <w:rPr>
                      <w:rFonts w:hint="default" w:ascii="Times New Roman" w:hAnsi="Times New Roman" w:eastAsia="宋体" w:cs="Times New Roman"/>
                      <w:color w:val="auto"/>
                      <w:kern w:val="0"/>
                      <w:szCs w:val="21"/>
                      <w:lang w:val="en-US" w:eastAsia="zh-CN"/>
                    </w:rPr>
                    <w:t>n</w:t>
                  </w:r>
                </w:p>
              </w:tc>
              <w:tc>
                <w:tcPr>
                  <w:tcW w:w="505" w:type="pct"/>
                  <w:vAlign w:val="center"/>
                </w:tcPr>
                <w:p w14:paraId="3642398B">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有机物</w:t>
                  </w:r>
                </w:p>
              </w:tc>
              <w:tc>
                <w:tcPr>
                  <w:tcW w:w="451" w:type="pct"/>
                  <w:vAlign w:val="center"/>
                </w:tcPr>
                <w:p w14:paraId="6779CE06">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lang w:val="en-US" w:eastAsia="zh-CN"/>
                    </w:rPr>
                    <w:t>专用容器</w:t>
                  </w:r>
                </w:p>
              </w:tc>
              <w:tc>
                <w:tcPr>
                  <w:tcW w:w="559" w:type="pct"/>
                  <w:vMerge w:val="continue"/>
                  <w:vAlign w:val="center"/>
                </w:tcPr>
                <w:p w14:paraId="3ACFF280">
                  <w:pPr>
                    <w:jc w:val="center"/>
                    <w:rPr>
                      <w:rFonts w:hint="default" w:ascii="Times New Roman" w:hAnsi="Times New Roman" w:eastAsia="宋体" w:cs="Times New Roman"/>
                      <w:color w:val="auto"/>
                      <w:kern w:val="0"/>
                      <w:szCs w:val="21"/>
                    </w:rPr>
                  </w:pPr>
                </w:p>
              </w:tc>
              <w:tc>
                <w:tcPr>
                  <w:tcW w:w="478" w:type="pct"/>
                  <w:vAlign w:val="center"/>
                </w:tcPr>
                <w:p w14:paraId="44A0DBEB">
                  <w:pPr>
                    <w:jc w:val="center"/>
                    <w:rPr>
                      <w:rFonts w:hint="default" w:ascii="Times New Roman" w:hAnsi="Times New Roman" w:eastAsia="宋体" w:cs="Times New Roman"/>
                      <w:bCs/>
                      <w:color w:val="auto"/>
                      <w:kern w:val="0"/>
                      <w:szCs w:val="21"/>
                      <w:lang w:val="en-US"/>
                    </w:rPr>
                  </w:pPr>
                  <w:r>
                    <w:rPr>
                      <w:rFonts w:hint="default" w:ascii="Times New Roman" w:hAnsi="Times New Roman" w:eastAsia="宋体" w:cs="Times New Roman"/>
                      <w:color w:val="auto"/>
                      <w:kern w:val="0"/>
                      <w:szCs w:val="21"/>
                      <w:highlight w:val="none"/>
                      <w:lang w:val="en-US" w:eastAsia="zh-CN"/>
                    </w:rPr>
                    <w:t>0.01</w:t>
                  </w:r>
                </w:p>
              </w:tc>
              <w:tc>
                <w:tcPr>
                  <w:tcW w:w="587" w:type="pct"/>
                  <w:vMerge w:val="continue"/>
                  <w:vAlign w:val="center"/>
                </w:tcPr>
                <w:p w14:paraId="346DFDBC">
                  <w:pPr>
                    <w:jc w:val="center"/>
                    <w:rPr>
                      <w:rFonts w:hint="default" w:ascii="Times New Roman" w:hAnsi="Times New Roman" w:eastAsia="宋体" w:cs="Times New Roman"/>
                      <w:color w:val="auto"/>
                      <w:kern w:val="0"/>
                      <w:szCs w:val="21"/>
                    </w:rPr>
                  </w:pPr>
                </w:p>
              </w:tc>
            </w:tr>
            <w:tr w14:paraId="67F96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272" w:type="pct"/>
                  <w:vAlign w:val="center"/>
                </w:tcPr>
                <w:p w14:paraId="542777F8">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4</w:t>
                  </w:r>
                </w:p>
              </w:tc>
              <w:tc>
                <w:tcPr>
                  <w:tcW w:w="392" w:type="pct"/>
                  <w:vAlign w:val="center"/>
                </w:tcPr>
                <w:p w14:paraId="66A87EC0">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废切削液</w:t>
                  </w:r>
                </w:p>
              </w:tc>
              <w:tc>
                <w:tcPr>
                  <w:tcW w:w="350" w:type="pct"/>
                  <w:vAlign w:val="center"/>
                </w:tcPr>
                <w:p w14:paraId="78B825E2">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HW09</w:t>
                  </w:r>
                </w:p>
              </w:tc>
              <w:tc>
                <w:tcPr>
                  <w:tcW w:w="381" w:type="pct"/>
                  <w:vAlign w:val="center"/>
                </w:tcPr>
                <w:p w14:paraId="169903BF">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900-006-09</w:t>
                  </w:r>
                </w:p>
              </w:tc>
              <w:tc>
                <w:tcPr>
                  <w:tcW w:w="335" w:type="pct"/>
                  <w:vAlign w:val="center"/>
                </w:tcPr>
                <w:p w14:paraId="1BA8FCA3">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1</w:t>
                  </w:r>
                </w:p>
              </w:tc>
              <w:tc>
                <w:tcPr>
                  <w:tcW w:w="297" w:type="pct"/>
                  <w:vAlign w:val="center"/>
                </w:tcPr>
                <w:p w14:paraId="3668321C">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color w:val="auto"/>
                      <w:kern w:val="0"/>
                      <w:szCs w:val="21"/>
                      <w:highlight w:val="none"/>
                    </w:rPr>
                    <w:t>固态</w:t>
                  </w:r>
                </w:p>
              </w:tc>
              <w:tc>
                <w:tcPr>
                  <w:tcW w:w="387" w:type="pct"/>
                  <w:vAlign w:val="center"/>
                </w:tcPr>
                <w:p w14:paraId="24582CBD">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bCs/>
                      <w:color w:val="auto"/>
                      <w:kern w:val="0"/>
                      <w:szCs w:val="21"/>
                    </w:rPr>
                    <w:t>T</w:t>
                  </w:r>
                </w:p>
              </w:tc>
              <w:tc>
                <w:tcPr>
                  <w:tcW w:w="505" w:type="pct"/>
                  <w:vAlign w:val="center"/>
                </w:tcPr>
                <w:p w14:paraId="073D5A50">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有机物</w:t>
                  </w:r>
                </w:p>
              </w:tc>
              <w:tc>
                <w:tcPr>
                  <w:tcW w:w="451" w:type="pct"/>
                  <w:vAlign w:val="center"/>
                </w:tcPr>
                <w:p w14:paraId="591882FA">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lang w:val="en-US" w:eastAsia="zh-CN"/>
                    </w:rPr>
                    <w:t>专用容器</w:t>
                  </w:r>
                </w:p>
              </w:tc>
              <w:tc>
                <w:tcPr>
                  <w:tcW w:w="559" w:type="pct"/>
                  <w:vMerge w:val="continue"/>
                  <w:vAlign w:val="center"/>
                </w:tcPr>
                <w:p w14:paraId="40D17BF1">
                  <w:pPr>
                    <w:jc w:val="center"/>
                    <w:rPr>
                      <w:rFonts w:hint="default" w:ascii="Times New Roman" w:hAnsi="Times New Roman" w:eastAsia="宋体" w:cs="Times New Roman"/>
                      <w:color w:val="auto"/>
                      <w:kern w:val="0"/>
                      <w:szCs w:val="21"/>
                    </w:rPr>
                  </w:pPr>
                </w:p>
              </w:tc>
              <w:tc>
                <w:tcPr>
                  <w:tcW w:w="478" w:type="pct"/>
                  <w:vAlign w:val="center"/>
                </w:tcPr>
                <w:p w14:paraId="31310C34">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1</w:t>
                  </w:r>
                </w:p>
              </w:tc>
              <w:tc>
                <w:tcPr>
                  <w:tcW w:w="587" w:type="pct"/>
                  <w:vMerge w:val="continue"/>
                  <w:vAlign w:val="center"/>
                </w:tcPr>
                <w:p w14:paraId="1B143137">
                  <w:pPr>
                    <w:jc w:val="center"/>
                    <w:rPr>
                      <w:rFonts w:hint="default" w:ascii="Times New Roman" w:hAnsi="Times New Roman" w:eastAsia="宋体" w:cs="Times New Roman"/>
                      <w:color w:val="auto"/>
                      <w:kern w:val="0"/>
                      <w:szCs w:val="21"/>
                    </w:rPr>
                  </w:pPr>
                </w:p>
              </w:tc>
            </w:tr>
            <w:tr w14:paraId="67BAB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272" w:type="pct"/>
                  <w:vAlign w:val="center"/>
                </w:tcPr>
                <w:p w14:paraId="5D1FFFE2">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5</w:t>
                  </w:r>
                </w:p>
              </w:tc>
              <w:tc>
                <w:tcPr>
                  <w:tcW w:w="392" w:type="pct"/>
                  <w:vAlign w:val="center"/>
                </w:tcPr>
                <w:p w14:paraId="20ADFC4C">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油漆桶</w:t>
                  </w:r>
                </w:p>
              </w:tc>
              <w:tc>
                <w:tcPr>
                  <w:tcW w:w="350" w:type="pct"/>
                  <w:vAlign w:val="center"/>
                </w:tcPr>
                <w:p w14:paraId="7035F070">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HW12</w:t>
                  </w:r>
                </w:p>
              </w:tc>
              <w:tc>
                <w:tcPr>
                  <w:tcW w:w="381" w:type="pct"/>
                  <w:vAlign w:val="center"/>
                </w:tcPr>
                <w:p w14:paraId="33935069">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900-252-12</w:t>
                  </w:r>
                </w:p>
              </w:tc>
              <w:tc>
                <w:tcPr>
                  <w:tcW w:w="335" w:type="pct"/>
                  <w:vAlign w:val="center"/>
                </w:tcPr>
                <w:p w14:paraId="3AA853CD">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11</w:t>
                  </w:r>
                </w:p>
              </w:tc>
              <w:tc>
                <w:tcPr>
                  <w:tcW w:w="297" w:type="pct"/>
                  <w:vAlign w:val="center"/>
                </w:tcPr>
                <w:p w14:paraId="786AF213">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color w:val="auto"/>
                      <w:kern w:val="0"/>
                      <w:szCs w:val="21"/>
                      <w:highlight w:val="none"/>
                      <w:lang w:val="en-US" w:eastAsia="zh-CN"/>
                    </w:rPr>
                    <w:t>液态</w:t>
                  </w:r>
                </w:p>
              </w:tc>
              <w:tc>
                <w:tcPr>
                  <w:tcW w:w="387" w:type="pct"/>
                  <w:vAlign w:val="center"/>
                </w:tcPr>
                <w:p w14:paraId="1E40483F">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bCs/>
                      <w:color w:val="auto"/>
                      <w:kern w:val="0"/>
                      <w:szCs w:val="21"/>
                    </w:rPr>
                    <w:t>T</w:t>
                  </w:r>
                  <w:r>
                    <w:rPr>
                      <w:rFonts w:hint="default" w:ascii="Times New Roman" w:hAnsi="Times New Roman" w:eastAsia="宋体" w:cs="Times New Roman"/>
                      <w:bCs/>
                      <w:color w:val="auto"/>
                      <w:kern w:val="0"/>
                      <w:szCs w:val="21"/>
                      <w:lang w:eastAsia="zh-CN"/>
                    </w:rPr>
                    <w:t>，</w:t>
                  </w:r>
                  <w:r>
                    <w:rPr>
                      <w:rFonts w:hint="default" w:ascii="Times New Roman" w:hAnsi="Times New Roman" w:eastAsia="宋体" w:cs="Times New Roman"/>
                      <w:bCs/>
                      <w:color w:val="auto"/>
                      <w:kern w:val="0"/>
                      <w:szCs w:val="21"/>
                      <w:lang w:val="en-US" w:eastAsia="zh-CN"/>
                    </w:rPr>
                    <w:t>I</w:t>
                  </w:r>
                </w:p>
              </w:tc>
              <w:tc>
                <w:tcPr>
                  <w:tcW w:w="505" w:type="pct"/>
                  <w:vAlign w:val="center"/>
                </w:tcPr>
                <w:p w14:paraId="19CB6D90">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有机物</w:t>
                  </w:r>
                </w:p>
              </w:tc>
              <w:tc>
                <w:tcPr>
                  <w:tcW w:w="451" w:type="pct"/>
                  <w:vAlign w:val="center"/>
                </w:tcPr>
                <w:p w14:paraId="656D77F5">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lang w:val="en-US" w:eastAsia="zh-CN"/>
                    </w:rPr>
                    <w:t>托盘</w:t>
                  </w:r>
                </w:p>
              </w:tc>
              <w:tc>
                <w:tcPr>
                  <w:tcW w:w="559" w:type="pct"/>
                  <w:vMerge w:val="continue"/>
                  <w:vAlign w:val="center"/>
                </w:tcPr>
                <w:p w14:paraId="236709AA">
                  <w:pPr>
                    <w:jc w:val="center"/>
                    <w:rPr>
                      <w:rFonts w:hint="default" w:ascii="Times New Roman" w:hAnsi="Times New Roman" w:eastAsia="宋体" w:cs="Times New Roman"/>
                      <w:color w:val="auto"/>
                      <w:kern w:val="0"/>
                      <w:szCs w:val="21"/>
                    </w:rPr>
                  </w:pPr>
                </w:p>
              </w:tc>
              <w:tc>
                <w:tcPr>
                  <w:tcW w:w="478" w:type="pct"/>
                  <w:vAlign w:val="center"/>
                </w:tcPr>
                <w:p w14:paraId="11F4E57E">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11</w:t>
                  </w:r>
                </w:p>
              </w:tc>
              <w:tc>
                <w:tcPr>
                  <w:tcW w:w="587" w:type="pct"/>
                  <w:vMerge w:val="continue"/>
                  <w:vAlign w:val="center"/>
                </w:tcPr>
                <w:p w14:paraId="2AD34014">
                  <w:pPr>
                    <w:jc w:val="center"/>
                    <w:rPr>
                      <w:rFonts w:hint="default" w:ascii="Times New Roman" w:hAnsi="Times New Roman" w:eastAsia="宋体" w:cs="Times New Roman"/>
                      <w:color w:val="auto"/>
                      <w:kern w:val="0"/>
                      <w:szCs w:val="21"/>
                    </w:rPr>
                  </w:pPr>
                </w:p>
              </w:tc>
            </w:tr>
            <w:tr w14:paraId="1ABB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272" w:type="pct"/>
                  <w:vAlign w:val="center"/>
                </w:tcPr>
                <w:p w14:paraId="7B637E24">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6</w:t>
                  </w:r>
                </w:p>
              </w:tc>
              <w:tc>
                <w:tcPr>
                  <w:tcW w:w="392" w:type="pct"/>
                  <w:vAlign w:val="center"/>
                </w:tcPr>
                <w:p w14:paraId="46886215">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油漆渣</w:t>
                  </w:r>
                </w:p>
              </w:tc>
              <w:tc>
                <w:tcPr>
                  <w:tcW w:w="350" w:type="pct"/>
                  <w:vAlign w:val="center"/>
                </w:tcPr>
                <w:p w14:paraId="07F35560">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HW12</w:t>
                  </w:r>
                </w:p>
              </w:tc>
              <w:tc>
                <w:tcPr>
                  <w:tcW w:w="381" w:type="pct"/>
                  <w:vAlign w:val="center"/>
                </w:tcPr>
                <w:p w14:paraId="745C322C">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900-252-12</w:t>
                  </w:r>
                </w:p>
              </w:tc>
              <w:tc>
                <w:tcPr>
                  <w:tcW w:w="335" w:type="pct"/>
                  <w:vAlign w:val="center"/>
                </w:tcPr>
                <w:p w14:paraId="36728171">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0.63</w:t>
                  </w:r>
                </w:p>
              </w:tc>
              <w:tc>
                <w:tcPr>
                  <w:tcW w:w="297" w:type="pct"/>
                  <w:vAlign w:val="center"/>
                </w:tcPr>
                <w:p w14:paraId="24948E8B">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color w:val="auto"/>
                      <w:kern w:val="0"/>
                      <w:szCs w:val="21"/>
                      <w:highlight w:val="none"/>
                    </w:rPr>
                    <w:t>固态</w:t>
                  </w:r>
                </w:p>
              </w:tc>
              <w:tc>
                <w:tcPr>
                  <w:tcW w:w="387" w:type="pct"/>
                  <w:vAlign w:val="center"/>
                </w:tcPr>
                <w:p w14:paraId="4F695E43">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bCs/>
                      <w:color w:val="auto"/>
                      <w:kern w:val="0"/>
                      <w:szCs w:val="21"/>
                    </w:rPr>
                    <w:t>T</w:t>
                  </w:r>
                  <w:r>
                    <w:rPr>
                      <w:rFonts w:hint="default" w:ascii="Times New Roman" w:hAnsi="Times New Roman" w:eastAsia="宋体" w:cs="Times New Roman"/>
                      <w:bCs/>
                      <w:color w:val="auto"/>
                      <w:kern w:val="0"/>
                      <w:szCs w:val="21"/>
                      <w:lang w:eastAsia="zh-CN"/>
                    </w:rPr>
                    <w:t>，</w:t>
                  </w:r>
                  <w:r>
                    <w:rPr>
                      <w:rFonts w:hint="default" w:ascii="Times New Roman" w:hAnsi="Times New Roman" w:eastAsia="宋体" w:cs="Times New Roman"/>
                      <w:bCs/>
                      <w:color w:val="auto"/>
                      <w:kern w:val="0"/>
                      <w:szCs w:val="21"/>
                      <w:lang w:val="en-US" w:eastAsia="zh-CN"/>
                    </w:rPr>
                    <w:t>I</w:t>
                  </w:r>
                </w:p>
              </w:tc>
              <w:tc>
                <w:tcPr>
                  <w:tcW w:w="505" w:type="pct"/>
                  <w:vAlign w:val="center"/>
                </w:tcPr>
                <w:p w14:paraId="5743A455">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有机物</w:t>
                  </w:r>
                </w:p>
              </w:tc>
              <w:tc>
                <w:tcPr>
                  <w:tcW w:w="451" w:type="pct"/>
                  <w:vAlign w:val="center"/>
                </w:tcPr>
                <w:p w14:paraId="24D884EB">
                  <w:pPr>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lang w:val="en-US" w:eastAsia="zh-CN"/>
                    </w:rPr>
                    <w:t>专用容器</w:t>
                  </w:r>
                </w:p>
              </w:tc>
              <w:tc>
                <w:tcPr>
                  <w:tcW w:w="559" w:type="pct"/>
                  <w:vMerge w:val="continue"/>
                  <w:vAlign w:val="center"/>
                </w:tcPr>
                <w:p w14:paraId="64E94670">
                  <w:pPr>
                    <w:jc w:val="center"/>
                    <w:rPr>
                      <w:rFonts w:hint="default" w:ascii="Times New Roman" w:hAnsi="Times New Roman" w:eastAsia="宋体" w:cs="Times New Roman"/>
                      <w:color w:val="auto"/>
                      <w:kern w:val="0"/>
                      <w:szCs w:val="21"/>
                    </w:rPr>
                  </w:pPr>
                </w:p>
              </w:tc>
              <w:tc>
                <w:tcPr>
                  <w:tcW w:w="478" w:type="pct"/>
                  <w:vAlign w:val="center"/>
                </w:tcPr>
                <w:p w14:paraId="35DC5150">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color w:val="auto"/>
                      <w:kern w:val="0"/>
                      <w:szCs w:val="21"/>
                      <w:highlight w:val="none"/>
                      <w:lang w:val="en-US" w:eastAsia="zh-CN"/>
                    </w:rPr>
                    <w:t>0.36</w:t>
                  </w:r>
                </w:p>
              </w:tc>
              <w:tc>
                <w:tcPr>
                  <w:tcW w:w="587" w:type="pct"/>
                  <w:vMerge w:val="continue"/>
                  <w:vAlign w:val="center"/>
                </w:tcPr>
                <w:p w14:paraId="4A33845D">
                  <w:pPr>
                    <w:jc w:val="center"/>
                    <w:rPr>
                      <w:rFonts w:hint="default" w:ascii="Times New Roman" w:hAnsi="Times New Roman" w:eastAsia="宋体" w:cs="Times New Roman"/>
                      <w:color w:val="auto"/>
                      <w:kern w:val="0"/>
                      <w:szCs w:val="21"/>
                    </w:rPr>
                  </w:pPr>
                </w:p>
              </w:tc>
            </w:tr>
          </w:tbl>
          <w:p w14:paraId="00BEAA73">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lang w:eastAsia="zh-CN"/>
              </w:rPr>
              <w:t>（</w:t>
            </w:r>
            <w:r>
              <w:rPr>
                <w:rFonts w:hint="default" w:ascii="Times New Roman" w:hAnsi="Times New Roman" w:eastAsia="宋体" w:cs="Times New Roman"/>
                <w:color w:val="auto"/>
                <w:kern w:val="0"/>
                <w:sz w:val="24"/>
                <w:szCs w:val="20"/>
                <w:lang w:val="en-US" w:eastAsia="zh-CN"/>
              </w:rPr>
              <w:t>2</w:t>
            </w:r>
            <w:r>
              <w:rPr>
                <w:rFonts w:hint="default" w:ascii="Times New Roman" w:hAnsi="Times New Roman" w:eastAsia="宋体" w:cs="Times New Roman"/>
                <w:color w:val="auto"/>
                <w:kern w:val="0"/>
                <w:sz w:val="24"/>
                <w:szCs w:val="20"/>
                <w:lang w:eastAsia="zh-CN"/>
              </w:rPr>
              <w:t>）</w:t>
            </w:r>
            <w:r>
              <w:rPr>
                <w:rFonts w:hint="default" w:ascii="Times New Roman" w:hAnsi="Times New Roman" w:eastAsia="宋体" w:cs="Times New Roman"/>
                <w:color w:val="auto"/>
                <w:kern w:val="0"/>
                <w:sz w:val="24"/>
                <w:szCs w:val="20"/>
              </w:rPr>
              <w:t>一般固废</w:t>
            </w:r>
            <w:r>
              <w:rPr>
                <w:rFonts w:hint="default" w:ascii="Times New Roman" w:hAnsi="Times New Roman" w:eastAsia="宋体" w:cs="Times New Roman"/>
                <w:color w:val="auto"/>
                <w:sz w:val="24"/>
              </w:rPr>
              <w:t>暂存建设及管理要求</w:t>
            </w:r>
          </w:p>
          <w:p w14:paraId="347E3444">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本项目一般固废主要为</w:t>
            </w:r>
            <w:r>
              <w:rPr>
                <w:rFonts w:hint="default" w:ascii="Times New Roman" w:hAnsi="Times New Roman" w:eastAsia="宋体" w:cs="Times New Roman"/>
                <w:bCs/>
                <w:color w:val="auto"/>
                <w:kern w:val="0"/>
                <w:sz w:val="24"/>
                <w:szCs w:val="20"/>
                <w:lang w:val="en-US" w:eastAsia="zh-CN"/>
              </w:rPr>
              <w:t>废金属碎屑</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废金属边角料、焊渣、除尘器收尘</w:t>
            </w:r>
            <w:r>
              <w:rPr>
                <w:rFonts w:hint="default" w:ascii="Times New Roman" w:hAnsi="Times New Roman" w:eastAsia="宋体" w:cs="Times New Roman"/>
                <w:color w:val="auto"/>
                <w:kern w:val="0"/>
                <w:sz w:val="24"/>
                <w:szCs w:val="20"/>
              </w:rPr>
              <w:t>。</w:t>
            </w:r>
          </w:p>
          <w:p w14:paraId="3B79804E">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bCs/>
                <w:color w:val="auto"/>
                <w:kern w:val="0"/>
                <w:sz w:val="24"/>
                <w:szCs w:val="20"/>
                <w:lang w:val="en-US" w:eastAsia="zh-CN"/>
              </w:rPr>
              <w:t>废金属碎屑</w:t>
            </w:r>
            <w:r>
              <w:rPr>
                <w:rFonts w:hint="default" w:ascii="Times New Roman" w:hAnsi="Times New Roman" w:eastAsia="宋体" w:cs="Times New Roman"/>
                <w:bCs/>
                <w:color w:val="auto"/>
                <w:kern w:val="0"/>
                <w:sz w:val="24"/>
                <w:szCs w:val="20"/>
                <w:lang w:eastAsia="zh-CN"/>
              </w:rPr>
              <w:t>、</w:t>
            </w:r>
            <w:r>
              <w:rPr>
                <w:rFonts w:hint="default" w:ascii="Times New Roman" w:hAnsi="Times New Roman" w:eastAsia="宋体" w:cs="Times New Roman"/>
                <w:bCs/>
                <w:color w:val="auto"/>
                <w:kern w:val="0"/>
                <w:sz w:val="24"/>
                <w:szCs w:val="20"/>
                <w:lang w:val="en-US" w:eastAsia="zh-CN"/>
              </w:rPr>
              <w:t>废金属边角料、焊渣、除尘器收尘</w:t>
            </w:r>
            <w:r>
              <w:rPr>
                <w:rFonts w:hint="default" w:ascii="Times New Roman" w:hAnsi="Times New Roman" w:eastAsia="宋体" w:cs="Times New Roman"/>
                <w:color w:val="auto"/>
                <w:kern w:val="0"/>
                <w:sz w:val="24"/>
                <w:szCs w:val="20"/>
              </w:rPr>
              <w:t>为生产固废，主要成分为金属等，统一收集至一般固废暂存</w:t>
            </w:r>
            <w:r>
              <w:rPr>
                <w:rFonts w:hint="default" w:ascii="Times New Roman" w:hAnsi="Times New Roman" w:eastAsia="宋体" w:cs="Times New Roman"/>
                <w:color w:val="auto"/>
                <w:kern w:val="0"/>
                <w:sz w:val="24"/>
                <w:szCs w:val="20"/>
                <w:lang w:val="en-US" w:eastAsia="zh-CN"/>
              </w:rPr>
              <w:t>区定期外售</w:t>
            </w:r>
            <w:r>
              <w:rPr>
                <w:rFonts w:hint="default" w:ascii="Times New Roman" w:hAnsi="Times New Roman" w:eastAsia="宋体" w:cs="Times New Roman"/>
                <w:color w:val="auto"/>
                <w:kern w:val="0"/>
                <w:sz w:val="24"/>
                <w:szCs w:val="20"/>
              </w:rPr>
              <w:t>。</w:t>
            </w:r>
          </w:p>
          <w:p w14:paraId="76719381">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lang w:val="en-US" w:eastAsia="zh-CN"/>
              </w:rPr>
              <w:t>现有工程已设置一处一般固废暂存间建设满足</w:t>
            </w:r>
            <w:r>
              <w:rPr>
                <w:rFonts w:hint="default" w:ascii="Times New Roman" w:hAnsi="Times New Roman" w:eastAsia="宋体" w:cs="Times New Roman"/>
                <w:color w:val="auto"/>
                <w:kern w:val="0"/>
                <w:sz w:val="24"/>
                <w:szCs w:val="20"/>
              </w:rPr>
              <w:t>《一般工业固体废物贮存与填埋控制标准》（GB18599-2020）要求</w:t>
            </w:r>
            <w:r>
              <w:rPr>
                <w:rFonts w:hint="default" w:ascii="Times New Roman" w:hAnsi="Times New Roman" w:eastAsia="宋体" w:cs="Times New Roman"/>
                <w:color w:val="auto"/>
                <w:kern w:val="0"/>
                <w:sz w:val="24"/>
                <w:szCs w:val="20"/>
                <w:lang w:eastAsia="zh-CN"/>
              </w:rPr>
              <w:t>，</w:t>
            </w:r>
            <w:r>
              <w:rPr>
                <w:rFonts w:hint="default" w:ascii="Times New Roman" w:hAnsi="Times New Roman" w:eastAsia="宋体" w:cs="Times New Roman"/>
                <w:color w:val="auto"/>
                <w:kern w:val="0"/>
                <w:sz w:val="24"/>
                <w:szCs w:val="20"/>
              </w:rPr>
              <w:t>地面</w:t>
            </w:r>
            <w:r>
              <w:rPr>
                <w:rFonts w:hint="default" w:ascii="Times New Roman" w:hAnsi="Times New Roman" w:eastAsia="宋体" w:cs="Times New Roman"/>
                <w:color w:val="auto"/>
                <w:kern w:val="0"/>
                <w:sz w:val="24"/>
                <w:szCs w:val="20"/>
                <w:lang w:val="en-US" w:eastAsia="zh-CN"/>
              </w:rPr>
              <w:t>已</w:t>
            </w:r>
            <w:r>
              <w:rPr>
                <w:rFonts w:hint="default" w:ascii="Times New Roman" w:hAnsi="Times New Roman" w:eastAsia="宋体" w:cs="Times New Roman"/>
                <w:color w:val="auto"/>
                <w:kern w:val="0"/>
                <w:sz w:val="24"/>
                <w:szCs w:val="20"/>
              </w:rPr>
              <w:t>全部进行硬化，且四周封闭，</w:t>
            </w:r>
            <w:r>
              <w:rPr>
                <w:rFonts w:hint="default" w:ascii="Times New Roman" w:hAnsi="Times New Roman" w:eastAsia="宋体" w:cs="Times New Roman"/>
                <w:color w:val="auto"/>
                <w:kern w:val="0"/>
                <w:sz w:val="24"/>
                <w:szCs w:val="20"/>
                <w:lang w:val="en-US" w:eastAsia="zh-CN"/>
              </w:rPr>
              <w:t>已通过竣工环境保护验收，目前储存余量充足，依托可行</w:t>
            </w:r>
            <w:r>
              <w:rPr>
                <w:rFonts w:hint="default" w:ascii="Times New Roman" w:hAnsi="Times New Roman" w:eastAsia="宋体" w:cs="Times New Roman"/>
                <w:color w:val="auto"/>
                <w:kern w:val="0"/>
                <w:sz w:val="24"/>
                <w:szCs w:val="20"/>
              </w:rPr>
              <w:t>。</w:t>
            </w:r>
          </w:p>
          <w:p w14:paraId="0BE17D8A">
            <w:pPr>
              <w:spacing w:line="360" w:lineRule="auto"/>
              <w:ind w:firstLine="480" w:firstLineChars="200"/>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lang w:eastAsia="zh-CN"/>
              </w:rPr>
              <w:t>（</w:t>
            </w:r>
            <w:r>
              <w:rPr>
                <w:rFonts w:hint="default" w:ascii="Times New Roman" w:hAnsi="Times New Roman" w:eastAsia="宋体" w:cs="Times New Roman"/>
                <w:color w:val="auto"/>
                <w:kern w:val="0"/>
                <w:sz w:val="24"/>
                <w:szCs w:val="20"/>
                <w:lang w:val="en-US" w:eastAsia="zh-CN"/>
              </w:rPr>
              <w:t>3</w:t>
            </w:r>
            <w:r>
              <w:rPr>
                <w:rFonts w:hint="default" w:ascii="Times New Roman" w:hAnsi="Times New Roman" w:eastAsia="宋体" w:cs="Times New Roman"/>
                <w:color w:val="auto"/>
                <w:kern w:val="0"/>
                <w:sz w:val="24"/>
                <w:szCs w:val="20"/>
                <w:lang w:eastAsia="zh-CN"/>
              </w:rPr>
              <w:t>）</w:t>
            </w:r>
            <w:r>
              <w:rPr>
                <w:rFonts w:hint="default" w:ascii="Times New Roman" w:hAnsi="Times New Roman" w:eastAsia="宋体" w:cs="Times New Roman"/>
                <w:color w:val="auto"/>
                <w:kern w:val="0"/>
                <w:sz w:val="24"/>
                <w:szCs w:val="20"/>
              </w:rPr>
              <w:t>危险废物贮存库建设及管理要求</w:t>
            </w:r>
          </w:p>
          <w:p w14:paraId="3F735448">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lang w:val="en-US" w:eastAsia="zh-CN"/>
              </w:rPr>
              <w:t>现有工程</w:t>
            </w:r>
            <w:r>
              <w:rPr>
                <w:rFonts w:hint="default" w:ascii="Times New Roman" w:hAnsi="Times New Roman" w:eastAsia="宋体" w:cs="Times New Roman"/>
                <w:color w:val="auto"/>
                <w:sz w:val="24"/>
                <w:szCs w:val="22"/>
              </w:rPr>
              <w:t>已设置</w:t>
            </w:r>
            <w:r>
              <w:rPr>
                <w:rFonts w:hint="default" w:ascii="Times New Roman" w:hAnsi="Times New Roman" w:eastAsia="宋体" w:cs="Times New Roman"/>
                <w:color w:val="auto"/>
                <w:sz w:val="24"/>
                <w:szCs w:val="22"/>
                <w:lang w:val="en-US" w:eastAsia="zh-CN"/>
              </w:rPr>
              <w:t>1</w:t>
            </w:r>
            <w:r>
              <w:rPr>
                <w:rFonts w:hint="default" w:ascii="Times New Roman" w:hAnsi="Times New Roman" w:eastAsia="宋体" w:cs="Times New Roman"/>
                <w:color w:val="auto"/>
                <w:sz w:val="24"/>
                <w:szCs w:val="22"/>
              </w:rPr>
              <w:t>间危废贮存库，建筑面积</w:t>
            </w:r>
            <w:r>
              <w:rPr>
                <w:rFonts w:hint="default" w:ascii="Times New Roman" w:hAnsi="Times New Roman" w:eastAsia="宋体" w:cs="Times New Roman"/>
                <w:color w:val="auto"/>
                <w:sz w:val="24"/>
                <w:szCs w:val="22"/>
                <w:lang w:val="en-US" w:eastAsia="zh-CN"/>
              </w:rPr>
              <w:t>共计208</w:t>
            </w:r>
            <w:r>
              <w:rPr>
                <w:rFonts w:hint="default" w:ascii="Times New Roman" w:hAnsi="Times New Roman" w:eastAsia="宋体" w:cs="Times New Roman"/>
                <w:color w:val="auto"/>
                <w:sz w:val="24"/>
                <w:szCs w:val="22"/>
              </w:rPr>
              <w:t>m</w:t>
            </w:r>
            <w:r>
              <w:rPr>
                <w:rFonts w:hint="default" w:ascii="Times New Roman" w:hAnsi="Times New Roman" w:eastAsia="宋体" w:cs="Times New Roman"/>
                <w:color w:val="auto"/>
                <w:sz w:val="24"/>
                <w:szCs w:val="22"/>
                <w:vertAlign w:val="superscript"/>
              </w:rPr>
              <w:t>2</w:t>
            </w:r>
            <w:r>
              <w:rPr>
                <w:rFonts w:hint="default" w:ascii="Times New Roman" w:hAnsi="Times New Roman" w:eastAsia="宋体" w:cs="Times New Roman"/>
                <w:color w:val="auto"/>
                <w:sz w:val="24"/>
                <w:szCs w:val="22"/>
                <w:lang w:eastAsia="zh-CN"/>
              </w:rPr>
              <w:t>，</w:t>
            </w:r>
            <w:r>
              <w:rPr>
                <w:rFonts w:hint="default" w:ascii="Times New Roman" w:hAnsi="Times New Roman" w:eastAsia="宋体" w:cs="Times New Roman"/>
                <w:color w:val="auto"/>
                <w:sz w:val="24"/>
                <w:szCs w:val="22"/>
                <w:lang w:val="en-US" w:eastAsia="zh-CN"/>
              </w:rPr>
              <w:t>位于厂区东南角</w:t>
            </w:r>
            <w:r>
              <w:rPr>
                <w:rFonts w:hint="default" w:ascii="Times New Roman" w:hAnsi="Times New Roman" w:eastAsia="宋体" w:cs="Times New Roman"/>
                <w:color w:val="auto"/>
                <w:sz w:val="24"/>
                <w:szCs w:val="22"/>
              </w:rPr>
              <w:t>，</w:t>
            </w:r>
            <w:r>
              <w:rPr>
                <w:rFonts w:hint="default" w:ascii="Times New Roman" w:hAnsi="Times New Roman" w:eastAsia="宋体" w:cs="Times New Roman"/>
                <w:color w:val="auto"/>
                <w:sz w:val="24"/>
                <w:szCs w:val="22"/>
                <w:lang w:val="en-US" w:eastAsia="zh-CN"/>
              </w:rPr>
              <w:t>建设满足</w:t>
            </w:r>
            <w:r>
              <w:rPr>
                <w:rFonts w:hint="default" w:ascii="Times New Roman" w:hAnsi="Times New Roman" w:eastAsia="宋体" w:cs="Times New Roman"/>
                <w:color w:val="auto"/>
                <w:sz w:val="24"/>
                <w:szCs w:val="22"/>
              </w:rPr>
              <w:t>《危险废物贮存污染控制标准》（GB 18597—2023）</w:t>
            </w:r>
            <w:r>
              <w:rPr>
                <w:rFonts w:hint="default" w:ascii="Times New Roman" w:hAnsi="Times New Roman" w:eastAsia="宋体" w:cs="Times New Roman"/>
                <w:color w:val="auto"/>
                <w:sz w:val="24"/>
                <w:szCs w:val="22"/>
                <w:lang w:val="en-US" w:eastAsia="zh-CN"/>
              </w:rPr>
              <w:t>要求，</w:t>
            </w:r>
            <w:r>
              <w:rPr>
                <w:rFonts w:hint="default" w:ascii="Times New Roman" w:hAnsi="Times New Roman" w:eastAsia="宋体" w:cs="Times New Roman"/>
                <w:color w:val="auto"/>
                <w:sz w:val="24"/>
                <w:szCs w:val="22"/>
              </w:rPr>
              <w:t>已通过竣工环境保护验收，</w:t>
            </w:r>
            <w:r>
              <w:rPr>
                <w:rFonts w:hint="default" w:ascii="Times New Roman" w:hAnsi="Times New Roman" w:eastAsia="宋体" w:cs="Times New Roman"/>
                <w:color w:val="auto"/>
                <w:sz w:val="24"/>
                <w:szCs w:val="22"/>
                <w:lang w:val="en-US" w:eastAsia="zh-CN"/>
              </w:rPr>
              <w:t>目前正常使用，</w:t>
            </w:r>
            <w:r>
              <w:rPr>
                <w:rFonts w:hint="default" w:ascii="Times New Roman" w:hAnsi="Times New Roman" w:eastAsia="宋体" w:cs="Times New Roman"/>
                <w:color w:val="auto"/>
                <w:sz w:val="24"/>
                <w:szCs w:val="22"/>
              </w:rPr>
              <w:t>贮存余量充足，可以满足本项目危险废物暂存需求。</w:t>
            </w:r>
          </w:p>
          <w:p w14:paraId="6F0AEA82">
            <w:pPr>
              <w:spacing w:line="360" w:lineRule="auto"/>
              <w:ind w:firstLine="480" w:firstLineChars="200"/>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本项目危险废物贮存严格按照《危险废物贮存污染控制标准》（GB 18597—2023）中相关规定执行，具体要求如下。</w:t>
            </w:r>
          </w:p>
          <w:p w14:paraId="03F9BC55">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1）容器和包装物污染控制要求</w:t>
            </w:r>
          </w:p>
          <w:p w14:paraId="4674E275">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容器和包装物材质、内衬应与盛装的危险废物相容。</w:t>
            </w:r>
          </w:p>
          <w:p w14:paraId="5F53736D">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针对不同类别、形态、物理化学性质的危险废物，其容器和包装物应满足相应的防渗、防漏、防腐和强度等要求。</w:t>
            </w:r>
          </w:p>
          <w:p w14:paraId="5334BAC2">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硬质容器和包装物及其支护结构堆叠码放时不应有明显变形，无破损泄漏。</w:t>
            </w:r>
          </w:p>
          <w:p w14:paraId="05CAF4D7">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柔性容器和包装物堆叠码放时应封口严密，无破损泄漏。</w:t>
            </w:r>
          </w:p>
          <w:p w14:paraId="25BFC364">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使用容器盛装液态、半固态危险废物时，容器内部应留有适当的空间，以适应因温度变化等可能引发的收缩和膨胀，防止其导致容器渗漏或永久变形。</w:t>
            </w:r>
          </w:p>
          <w:p w14:paraId="6AE91EE2">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容器和包装物外表面应保持清洁。</w:t>
            </w:r>
          </w:p>
          <w:p w14:paraId="767628FF">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2）贮存过程污染控制要求</w:t>
            </w:r>
          </w:p>
          <w:p w14:paraId="5B141EF6">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在常温常压下不易水解、不易挥发的固态危险废物可分类堆放贮存，其他固态危险废物应装入容器或包装物内贮存。</w:t>
            </w:r>
          </w:p>
          <w:p w14:paraId="3FD5C822">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液态危险废物应装入容器内贮存，或直接采用贮存池、贮存罐区贮存。</w:t>
            </w:r>
          </w:p>
          <w:p w14:paraId="7EBFAD71">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半固态危险废物应装入容器或包装袋内贮存，或直接采用贮存池贮存。</w:t>
            </w:r>
          </w:p>
          <w:p w14:paraId="4F6AAE07">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本项目危险废物主要为废机油、抹布等，采用专用容器贮存即可。</w:t>
            </w:r>
          </w:p>
          <w:p w14:paraId="3759A842">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危险废物存入贮存设施前应对危险废物类别和特性与危险废物标签等危险废物识别标志的一致性进行核验，不一致的或类别、特性不明的不应存入。</w:t>
            </w:r>
          </w:p>
          <w:p w14:paraId="4DE999D3">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应定期检查危险废物的贮存状况，及时清理贮存设施地面，更换破损泄漏的危险废物贮存容器和包装物，保证堆存危险废物的防雨、防风、防扬尘等设施功能完好。</w:t>
            </w:r>
          </w:p>
          <w:p w14:paraId="15204494">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作业设备及车辆等结束作业离开贮存设施时，应对其残留的危险废物进行清理，清理的废物或清洗废水应收集处理。</w:t>
            </w:r>
          </w:p>
          <w:p w14:paraId="6EA6E60C">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贮存设施运行期间，应按国家有关标准和规定建立危险废物管理台账并保存。</w:t>
            </w:r>
          </w:p>
          <w:p w14:paraId="583F20AA">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贮存设施所有者或运营者应建立贮存设施环境管理制度、管理人员岗位职责制度、设施运行操作制度、人员岗位培训制度等。</w:t>
            </w:r>
          </w:p>
          <w:p w14:paraId="2F071552">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贮存设施所有者或运营者应依据国家土壤和地下水污染防治的有关规定，结合贮存设施特点建立土壤和地下水污染隐患排查制度，并定期开展隐患排查；发现隐患应及时采取措施消除隐患，并建立档案。</w:t>
            </w:r>
          </w:p>
          <w:p w14:paraId="1A423840">
            <w:pPr>
              <w:spacing w:line="360" w:lineRule="auto"/>
              <w:ind w:firstLine="480" w:firstLineChars="200"/>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贮存设施所有者或运营者应建立贮存设施全部档案，包括设计、施工、验收、运行、监测和环境应急等，应按国家有关档案管理的法律法规进行整理和归档。</w:t>
            </w:r>
          </w:p>
          <w:p w14:paraId="18DF6E7B">
            <w:pPr>
              <w:spacing w:line="360" w:lineRule="auto"/>
              <w:ind w:firstLine="48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4"/>
                <w:szCs w:val="22"/>
                <w:lang w:eastAsia="zh-CN"/>
              </w:rPr>
              <w:t>采取上述措施后，项目固废均能够得到合理妥善处置，不产生二次污染，对外环境影响较小。</w:t>
            </w:r>
          </w:p>
          <w:p w14:paraId="2EF2034E">
            <w:pPr>
              <w:adjustRightInd w:val="0"/>
              <w:snapToGrid w:val="0"/>
              <w:spacing w:line="360" w:lineRule="auto"/>
              <w:ind w:left="442"/>
              <w:rPr>
                <w:rFonts w:hint="default" w:ascii="Times New Roman" w:hAnsi="Times New Roman" w:eastAsia="宋体" w:cs="Times New Roman"/>
                <w:b/>
                <w:color w:val="auto"/>
                <w:spacing w:val="-10"/>
                <w:sz w:val="24"/>
              </w:rPr>
            </w:pPr>
            <w:r>
              <w:rPr>
                <w:rFonts w:hint="default" w:ascii="Times New Roman" w:hAnsi="Times New Roman" w:eastAsia="宋体" w:cs="Times New Roman"/>
                <w:b/>
                <w:color w:val="auto"/>
                <w:spacing w:val="-10"/>
                <w:sz w:val="24"/>
              </w:rPr>
              <w:t>5、环境风险分析</w:t>
            </w:r>
          </w:p>
          <w:p w14:paraId="507D05D4">
            <w:pPr>
              <w:spacing w:line="360" w:lineRule="auto"/>
              <w:ind w:firstLine="480" w:firstLineChars="200"/>
              <w:contextualSpacing/>
              <w:rPr>
                <w:rFonts w:hint="default" w:ascii="Times New Roman" w:hAnsi="Times New Roman" w:eastAsia="宋体" w:cs="Times New Roman"/>
                <w:color w:val="auto"/>
                <w:kern w:val="32"/>
                <w:sz w:val="24"/>
                <w:szCs w:val="28"/>
                <w:lang w:val="en-US" w:eastAsia="zh-CN"/>
              </w:rPr>
            </w:pPr>
            <w:r>
              <w:rPr>
                <w:rFonts w:hint="default" w:ascii="Times New Roman" w:hAnsi="Times New Roman" w:eastAsia="宋体" w:cs="Times New Roman"/>
                <w:color w:val="auto"/>
                <w:kern w:val="32"/>
                <w:sz w:val="24"/>
                <w:szCs w:val="28"/>
              </w:rPr>
              <w:t>（1）风险源分布情况及可能影响途径</w:t>
            </w:r>
          </w:p>
          <w:p w14:paraId="42A26F1A">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kern w:val="32"/>
                <w:sz w:val="24"/>
                <w:szCs w:val="28"/>
              </w:rPr>
              <w:t>根据《建设项目环境风险评价技术导则》（HJ169-2018）附录B、GB3000.18、GB30000.28，拟建项目涉及的危险物质主要是</w:t>
            </w:r>
            <w:r>
              <w:rPr>
                <w:rFonts w:hint="default" w:ascii="Times New Roman" w:hAnsi="Times New Roman" w:eastAsia="宋体" w:cs="Times New Roman"/>
                <w:color w:val="auto"/>
                <w:kern w:val="32"/>
                <w:sz w:val="24"/>
                <w:szCs w:val="28"/>
                <w:lang w:val="en-US" w:eastAsia="zh-CN"/>
              </w:rPr>
              <w:t>润滑油及废润滑油，与现有工程位于同一风险单元内</w:t>
            </w:r>
            <w:r>
              <w:rPr>
                <w:rFonts w:hint="default" w:ascii="Times New Roman" w:hAnsi="Times New Roman" w:eastAsia="宋体" w:cs="Times New Roman"/>
                <w:color w:val="auto"/>
                <w:kern w:val="32"/>
                <w:sz w:val="24"/>
                <w:szCs w:val="28"/>
                <w:lang w:eastAsia="zh-CN"/>
              </w:rPr>
              <w:t>。</w:t>
            </w:r>
            <w:r>
              <w:rPr>
                <w:rFonts w:hint="default" w:ascii="Times New Roman" w:hAnsi="Times New Roman" w:eastAsia="宋体" w:cs="Times New Roman"/>
                <w:color w:val="auto"/>
                <w:kern w:val="32"/>
                <w:sz w:val="24"/>
                <w:szCs w:val="28"/>
              </w:rPr>
              <w:t>危险物质的分布情况及可能影响途径见下表。</w:t>
            </w:r>
          </w:p>
          <w:p w14:paraId="795A99F7">
            <w:pPr>
              <w:keepNext/>
              <w:keepLines/>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w:t>
            </w:r>
            <w:r>
              <w:rPr>
                <w:rFonts w:hint="default" w:ascii="Times New Roman" w:hAnsi="Times New Roman" w:eastAsia="宋体" w:cs="Times New Roman"/>
                <w:b/>
                <w:bCs/>
                <w:color w:val="auto"/>
                <w:szCs w:val="21"/>
                <w:lang w:val="en-US" w:eastAsia="zh-CN"/>
              </w:rPr>
              <w:t xml:space="preserve">4-13   </w:t>
            </w:r>
            <w:r>
              <w:rPr>
                <w:rFonts w:hint="default" w:ascii="Times New Roman" w:hAnsi="Times New Roman" w:eastAsia="宋体" w:cs="Times New Roman"/>
                <w:b/>
                <w:bCs/>
                <w:color w:val="auto"/>
                <w:szCs w:val="21"/>
              </w:rPr>
              <w:t>风险源</w:t>
            </w:r>
            <w:r>
              <w:rPr>
                <w:rStyle w:val="27"/>
                <w:rFonts w:hint="default" w:ascii="Times New Roman" w:hAnsi="Times New Roman" w:eastAsia="宋体" w:cs="Times New Roman"/>
                <w:b/>
                <w:color w:val="auto"/>
                <w:sz w:val="21"/>
                <w:szCs w:val="21"/>
              </w:rPr>
              <w:t>分布情况及可能影响途径</w:t>
            </w:r>
            <w:r>
              <w:rPr>
                <w:rFonts w:hint="default" w:ascii="Times New Roman" w:hAnsi="Times New Roman" w:eastAsia="宋体" w:cs="Times New Roman"/>
                <w:b/>
                <w:bCs/>
                <w:color w:val="auto"/>
                <w:szCs w:val="21"/>
              </w:rPr>
              <w:t>一览表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760"/>
              <w:gridCol w:w="828"/>
              <w:gridCol w:w="1697"/>
              <w:gridCol w:w="1333"/>
              <w:gridCol w:w="1883"/>
              <w:gridCol w:w="1826"/>
            </w:tblGrid>
            <w:tr w14:paraId="39C734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456" w:type="pct"/>
                  <w:noWrap w:val="0"/>
                  <w:vAlign w:val="center"/>
                </w:tcPr>
                <w:p w14:paraId="67D459F6">
                  <w:pPr>
                    <w:jc w:val="center"/>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lang w:val="en-US" w:eastAsia="zh-CN"/>
                    </w:rPr>
                    <w:t>风险</w:t>
                  </w:r>
                  <w:r>
                    <w:rPr>
                      <w:rFonts w:hint="default" w:ascii="Times New Roman" w:hAnsi="Times New Roman" w:eastAsia="宋体" w:cs="Times New Roman"/>
                      <w:color w:val="auto"/>
                      <w:szCs w:val="21"/>
                      <w:shd w:val="clear" w:color="auto" w:fill="FFFFFF"/>
                    </w:rPr>
                    <w:t>单元</w:t>
                  </w:r>
                </w:p>
              </w:tc>
              <w:tc>
                <w:tcPr>
                  <w:tcW w:w="497" w:type="pct"/>
                  <w:noWrap w:val="0"/>
                  <w:vAlign w:val="center"/>
                </w:tcPr>
                <w:p w14:paraId="07AA9E69">
                  <w:pPr>
                    <w:jc w:val="center"/>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rPr>
                    <w:t>主要风险源</w:t>
                  </w:r>
                </w:p>
              </w:tc>
              <w:tc>
                <w:tcPr>
                  <w:tcW w:w="1018" w:type="pct"/>
                  <w:noWrap w:val="0"/>
                  <w:vAlign w:val="center"/>
                </w:tcPr>
                <w:p w14:paraId="33879A48">
                  <w:pPr>
                    <w:jc w:val="center"/>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rPr>
                    <w:t>主要危险物质</w:t>
                  </w:r>
                </w:p>
              </w:tc>
              <w:tc>
                <w:tcPr>
                  <w:tcW w:w="800" w:type="pct"/>
                  <w:noWrap w:val="0"/>
                  <w:vAlign w:val="center"/>
                </w:tcPr>
                <w:p w14:paraId="2C66E0DB">
                  <w:pPr>
                    <w:jc w:val="center"/>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rPr>
                    <w:t>环境风险类型</w:t>
                  </w:r>
                </w:p>
              </w:tc>
              <w:tc>
                <w:tcPr>
                  <w:tcW w:w="1130" w:type="pct"/>
                  <w:noWrap w:val="0"/>
                  <w:vAlign w:val="center"/>
                </w:tcPr>
                <w:p w14:paraId="45F7EE2F">
                  <w:pPr>
                    <w:jc w:val="center"/>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rPr>
                    <w:t>触发因素</w:t>
                  </w:r>
                </w:p>
              </w:tc>
              <w:tc>
                <w:tcPr>
                  <w:tcW w:w="1096" w:type="pct"/>
                  <w:noWrap w:val="0"/>
                  <w:vAlign w:val="center"/>
                </w:tcPr>
                <w:p w14:paraId="2F895BC2">
                  <w:pPr>
                    <w:jc w:val="center"/>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rPr>
                    <w:t>可能环境影响途径</w:t>
                  </w:r>
                </w:p>
              </w:tc>
            </w:tr>
            <w:tr w14:paraId="149B84C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41" w:hRule="atLeast"/>
                <w:jc w:val="center"/>
              </w:trPr>
              <w:tc>
                <w:tcPr>
                  <w:tcW w:w="456" w:type="pct"/>
                  <w:noWrap w:val="0"/>
                  <w:vAlign w:val="center"/>
                </w:tcPr>
                <w:p w14:paraId="4010EB0A">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湿部车间</w:t>
                  </w:r>
                </w:p>
              </w:tc>
              <w:tc>
                <w:tcPr>
                  <w:tcW w:w="497" w:type="pct"/>
                  <w:noWrap w:val="0"/>
                  <w:vAlign w:val="center"/>
                </w:tcPr>
                <w:p w14:paraId="41A154AC">
                  <w:pPr>
                    <w:jc w:val="center"/>
                    <w:rPr>
                      <w:rFonts w:hint="default" w:ascii="Times New Roman" w:hAnsi="Times New Roman" w:eastAsia="宋体" w:cs="Times New Roman"/>
                      <w:color w:val="auto"/>
                      <w:szCs w:val="21"/>
                      <w:shd w:val="clear" w:color="auto" w:fill="FFFFFF"/>
                      <w:lang w:val="en-US" w:eastAsia="zh-CN"/>
                    </w:rPr>
                  </w:pPr>
                  <w:r>
                    <w:rPr>
                      <w:rFonts w:hint="default" w:ascii="Times New Roman" w:hAnsi="Times New Roman" w:eastAsia="宋体" w:cs="Times New Roman"/>
                      <w:color w:val="auto"/>
                      <w:kern w:val="0"/>
                      <w:szCs w:val="21"/>
                      <w:lang w:val="en-US" w:eastAsia="zh-CN"/>
                    </w:rPr>
                    <w:t>储存区</w:t>
                  </w:r>
                </w:p>
              </w:tc>
              <w:tc>
                <w:tcPr>
                  <w:tcW w:w="1018" w:type="pct"/>
                  <w:noWrap w:val="0"/>
                  <w:vAlign w:val="center"/>
                </w:tcPr>
                <w:p w14:paraId="7A715224">
                  <w:pPr>
                    <w:jc w:val="center"/>
                    <w:rPr>
                      <w:rFonts w:hint="default" w:ascii="Times New Roman" w:hAnsi="Times New Roman" w:eastAsia="宋体" w:cs="Times New Roman"/>
                      <w:color w:val="auto"/>
                      <w:szCs w:val="21"/>
                      <w:shd w:val="clear" w:color="auto" w:fill="FFFFFF"/>
                      <w:lang w:val="en-US" w:eastAsia="zh-CN"/>
                    </w:rPr>
                  </w:pPr>
                  <w:r>
                    <w:rPr>
                      <w:rFonts w:hint="default" w:ascii="Times New Roman" w:hAnsi="Times New Roman" w:eastAsia="宋体" w:cs="Times New Roman"/>
                      <w:color w:val="auto"/>
                      <w:szCs w:val="21"/>
                      <w:shd w:val="clear" w:color="auto" w:fill="FFFFFF"/>
                      <w:lang w:val="en-US" w:eastAsia="zh-CN"/>
                    </w:rPr>
                    <w:t>润滑油</w:t>
                  </w:r>
                </w:p>
              </w:tc>
              <w:tc>
                <w:tcPr>
                  <w:tcW w:w="800" w:type="pct"/>
                  <w:vMerge w:val="restart"/>
                  <w:noWrap w:val="0"/>
                  <w:vAlign w:val="center"/>
                </w:tcPr>
                <w:p w14:paraId="418E09B4">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shd w:val="clear" w:color="auto" w:fill="FFFFFF"/>
                    </w:rPr>
                    <w:t>泄漏、火灾引发次生/伴生污染物排放</w:t>
                  </w:r>
                </w:p>
              </w:tc>
              <w:tc>
                <w:tcPr>
                  <w:tcW w:w="1130" w:type="pct"/>
                  <w:vMerge w:val="restart"/>
                  <w:noWrap w:val="0"/>
                  <w:vAlign w:val="center"/>
                </w:tcPr>
                <w:p w14:paraId="134F9609">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zCs w:val="21"/>
                      <w:shd w:val="clear" w:color="auto" w:fill="FFFFFF"/>
                    </w:rPr>
                    <w:t>存储方式不当，包装破损，材质缺陷、操作失误等引发泄漏</w:t>
                  </w:r>
                </w:p>
              </w:tc>
              <w:tc>
                <w:tcPr>
                  <w:tcW w:w="1096" w:type="pct"/>
                  <w:vMerge w:val="restart"/>
                  <w:noWrap w:val="0"/>
                  <w:vAlign w:val="center"/>
                </w:tcPr>
                <w:p w14:paraId="688A3F7E">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zCs w:val="21"/>
                      <w:shd w:val="clear" w:color="auto" w:fill="FFFFFF"/>
                    </w:rPr>
                    <w:t>污染物进入环境空气、事故废水进入土壤、地表水、地下水</w:t>
                  </w:r>
                </w:p>
              </w:tc>
            </w:tr>
            <w:tr w14:paraId="0CEBC18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408" w:hRule="atLeast"/>
                <w:jc w:val="center"/>
              </w:trPr>
              <w:tc>
                <w:tcPr>
                  <w:tcW w:w="456" w:type="pct"/>
                  <w:noWrap w:val="0"/>
                  <w:vAlign w:val="center"/>
                </w:tcPr>
                <w:p w14:paraId="02862F3F">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危废贮存库</w:t>
                  </w:r>
                </w:p>
              </w:tc>
              <w:tc>
                <w:tcPr>
                  <w:tcW w:w="497" w:type="pct"/>
                  <w:noWrap w:val="0"/>
                  <w:vAlign w:val="center"/>
                </w:tcPr>
                <w:p w14:paraId="655BF8C3">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危废贮存库</w:t>
                  </w:r>
                </w:p>
              </w:tc>
              <w:tc>
                <w:tcPr>
                  <w:tcW w:w="1018" w:type="pct"/>
                  <w:noWrap w:val="0"/>
                  <w:vAlign w:val="center"/>
                </w:tcPr>
                <w:p w14:paraId="40925FCB">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废</w:t>
                  </w:r>
                  <w:r>
                    <w:rPr>
                      <w:rFonts w:hint="default" w:ascii="Times New Roman" w:hAnsi="Times New Roman" w:eastAsia="宋体" w:cs="Times New Roman"/>
                      <w:color w:val="auto"/>
                      <w:szCs w:val="21"/>
                      <w:shd w:val="clear" w:color="auto" w:fill="FFFFFF"/>
                      <w:lang w:val="en-US" w:eastAsia="zh-CN"/>
                    </w:rPr>
                    <w:t>润滑油</w:t>
                  </w:r>
                </w:p>
              </w:tc>
              <w:tc>
                <w:tcPr>
                  <w:tcW w:w="800" w:type="pct"/>
                  <w:vMerge w:val="continue"/>
                  <w:noWrap w:val="0"/>
                  <w:vAlign w:val="center"/>
                </w:tcPr>
                <w:p w14:paraId="22C32E4C">
                  <w:pPr>
                    <w:jc w:val="center"/>
                    <w:rPr>
                      <w:rFonts w:hint="default" w:ascii="Times New Roman" w:hAnsi="Times New Roman" w:eastAsia="宋体" w:cs="Times New Roman"/>
                      <w:color w:val="auto"/>
                      <w:kern w:val="0"/>
                      <w:szCs w:val="21"/>
                      <w:lang w:val="en-US" w:eastAsia="zh-CN"/>
                    </w:rPr>
                  </w:pPr>
                </w:p>
              </w:tc>
              <w:tc>
                <w:tcPr>
                  <w:tcW w:w="1130" w:type="pct"/>
                  <w:vMerge w:val="continue"/>
                  <w:noWrap w:val="0"/>
                  <w:vAlign w:val="center"/>
                </w:tcPr>
                <w:p w14:paraId="53C11740">
                  <w:pPr>
                    <w:jc w:val="center"/>
                    <w:rPr>
                      <w:rFonts w:hint="default" w:ascii="Times New Roman" w:hAnsi="Times New Roman" w:eastAsia="宋体" w:cs="Times New Roman"/>
                      <w:color w:val="auto"/>
                      <w:kern w:val="0"/>
                      <w:szCs w:val="21"/>
                      <w:lang w:val="en-US" w:eastAsia="zh-CN"/>
                    </w:rPr>
                  </w:pPr>
                </w:p>
              </w:tc>
              <w:tc>
                <w:tcPr>
                  <w:tcW w:w="1096" w:type="pct"/>
                  <w:vMerge w:val="continue"/>
                  <w:noWrap w:val="0"/>
                  <w:vAlign w:val="center"/>
                </w:tcPr>
                <w:p w14:paraId="15A922CE">
                  <w:pPr>
                    <w:jc w:val="center"/>
                    <w:rPr>
                      <w:rFonts w:hint="default" w:ascii="Times New Roman" w:hAnsi="Times New Roman" w:eastAsia="宋体" w:cs="Times New Roman"/>
                      <w:color w:val="auto"/>
                      <w:kern w:val="0"/>
                      <w:szCs w:val="21"/>
                      <w:lang w:val="en-US" w:eastAsia="zh-CN"/>
                    </w:rPr>
                  </w:pPr>
                </w:p>
              </w:tc>
            </w:tr>
          </w:tbl>
          <w:p w14:paraId="0C7CACDC">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A、物质危险性识别</w:t>
            </w:r>
          </w:p>
          <w:p w14:paraId="47A99DB5">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结合《建设项目环境风险评价技术导则》(HJ169-2018)中附录B，在不同厂区的同一种物质，按其在厂界内的最大存在总量计算。当只涉及一种危险物质时，计算该物质的总量与其临界量比值，即为Q；当存在多种危险物质时，则按下式计算物质总量与其临界量比值（Q）：</w:t>
            </w:r>
          </w:p>
          <w:p w14:paraId="42434146">
            <w:pPr>
              <w:spacing w:line="36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1988185" cy="537845"/>
                  <wp:effectExtent l="0" t="0" r="12065" b="14605"/>
                  <wp:docPr id="4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1"/>
                          <pic:cNvPicPr>
                            <a:picLocks noChangeAspect="1"/>
                          </pic:cNvPicPr>
                        </pic:nvPicPr>
                        <pic:blipFill>
                          <a:blip r:embed="rId22">
                            <a:lum contrast="6000"/>
                          </a:blip>
                          <a:stretch>
                            <a:fillRect/>
                          </a:stretch>
                        </pic:blipFill>
                        <pic:spPr>
                          <a:xfrm>
                            <a:off x="0" y="0"/>
                            <a:ext cx="1988185" cy="537845"/>
                          </a:xfrm>
                          <a:prstGeom prst="rect">
                            <a:avLst/>
                          </a:prstGeom>
                          <a:noFill/>
                          <a:ln>
                            <a:noFill/>
                          </a:ln>
                        </pic:spPr>
                      </pic:pic>
                    </a:graphicData>
                  </a:graphic>
                </wp:inline>
              </w:drawing>
            </w:r>
          </w:p>
          <w:p w14:paraId="79427D92">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式中q</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n</w:t>
            </w:r>
            <w:r>
              <w:rPr>
                <w:rFonts w:hint="default" w:ascii="Times New Roman" w:hAnsi="Times New Roman" w:eastAsia="宋体" w:cs="Times New Roman"/>
                <w:color w:val="auto"/>
                <w:sz w:val="24"/>
              </w:rPr>
              <w:t>——每种危险物质实际最大储存量，t；</w:t>
            </w:r>
          </w:p>
          <w:p w14:paraId="624BD98C">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vertAlign w:val="subscript"/>
              </w:rPr>
              <w:t>n</w:t>
            </w:r>
            <w:r>
              <w:rPr>
                <w:rFonts w:hint="default" w:ascii="Times New Roman" w:hAnsi="Times New Roman" w:eastAsia="宋体" w:cs="Times New Roman"/>
                <w:color w:val="auto"/>
                <w:sz w:val="24"/>
              </w:rPr>
              <w:t>——与各危险化学品相对应的临界量，t。</w:t>
            </w:r>
          </w:p>
          <w:p w14:paraId="07D26583">
            <w:pPr>
              <w:spacing w:line="360" w:lineRule="auto"/>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sz w:val="24"/>
              </w:rPr>
              <w:t>其判定结果如</w:t>
            </w:r>
            <w:r>
              <w:rPr>
                <w:rFonts w:hint="default" w:ascii="Times New Roman" w:hAnsi="Times New Roman" w:eastAsia="宋体" w:cs="Times New Roman"/>
                <w:color w:val="auto"/>
                <w:sz w:val="24"/>
                <w:lang w:val="en-US" w:eastAsia="zh-CN"/>
              </w:rPr>
              <w:t>下表</w:t>
            </w:r>
            <w:r>
              <w:rPr>
                <w:rFonts w:hint="default" w:ascii="Times New Roman" w:hAnsi="Times New Roman" w:eastAsia="宋体" w:cs="Times New Roman"/>
                <w:color w:val="auto"/>
                <w:sz w:val="24"/>
              </w:rPr>
              <w:t>所示。</w:t>
            </w:r>
          </w:p>
          <w:p w14:paraId="2F3A6884">
            <w:pPr>
              <w:widowControl/>
              <w:spacing w:line="240" w:lineRule="auto"/>
              <w:jc w:val="center"/>
              <w:rPr>
                <w:rFonts w:hint="default" w:ascii="Times New Roman" w:hAnsi="Times New Roman" w:eastAsia="宋体" w:cs="Times New Roman"/>
                <w:b/>
                <w:bCs/>
                <w:color w:val="auto"/>
                <w:kern w:val="0"/>
                <w:szCs w:val="21"/>
                <w:lang w:bidi="ar"/>
              </w:rPr>
            </w:pPr>
            <w:r>
              <w:rPr>
                <w:rFonts w:hint="default" w:ascii="Times New Roman" w:hAnsi="Times New Roman" w:eastAsia="宋体" w:cs="Times New Roman"/>
                <w:b/>
                <w:bCs/>
                <w:color w:val="auto"/>
                <w:kern w:val="0"/>
                <w:szCs w:val="21"/>
                <w:lang w:bidi="ar"/>
              </w:rPr>
              <w:t>表</w:t>
            </w:r>
            <w:r>
              <w:rPr>
                <w:rFonts w:hint="default" w:ascii="Times New Roman" w:hAnsi="Times New Roman" w:eastAsia="宋体" w:cs="Times New Roman"/>
                <w:b/>
                <w:bCs/>
                <w:color w:val="auto"/>
                <w:kern w:val="0"/>
                <w:szCs w:val="21"/>
                <w:lang w:val="en-US" w:eastAsia="zh-CN" w:bidi="ar"/>
              </w:rPr>
              <w:t xml:space="preserve">4-14   </w:t>
            </w:r>
            <w:r>
              <w:rPr>
                <w:rFonts w:hint="default" w:ascii="Times New Roman" w:hAnsi="Times New Roman" w:eastAsia="宋体" w:cs="Times New Roman"/>
                <w:b/>
                <w:bCs/>
                <w:color w:val="auto"/>
                <w:kern w:val="0"/>
                <w:szCs w:val="21"/>
                <w:lang w:bidi="ar"/>
              </w:rPr>
              <w:t>重大危险源辨识结果</w:t>
            </w:r>
          </w:p>
          <w:tbl>
            <w:tblPr>
              <w:tblStyle w:val="19"/>
              <w:tblW w:w="83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2610"/>
              <w:gridCol w:w="2039"/>
              <w:gridCol w:w="1831"/>
            </w:tblGrid>
            <w:tr w14:paraId="0CF94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26" w:type="dxa"/>
                  <w:noWrap w:val="0"/>
                  <w:vAlign w:val="center"/>
                </w:tcPr>
                <w:p w14:paraId="3E37E11F">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名称</w:t>
                  </w:r>
                </w:p>
              </w:tc>
              <w:tc>
                <w:tcPr>
                  <w:tcW w:w="2610" w:type="dxa"/>
                  <w:noWrap w:val="0"/>
                  <w:vAlign w:val="center"/>
                </w:tcPr>
                <w:p w14:paraId="05C28153">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bidi="ar"/>
                    </w:rPr>
                    <w:t>本项目最大储量（t）</w:t>
                  </w:r>
                </w:p>
              </w:tc>
              <w:tc>
                <w:tcPr>
                  <w:tcW w:w="2039" w:type="dxa"/>
                  <w:noWrap w:val="0"/>
                  <w:vAlign w:val="center"/>
                </w:tcPr>
                <w:p w14:paraId="00671801">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bidi="ar"/>
                    </w:rPr>
                    <w:t>临界量（t）</w:t>
                  </w:r>
                </w:p>
              </w:tc>
              <w:tc>
                <w:tcPr>
                  <w:tcW w:w="1831" w:type="dxa"/>
                  <w:noWrap w:val="0"/>
                  <w:vAlign w:val="center"/>
                </w:tcPr>
                <w:p w14:paraId="636DAE16">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lang w:bidi="ar"/>
                    </w:rPr>
                    <w:t>Q值</w:t>
                  </w:r>
                </w:p>
              </w:tc>
            </w:tr>
            <w:tr w14:paraId="00E68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26" w:type="dxa"/>
                  <w:noWrap w:val="0"/>
                  <w:vAlign w:val="center"/>
                </w:tcPr>
                <w:p w14:paraId="129700C8">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shd w:val="clear" w:color="auto" w:fill="FFFFFF"/>
                      <w:lang w:val="en-US" w:eastAsia="zh-CN"/>
                    </w:rPr>
                    <w:t>润滑油</w:t>
                  </w:r>
                </w:p>
              </w:tc>
              <w:tc>
                <w:tcPr>
                  <w:tcW w:w="2610" w:type="dxa"/>
                  <w:noWrap w:val="0"/>
                  <w:vAlign w:val="center"/>
                </w:tcPr>
                <w:p w14:paraId="65CFFD58">
                  <w:pPr>
                    <w:widowControl/>
                    <w:jc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color w:val="auto"/>
                      <w:kern w:val="0"/>
                      <w:szCs w:val="21"/>
                      <w:lang w:val="en-US" w:eastAsia="zh-CN" w:bidi="ar"/>
                    </w:rPr>
                    <w:t>0.16</w:t>
                  </w:r>
                </w:p>
              </w:tc>
              <w:tc>
                <w:tcPr>
                  <w:tcW w:w="2039" w:type="dxa"/>
                  <w:shd w:val="clear" w:color="auto" w:fill="auto"/>
                  <w:noWrap w:val="0"/>
                  <w:vAlign w:val="center"/>
                </w:tcPr>
                <w:p w14:paraId="5A4ED74F">
                  <w:pPr>
                    <w:widowControl/>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Cs w:val="21"/>
                      <w:lang w:val="en-US" w:eastAsia="zh-CN" w:bidi="ar"/>
                    </w:rPr>
                    <w:t>2500</w:t>
                  </w:r>
                </w:p>
              </w:tc>
              <w:tc>
                <w:tcPr>
                  <w:tcW w:w="1831" w:type="dxa"/>
                  <w:noWrap w:val="0"/>
                  <w:vAlign w:val="center"/>
                </w:tcPr>
                <w:p w14:paraId="14B8C576">
                  <w:pPr>
                    <w:widowControl/>
                    <w:jc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color w:val="auto"/>
                      <w:kern w:val="0"/>
                      <w:szCs w:val="21"/>
                      <w:lang w:val="en-US" w:eastAsia="zh-CN" w:bidi="ar"/>
                    </w:rPr>
                    <w:t>0.000064</w:t>
                  </w:r>
                </w:p>
              </w:tc>
            </w:tr>
            <w:tr w14:paraId="29DA4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26" w:type="dxa"/>
                  <w:noWrap w:val="0"/>
                  <w:vAlign w:val="center"/>
                </w:tcPr>
                <w:p w14:paraId="460A43B6">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废</w:t>
                  </w:r>
                  <w:r>
                    <w:rPr>
                      <w:rFonts w:hint="default" w:ascii="Times New Roman" w:hAnsi="Times New Roman" w:eastAsia="宋体" w:cs="Times New Roman"/>
                      <w:color w:val="auto"/>
                      <w:szCs w:val="21"/>
                      <w:shd w:val="clear" w:color="auto" w:fill="FFFFFF"/>
                      <w:lang w:val="en-US" w:eastAsia="zh-CN"/>
                    </w:rPr>
                    <w:t>润滑油</w:t>
                  </w:r>
                </w:p>
              </w:tc>
              <w:tc>
                <w:tcPr>
                  <w:tcW w:w="2610" w:type="dxa"/>
                  <w:noWrap w:val="0"/>
                  <w:vAlign w:val="center"/>
                </w:tcPr>
                <w:p w14:paraId="2522209F">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0.61</w:t>
                  </w:r>
                </w:p>
              </w:tc>
              <w:tc>
                <w:tcPr>
                  <w:tcW w:w="2039" w:type="dxa"/>
                  <w:shd w:val="clear" w:color="auto" w:fill="auto"/>
                  <w:noWrap w:val="0"/>
                  <w:vAlign w:val="center"/>
                </w:tcPr>
                <w:p w14:paraId="39178962">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50</w:t>
                  </w:r>
                </w:p>
              </w:tc>
              <w:tc>
                <w:tcPr>
                  <w:tcW w:w="1831" w:type="dxa"/>
                  <w:noWrap w:val="0"/>
                  <w:vAlign w:val="center"/>
                </w:tcPr>
                <w:p w14:paraId="7C8624F9">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0.0122</w:t>
                  </w:r>
                </w:p>
              </w:tc>
            </w:tr>
          </w:tbl>
          <w:p w14:paraId="0CFC9275">
            <w:pPr>
              <w:spacing w:line="360" w:lineRule="auto"/>
              <w:ind w:firstLine="480" w:firstLineChars="200"/>
              <w:rPr>
                <w:rFonts w:hint="default" w:ascii="Times New Roman" w:hAnsi="Times New Roman" w:eastAsia="宋体" w:cs="Times New Roman"/>
                <w:color w:val="auto"/>
                <w:kern w:val="32"/>
                <w:sz w:val="24"/>
                <w:szCs w:val="28"/>
              </w:rPr>
            </w:pPr>
            <w:r>
              <w:rPr>
                <w:rFonts w:hint="default" w:ascii="Times New Roman" w:hAnsi="Times New Roman" w:eastAsia="宋体" w:cs="Times New Roman"/>
                <w:color w:val="auto"/>
                <w:sz w:val="24"/>
              </w:rPr>
              <w:t>根据《建设项目环境风险评价技术导则》（HJ169-2018），</w:t>
            </w:r>
            <w:r>
              <w:rPr>
                <w:rFonts w:hint="default" w:ascii="Times New Roman" w:hAnsi="Times New Roman" w:eastAsia="宋体" w:cs="Times New Roman"/>
                <w:color w:val="auto"/>
                <w:sz w:val="24"/>
                <w:lang w:val="en-US" w:eastAsia="zh-CN"/>
              </w:rPr>
              <w:t>本项目环境风险单元与</w:t>
            </w:r>
            <w:r>
              <w:rPr>
                <w:rFonts w:hint="default" w:ascii="Times New Roman" w:hAnsi="Times New Roman" w:eastAsia="宋体" w:cs="Times New Roman"/>
                <w:color w:val="auto"/>
                <w:kern w:val="32"/>
                <w:sz w:val="24"/>
                <w:szCs w:val="28"/>
                <w:lang w:val="en-US" w:eastAsia="zh-CN"/>
              </w:rPr>
              <w:t>现有工程位于同一风险单元内，根据《维美德造纸机械技术（西安）有限公司宽幅纸机部件制造能力提升投资项目环境影响报告书》，维美德造纸机械技术（西安）有限公司现有工程Q=0.517，本项目建成后，全厂</w:t>
            </w:r>
            <w:r>
              <w:rPr>
                <w:rFonts w:hint="default" w:ascii="Times New Roman" w:hAnsi="Times New Roman" w:eastAsia="宋体" w:cs="Times New Roman"/>
                <w:color w:val="auto"/>
                <w:sz w:val="24"/>
              </w:rPr>
              <w:t>Q=</w:t>
            </w:r>
            <w:r>
              <w:rPr>
                <w:rFonts w:hint="default" w:ascii="Times New Roman" w:hAnsi="Times New Roman" w:eastAsia="宋体" w:cs="Times New Roman"/>
                <w:color w:val="auto"/>
                <w:sz w:val="24"/>
                <w:lang w:val="en-US" w:eastAsia="zh-CN"/>
              </w:rPr>
              <w:t>0.529264</w:t>
            </w:r>
            <w:r>
              <w:rPr>
                <w:rFonts w:hint="default" w:ascii="Times New Roman" w:hAnsi="Times New Roman" w:eastAsia="宋体" w:cs="Times New Roman"/>
                <w:color w:val="auto"/>
                <w:sz w:val="24"/>
              </w:rPr>
              <w:t>＜1</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不属于重大危险源</w:t>
            </w:r>
            <w:r>
              <w:rPr>
                <w:rFonts w:hint="default" w:ascii="Times New Roman" w:hAnsi="Times New Roman" w:eastAsia="宋体" w:cs="Times New Roman"/>
                <w:color w:val="auto"/>
                <w:sz w:val="24"/>
              </w:rPr>
              <w:t>。</w:t>
            </w:r>
          </w:p>
          <w:p w14:paraId="71FC490F">
            <w:pPr>
              <w:spacing w:line="360" w:lineRule="auto"/>
              <w:ind w:firstLine="480" w:firstLineChars="200"/>
              <w:rPr>
                <w:rFonts w:hint="default" w:ascii="Times New Roman" w:hAnsi="Times New Roman" w:eastAsia="宋体" w:cs="Times New Roman"/>
                <w:color w:val="auto"/>
                <w:kern w:val="32"/>
                <w:sz w:val="24"/>
                <w:szCs w:val="28"/>
              </w:rPr>
            </w:pPr>
            <w:r>
              <w:rPr>
                <w:rFonts w:hint="default" w:ascii="Times New Roman" w:hAnsi="Times New Roman" w:eastAsia="宋体" w:cs="Times New Roman"/>
                <w:color w:val="auto"/>
                <w:kern w:val="32"/>
                <w:sz w:val="24"/>
                <w:szCs w:val="28"/>
              </w:rPr>
              <w:t>（2）环境风险防范措施</w:t>
            </w:r>
          </w:p>
          <w:p w14:paraId="3D369F1C">
            <w:pPr>
              <w:autoSpaceDE w:val="0"/>
              <w:autoSpaceDN w:val="0"/>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项目生产过程中的最大危害事故是</w:t>
            </w:r>
            <w:r>
              <w:rPr>
                <w:rFonts w:hint="default" w:ascii="Times New Roman" w:hAnsi="Times New Roman" w:eastAsia="宋体" w:cs="Times New Roman"/>
                <w:color w:val="auto"/>
                <w:kern w:val="0"/>
                <w:sz w:val="24"/>
                <w:lang w:val="en-US" w:eastAsia="zh-CN"/>
              </w:rPr>
              <w:t>风险物质</w:t>
            </w:r>
            <w:r>
              <w:rPr>
                <w:rFonts w:hint="default" w:ascii="Times New Roman" w:hAnsi="Times New Roman" w:eastAsia="宋体" w:cs="Times New Roman"/>
                <w:color w:val="auto"/>
                <w:kern w:val="0"/>
                <w:sz w:val="24"/>
              </w:rPr>
              <w:t>的溢出和泄露危险事故，可能性均较小，在加强管理的情况下，环境风险也是较低的，属于可接受范围。</w:t>
            </w:r>
          </w:p>
          <w:p w14:paraId="0DDB6107">
            <w:pPr>
              <w:autoSpaceDE w:val="0"/>
              <w:autoSpaceDN w:val="0"/>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①制订并严格遵守操作规程、作业指导书。强化安全生产管理及安全教育，制订完善的安全生产制度；在操作运行方面要求工作人员必须进行岗前专业培训，严格执行安全生产操作规程。</w:t>
            </w:r>
            <w:r>
              <w:rPr>
                <w:rFonts w:hint="default" w:ascii="Times New Roman" w:hAnsi="Times New Roman" w:eastAsia="宋体" w:cs="Times New Roman"/>
                <w:color w:val="auto"/>
                <w:sz w:val="24"/>
              </w:rPr>
              <w:t>加强日常管理，定期检查、维修、保养设备及构件确保各种工艺、电气设备的正常运行。</w:t>
            </w:r>
          </w:p>
          <w:p w14:paraId="257C8DB6">
            <w:pPr>
              <w:autoSpaceDE w:val="0"/>
              <w:autoSpaceDN w:val="0"/>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②消防通道和建筑物耐火等级应满足消防要求，按照《建筑灭火器配置设计规范》（GBJ140-90）之规定，进行分区防火，配备一定数量消防设施，严禁区内有明火出现。</w:t>
            </w:r>
          </w:p>
          <w:p w14:paraId="5EE8D180">
            <w:pPr>
              <w:autoSpaceDE w:val="0"/>
              <w:autoSpaceDN w:val="0"/>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③加强对公司职工的教育培训，实行上岗证制度，增强职工风险意识，提高事故自救能力，制定和强化各种安全管理、生产的规程，减少人为风险事故的发生。</w:t>
            </w:r>
          </w:p>
          <w:p w14:paraId="6DA68283">
            <w:pPr>
              <w:autoSpaceDE w:val="0"/>
              <w:autoSpaceDN w:val="0"/>
              <w:spacing w:line="360" w:lineRule="auto"/>
              <w:ind w:firstLine="480" w:firstLineChars="200"/>
              <w:rPr>
                <w:rFonts w:hint="default" w:ascii="Times New Roman" w:hAnsi="Times New Roman" w:eastAsia="宋体" w:cs="Times New Roman"/>
                <w:color w:val="auto"/>
                <w:kern w:val="21"/>
                <w:sz w:val="24"/>
              </w:rPr>
            </w:pPr>
            <w:r>
              <w:rPr>
                <w:rFonts w:hint="default" w:ascii="Times New Roman" w:hAnsi="Times New Roman" w:eastAsia="宋体" w:cs="Times New Roman"/>
                <w:color w:val="auto"/>
                <w:kern w:val="0"/>
                <w:sz w:val="24"/>
              </w:rPr>
              <w:t>④</w:t>
            </w:r>
            <w:r>
              <w:rPr>
                <w:rFonts w:hint="default" w:ascii="Times New Roman" w:hAnsi="Times New Roman" w:eastAsia="宋体" w:cs="Times New Roman"/>
                <w:color w:val="auto"/>
                <w:kern w:val="21"/>
                <w:sz w:val="24"/>
              </w:rPr>
              <w:t>加强</w:t>
            </w:r>
            <w:r>
              <w:rPr>
                <w:rFonts w:hint="default" w:ascii="Times New Roman" w:hAnsi="Times New Roman" w:eastAsia="宋体" w:cs="Times New Roman"/>
                <w:color w:val="auto"/>
                <w:kern w:val="21"/>
                <w:sz w:val="24"/>
                <w:lang w:val="en-US" w:eastAsia="zh-CN"/>
              </w:rPr>
              <w:t>风险物质储存区域</w:t>
            </w:r>
            <w:r>
              <w:rPr>
                <w:rFonts w:hint="default" w:ascii="Times New Roman" w:hAnsi="Times New Roman" w:eastAsia="宋体" w:cs="Times New Roman"/>
                <w:color w:val="auto"/>
                <w:kern w:val="21"/>
                <w:sz w:val="24"/>
              </w:rPr>
              <w:t>的检查，一旦发生泄露事故，应立即停产，将危险物质转移到其他容器中，检修完毕后方能投入生产。</w:t>
            </w:r>
          </w:p>
          <w:p w14:paraId="12C2BE94">
            <w:pPr>
              <w:autoSpaceDE w:val="0"/>
              <w:autoSpaceDN w:val="0"/>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⑤</w:t>
            </w:r>
            <w:r>
              <w:rPr>
                <w:rFonts w:hint="default" w:ascii="Times New Roman" w:hAnsi="Times New Roman" w:eastAsia="宋体" w:cs="Times New Roman"/>
                <w:color w:val="auto"/>
                <w:kern w:val="21"/>
                <w:sz w:val="24"/>
              </w:rPr>
              <w:t>储存容器一旦因本身质量、外界因素或人为因素发生大量泄漏后，泄漏的原料将向低处流动。有效的围堵可将泄漏的原料限制在一定的安全范围内，防止火灾事故的发生，同时也有利于溢出物料的收集。因此建议建设单位在</w:t>
            </w:r>
            <w:r>
              <w:rPr>
                <w:rFonts w:hint="default" w:ascii="Times New Roman" w:hAnsi="Times New Roman" w:eastAsia="宋体" w:cs="Times New Roman"/>
                <w:color w:val="auto"/>
                <w:kern w:val="21"/>
                <w:sz w:val="24"/>
                <w:lang w:val="en-US" w:eastAsia="zh-CN"/>
              </w:rPr>
              <w:t>风险</w:t>
            </w:r>
            <w:r>
              <w:rPr>
                <w:rFonts w:hint="default" w:ascii="Times New Roman" w:hAnsi="Times New Roman" w:eastAsia="宋体" w:cs="Times New Roman"/>
                <w:color w:val="auto"/>
                <w:kern w:val="21"/>
                <w:sz w:val="24"/>
              </w:rPr>
              <w:t>物品贮存区设置围堰，可有效防治事故状态下</w:t>
            </w:r>
            <w:r>
              <w:rPr>
                <w:rFonts w:hint="default" w:ascii="Times New Roman" w:hAnsi="Times New Roman" w:eastAsia="宋体" w:cs="Times New Roman"/>
                <w:color w:val="auto"/>
                <w:kern w:val="21"/>
                <w:sz w:val="24"/>
                <w:lang w:val="en-US" w:eastAsia="zh-CN"/>
              </w:rPr>
              <w:t>风险物品</w:t>
            </w:r>
            <w:r>
              <w:rPr>
                <w:rFonts w:hint="default" w:ascii="Times New Roman" w:hAnsi="Times New Roman" w:eastAsia="宋体" w:cs="Times New Roman"/>
                <w:color w:val="auto"/>
                <w:kern w:val="21"/>
                <w:sz w:val="24"/>
              </w:rPr>
              <w:t>的外泄。</w:t>
            </w:r>
          </w:p>
          <w:p w14:paraId="3E389971">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⑥安全标志对策措施：在醒目与安全有关的地方应设立</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禁止烟火</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禁止吸烟</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当心火灾</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火警电话</w:t>
            </w: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rPr>
              <w:t>等安全标志。除临时安全标志外，不得将安全标志设在可移动的物体上；避免与还原剂、有机物、酸类物质接触。配备相应的泄漏应急处理设备。</w:t>
            </w:r>
          </w:p>
          <w:p w14:paraId="30DB05B9">
            <w:pPr>
              <w:spacing w:line="360" w:lineRule="auto"/>
              <w:ind w:firstLine="442" w:firstLineChars="200"/>
              <w:rPr>
                <w:rFonts w:hint="default" w:ascii="Times New Roman" w:hAnsi="Times New Roman" w:eastAsia="宋体" w:cs="Times New Roman"/>
                <w:b/>
                <w:color w:val="auto"/>
                <w:spacing w:val="-10"/>
                <w:sz w:val="24"/>
              </w:rPr>
            </w:pPr>
            <w:r>
              <w:rPr>
                <w:rFonts w:hint="default" w:ascii="Times New Roman" w:hAnsi="Times New Roman" w:eastAsia="宋体" w:cs="Times New Roman"/>
                <w:b/>
                <w:color w:val="auto"/>
                <w:spacing w:val="-10"/>
                <w:sz w:val="24"/>
              </w:rPr>
              <w:t>6、地下水、土壤</w:t>
            </w:r>
          </w:p>
          <w:p w14:paraId="451AC2D8">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32"/>
                <w:lang w:val="de-DE"/>
              </w:rPr>
            </w:pPr>
            <w:r>
              <w:rPr>
                <w:rFonts w:hint="default" w:ascii="Times New Roman" w:hAnsi="Times New Roman" w:eastAsia="宋体" w:cs="Times New Roman"/>
                <w:bCs/>
                <w:color w:val="auto"/>
                <w:sz w:val="24"/>
                <w:szCs w:val="32"/>
                <w:lang w:val="de-DE"/>
              </w:rPr>
              <w:t>本项目大气污染物主要中二甲苯产生量很小，经“干式过滤+</w:t>
            </w:r>
            <w:r>
              <w:rPr>
                <w:rFonts w:hint="default" w:ascii="Times New Roman" w:hAnsi="Times New Roman" w:eastAsia="宋体" w:cs="Times New Roman"/>
                <w:bCs/>
                <w:color w:val="auto"/>
                <w:sz w:val="24"/>
                <w:szCs w:val="32"/>
                <w:lang w:val="en-US" w:eastAsia="zh-CN"/>
              </w:rPr>
              <w:t>活性炭吸附浓缩</w:t>
            </w:r>
            <w:r>
              <w:rPr>
                <w:rFonts w:hint="default" w:ascii="Times New Roman" w:hAnsi="Times New Roman" w:eastAsia="宋体" w:cs="Times New Roman"/>
                <w:bCs/>
                <w:color w:val="auto"/>
                <w:sz w:val="24"/>
                <w:szCs w:val="32"/>
                <w:lang w:val="de-DE"/>
              </w:rPr>
              <w:t>+催化燃烧”设施处理后能做到达标排放，不会因大气沉降而产生土壤污染。可能对土壤、地下水产生垂直入渗污染影响的主要包括原辅料、</w:t>
            </w:r>
            <w:r>
              <w:rPr>
                <w:rFonts w:hint="default" w:ascii="Times New Roman" w:hAnsi="Times New Roman" w:eastAsia="宋体" w:cs="Times New Roman"/>
                <w:bCs/>
                <w:color w:val="auto"/>
                <w:sz w:val="24"/>
                <w:szCs w:val="32"/>
                <w:lang w:val="en-US" w:eastAsia="zh-CN"/>
              </w:rPr>
              <w:t>危险废物</w:t>
            </w:r>
            <w:r>
              <w:rPr>
                <w:rFonts w:hint="default" w:ascii="Times New Roman" w:hAnsi="Times New Roman" w:eastAsia="宋体" w:cs="Times New Roman"/>
                <w:bCs/>
                <w:color w:val="auto"/>
                <w:sz w:val="24"/>
                <w:szCs w:val="32"/>
                <w:lang w:val="de-DE"/>
              </w:rPr>
              <w:t>泄漏下渗。本项目土壤、地下水保护应以预防为主。</w:t>
            </w:r>
          </w:p>
          <w:p w14:paraId="0D7B983A">
            <w:pPr>
              <w:keepNext w:val="0"/>
              <w:keepLines w:val="0"/>
              <w:suppressLineNumbers w:val="0"/>
              <w:adjustRightInd/>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szCs w:val="32"/>
                <w:lang w:val="de-DE"/>
              </w:rPr>
            </w:pPr>
            <w:r>
              <w:rPr>
                <w:rFonts w:hint="default" w:ascii="Times New Roman" w:hAnsi="Times New Roman" w:eastAsia="宋体" w:cs="Times New Roman"/>
                <w:bCs/>
                <w:color w:val="auto"/>
                <w:sz w:val="24"/>
                <w:szCs w:val="32"/>
                <w:lang w:val="de-DE"/>
              </w:rPr>
              <w:t>本项目车间</w:t>
            </w:r>
            <w:r>
              <w:rPr>
                <w:rFonts w:hint="default" w:ascii="Times New Roman" w:hAnsi="Times New Roman" w:eastAsia="宋体" w:cs="Times New Roman"/>
                <w:bCs/>
                <w:color w:val="auto"/>
                <w:sz w:val="24"/>
                <w:szCs w:val="32"/>
                <w:lang w:val="en-US" w:eastAsia="zh-CN"/>
              </w:rPr>
              <w:t>已</w:t>
            </w:r>
            <w:r>
              <w:rPr>
                <w:rFonts w:hint="default" w:ascii="Times New Roman" w:hAnsi="Times New Roman" w:eastAsia="宋体" w:cs="Times New Roman"/>
                <w:bCs/>
                <w:color w:val="auto"/>
                <w:sz w:val="24"/>
                <w:szCs w:val="32"/>
                <w:lang w:val="de-DE"/>
              </w:rPr>
              <w:t>全部硬化处理</w:t>
            </w:r>
            <w:r>
              <w:rPr>
                <w:rFonts w:hint="default" w:ascii="Times New Roman" w:hAnsi="Times New Roman" w:eastAsia="宋体" w:cs="Times New Roman"/>
                <w:bCs/>
                <w:color w:val="auto"/>
                <w:sz w:val="24"/>
                <w:szCs w:val="32"/>
                <w:lang w:val="de-DE" w:eastAsia="zh-CN"/>
              </w:rPr>
              <w:t>，</w:t>
            </w:r>
            <w:r>
              <w:rPr>
                <w:rFonts w:hint="default" w:ascii="Times New Roman" w:hAnsi="Times New Roman" w:eastAsia="宋体" w:cs="Times New Roman"/>
                <w:bCs/>
                <w:color w:val="auto"/>
                <w:sz w:val="24"/>
                <w:szCs w:val="32"/>
                <w:lang w:val="de-DE"/>
              </w:rPr>
              <w:t>土壤、地下水污染源主要为</w:t>
            </w:r>
            <w:r>
              <w:rPr>
                <w:rFonts w:hint="default" w:ascii="Times New Roman" w:hAnsi="Times New Roman" w:eastAsia="宋体" w:cs="Times New Roman"/>
                <w:color w:val="auto"/>
                <w:kern w:val="0"/>
                <w:sz w:val="24"/>
              </w:rPr>
              <w:t>危废</w:t>
            </w:r>
            <w:r>
              <w:rPr>
                <w:rFonts w:hint="default" w:ascii="Times New Roman" w:hAnsi="Times New Roman" w:eastAsia="宋体" w:cs="Times New Roman"/>
                <w:color w:val="auto"/>
                <w:kern w:val="0"/>
                <w:sz w:val="24"/>
                <w:lang w:eastAsia="zh-CN"/>
              </w:rPr>
              <w:t>贮存库、湿部车间</w:t>
            </w:r>
            <w:r>
              <w:rPr>
                <w:rFonts w:hint="default" w:ascii="Times New Roman" w:hAnsi="Times New Roman" w:eastAsia="宋体" w:cs="Times New Roman"/>
                <w:color w:val="auto"/>
                <w:kern w:val="0"/>
                <w:sz w:val="24"/>
                <w:lang w:val="en-US" w:eastAsia="zh-CN"/>
              </w:rPr>
              <w:t>润滑油储存区、化学品库油漆储存区</w:t>
            </w:r>
            <w:r>
              <w:rPr>
                <w:rFonts w:hint="default" w:ascii="Times New Roman" w:hAnsi="Times New Roman" w:eastAsia="宋体" w:cs="Times New Roman"/>
                <w:bCs/>
                <w:color w:val="auto"/>
                <w:sz w:val="24"/>
                <w:szCs w:val="32"/>
                <w:lang w:val="de-DE"/>
              </w:rPr>
              <w:t>；主要污染物为</w:t>
            </w:r>
            <w:r>
              <w:rPr>
                <w:rFonts w:hint="default" w:ascii="Times New Roman" w:hAnsi="Times New Roman" w:eastAsia="宋体" w:cs="Times New Roman"/>
                <w:color w:val="auto"/>
                <w:kern w:val="0"/>
                <w:sz w:val="24"/>
                <w:lang w:val="en-US" w:eastAsia="zh-CN"/>
              </w:rPr>
              <w:t>润滑油、废润滑油、油漆、稀释剂</w:t>
            </w:r>
            <w:r>
              <w:rPr>
                <w:rFonts w:hint="default" w:ascii="Times New Roman" w:hAnsi="Times New Roman" w:eastAsia="宋体" w:cs="Times New Roman"/>
                <w:bCs/>
                <w:color w:val="auto"/>
                <w:sz w:val="24"/>
                <w:szCs w:val="32"/>
                <w:lang w:val="en-US" w:eastAsia="zh-CN"/>
              </w:rPr>
              <w:t>等</w:t>
            </w:r>
            <w:r>
              <w:rPr>
                <w:rFonts w:hint="default" w:ascii="Times New Roman" w:hAnsi="Times New Roman" w:eastAsia="宋体" w:cs="Times New Roman"/>
                <w:bCs/>
                <w:color w:val="auto"/>
                <w:sz w:val="24"/>
                <w:szCs w:val="32"/>
                <w:lang w:val="de-DE"/>
              </w:rPr>
              <w:t>均保存在密闭容器内，且地面已进行硬化处理，正常情况下不会发生泄漏，不会对土壤、地下水环境造成影响。非正常情况下，上述污染源发生泄漏，</w:t>
            </w:r>
            <w:r>
              <w:rPr>
                <w:rFonts w:hint="default" w:ascii="Times New Roman" w:hAnsi="Times New Roman" w:eastAsia="宋体" w:cs="Times New Roman"/>
                <w:color w:val="auto"/>
                <w:kern w:val="0"/>
                <w:sz w:val="24"/>
              </w:rPr>
              <w:t>危废</w:t>
            </w:r>
            <w:r>
              <w:rPr>
                <w:rFonts w:hint="default" w:ascii="Times New Roman" w:hAnsi="Times New Roman" w:eastAsia="宋体" w:cs="Times New Roman"/>
                <w:color w:val="auto"/>
                <w:kern w:val="0"/>
                <w:sz w:val="24"/>
                <w:lang w:eastAsia="zh-CN"/>
              </w:rPr>
              <w:t>贮存库、湿部车间、</w:t>
            </w:r>
            <w:r>
              <w:rPr>
                <w:rFonts w:hint="default" w:ascii="Times New Roman" w:hAnsi="Times New Roman" w:eastAsia="宋体" w:cs="Times New Roman"/>
                <w:color w:val="auto"/>
                <w:kern w:val="0"/>
                <w:sz w:val="24"/>
                <w:lang w:val="en-US" w:eastAsia="zh-CN"/>
              </w:rPr>
              <w:t>化学品库已按重点防渗区的要求，</w:t>
            </w:r>
            <w:r>
              <w:rPr>
                <w:rFonts w:hint="default" w:ascii="Times New Roman" w:hAnsi="Times New Roman" w:eastAsia="宋体" w:cs="Times New Roman"/>
                <w:bCs/>
                <w:color w:val="auto"/>
                <w:sz w:val="24"/>
                <w:szCs w:val="32"/>
                <w:lang w:val="de-DE"/>
              </w:rPr>
              <w:t>渗透系数≤10</w:t>
            </w:r>
            <w:r>
              <w:rPr>
                <w:rFonts w:hint="default" w:ascii="Times New Roman" w:hAnsi="Times New Roman" w:eastAsia="宋体" w:cs="Times New Roman"/>
                <w:bCs/>
                <w:color w:val="auto"/>
                <w:sz w:val="24"/>
                <w:szCs w:val="32"/>
                <w:vertAlign w:val="superscript"/>
                <w:lang w:val="de-DE"/>
              </w:rPr>
              <w:t>-10</w:t>
            </w:r>
            <w:r>
              <w:rPr>
                <w:rFonts w:hint="default" w:ascii="Times New Roman" w:hAnsi="Times New Roman" w:eastAsia="宋体" w:cs="Times New Roman"/>
                <w:bCs/>
                <w:color w:val="auto"/>
                <w:sz w:val="24"/>
                <w:szCs w:val="32"/>
                <w:lang w:val="de-DE"/>
              </w:rPr>
              <w:t>cm/s</w:t>
            </w:r>
            <w:r>
              <w:rPr>
                <w:rFonts w:hint="default" w:ascii="Times New Roman" w:hAnsi="Times New Roman" w:eastAsia="宋体" w:cs="Times New Roman"/>
                <w:bCs/>
                <w:color w:val="auto"/>
                <w:sz w:val="24"/>
                <w:szCs w:val="32"/>
                <w:lang w:val="de-DE" w:eastAsia="zh-CN"/>
              </w:rPr>
              <w:t>，</w:t>
            </w:r>
            <w:r>
              <w:rPr>
                <w:rFonts w:hint="default" w:ascii="Times New Roman" w:hAnsi="Times New Roman" w:eastAsia="宋体" w:cs="Times New Roman"/>
                <w:bCs/>
                <w:color w:val="auto"/>
                <w:sz w:val="24"/>
                <w:szCs w:val="32"/>
                <w:lang w:val="de-DE"/>
              </w:rPr>
              <w:t>其他区域采取一般防渗，地面采用混凝土硬化。</w:t>
            </w:r>
          </w:p>
          <w:p w14:paraId="2E4AB90F">
            <w:pPr>
              <w:spacing w:line="360" w:lineRule="auto"/>
              <w:ind w:firstLine="480" w:firstLineChars="200"/>
              <w:rPr>
                <w:rFonts w:hint="default" w:ascii="Times New Roman" w:hAnsi="Times New Roman" w:eastAsia="宋体" w:cs="Times New Roman"/>
                <w:bCs/>
                <w:color w:val="auto"/>
                <w:sz w:val="24"/>
                <w:szCs w:val="32"/>
                <w:lang w:val="de-DE"/>
              </w:rPr>
            </w:pPr>
            <w:r>
              <w:rPr>
                <w:rFonts w:hint="default" w:ascii="Times New Roman" w:hAnsi="Times New Roman" w:eastAsia="宋体" w:cs="Times New Roman"/>
                <w:color w:val="auto"/>
                <w:kern w:val="0"/>
                <w:sz w:val="24"/>
                <w:szCs w:val="21"/>
                <w:lang w:val="en-US" w:eastAsia="zh-CN"/>
              </w:rPr>
              <w:t>综上所述，采取上述措施后，项目不存在地下水和土壤污染途径，不会对厂区地下水、土壤环境造成影响</w:t>
            </w:r>
            <w:r>
              <w:rPr>
                <w:rFonts w:hint="default" w:ascii="Times New Roman" w:hAnsi="Times New Roman" w:eastAsia="宋体" w:cs="Times New Roman"/>
                <w:bCs/>
                <w:color w:val="auto"/>
                <w:sz w:val="24"/>
                <w:szCs w:val="32"/>
                <w:lang w:val="de-DE"/>
              </w:rPr>
              <w:t>。</w:t>
            </w:r>
          </w:p>
          <w:p w14:paraId="57D71223">
            <w:pPr>
              <w:spacing w:line="360" w:lineRule="auto"/>
              <w:ind w:firstLine="442" w:firstLineChars="200"/>
              <w:rPr>
                <w:rFonts w:hint="default" w:ascii="Times New Roman" w:hAnsi="Times New Roman" w:eastAsia="宋体" w:cs="Times New Roman"/>
                <w:b/>
                <w:color w:val="auto"/>
                <w:spacing w:val="-10"/>
                <w:sz w:val="24"/>
                <w:lang w:val="en-US" w:eastAsia="zh-CN"/>
              </w:rPr>
            </w:pPr>
            <w:r>
              <w:rPr>
                <w:rFonts w:hint="default" w:ascii="Times New Roman" w:hAnsi="Times New Roman" w:eastAsia="宋体" w:cs="Times New Roman"/>
                <w:b/>
                <w:color w:val="auto"/>
                <w:spacing w:val="-10"/>
                <w:sz w:val="24"/>
                <w:lang w:val="en-US" w:eastAsia="zh-CN"/>
              </w:rPr>
              <w:t>7、绩效评级分析</w:t>
            </w:r>
          </w:p>
          <w:p w14:paraId="26FD1665">
            <w:pPr>
              <w:keepNext w:val="0"/>
              <w:keepLines w:val="0"/>
              <w:widowControl/>
              <w:numPr>
                <w:ilvl w:val="0"/>
                <w:numId w:val="0"/>
              </w:numPr>
              <w:suppressLineNumbers w:val="0"/>
              <w:spacing w:before="0" w:beforeAutospacing="0" w:after="0" w:afterAutospacing="0" w:line="360" w:lineRule="auto"/>
              <w:ind w:left="0" w:leftChars="0" w:right="0" w:rightChars="0" w:firstLine="480" w:firstLineChars="200"/>
              <w:rPr>
                <w:rFonts w:hint="default" w:ascii="Times New Roman" w:hAnsi="Times New Roman" w:eastAsia="宋体" w:cs="Times New Roman"/>
                <w:bCs/>
                <w:color w:val="auto"/>
                <w:sz w:val="24"/>
                <w:szCs w:val="32"/>
                <w:lang w:val="de-DE" w:eastAsia="zh-CN"/>
              </w:rPr>
            </w:pPr>
            <w:r>
              <w:rPr>
                <w:rFonts w:hint="default" w:ascii="Times New Roman" w:hAnsi="Times New Roman" w:eastAsia="宋体" w:cs="Times New Roman"/>
                <w:bCs/>
                <w:color w:val="auto"/>
                <w:sz w:val="24"/>
                <w:szCs w:val="32"/>
                <w:lang w:val="de-DE" w:eastAsia="zh-CN"/>
              </w:rPr>
              <w:t>维美德造纸机械技术(西安)有限公司位于</w:t>
            </w:r>
            <w:r>
              <w:rPr>
                <w:rFonts w:hint="default" w:ascii="Times New Roman" w:hAnsi="Times New Roman" w:eastAsia="宋体" w:cs="Times New Roman"/>
                <w:color w:val="auto"/>
                <w:sz w:val="24"/>
                <w:lang w:eastAsia="zh-CN"/>
              </w:rPr>
              <w:t>西咸新区沣东新城阿房四路4号</w:t>
            </w:r>
            <w:r>
              <w:rPr>
                <w:rFonts w:hint="default" w:ascii="Times New Roman" w:hAnsi="Times New Roman" w:eastAsia="宋体" w:cs="Times New Roman"/>
                <w:bCs/>
                <w:color w:val="auto"/>
                <w:sz w:val="24"/>
                <w:szCs w:val="32"/>
                <w:lang w:val="de-DE" w:eastAsia="zh-CN"/>
              </w:rPr>
              <w:t>，依据《重污染天气重点行业应急减排措施制定技术指南（2020年修订版）》）（环办大气函〔2020〕340号），本项目属于39个重点行业清单中的“三十九、工业涂装。依据陕西省生态环境厅关于进一步加强关中地区涉气重点行业项目环评管理的通知（陕环环评函〔2023〕76号）文件要求，关中地区涉气重点行业新、改、扩建项目环境影响报告表应编制环保绩效管理篇章。</w:t>
            </w:r>
          </w:p>
          <w:p w14:paraId="470D245B">
            <w:pPr>
              <w:keepNext w:val="0"/>
              <w:keepLines w:val="0"/>
              <w:widowControl/>
              <w:numPr>
                <w:ilvl w:val="0"/>
                <w:numId w:val="0"/>
              </w:numPr>
              <w:suppressLineNumbers w:val="0"/>
              <w:spacing w:before="0" w:beforeAutospacing="0" w:after="0" w:afterAutospacing="0" w:line="360" w:lineRule="auto"/>
              <w:ind w:left="0" w:leftChars="0" w:right="0" w:rightChars="0" w:firstLine="482" w:firstLineChars="200"/>
              <w:jc w:val="center"/>
              <w:rPr>
                <w:rFonts w:hint="default" w:ascii="Times New Roman" w:hAnsi="Times New Roman" w:eastAsia="宋体" w:cs="Times New Roman"/>
                <w:b/>
                <w:bCs w:val="0"/>
                <w:color w:val="auto"/>
                <w:sz w:val="24"/>
                <w:szCs w:val="32"/>
                <w:lang w:val="en-US" w:eastAsia="zh-CN"/>
              </w:rPr>
            </w:pPr>
            <w:r>
              <w:rPr>
                <w:rFonts w:hint="default" w:ascii="Times New Roman" w:hAnsi="Times New Roman" w:eastAsia="宋体" w:cs="Times New Roman"/>
                <w:b/>
                <w:bCs w:val="0"/>
                <w:color w:val="auto"/>
                <w:sz w:val="24"/>
                <w:szCs w:val="32"/>
                <w:lang w:val="de-DE" w:eastAsia="zh-CN"/>
              </w:rPr>
              <w:t>表</w:t>
            </w:r>
            <w:r>
              <w:rPr>
                <w:rFonts w:hint="default" w:ascii="Times New Roman" w:hAnsi="Times New Roman" w:eastAsia="宋体" w:cs="Times New Roman"/>
                <w:b/>
                <w:bCs w:val="0"/>
                <w:color w:val="auto"/>
                <w:sz w:val="24"/>
                <w:szCs w:val="32"/>
                <w:lang w:val="en-US" w:eastAsia="zh-CN"/>
              </w:rPr>
              <w:t>4-14 项目工业涂装行业环保绩效A级企业</w:t>
            </w:r>
            <w:r>
              <w:rPr>
                <w:rFonts w:hint="default" w:ascii="Times New Roman" w:hAnsi="Times New Roman" w:eastAsia="宋体" w:cs="Times New Roman"/>
                <w:b/>
                <w:bCs w:val="0"/>
                <w:color w:val="auto"/>
                <w:sz w:val="24"/>
                <w:szCs w:val="32"/>
                <w:lang w:val="de-DE" w:eastAsia="zh-CN"/>
              </w:rPr>
              <w:t>符合性分析</w:t>
            </w:r>
          </w:p>
          <w:tbl>
            <w:tblPr>
              <w:tblStyle w:val="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893"/>
              <w:gridCol w:w="3758"/>
              <w:gridCol w:w="2978"/>
              <w:gridCol w:w="698"/>
            </w:tblGrid>
            <w:tr w14:paraId="7E71E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979" w:type="dxa"/>
                  <w:tcBorders>
                    <w:tl2br w:val="nil"/>
                    <w:tr2bl w:val="nil"/>
                  </w:tcBorders>
                  <w:noWrap w:val="0"/>
                  <w:vAlign w:val="center"/>
                </w:tcPr>
                <w:p w14:paraId="4244B8EA">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b w:val="0"/>
                      <w:bCs w:val="0"/>
                      <w:color w:val="auto"/>
                      <w:spacing w:val="0"/>
                      <w:w w:val="100"/>
                      <w:position w:val="0"/>
                      <w:sz w:val="21"/>
                      <w:szCs w:val="21"/>
                    </w:rPr>
                    <w:t>差异化</w:t>
                  </w:r>
                </w:p>
                <w:p w14:paraId="5372E866">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b w:val="0"/>
                      <w:bCs w:val="0"/>
                      <w:color w:val="auto"/>
                      <w:spacing w:val="0"/>
                      <w:w w:val="100"/>
                      <w:position w:val="0"/>
                      <w:sz w:val="21"/>
                      <w:szCs w:val="21"/>
                    </w:rPr>
                    <w:t>指标</w:t>
                  </w:r>
                </w:p>
              </w:tc>
              <w:tc>
                <w:tcPr>
                  <w:tcW w:w="4119" w:type="dxa"/>
                  <w:tcBorders>
                    <w:tl2br w:val="nil"/>
                    <w:tr2bl w:val="nil"/>
                  </w:tcBorders>
                  <w:noWrap w:val="0"/>
                  <w:vAlign w:val="center"/>
                </w:tcPr>
                <w:p w14:paraId="3F8AEE59">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lang w:val="en-US" w:eastAsia="zh-CN"/>
                    </w:rPr>
                  </w:pPr>
                  <w:r>
                    <w:rPr>
                      <w:rFonts w:hint="default" w:ascii="Times New Roman" w:hAnsi="Times New Roman" w:eastAsia="宋体" w:cs="Times New Roman"/>
                      <w:b w:val="0"/>
                      <w:bCs w:val="0"/>
                      <w:color w:val="auto"/>
                      <w:spacing w:val="0"/>
                      <w:w w:val="100"/>
                      <w:position w:val="0"/>
                      <w:sz w:val="21"/>
                      <w:szCs w:val="21"/>
                      <w:lang w:val="en-US" w:eastAsia="zh-CN"/>
                    </w:rPr>
                    <w:t>A</w:t>
                  </w:r>
                  <w:r>
                    <w:rPr>
                      <w:rFonts w:hint="default" w:ascii="Times New Roman" w:hAnsi="Times New Roman" w:eastAsia="宋体" w:cs="Times New Roman"/>
                      <w:b w:val="0"/>
                      <w:bCs w:val="0"/>
                      <w:color w:val="auto"/>
                      <w:spacing w:val="0"/>
                      <w:w w:val="100"/>
                      <w:position w:val="0"/>
                      <w:sz w:val="21"/>
                      <w:szCs w:val="21"/>
                    </w:rPr>
                    <w:t>级企业</w:t>
                  </w:r>
                  <w:r>
                    <w:rPr>
                      <w:rFonts w:hint="default" w:ascii="Times New Roman" w:hAnsi="Times New Roman" w:eastAsia="宋体" w:cs="Times New Roman"/>
                      <w:b w:val="0"/>
                      <w:bCs w:val="0"/>
                      <w:color w:val="auto"/>
                      <w:spacing w:val="0"/>
                      <w:w w:val="100"/>
                      <w:position w:val="0"/>
                      <w:sz w:val="21"/>
                      <w:szCs w:val="21"/>
                      <w:lang w:val="en-US" w:eastAsia="zh-CN"/>
                    </w:rPr>
                    <w:t>要求</w:t>
                  </w:r>
                </w:p>
              </w:tc>
              <w:tc>
                <w:tcPr>
                  <w:tcW w:w="3265" w:type="dxa"/>
                  <w:tcBorders>
                    <w:tl2br w:val="nil"/>
                    <w:tr2bl w:val="nil"/>
                  </w:tcBorders>
                  <w:noWrap w:val="0"/>
                  <w:vAlign w:val="center"/>
                </w:tcPr>
                <w:p w14:paraId="62E94C04">
                  <w:pPr>
                    <w:keepNext w:val="0"/>
                    <w:keepLines w:val="0"/>
                    <w:pageBreakBefore w:val="0"/>
                    <w:widowControl/>
                    <w:kinsoku w:val="0"/>
                    <w:wordWrap/>
                    <w:overflowPunct/>
                    <w:topLinePunct w:val="0"/>
                    <w:autoSpaceDE w:val="0"/>
                    <w:autoSpaceDN w:val="0"/>
                    <w:bidi w:val="0"/>
                    <w:adjustRightInd w:val="0"/>
                    <w:snapToGrid w:val="0"/>
                    <w:spacing w:line="240" w:lineRule="atLeast"/>
                    <w:ind w:left="0" w:leftChars="0" w:right="0" w:rightChars="0" w:firstLine="0"/>
                    <w:jc w:val="center"/>
                    <w:textAlignment w:val="baseline"/>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b w:val="0"/>
                      <w:bCs w:val="0"/>
                      <w:color w:val="auto"/>
                      <w:spacing w:val="0"/>
                      <w:w w:val="100"/>
                      <w:position w:val="0"/>
                      <w:sz w:val="21"/>
                      <w:szCs w:val="21"/>
                      <w:lang w:val="en-US" w:eastAsia="zh-CN"/>
                    </w:rPr>
                    <w:t>本企业</w:t>
                  </w:r>
                </w:p>
              </w:tc>
              <w:tc>
                <w:tcPr>
                  <w:tcW w:w="765" w:type="dxa"/>
                  <w:tcBorders>
                    <w:tl2br w:val="nil"/>
                    <w:tr2bl w:val="nil"/>
                  </w:tcBorders>
                  <w:noWrap w:val="0"/>
                  <w:vAlign w:val="center"/>
                </w:tcPr>
                <w:p w14:paraId="6ABAE930">
                  <w:pPr>
                    <w:keepNext w:val="0"/>
                    <w:keepLines w:val="0"/>
                    <w:pageBreakBefore w:val="0"/>
                    <w:widowControl/>
                    <w:kinsoku w:val="0"/>
                    <w:wordWrap/>
                    <w:overflowPunct/>
                    <w:topLinePunct w:val="0"/>
                    <w:autoSpaceDE w:val="0"/>
                    <w:autoSpaceDN w:val="0"/>
                    <w:bidi w:val="0"/>
                    <w:adjustRightInd w:val="0"/>
                    <w:snapToGrid w:val="0"/>
                    <w:spacing w:line="240" w:lineRule="atLeast"/>
                    <w:ind w:left="0" w:leftChars="0" w:right="0" w:rightChars="0" w:firstLine="0"/>
                    <w:jc w:val="center"/>
                    <w:textAlignment w:val="baseline"/>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b w:val="0"/>
                      <w:bCs w:val="0"/>
                      <w:color w:val="auto"/>
                      <w:spacing w:val="0"/>
                      <w:w w:val="100"/>
                      <w:position w:val="0"/>
                      <w:sz w:val="21"/>
                      <w:szCs w:val="21"/>
                      <w:lang w:val="en-US" w:eastAsia="zh-CN"/>
                    </w:rPr>
                    <w:t>符合性</w:t>
                  </w:r>
                </w:p>
              </w:tc>
            </w:tr>
            <w:tr w14:paraId="24FDB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979" w:type="dxa"/>
                  <w:tcBorders>
                    <w:tl2br w:val="nil"/>
                    <w:tr2bl w:val="nil"/>
                  </w:tcBorders>
                  <w:noWrap w:val="0"/>
                  <w:vAlign w:val="center"/>
                </w:tcPr>
                <w:p w14:paraId="0772B880">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color w:val="auto"/>
                      <w:sz w:val="21"/>
                      <w:szCs w:val="21"/>
                      <w:lang w:val="en-US" w:eastAsia="zh-CN"/>
                    </w:rPr>
                    <w:t>原辅材料</w:t>
                  </w:r>
                </w:p>
              </w:tc>
              <w:tc>
                <w:tcPr>
                  <w:tcW w:w="4119" w:type="dxa"/>
                  <w:tcBorders>
                    <w:tl2br w:val="nil"/>
                    <w:tr2bl w:val="nil"/>
                  </w:tcBorders>
                  <w:noWrap w:val="0"/>
                  <w:vAlign w:val="center"/>
                </w:tcPr>
                <w:p w14:paraId="3558332C">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1、使用粉末涂料；2、使用符合《低挥发性有机化合物含量涂料产品技术要求》(GB/T38597-2020)规定的低VOCs含量涂料产品</w:t>
                  </w:r>
                </w:p>
              </w:tc>
              <w:tc>
                <w:tcPr>
                  <w:tcW w:w="3265" w:type="dxa"/>
                  <w:tcBorders>
                    <w:tl2br w:val="nil"/>
                    <w:tr2bl w:val="nil"/>
                  </w:tcBorders>
                  <w:noWrap w:val="0"/>
                  <w:vAlign w:val="center"/>
                </w:tcPr>
                <w:p w14:paraId="30D3BE53">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本项目喷涂使用的底漆、面漆等原料均为</w:t>
                  </w:r>
                  <w:r>
                    <w:rPr>
                      <w:rFonts w:hint="default" w:ascii="Times New Roman" w:hAnsi="Times New Roman" w:eastAsia="宋体" w:cs="Times New Roman"/>
                      <w:color w:val="auto"/>
                      <w:sz w:val="21"/>
                      <w:szCs w:val="21"/>
                      <w:lang w:val="en-US" w:eastAsia="zh-CN"/>
                    </w:rPr>
                    <w:t>《低挥发性有机化合物含量涂料产品技术要求》(GB/T38597-2020)规定的低VOCs含量涂料产品</w:t>
                  </w:r>
                </w:p>
              </w:tc>
              <w:tc>
                <w:tcPr>
                  <w:tcW w:w="765" w:type="dxa"/>
                  <w:tcBorders>
                    <w:tl2br w:val="nil"/>
                    <w:tr2bl w:val="nil"/>
                  </w:tcBorders>
                  <w:noWrap w:val="0"/>
                  <w:vAlign w:val="center"/>
                </w:tcPr>
                <w:p w14:paraId="1DC68AEC">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61E93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0" w:type="auto"/>
                  <w:noWrap w:val="0"/>
                  <w:vAlign w:val="center"/>
                </w:tcPr>
                <w:p w14:paraId="1A379D26">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color w:val="auto"/>
                      <w:sz w:val="21"/>
                      <w:szCs w:val="21"/>
                      <w:lang w:val="en-US" w:eastAsia="zh-CN"/>
                    </w:rPr>
                    <w:t>无组织排放</w:t>
                  </w:r>
                </w:p>
              </w:tc>
              <w:tc>
                <w:tcPr>
                  <w:tcW w:w="0" w:type="auto"/>
                  <w:noWrap w:val="0"/>
                  <w:vAlign w:val="center"/>
                </w:tcPr>
                <w:p w14:paraId="154F80EF">
                  <w:pPr>
                    <w:keepNext w:val="0"/>
                    <w:keepLines w:val="0"/>
                    <w:pageBreakBefore w:val="0"/>
                    <w:numPr>
                      <w:ilvl w:val="0"/>
                      <w:numId w:val="0"/>
                    </w:numPr>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w:t>
                  </w:r>
                  <w:r>
                    <w:rPr>
                      <w:rFonts w:hint="default" w:ascii="Times New Roman" w:hAnsi="Times New Roman" w:eastAsia="宋体" w:cs="Times New Roman"/>
                      <w:color w:val="auto"/>
                      <w:sz w:val="21"/>
                      <w:szCs w:val="21"/>
                      <w:lang w:val="en-US" w:eastAsia="zh-CN"/>
                    </w:rPr>
                    <w:t>满足《挥发性有机物无组织排放控制标准》(GB37822-2019)特别控制要求；2、VOCs物料存储于密闭容器或包装袋中，盛装VOCs物料的容器或包装袋存放于密闭负压的储库、料仓内；3、除大型工件特殊作业(例如，船舶制造行业的分段总组、船台、船坞、造船码头等涂装工序)外，调漆、喷漆、流平、烘干、清洗等工序在密闭设备或密闭负压空间内操作；4、密闭回收废清洗剂；5、建设干式喷漆房；使用湿式喷漆房时，循环水泵间和刮渣间应密闭，安装废气收集设施；6、采用静电喷涂、自动喷涂、高压无气喷涂或高流低压(HVLP)喷枪等高效涂装技术，不可使用手动空气喷涂技术。</w:t>
                  </w:r>
                </w:p>
              </w:tc>
              <w:tc>
                <w:tcPr>
                  <w:tcW w:w="0" w:type="auto"/>
                  <w:noWrap w:val="0"/>
                  <w:vAlign w:val="center"/>
                </w:tcPr>
                <w:p w14:paraId="07A5BE34">
                  <w:pPr>
                    <w:autoSpaceDE w:val="0"/>
                    <w:autoSpaceDN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1、企业喷漆房为密闭负压设施，无组织废气排放满足</w:t>
                  </w:r>
                  <w:r>
                    <w:rPr>
                      <w:rFonts w:hint="default" w:ascii="Times New Roman" w:hAnsi="Times New Roman" w:eastAsia="宋体" w:cs="Times New Roman"/>
                      <w:color w:val="auto"/>
                      <w:sz w:val="21"/>
                      <w:szCs w:val="21"/>
                      <w:lang w:val="en-US" w:eastAsia="zh-CN"/>
                    </w:rPr>
                    <w:t>《挥发性有机物无组织排放控制标准》(GB37822-2019)特别控制要求；</w:t>
                  </w:r>
                </w:p>
                <w:p w14:paraId="51FD2273">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kern w:val="2"/>
                      <w:sz w:val="21"/>
                      <w:szCs w:val="21"/>
                      <w:lang w:val="en-US" w:eastAsia="zh-CN" w:bidi="ar-SA"/>
                    </w:rPr>
                    <w:t>企业</w:t>
                  </w:r>
                  <w:r>
                    <w:rPr>
                      <w:rFonts w:hint="default" w:ascii="Times New Roman" w:hAnsi="Times New Roman" w:eastAsia="宋体" w:cs="Times New Roman"/>
                      <w:color w:val="auto"/>
                      <w:sz w:val="21"/>
                      <w:szCs w:val="21"/>
                      <w:lang w:val="en-US" w:eastAsia="zh-CN"/>
                    </w:rPr>
                    <w:t>VOCs物料军存储于密闭容器中，化学品库为密闭负压的储库</w:t>
                  </w:r>
                  <w:r>
                    <w:rPr>
                      <w:rFonts w:hint="default" w:ascii="Times New Roman" w:hAnsi="Times New Roman" w:eastAsia="宋体" w:cs="Times New Roman"/>
                      <w:color w:val="auto"/>
                      <w:kern w:val="2"/>
                      <w:sz w:val="21"/>
                      <w:szCs w:val="21"/>
                      <w:lang w:val="en-US" w:eastAsia="zh-CN" w:bidi="ar-SA"/>
                    </w:rPr>
                    <w:t>；</w:t>
                  </w:r>
                </w:p>
                <w:p w14:paraId="1E982404">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w:t>
                  </w:r>
                  <w:r>
                    <w:rPr>
                      <w:rFonts w:hint="default" w:ascii="Times New Roman" w:hAnsi="Times New Roman" w:eastAsia="宋体" w:cs="Times New Roman"/>
                      <w:color w:val="auto"/>
                      <w:sz w:val="21"/>
                      <w:szCs w:val="21"/>
                      <w:lang w:val="en-US" w:eastAsia="zh-CN"/>
                    </w:rPr>
                    <w:t>企业</w:t>
                  </w:r>
                  <w:r>
                    <w:rPr>
                      <w:rFonts w:hint="default" w:ascii="Times New Roman" w:hAnsi="Times New Roman" w:eastAsia="宋体" w:cs="Times New Roman"/>
                      <w:color w:val="auto"/>
                      <w:kern w:val="2"/>
                      <w:sz w:val="21"/>
                      <w:szCs w:val="21"/>
                      <w:lang w:val="en-US" w:eastAsia="zh-CN" w:bidi="ar-SA"/>
                    </w:rPr>
                    <w:t>喷漆房为密闭负压设施；</w:t>
                  </w:r>
                </w:p>
                <w:p w14:paraId="2EC12D33">
                  <w:pPr>
                    <w:autoSpaceDE w:val="0"/>
                    <w:autoSpaceDN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lang w:val="en-US" w:eastAsia="zh-CN" w:bidi="ar-SA"/>
                    </w:rPr>
                    <w:t>4、</w:t>
                  </w:r>
                  <w:r>
                    <w:rPr>
                      <w:rFonts w:hint="default" w:ascii="Times New Roman" w:hAnsi="Times New Roman" w:eastAsia="宋体" w:cs="Times New Roman"/>
                      <w:color w:val="auto"/>
                      <w:sz w:val="21"/>
                      <w:szCs w:val="21"/>
                      <w:lang w:val="en-US" w:eastAsia="zh-CN"/>
                    </w:rPr>
                    <w:t>企业</w:t>
                  </w:r>
                  <w:r>
                    <w:rPr>
                      <w:rFonts w:hint="default" w:ascii="Times New Roman" w:hAnsi="Times New Roman" w:eastAsia="宋体" w:cs="Times New Roman"/>
                      <w:color w:val="auto"/>
                      <w:kern w:val="2"/>
                      <w:sz w:val="21"/>
                      <w:szCs w:val="21"/>
                      <w:highlight w:val="none"/>
                      <w:lang w:val="en-US" w:eastAsia="zh-CN" w:bidi="ar-SA"/>
                    </w:rPr>
                    <w:t>无清洗剂使用；</w:t>
                  </w:r>
                </w:p>
                <w:p w14:paraId="7E356B8B">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r>
                    <w:rPr>
                      <w:rFonts w:hint="default" w:ascii="Times New Roman" w:hAnsi="Times New Roman" w:eastAsia="宋体" w:cs="Times New Roman"/>
                      <w:color w:val="auto"/>
                      <w:sz w:val="21"/>
                      <w:szCs w:val="21"/>
                      <w:lang w:val="en-US" w:eastAsia="zh-CN"/>
                    </w:rPr>
                    <w:t>企业</w:t>
                  </w:r>
                  <w:r>
                    <w:rPr>
                      <w:rFonts w:hint="default" w:ascii="Times New Roman" w:hAnsi="Times New Roman" w:eastAsia="宋体" w:cs="Times New Roman"/>
                      <w:color w:val="auto"/>
                      <w:kern w:val="2"/>
                      <w:sz w:val="21"/>
                      <w:szCs w:val="21"/>
                      <w:highlight w:val="none"/>
                      <w:lang w:val="en-US" w:eastAsia="zh-CN" w:bidi="ar-SA"/>
                    </w:rPr>
                    <w:t>建设</w:t>
                  </w:r>
                  <w:r>
                    <w:rPr>
                      <w:rFonts w:hint="default" w:ascii="Times New Roman" w:hAnsi="Times New Roman" w:eastAsia="宋体" w:cs="Times New Roman"/>
                      <w:color w:val="auto"/>
                      <w:kern w:val="2"/>
                      <w:sz w:val="21"/>
                      <w:szCs w:val="21"/>
                      <w:lang w:val="en-US" w:eastAsia="zh-CN" w:bidi="ar-SA"/>
                    </w:rPr>
                    <w:t>干式喷漆房；</w:t>
                  </w:r>
                </w:p>
                <w:p w14:paraId="320226B9">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w:t>
                  </w:r>
                  <w:r>
                    <w:rPr>
                      <w:rFonts w:hint="default" w:ascii="Times New Roman" w:hAnsi="Times New Roman" w:eastAsia="宋体" w:cs="Times New Roman"/>
                      <w:color w:val="auto"/>
                      <w:sz w:val="21"/>
                      <w:szCs w:val="21"/>
                      <w:lang w:val="en-US" w:eastAsia="zh-CN"/>
                    </w:rPr>
                    <w:t>企业</w:t>
                  </w:r>
                  <w:r>
                    <w:rPr>
                      <w:rFonts w:hint="default" w:ascii="Times New Roman" w:hAnsi="Times New Roman" w:eastAsia="宋体" w:cs="Times New Roman"/>
                      <w:color w:val="auto"/>
                      <w:kern w:val="2"/>
                      <w:sz w:val="21"/>
                      <w:szCs w:val="21"/>
                      <w:lang w:val="en-US" w:eastAsia="zh-CN" w:bidi="ar-SA"/>
                    </w:rPr>
                    <w:t>使用高压无气喷涂技术。</w:t>
                  </w:r>
                </w:p>
                <w:p w14:paraId="511D4366">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p>
              </w:tc>
              <w:tc>
                <w:tcPr>
                  <w:tcW w:w="0" w:type="auto"/>
                  <w:noWrap w:val="0"/>
                  <w:vAlign w:val="center"/>
                </w:tcPr>
                <w:p w14:paraId="13117080">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6EE72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0" w:type="auto"/>
                  <w:noWrap w:val="0"/>
                  <w:vAlign w:val="center"/>
                </w:tcPr>
                <w:p w14:paraId="0855DE48">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color w:val="auto"/>
                      <w:sz w:val="21"/>
                      <w:szCs w:val="21"/>
                      <w:lang w:val="en-US" w:eastAsia="zh-CN"/>
                    </w:rPr>
                    <w:t>VOCS治污设施</w:t>
                  </w:r>
                </w:p>
              </w:tc>
              <w:tc>
                <w:tcPr>
                  <w:tcW w:w="0" w:type="auto"/>
                  <w:noWrap w:val="0"/>
                  <w:vAlign w:val="center"/>
                </w:tcPr>
                <w:p w14:paraId="42BF8646">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喷涂废气设置干式的石灰石、纸盒等高效漆雾处理装置；2、使用溶剂型涂料时，调漆、喷漆、流平、烘干、清洗等工序含VOCs废气采用吸附浓缩+燃烧、燃烧等治理技术，处理效率≥95%；3、使用水性涂料(含水性UV)时，当车间或生产设施排气中非甲烷总烃(NMHC)初始排放速率≥2kg/h时，建设末端治污设施。</w:t>
                  </w:r>
                </w:p>
              </w:tc>
              <w:tc>
                <w:tcPr>
                  <w:tcW w:w="0" w:type="auto"/>
                  <w:noWrap w:val="0"/>
                  <w:vAlign w:val="center"/>
                </w:tcPr>
                <w:p w14:paraId="6008C48E">
                  <w:pPr>
                    <w:numPr>
                      <w:ilvl w:val="0"/>
                      <w:numId w:val="3"/>
                    </w:num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企业</w:t>
                  </w:r>
                  <w:r>
                    <w:rPr>
                      <w:rFonts w:hint="default" w:ascii="Times New Roman" w:hAnsi="Times New Roman" w:eastAsia="宋体" w:cs="Times New Roman"/>
                      <w:color w:val="auto"/>
                      <w:kern w:val="2"/>
                      <w:sz w:val="21"/>
                      <w:szCs w:val="21"/>
                      <w:lang w:val="en-US" w:eastAsia="zh-CN" w:bidi="ar-SA"/>
                    </w:rPr>
                    <w:t>设置干式过滤，为高效漆雾处理装置，滤材为化学纤维；</w:t>
                  </w:r>
                </w:p>
                <w:p w14:paraId="7AA3F1B1">
                  <w:pPr>
                    <w:numPr>
                      <w:ilvl w:val="0"/>
                      <w:numId w:val="3"/>
                    </w:num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喷漆废气采用“干式过滤+活性炭吸附浓缩+催化燃烧”的工艺进行处理，根据监测结果，对VOCs综合处理效率为95%。</w:t>
                  </w:r>
                </w:p>
              </w:tc>
              <w:tc>
                <w:tcPr>
                  <w:tcW w:w="0" w:type="auto"/>
                  <w:noWrap w:val="0"/>
                  <w:vAlign w:val="center"/>
                </w:tcPr>
                <w:p w14:paraId="6676DCCF">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7AAA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0" w:type="auto"/>
                  <w:noWrap w:val="0"/>
                  <w:vAlign w:val="center"/>
                </w:tcPr>
                <w:p w14:paraId="14492B17">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color w:val="auto"/>
                      <w:sz w:val="21"/>
                      <w:szCs w:val="21"/>
                      <w:lang w:val="en-US" w:eastAsia="zh-CN"/>
                    </w:rPr>
                    <w:t>排放限值</w:t>
                  </w:r>
                </w:p>
              </w:tc>
              <w:tc>
                <w:tcPr>
                  <w:tcW w:w="0" w:type="auto"/>
                  <w:noWrap w:val="0"/>
                  <w:vAlign w:val="center"/>
                </w:tcPr>
                <w:p w14:paraId="5702F922">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1、在连续一年的监测数据中，</w:t>
                  </w:r>
                </w:p>
                <w:p w14:paraId="17BE6599">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车间或生产设施排气筒排放的NMHC为20-30mg/m³、TVOC为40-50mg/m³；2、厂区内无组织排放监控点NMHC的小时平均浓度值不超过6mg/m³、任意一次浓度值不超过20mg/m³；3、其他各项污染物稳定达到现行排放控制要求，并从严地方要求。</w:t>
                  </w:r>
                </w:p>
              </w:tc>
              <w:tc>
                <w:tcPr>
                  <w:tcW w:w="0" w:type="auto"/>
                  <w:noWrap w:val="0"/>
                  <w:vAlign w:val="center"/>
                </w:tcPr>
                <w:p w14:paraId="5DFB1299">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企业</w:t>
                  </w:r>
                  <w:r>
                    <w:rPr>
                      <w:rFonts w:hint="default" w:ascii="Times New Roman" w:hAnsi="Times New Roman" w:eastAsia="宋体" w:cs="Times New Roman"/>
                      <w:color w:val="auto"/>
                      <w:kern w:val="2"/>
                      <w:sz w:val="21"/>
                      <w:szCs w:val="21"/>
                      <w:lang w:val="en-US" w:eastAsia="zh-CN" w:bidi="ar-SA"/>
                    </w:rPr>
                    <w:t>喷漆房为密闭负压设施，有机废气采用“干式过滤+活性炭吸附浓缩+催化燃烧”的工艺进行处理，</w:t>
                  </w:r>
                  <w:r>
                    <w:rPr>
                      <w:rFonts w:hint="default" w:ascii="Times New Roman" w:hAnsi="Times New Roman" w:eastAsia="宋体" w:cs="Times New Roman"/>
                      <w:color w:val="auto"/>
                      <w:sz w:val="21"/>
                      <w:szCs w:val="21"/>
                      <w:lang w:val="en-US" w:eastAsia="zh-CN"/>
                    </w:rPr>
                    <w:t>各项污染物稳定达到现行排放控制要求，并从严地方要求。</w:t>
                  </w:r>
                </w:p>
              </w:tc>
              <w:tc>
                <w:tcPr>
                  <w:tcW w:w="0" w:type="auto"/>
                  <w:noWrap w:val="0"/>
                  <w:vAlign w:val="center"/>
                </w:tcPr>
                <w:p w14:paraId="7A5CE274">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43212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0" w:type="auto"/>
                  <w:noWrap w:val="0"/>
                  <w:vAlign w:val="center"/>
                </w:tcPr>
                <w:p w14:paraId="1FF84A50">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color w:val="auto"/>
                      <w:sz w:val="21"/>
                      <w:szCs w:val="21"/>
                      <w:lang w:val="en-US" w:eastAsia="zh-CN"/>
                    </w:rPr>
                    <w:t>监测监控水平</w:t>
                  </w:r>
                </w:p>
              </w:tc>
              <w:tc>
                <w:tcPr>
                  <w:tcW w:w="0" w:type="auto"/>
                  <w:noWrap w:val="0"/>
                  <w:vAlign w:val="center"/>
                </w:tcPr>
                <w:p w14:paraId="18F131B2">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严格执行《排污许可证申请与核发技术规范总则》(HJ942-2018)以及相关行业排污许可证申请与核发技术规范规定的自行监测管理要求；2、重点排污企业风量大于10000m³/h的主要排放口，有机废气排放口安装NMHC在线监测设施(FID检测器)，自动监控数据保存一年以上；3、安装DCS系统、仪器仪表等装置，连续测量并记录治理设施控制指标温度、压力(压差)、时间和频率值。再生式活性炭连续自动测量并记录温度、再生时间和</w:t>
                  </w:r>
                </w:p>
                <w:p w14:paraId="7C8A3214">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更换周期；更换式活性炭记录温度、更换周期及更换量；数据保存一年以上。</w:t>
                  </w:r>
                </w:p>
              </w:tc>
              <w:tc>
                <w:tcPr>
                  <w:tcW w:w="0" w:type="auto"/>
                  <w:noWrap w:val="0"/>
                  <w:vAlign w:val="center"/>
                </w:tcPr>
                <w:p w14:paraId="0CF8A20A">
                  <w:pPr>
                    <w:keepNext w:val="0"/>
                    <w:keepLines w:val="0"/>
                    <w:pageBreakBefore w:val="0"/>
                    <w:numPr>
                      <w:ilvl w:val="0"/>
                      <w:numId w:val="4"/>
                    </w:numPr>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企业</w:t>
                  </w:r>
                  <w:r>
                    <w:rPr>
                      <w:rFonts w:hint="default" w:ascii="Times New Roman" w:hAnsi="Times New Roman" w:eastAsia="宋体" w:cs="Times New Roman"/>
                      <w:color w:val="auto"/>
                      <w:kern w:val="2"/>
                      <w:sz w:val="21"/>
                      <w:szCs w:val="21"/>
                      <w:lang w:val="en-US" w:eastAsia="zh-CN" w:bidi="ar-SA"/>
                    </w:rPr>
                    <w:t>监测严格执行《排污单位自行监测技术指南 涂装》（HJ 1086-2020）</w:t>
                  </w:r>
                  <w:r>
                    <w:rPr>
                      <w:rFonts w:hint="default" w:ascii="Times New Roman" w:hAnsi="Times New Roman" w:eastAsia="宋体" w:cs="Times New Roman"/>
                      <w:color w:val="auto"/>
                      <w:sz w:val="21"/>
                      <w:szCs w:val="21"/>
                      <w:lang w:val="en-US" w:eastAsia="zh-CN"/>
                    </w:rPr>
                    <w:t>自行监测管理要求；</w:t>
                  </w:r>
                </w:p>
                <w:p w14:paraId="2E808451">
                  <w:pPr>
                    <w:keepNext w:val="0"/>
                    <w:keepLines w:val="0"/>
                    <w:pageBreakBefore w:val="0"/>
                    <w:numPr>
                      <w:ilvl w:val="0"/>
                      <w:numId w:val="4"/>
                    </w:numPr>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企业属于大气污染物重点监管单位，已设置自动监测设施并联网；</w:t>
                  </w:r>
                </w:p>
                <w:p w14:paraId="3BA313C4">
                  <w:pPr>
                    <w:keepNext w:val="0"/>
                    <w:keepLines w:val="0"/>
                    <w:pageBreakBefore w:val="0"/>
                    <w:numPr>
                      <w:ilvl w:val="0"/>
                      <w:numId w:val="4"/>
                    </w:numPr>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企业已安装DCS系统、仪器仪表等装置，连续测量并记录治理设施控制指标温度、压力(压差)、时间和频率值。</w:t>
                  </w:r>
                </w:p>
              </w:tc>
              <w:tc>
                <w:tcPr>
                  <w:tcW w:w="0" w:type="auto"/>
                  <w:noWrap w:val="0"/>
                  <w:vAlign w:val="center"/>
                </w:tcPr>
                <w:p w14:paraId="2D8DF70C">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13C10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0" w:type="auto"/>
                  <w:noWrap w:val="0"/>
                  <w:vAlign w:val="center"/>
                </w:tcPr>
                <w:p w14:paraId="39C51E4B">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color w:val="auto"/>
                      <w:sz w:val="21"/>
                      <w:szCs w:val="21"/>
                      <w:lang w:val="en-US" w:eastAsia="zh-CN"/>
                    </w:rPr>
                    <w:t>环境管理水平</w:t>
                  </w:r>
                </w:p>
              </w:tc>
              <w:tc>
                <w:tcPr>
                  <w:tcW w:w="0" w:type="auto"/>
                  <w:noWrap w:val="0"/>
                  <w:vAlign w:val="center"/>
                </w:tcPr>
                <w:p w14:paraId="4497592B">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保档案齐全：1、环评批复文件；2、排污许可证及季度、年度执行报告；3、竣工验收文件；4、废气治理设施运行管理规程；5、一年内废气监测报告台账记录：1、生产设施运行管理信息(生产时间、运行负荷、产品产量等，必须具备近一年及以上所用涂</w:t>
                  </w:r>
                </w:p>
                <w:p w14:paraId="19BE5FD6">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料的密度、扣水后VOCs含量、含水率(水性涂料)等信息的检测报告)；2、废气污染治理设施运行管理信息(燃烧室温度、冷凝温度、过滤材料更换频次、吸附剂更换频次、催化剂更换频次)；3、监测记录信息(主要污染排放口废气排放记录(手工监测或在线监测)等)；4、主要原辅材料消耗记录；5、燃料(天然气)消耗记录人员配置：设置环保部门，配备专职环保人员，并具备相应的环境管理能力。</w:t>
                  </w:r>
                </w:p>
              </w:tc>
              <w:tc>
                <w:tcPr>
                  <w:tcW w:w="0" w:type="auto"/>
                  <w:noWrap w:val="0"/>
                  <w:vAlign w:val="center"/>
                </w:tcPr>
                <w:p w14:paraId="5C3BCF88">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环保档案齐全：</w:t>
                  </w:r>
                  <w:r>
                    <w:rPr>
                      <w:rFonts w:hint="default" w:ascii="Times New Roman" w:hAnsi="Times New Roman" w:eastAsia="宋体" w:cs="Times New Roman"/>
                      <w:color w:val="auto"/>
                      <w:sz w:val="21"/>
                      <w:szCs w:val="21"/>
                      <w:lang w:val="en-US" w:eastAsia="zh-CN"/>
                    </w:rPr>
                    <w:t>企业</w:t>
                  </w:r>
                  <w:r>
                    <w:rPr>
                      <w:rFonts w:hint="default" w:ascii="Times New Roman" w:hAnsi="Times New Roman" w:eastAsia="宋体" w:cs="Times New Roman"/>
                      <w:color w:val="auto"/>
                      <w:kern w:val="2"/>
                      <w:sz w:val="21"/>
                      <w:szCs w:val="21"/>
                      <w:lang w:val="en-US" w:eastAsia="zh-CN" w:bidi="ar-SA"/>
                    </w:rPr>
                    <w:t>排污许可证及季度、年度执行报告、竣工验收文件、废气治理设施运行管理规程按相关要求完成，</w:t>
                  </w:r>
                  <w:r>
                    <w:rPr>
                      <w:rFonts w:hint="default" w:ascii="Times New Roman" w:hAnsi="Times New Roman" w:eastAsia="宋体" w:cs="Times New Roman"/>
                      <w:color w:val="auto"/>
                      <w:sz w:val="21"/>
                      <w:szCs w:val="21"/>
                      <w:lang w:val="en-US" w:eastAsia="zh-CN"/>
                    </w:rPr>
                    <w:t>企业已按照要求</w:t>
                  </w:r>
                  <w:r>
                    <w:rPr>
                      <w:rFonts w:hint="default" w:ascii="Times New Roman" w:hAnsi="Times New Roman" w:eastAsia="宋体" w:cs="Times New Roman"/>
                      <w:color w:val="auto"/>
                      <w:kern w:val="2"/>
                      <w:sz w:val="21"/>
                      <w:szCs w:val="21"/>
                      <w:lang w:val="en-US" w:eastAsia="zh-CN" w:bidi="ar-SA"/>
                    </w:rPr>
                    <w:t>保留废气监测报告台账记录、生产设施运行管理信息(生产时间、运行负荷、产品产量等，必须具备近一年及以上所用涂料的密度、扣水后VOCs含量、含水率(水性涂料)等信息的检测报告)、废气污染治理设施运行管理信息(燃烧室温度、冷凝温度、过滤材料更换频次、吸附剂更换频次、催化剂更换频次)、监测记录信息、主要原辅材料消耗记录、燃料(天然气)消耗记录。</w:t>
                  </w:r>
                </w:p>
                <w:p w14:paraId="2E703C15">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人员配置：企业已设置环保部门，配备专职环保人员，并具备相应的环境管理能力。</w:t>
                  </w:r>
                </w:p>
              </w:tc>
              <w:tc>
                <w:tcPr>
                  <w:tcW w:w="0" w:type="auto"/>
                  <w:noWrap w:val="0"/>
                  <w:vAlign w:val="center"/>
                </w:tcPr>
                <w:p w14:paraId="6CCACB59">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5D026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0" w:type="auto"/>
                  <w:noWrap w:val="0"/>
                  <w:vAlign w:val="center"/>
                </w:tcPr>
                <w:p w14:paraId="717E01E8">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color w:val="auto"/>
                      <w:sz w:val="21"/>
                      <w:szCs w:val="21"/>
                      <w:lang w:val="en-US" w:eastAsia="zh-CN"/>
                    </w:rPr>
                    <w:t>运输方式</w:t>
                  </w:r>
                </w:p>
              </w:tc>
              <w:tc>
                <w:tcPr>
                  <w:tcW w:w="0" w:type="auto"/>
                  <w:noWrap w:val="0"/>
                  <w:vAlign w:val="center"/>
                </w:tcPr>
                <w:p w14:paraId="546589A6">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1、物料公路运输全部使用达到国五及以上排放标准重型载货车辆(含燃气)或新能源车辆；</w:t>
                  </w:r>
                </w:p>
                <w:p w14:paraId="1790709B">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2、厂内运输车辆全部达到国五及以上排放标准(含燃气)或使用新能源车辆；3、厂内非道路移动机械全部达到国三及以上排放标准或使用新能源机械。</w:t>
                  </w:r>
                </w:p>
              </w:tc>
              <w:tc>
                <w:tcPr>
                  <w:tcW w:w="0" w:type="auto"/>
                  <w:noWrap w:val="0"/>
                  <w:vAlign w:val="center"/>
                </w:tcPr>
                <w:p w14:paraId="3D1F4C81">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企业运输为国五车辆</w:t>
                  </w:r>
                </w:p>
              </w:tc>
              <w:tc>
                <w:tcPr>
                  <w:tcW w:w="0" w:type="auto"/>
                  <w:noWrap w:val="0"/>
                  <w:vAlign w:val="center"/>
                </w:tcPr>
                <w:p w14:paraId="78E3F3BA">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r w14:paraId="1DC51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0" w:type="auto"/>
                  <w:noWrap w:val="0"/>
                  <w:vAlign w:val="center"/>
                </w:tcPr>
                <w:p w14:paraId="2815DD4D">
                  <w:pPr>
                    <w:keepNext w:val="0"/>
                    <w:keepLines w:val="0"/>
                    <w:pageBreakBefore w:val="0"/>
                    <w:wordWrap/>
                    <w:overflowPunct/>
                    <w:topLinePunct w:val="0"/>
                    <w:autoSpaceDE w:val="0"/>
                    <w:autoSpaceDN w:val="0"/>
                    <w:bidi w:val="0"/>
                    <w:spacing w:line="240" w:lineRule="atLeast"/>
                    <w:ind w:left="0" w:right="0" w:firstLine="0"/>
                    <w:jc w:val="center"/>
                    <w:rPr>
                      <w:rFonts w:hint="default" w:ascii="Times New Roman" w:hAnsi="Times New Roman" w:eastAsia="宋体" w:cs="Times New Roman"/>
                      <w:b w:val="0"/>
                      <w:bCs w:val="0"/>
                      <w:color w:val="auto"/>
                      <w:spacing w:val="0"/>
                      <w:w w:val="100"/>
                      <w:position w:val="0"/>
                      <w:sz w:val="21"/>
                      <w:szCs w:val="21"/>
                    </w:rPr>
                  </w:pPr>
                  <w:r>
                    <w:rPr>
                      <w:rFonts w:hint="default" w:ascii="Times New Roman" w:hAnsi="Times New Roman" w:eastAsia="宋体" w:cs="Times New Roman"/>
                      <w:color w:val="auto"/>
                      <w:sz w:val="21"/>
                      <w:szCs w:val="21"/>
                      <w:lang w:val="en-US" w:eastAsia="zh-CN"/>
                    </w:rPr>
                    <w:t>运输监管</w:t>
                  </w:r>
                </w:p>
              </w:tc>
              <w:tc>
                <w:tcPr>
                  <w:tcW w:w="0" w:type="auto"/>
                  <w:noWrap w:val="0"/>
                  <w:vAlign w:val="center"/>
                </w:tcPr>
                <w:p w14:paraId="16C9E0A2">
                  <w:pPr>
                    <w:keepNext w:val="0"/>
                    <w:keepLines w:val="0"/>
                    <w:pageBreakBefore w:val="0"/>
                    <w:kinsoku/>
                    <w:wordWrap/>
                    <w:overflowPunct/>
                    <w:topLinePunct w:val="0"/>
                    <w:autoSpaceDE w:val="0"/>
                    <w:autoSpaceDN w:val="0"/>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参照《重污染天气重点行业移动源应急管理技术指南》建立门禁系统和电子台账。</w:t>
                  </w:r>
                </w:p>
              </w:tc>
              <w:tc>
                <w:tcPr>
                  <w:tcW w:w="0" w:type="auto"/>
                  <w:noWrap w:val="0"/>
                  <w:vAlign w:val="center"/>
                </w:tcPr>
                <w:p w14:paraId="662A6EA2">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企业已参照《重污染天气重点行业移动源应急管理技术指南》建立门禁系统和电子台账。</w:t>
                  </w:r>
                </w:p>
              </w:tc>
              <w:tc>
                <w:tcPr>
                  <w:tcW w:w="0" w:type="auto"/>
                  <w:noWrap w:val="0"/>
                  <w:vAlign w:val="center"/>
                </w:tcPr>
                <w:p w14:paraId="7D8A3E91">
                  <w:pPr>
                    <w:autoSpaceDE w:val="0"/>
                    <w:autoSpaceDN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符合</w:t>
                  </w:r>
                </w:p>
              </w:tc>
            </w:tr>
          </w:tbl>
          <w:p w14:paraId="581DBF3D">
            <w:pPr>
              <w:spacing w:line="360" w:lineRule="auto"/>
              <w:ind w:firstLine="480" w:firstLineChars="200"/>
              <w:rPr>
                <w:rFonts w:hint="default" w:ascii="Times New Roman" w:hAnsi="Times New Roman" w:eastAsia="宋体" w:cs="Times New Roman"/>
                <w:b/>
                <w:color w:val="auto"/>
                <w:spacing w:val="-10"/>
                <w:sz w:val="24"/>
                <w:lang w:val="de-DE"/>
              </w:rPr>
            </w:pPr>
            <w:r>
              <w:rPr>
                <w:rFonts w:hint="default" w:ascii="Times New Roman" w:hAnsi="Times New Roman" w:eastAsia="宋体" w:cs="Times New Roman"/>
                <w:color w:val="auto"/>
                <w:kern w:val="2"/>
                <w:sz w:val="24"/>
                <w:szCs w:val="24"/>
                <w:lang w:val="en-US" w:eastAsia="zh-CN" w:bidi="ar-SA"/>
              </w:rPr>
              <w:t>目前，企业已满足《重污染天气重点行业应急减排措施制定技术指南》（2020年修订版）（环办大气函[2020]340号）中工业涂装行业环保绩效A级企业要求，并已开展绩效评级工作，截止目前尚未完成。本项目依托现有工程喷漆房及处理措施，不对喷漆房进行改建扩建。因此本项目建成后可以达到《重污染天气重点行业应急减排措施制定技术指南》（2020年修订版）中工业涂装行业环保绩效A级企业要求</w:t>
            </w:r>
            <w:r>
              <w:rPr>
                <w:rFonts w:hint="default" w:ascii="Times New Roman" w:hAnsi="Times New Roman" w:eastAsia="宋体" w:cs="Times New Roman"/>
                <w:bCs/>
                <w:color w:val="auto"/>
                <w:sz w:val="24"/>
                <w:szCs w:val="32"/>
                <w:lang w:val="de-DE" w:eastAsia="zh-CN"/>
              </w:rPr>
              <w:t>。</w:t>
            </w:r>
          </w:p>
          <w:p w14:paraId="29E8512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1C7BE83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2EFAD04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5EA2B22E">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65A264E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1F9982E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6CDA5728">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452DEDE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28DDD7AD">
            <w:pPr>
              <w:pStyle w:val="10"/>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537311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Cs/>
                <w:color w:val="auto"/>
                <w:sz w:val="24"/>
                <w:szCs w:val="32"/>
                <w:lang w:val="de-DE"/>
              </w:rPr>
            </w:pPr>
          </w:p>
          <w:p w14:paraId="266896D9">
            <w:pPr>
              <w:spacing w:line="360" w:lineRule="auto"/>
              <w:rPr>
                <w:rFonts w:hint="default" w:ascii="Times New Roman" w:hAnsi="Times New Roman" w:eastAsia="宋体" w:cs="Times New Roman"/>
                <w:color w:val="auto"/>
              </w:rPr>
            </w:pPr>
          </w:p>
        </w:tc>
      </w:tr>
    </w:tbl>
    <w:p w14:paraId="2C60D009">
      <w:pPr>
        <w:rPr>
          <w:rFonts w:hint="default" w:ascii="Times New Roman" w:hAnsi="Times New Roman" w:eastAsia="宋体" w:cs="Times New Roman"/>
          <w:snapToGrid w:val="0"/>
          <w:color w:val="auto"/>
          <w:kern w:val="0"/>
          <w:sz w:val="30"/>
          <w:szCs w:val="30"/>
        </w:rPr>
        <w:sectPr>
          <w:footerReference r:id="rId5" w:type="default"/>
          <w:pgSz w:w="11906" w:h="16838"/>
          <w:pgMar w:top="1553" w:right="1553" w:bottom="1553" w:left="1553"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382ECBB0">
      <w:pPr>
        <w:widowControl/>
        <w:spacing w:before="100" w:beforeAutospacing="1" w:after="100" w:afterAutospacing="1"/>
        <w:jc w:val="center"/>
        <w:outlineLvl w:val="0"/>
        <w:rPr>
          <w:rFonts w:hint="default" w:ascii="Times New Roman" w:hAnsi="Times New Roman" w:eastAsia="宋体" w:cs="Times New Roman"/>
          <w:snapToGrid w:val="0"/>
          <w:color w:val="auto"/>
          <w:kern w:val="0"/>
          <w:sz w:val="30"/>
          <w:szCs w:val="30"/>
        </w:rPr>
      </w:pPr>
      <w:r>
        <w:rPr>
          <w:rFonts w:hint="default" w:ascii="Times New Roman" w:hAnsi="Times New Roman" w:eastAsia="宋体" w:cs="Times New Roman"/>
          <w:snapToGrid w:val="0"/>
          <w:color w:val="auto"/>
          <w:kern w:val="0"/>
          <w:sz w:val="30"/>
          <w:szCs w:val="30"/>
        </w:rPr>
        <w:t>五、</w:t>
      </w:r>
      <w:bookmarkStart w:id="6" w:name="_Hlk54167917"/>
      <w:r>
        <w:rPr>
          <w:rFonts w:hint="default" w:ascii="Times New Roman" w:hAnsi="Times New Roman" w:eastAsia="宋体" w:cs="Times New Roman"/>
          <w:snapToGrid w:val="0"/>
          <w:color w:val="auto"/>
          <w:kern w:val="0"/>
          <w:sz w:val="30"/>
          <w:szCs w:val="30"/>
        </w:rPr>
        <w:t>环境保护措施监督检查清单</w:t>
      </w:r>
      <w:bookmarkEnd w:id="6"/>
    </w:p>
    <w:tbl>
      <w:tblPr>
        <w:tblStyle w:val="19"/>
        <w:tblW w:w="904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350"/>
        <w:gridCol w:w="1348"/>
        <w:gridCol w:w="1208"/>
        <w:gridCol w:w="2229"/>
        <w:gridCol w:w="2914"/>
      </w:tblGrid>
      <w:tr w14:paraId="7F4C69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350" w:type="dxa"/>
            <w:tcBorders>
              <w:tl2br w:val="single" w:color="auto" w:sz="4" w:space="0"/>
            </w:tcBorders>
          </w:tcPr>
          <w:p w14:paraId="34322969">
            <w:pPr>
              <w:jc w:val="righ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内容</w:t>
            </w:r>
          </w:p>
          <w:p w14:paraId="4BF025CA">
            <w:pPr>
              <w:rPr>
                <w:rFonts w:hint="default" w:ascii="Times New Roman" w:hAnsi="Times New Roman" w:eastAsia="宋体" w:cs="Times New Roman"/>
                <w:color w:val="auto"/>
                <w:sz w:val="24"/>
              </w:rPr>
            </w:pPr>
          </w:p>
          <w:p w14:paraId="22E2F235">
            <w:pP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要素</w:t>
            </w:r>
          </w:p>
        </w:tc>
        <w:tc>
          <w:tcPr>
            <w:tcW w:w="1348" w:type="dxa"/>
            <w:vAlign w:val="center"/>
          </w:tcPr>
          <w:p w14:paraId="3AB75F53">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排放口(编号、名称)/污染源</w:t>
            </w:r>
          </w:p>
        </w:tc>
        <w:tc>
          <w:tcPr>
            <w:tcW w:w="1208" w:type="dxa"/>
            <w:vAlign w:val="center"/>
          </w:tcPr>
          <w:p w14:paraId="29CBB8D5">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污染物项目</w:t>
            </w:r>
          </w:p>
        </w:tc>
        <w:tc>
          <w:tcPr>
            <w:tcW w:w="2229" w:type="dxa"/>
            <w:vAlign w:val="center"/>
          </w:tcPr>
          <w:p w14:paraId="50337AD9">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环境保护措施</w:t>
            </w:r>
          </w:p>
        </w:tc>
        <w:tc>
          <w:tcPr>
            <w:tcW w:w="2914" w:type="dxa"/>
            <w:vAlign w:val="center"/>
          </w:tcPr>
          <w:p w14:paraId="30BB151A">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执行标准</w:t>
            </w:r>
          </w:p>
        </w:tc>
      </w:tr>
      <w:tr w14:paraId="70FDD3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350" w:type="dxa"/>
            <w:vMerge w:val="restart"/>
            <w:vAlign w:val="center"/>
          </w:tcPr>
          <w:p w14:paraId="50897C79">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大气环境</w:t>
            </w:r>
          </w:p>
        </w:tc>
        <w:tc>
          <w:tcPr>
            <w:tcW w:w="1348" w:type="dxa"/>
            <w:vAlign w:val="center"/>
          </w:tcPr>
          <w:p w14:paraId="654E0E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DA007</w:t>
            </w:r>
          </w:p>
          <w:p w14:paraId="1E3215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szCs w:val="24"/>
                <w:lang w:val="en-US" w:eastAsia="zh-CN"/>
              </w:rPr>
              <w:t>工艺粉尘</w:t>
            </w:r>
          </w:p>
        </w:tc>
        <w:tc>
          <w:tcPr>
            <w:tcW w:w="1208" w:type="dxa"/>
            <w:vAlign w:val="center"/>
          </w:tcPr>
          <w:p w14:paraId="00CA69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szCs w:val="24"/>
                <w:lang w:val="en-US" w:eastAsia="zh-CN"/>
              </w:rPr>
              <w:t>颗粒物</w:t>
            </w:r>
          </w:p>
        </w:tc>
        <w:tc>
          <w:tcPr>
            <w:tcW w:w="2229" w:type="dxa"/>
            <w:vAlign w:val="center"/>
          </w:tcPr>
          <w:p w14:paraId="5F73AF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szCs w:val="24"/>
                <w:lang w:val="en-US" w:eastAsia="zh-CN"/>
              </w:rPr>
              <w:t>集气罩+滤筒除尘器</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lang w:val="en-US" w:eastAsia="zh-CN"/>
              </w:rPr>
              <w:t>高</w:t>
            </w:r>
            <w:r>
              <w:rPr>
                <w:rFonts w:hint="default" w:ascii="Times New Roman" w:hAnsi="Times New Roman" w:eastAsia="宋体" w:cs="Times New Roman"/>
                <w:color w:val="auto"/>
                <w:sz w:val="24"/>
                <w:szCs w:val="24"/>
                <w:lang w:eastAsia="zh-CN"/>
              </w:rPr>
              <w:t>排气筒；</w:t>
            </w:r>
            <w:r>
              <w:rPr>
                <w:rFonts w:hint="default" w:ascii="Times New Roman" w:hAnsi="Times New Roman" w:eastAsia="宋体" w:cs="Times New Roman"/>
                <w:color w:val="auto"/>
                <w:sz w:val="24"/>
                <w:szCs w:val="24"/>
                <w:lang w:val="en-US" w:eastAsia="zh-CN"/>
              </w:rPr>
              <w:t>集气罩+干式过滤+滤筒除尘器</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lang w:val="en-US" w:eastAsia="zh-CN"/>
              </w:rPr>
              <w:t>高</w:t>
            </w:r>
            <w:r>
              <w:rPr>
                <w:rFonts w:hint="default" w:ascii="Times New Roman" w:hAnsi="Times New Roman" w:eastAsia="宋体" w:cs="Times New Roman"/>
                <w:color w:val="auto"/>
                <w:sz w:val="24"/>
                <w:szCs w:val="24"/>
                <w:lang w:eastAsia="zh-CN"/>
              </w:rPr>
              <w:t>排气筒</w:t>
            </w:r>
          </w:p>
        </w:tc>
        <w:tc>
          <w:tcPr>
            <w:tcW w:w="2914" w:type="dxa"/>
            <w:vAlign w:val="center"/>
          </w:tcPr>
          <w:p w14:paraId="79A73E14">
            <w:pPr>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szCs w:val="24"/>
              </w:rPr>
              <w:t>《大气污染物综合排放标准》（GB16297-1996）表2中排放标准</w:t>
            </w:r>
          </w:p>
        </w:tc>
      </w:tr>
      <w:tr w14:paraId="2FB6AA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350" w:type="dxa"/>
            <w:vMerge w:val="continue"/>
            <w:vAlign w:val="center"/>
          </w:tcPr>
          <w:p w14:paraId="0CF688AA">
            <w:pPr>
              <w:jc w:val="center"/>
              <w:rPr>
                <w:rFonts w:hint="default" w:ascii="Times New Roman" w:hAnsi="Times New Roman" w:eastAsia="宋体" w:cs="Times New Roman"/>
                <w:color w:val="auto"/>
                <w:sz w:val="24"/>
              </w:rPr>
            </w:pPr>
          </w:p>
        </w:tc>
        <w:tc>
          <w:tcPr>
            <w:tcW w:w="1348" w:type="dxa"/>
            <w:vAlign w:val="center"/>
          </w:tcPr>
          <w:p w14:paraId="3C2FCD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DA002</w:t>
            </w:r>
          </w:p>
          <w:p w14:paraId="2A6D5C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有机废气</w:t>
            </w:r>
          </w:p>
        </w:tc>
        <w:tc>
          <w:tcPr>
            <w:tcW w:w="1208" w:type="dxa"/>
            <w:vAlign w:val="center"/>
          </w:tcPr>
          <w:p w14:paraId="4307B1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颗粒物、非甲烷总烃、二甲苯</w:t>
            </w:r>
          </w:p>
        </w:tc>
        <w:tc>
          <w:tcPr>
            <w:tcW w:w="2229" w:type="dxa"/>
            <w:vAlign w:val="center"/>
          </w:tcPr>
          <w:p w14:paraId="3A54FC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密闭喷漆房+干式过滤+活性炭吸附浓缩+催化燃烧+15m高排气筒</w:t>
            </w:r>
          </w:p>
        </w:tc>
        <w:tc>
          <w:tcPr>
            <w:tcW w:w="2914" w:type="dxa"/>
            <w:vAlign w:val="center"/>
          </w:tcPr>
          <w:p w14:paraId="198331AD">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《大气污染物综合排放标准》(GB16297-1996)表2中二级标准、《挥发性有机物排放控制标准》（DB61/T1061-2017）表1</w:t>
            </w:r>
          </w:p>
        </w:tc>
      </w:tr>
      <w:tr w14:paraId="523524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13" w:hRule="atLeast"/>
          <w:jc w:val="center"/>
        </w:trPr>
        <w:tc>
          <w:tcPr>
            <w:tcW w:w="1350" w:type="dxa"/>
            <w:vAlign w:val="center"/>
          </w:tcPr>
          <w:p w14:paraId="4EC1ABEC">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声环境</w:t>
            </w:r>
          </w:p>
        </w:tc>
        <w:tc>
          <w:tcPr>
            <w:tcW w:w="1348" w:type="dxa"/>
            <w:vAlign w:val="center"/>
          </w:tcPr>
          <w:p w14:paraId="0A961854">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生产设备</w:t>
            </w:r>
          </w:p>
        </w:tc>
        <w:tc>
          <w:tcPr>
            <w:tcW w:w="1208" w:type="dxa"/>
            <w:vAlign w:val="center"/>
          </w:tcPr>
          <w:p w14:paraId="24ECCEF3">
            <w:pPr>
              <w:adjustRightInd w:val="0"/>
              <w:snapToGrid w:val="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噪声</w:t>
            </w:r>
          </w:p>
        </w:tc>
        <w:tc>
          <w:tcPr>
            <w:tcW w:w="2229" w:type="dxa"/>
            <w:vAlign w:val="center"/>
          </w:tcPr>
          <w:p w14:paraId="33A1282A">
            <w:pPr>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选择低噪设备，设备基础减振，厂房隔声，</w:t>
            </w:r>
            <w:r>
              <w:rPr>
                <w:rFonts w:hint="default" w:ascii="Times New Roman" w:hAnsi="Times New Roman" w:eastAsia="宋体" w:cs="Times New Roman"/>
                <w:color w:val="auto"/>
                <w:sz w:val="24"/>
                <w:lang w:val="en-US" w:eastAsia="zh-CN"/>
              </w:rPr>
              <w:t>风机软连接</w:t>
            </w:r>
          </w:p>
        </w:tc>
        <w:tc>
          <w:tcPr>
            <w:tcW w:w="2914" w:type="dxa"/>
            <w:vAlign w:val="center"/>
          </w:tcPr>
          <w:p w14:paraId="53798F6F">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《工业企业厂界环境噪声排放标准》（GB12348-2008）</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类标准</w:t>
            </w:r>
          </w:p>
        </w:tc>
      </w:tr>
      <w:tr w14:paraId="352113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350" w:type="dxa"/>
            <w:vMerge w:val="restart"/>
            <w:vAlign w:val="center"/>
          </w:tcPr>
          <w:p w14:paraId="784182C7">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固体废物</w:t>
            </w:r>
          </w:p>
        </w:tc>
        <w:tc>
          <w:tcPr>
            <w:tcW w:w="1348" w:type="dxa"/>
            <w:vAlign w:val="center"/>
          </w:tcPr>
          <w:p w14:paraId="19984BCB">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生产车间</w:t>
            </w:r>
          </w:p>
        </w:tc>
        <w:tc>
          <w:tcPr>
            <w:tcW w:w="1208" w:type="dxa"/>
            <w:vAlign w:val="center"/>
          </w:tcPr>
          <w:p w14:paraId="5029572F">
            <w:pPr>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废金属碎屑、废金属边角料、焊渣、除尘器收尘</w:t>
            </w:r>
          </w:p>
        </w:tc>
        <w:tc>
          <w:tcPr>
            <w:tcW w:w="2229" w:type="dxa"/>
            <w:vAlign w:val="center"/>
          </w:tcPr>
          <w:p w14:paraId="79379E53">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收集后统一外售处理</w:t>
            </w:r>
          </w:p>
        </w:tc>
        <w:tc>
          <w:tcPr>
            <w:tcW w:w="2914" w:type="dxa"/>
            <w:vAlign w:val="center"/>
          </w:tcPr>
          <w:p w14:paraId="5A762E79">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lang w:val="en-US" w:eastAsia="zh-CN"/>
              </w:rPr>
              <w:t>符合</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"http://www.mee.gov.cn/ywgz/fgbz/bz/bzwb/gthw/gtfwwrkzbz/202012/t20201218_813927.shtml"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sz w:val="24"/>
              </w:rPr>
              <w:t>《一般工业固体废物贮存和填埋污染控制标准》（GB18599-2020）</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szCs w:val="24"/>
                <w:lang w:val="en-US" w:eastAsia="zh-CN"/>
              </w:rPr>
              <w:t>中有关规定</w:t>
            </w:r>
          </w:p>
        </w:tc>
      </w:tr>
      <w:tr w14:paraId="1ED924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38" w:hRule="atLeast"/>
          <w:jc w:val="center"/>
        </w:trPr>
        <w:tc>
          <w:tcPr>
            <w:tcW w:w="1350" w:type="dxa"/>
            <w:vMerge w:val="continue"/>
            <w:vAlign w:val="center"/>
          </w:tcPr>
          <w:p w14:paraId="770027D4">
            <w:pPr>
              <w:jc w:val="center"/>
              <w:rPr>
                <w:rFonts w:hint="default" w:ascii="Times New Roman" w:hAnsi="Times New Roman" w:eastAsia="宋体" w:cs="Times New Roman"/>
                <w:color w:val="auto"/>
                <w:sz w:val="24"/>
              </w:rPr>
            </w:pPr>
          </w:p>
        </w:tc>
        <w:tc>
          <w:tcPr>
            <w:tcW w:w="1348" w:type="dxa"/>
            <w:vAlign w:val="center"/>
          </w:tcPr>
          <w:p w14:paraId="23B5DD27">
            <w:pPr>
              <w:ind w:left="451" w:hanging="451" w:hangingChars="188"/>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生产车间</w:t>
            </w:r>
          </w:p>
        </w:tc>
        <w:tc>
          <w:tcPr>
            <w:tcW w:w="1208" w:type="dxa"/>
            <w:vAlign w:val="center"/>
          </w:tcPr>
          <w:p w14:paraId="1D7D5036">
            <w:pPr>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废切削液、废润滑油、含油废手套及抹布、废油漆桶、废漆渣</w:t>
            </w:r>
          </w:p>
        </w:tc>
        <w:tc>
          <w:tcPr>
            <w:tcW w:w="2229" w:type="dxa"/>
            <w:vAlign w:val="center"/>
          </w:tcPr>
          <w:p w14:paraId="758E9983">
            <w:pPr>
              <w:jc w:val="center"/>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收集</w:t>
            </w:r>
            <w:r>
              <w:rPr>
                <w:rFonts w:hint="default" w:ascii="Times New Roman" w:hAnsi="Times New Roman" w:eastAsia="宋体" w:cs="Times New Roman"/>
                <w:color w:val="auto"/>
                <w:sz w:val="24"/>
                <w:lang w:val="en-US" w:eastAsia="zh-CN"/>
              </w:rPr>
              <w:t>后暂存</w:t>
            </w:r>
            <w:r>
              <w:rPr>
                <w:rFonts w:hint="default" w:ascii="Times New Roman" w:hAnsi="Times New Roman" w:eastAsia="宋体" w:cs="Times New Roman"/>
                <w:color w:val="auto"/>
                <w:sz w:val="24"/>
              </w:rPr>
              <w:t>于</w:t>
            </w:r>
            <w:r>
              <w:rPr>
                <w:rFonts w:hint="default" w:ascii="Times New Roman" w:hAnsi="Times New Roman" w:eastAsia="宋体" w:cs="Times New Roman"/>
                <w:color w:val="auto"/>
                <w:sz w:val="24"/>
                <w:lang w:eastAsia="zh-CN"/>
              </w:rPr>
              <w:t>危废贮存库</w:t>
            </w:r>
            <w:r>
              <w:rPr>
                <w:rFonts w:hint="default" w:ascii="Times New Roman" w:hAnsi="Times New Roman" w:eastAsia="宋体" w:cs="Times New Roman"/>
                <w:color w:val="auto"/>
                <w:sz w:val="24"/>
              </w:rPr>
              <w:t>，</w:t>
            </w:r>
            <w:r>
              <w:rPr>
                <w:rFonts w:hint="default" w:ascii="Times New Roman" w:hAnsi="Times New Roman" w:eastAsia="宋体" w:cs="Times New Roman"/>
                <w:color w:val="auto"/>
                <w:kern w:val="0"/>
                <w:sz w:val="24"/>
                <w:lang w:val="en-US" w:eastAsia="zh-CN"/>
              </w:rPr>
              <w:t>定期</w:t>
            </w:r>
            <w:r>
              <w:rPr>
                <w:rFonts w:hint="default" w:ascii="Times New Roman" w:hAnsi="Times New Roman" w:eastAsia="宋体" w:cs="Times New Roman"/>
                <w:color w:val="auto"/>
                <w:sz w:val="24"/>
              </w:rPr>
              <w:t>交由有资质单位处置</w:t>
            </w:r>
          </w:p>
        </w:tc>
        <w:tc>
          <w:tcPr>
            <w:tcW w:w="2914" w:type="dxa"/>
            <w:vAlign w:val="center"/>
          </w:tcPr>
          <w:p w14:paraId="39B8829B">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lang w:val="en-US" w:eastAsia="zh-CN"/>
              </w:rPr>
              <w:t>符合</w:t>
            </w:r>
            <w:r>
              <w:rPr>
                <w:rFonts w:hint="default" w:ascii="Times New Roman" w:hAnsi="Times New Roman" w:eastAsia="宋体" w:cs="Times New Roman"/>
                <w:color w:val="auto"/>
                <w:sz w:val="24"/>
                <w:szCs w:val="24"/>
              </w:rPr>
              <w:t>《危险废物贮存污染控制标准》（</w:t>
            </w:r>
            <w:r>
              <w:rPr>
                <w:rFonts w:hint="default" w:ascii="Times New Roman" w:hAnsi="Times New Roman" w:eastAsia="宋体" w:cs="Times New Roman"/>
                <w:color w:val="auto"/>
                <w:sz w:val="24"/>
                <w:szCs w:val="24"/>
                <w:lang w:val="en-US" w:eastAsia="zh-CN"/>
              </w:rPr>
              <w:t>GB18597-2023</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中有关规定</w:t>
            </w:r>
          </w:p>
        </w:tc>
      </w:tr>
      <w:tr w14:paraId="3B1701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535" w:hRule="atLeast"/>
          <w:jc w:val="center"/>
        </w:trPr>
        <w:tc>
          <w:tcPr>
            <w:tcW w:w="1350" w:type="dxa"/>
            <w:vAlign w:val="center"/>
          </w:tcPr>
          <w:p w14:paraId="58F6FA4A">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土壤及地下水污染防治措施</w:t>
            </w:r>
          </w:p>
        </w:tc>
        <w:tc>
          <w:tcPr>
            <w:tcW w:w="7699" w:type="dxa"/>
            <w:gridSpan w:val="4"/>
            <w:vAlign w:val="center"/>
          </w:tcPr>
          <w:p w14:paraId="11D907D4">
            <w:pP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项目固废贮存应防风防雨，避免雨水淋漓，一般固废设置定点收集区域，危险废物用专用容器贮存后暂存在</w:t>
            </w:r>
            <w:r>
              <w:rPr>
                <w:rFonts w:hint="default" w:ascii="Times New Roman" w:hAnsi="Times New Roman" w:eastAsia="宋体" w:cs="Times New Roman"/>
                <w:color w:val="auto"/>
                <w:sz w:val="24"/>
                <w:lang w:eastAsia="zh-CN"/>
              </w:rPr>
              <w:t>危废贮存库</w:t>
            </w:r>
            <w:r>
              <w:rPr>
                <w:rFonts w:hint="default" w:ascii="Times New Roman" w:hAnsi="Times New Roman" w:eastAsia="宋体" w:cs="Times New Roman"/>
                <w:color w:val="auto"/>
                <w:sz w:val="24"/>
              </w:rPr>
              <w:t>内危废贮存库、湿部车间、化学品库按照重点防渗区要求进行防渗，生产车间按照</w:t>
            </w:r>
            <w:r>
              <w:rPr>
                <w:rFonts w:hint="default" w:ascii="Times New Roman" w:hAnsi="Times New Roman" w:eastAsia="宋体" w:cs="Times New Roman"/>
                <w:color w:val="auto"/>
                <w:sz w:val="24"/>
                <w:lang w:val="en-US" w:eastAsia="zh-CN"/>
              </w:rPr>
              <w:t>一般</w:t>
            </w:r>
            <w:r>
              <w:rPr>
                <w:rFonts w:hint="default" w:ascii="Times New Roman" w:hAnsi="Times New Roman" w:eastAsia="宋体" w:cs="Times New Roman"/>
                <w:color w:val="auto"/>
                <w:sz w:val="24"/>
              </w:rPr>
              <w:t>防渗区要求进行防渗，避免发生垂直入渗。</w:t>
            </w:r>
          </w:p>
        </w:tc>
      </w:tr>
      <w:tr w14:paraId="7A73B0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05" w:hRule="atLeast"/>
          <w:jc w:val="center"/>
        </w:trPr>
        <w:tc>
          <w:tcPr>
            <w:tcW w:w="1350" w:type="dxa"/>
            <w:vAlign w:val="center"/>
          </w:tcPr>
          <w:p w14:paraId="7EF9FEFA">
            <w:pPr>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生态保护措施</w:t>
            </w:r>
          </w:p>
        </w:tc>
        <w:tc>
          <w:tcPr>
            <w:tcW w:w="7699" w:type="dxa"/>
            <w:gridSpan w:val="4"/>
            <w:vAlign w:val="center"/>
          </w:tcPr>
          <w:p w14:paraId="4A69E9A5">
            <w:pPr>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本项目位于已建好的厂房内，只进行简单的设备安装及调试，对周围生态环境基本无影响。</w:t>
            </w:r>
          </w:p>
        </w:tc>
      </w:tr>
      <w:tr w14:paraId="4F9C1F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1350" w:type="dxa"/>
            <w:vAlign w:val="center"/>
          </w:tcPr>
          <w:p w14:paraId="51BE4C8D">
            <w:pPr>
              <w:jc w:val="center"/>
              <w:rPr>
                <w:rFonts w:hint="default" w:ascii="Times New Roman" w:hAnsi="Times New Roman" w:eastAsia="宋体" w:cs="Times New Roman"/>
                <w:color w:val="auto"/>
                <w:spacing w:val="-8"/>
                <w:sz w:val="24"/>
              </w:rPr>
            </w:pPr>
            <w:r>
              <w:rPr>
                <w:rFonts w:hint="default" w:ascii="Times New Roman" w:hAnsi="Times New Roman" w:eastAsia="宋体" w:cs="Times New Roman"/>
                <w:color w:val="auto"/>
                <w:spacing w:val="-8"/>
                <w:sz w:val="24"/>
              </w:rPr>
              <w:t>环境风险</w:t>
            </w:r>
          </w:p>
          <w:p w14:paraId="039FA0FB">
            <w:pPr>
              <w:jc w:val="center"/>
              <w:rPr>
                <w:rFonts w:hint="default" w:ascii="Times New Roman" w:hAnsi="Times New Roman" w:eastAsia="宋体" w:cs="Times New Roman"/>
                <w:color w:val="auto"/>
                <w:spacing w:val="-8"/>
                <w:sz w:val="24"/>
              </w:rPr>
            </w:pPr>
            <w:r>
              <w:rPr>
                <w:rFonts w:hint="default" w:ascii="Times New Roman" w:hAnsi="Times New Roman" w:eastAsia="宋体" w:cs="Times New Roman"/>
                <w:color w:val="auto"/>
                <w:spacing w:val="-8"/>
                <w:sz w:val="24"/>
              </w:rPr>
              <w:t>防范措施</w:t>
            </w:r>
          </w:p>
        </w:tc>
        <w:tc>
          <w:tcPr>
            <w:tcW w:w="7699" w:type="dxa"/>
            <w:gridSpan w:val="4"/>
            <w:vAlign w:val="center"/>
          </w:tcPr>
          <w:p w14:paraId="02C40244">
            <w:pPr>
              <w:rPr>
                <w:rFonts w:hint="default" w:ascii="Times New Roman" w:hAnsi="Times New Roman" w:eastAsia="宋体" w:cs="Times New Roman"/>
                <w:color w:val="auto"/>
                <w:sz w:val="24"/>
              </w:rPr>
            </w:pPr>
            <w:r>
              <w:rPr>
                <w:rFonts w:hint="default" w:ascii="Times New Roman" w:hAnsi="Times New Roman" w:eastAsia="宋体" w:cs="Times New Roman"/>
                <w:bCs/>
                <w:color w:val="auto"/>
                <w:kern w:val="0"/>
                <w:sz w:val="24"/>
              </w:rPr>
              <w:t>根据《危险化学品重大危险源辨识》（GB18218-2018）及《危险废物管理名录》（2021年版）表1中对物质危险性的规定，本项目涉及</w:t>
            </w:r>
            <w:r>
              <w:rPr>
                <w:rFonts w:hint="default" w:ascii="Times New Roman" w:hAnsi="Times New Roman" w:eastAsia="宋体" w:cs="Times New Roman"/>
                <w:bCs/>
                <w:color w:val="auto"/>
                <w:kern w:val="0"/>
                <w:sz w:val="24"/>
                <w:lang w:val="en-US" w:eastAsia="zh-CN"/>
              </w:rPr>
              <w:t>的</w:t>
            </w:r>
            <w:r>
              <w:rPr>
                <w:rFonts w:hint="default" w:ascii="Times New Roman" w:hAnsi="Times New Roman" w:eastAsia="宋体" w:cs="Times New Roman"/>
                <w:bCs/>
                <w:color w:val="auto"/>
                <w:kern w:val="0"/>
                <w:sz w:val="24"/>
              </w:rPr>
              <w:t>风险物质</w:t>
            </w:r>
            <w:r>
              <w:rPr>
                <w:rFonts w:hint="default" w:ascii="Times New Roman" w:hAnsi="Times New Roman" w:eastAsia="宋体" w:cs="Times New Roman"/>
                <w:bCs/>
                <w:color w:val="auto"/>
                <w:kern w:val="0"/>
                <w:sz w:val="24"/>
                <w:lang w:val="en-US" w:eastAsia="zh-CN"/>
              </w:rPr>
              <w:t>主要是润滑油、废润滑油等</w:t>
            </w:r>
            <w:r>
              <w:rPr>
                <w:rFonts w:hint="default" w:ascii="Times New Roman" w:hAnsi="Times New Roman" w:eastAsia="宋体" w:cs="Times New Roman"/>
                <w:bCs/>
                <w:color w:val="auto"/>
                <w:kern w:val="0"/>
                <w:sz w:val="24"/>
              </w:rPr>
              <w:t>。</w:t>
            </w:r>
            <w:r>
              <w:rPr>
                <w:rFonts w:hint="default" w:ascii="Times New Roman" w:hAnsi="Times New Roman" w:eastAsia="宋体" w:cs="Times New Roman"/>
                <w:bCs/>
                <w:color w:val="auto"/>
                <w:kern w:val="0"/>
                <w:sz w:val="24"/>
                <w:szCs w:val="24"/>
              </w:rPr>
              <w:t>环境风险主要为泄露或后续引发的火灾等危险事故。针对本项目存在的各类事故风险，在严格落实环境风险防范措施，加强生产管理的情况下，上述风险事故隐患可降至可接受水平。</w:t>
            </w:r>
          </w:p>
        </w:tc>
      </w:tr>
      <w:tr w14:paraId="39D66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02" w:hRule="atLeast"/>
          <w:jc w:val="center"/>
        </w:trPr>
        <w:tc>
          <w:tcPr>
            <w:tcW w:w="1350" w:type="dxa"/>
            <w:vAlign w:val="center"/>
          </w:tcPr>
          <w:p w14:paraId="40A8B3BD">
            <w:pPr>
              <w:keepNext w:val="0"/>
              <w:keepLines w:val="0"/>
              <w:pageBreakBefore w:val="0"/>
              <w:widowControl w:val="0"/>
              <w:kinsoku/>
              <w:wordWrap/>
              <w:overflowPunct/>
              <w:topLinePunct w:val="0"/>
              <w:autoSpaceDE/>
              <w:autoSpaceDN/>
              <w:bidi w:val="0"/>
              <w:adjustRightInd/>
              <w:jc w:val="center"/>
              <w:textAlignment w:val="auto"/>
              <w:rPr>
                <w:rFonts w:hint="default" w:ascii="Times New Roman" w:hAnsi="Times New Roman" w:eastAsia="宋体" w:cs="Times New Roman"/>
                <w:color w:val="auto"/>
                <w:spacing w:val="-8"/>
                <w:sz w:val="24"/>
              </w:rPr>
            </w:pPr>
            <w:r>
              <w:rPr>
                <w:rFonts w:hint="default" w:ascii="Times New Roman" w:hAnsi="Times New Roman" w:eastAsia="宋体" w:cs="Times New Roman"/>
                <w:color w:val="auto"/>
                <w:spacing w:val="-8"/>
                <w:sz w:val="24"/>
              </w:rPr>
              <w:t>其他环境</w:t>
            </w:r>
          </w:p>
          <w:p w14:paraId="0257D1CA">
            <w:pPr>
              <w:keepNext w:val="0"/>
              <w:keepLines w:val="0"/>
              <w:pageBreakBefore w:val="0"/>
              <w:widowControl w:val="0"/>
              <w:kinsoku/>
              <w:wordWrap/>
              <w:overflowPunct/>
              <w:topLinePunct w:val="0"/>
              <w:autoSpaceDE/>
              <w:autoSpaceDN/>
              <w:bidi w:val="0"/>
              <w:adjustRightInd/>
              <w:jc w:val="center"/>
              <w:textAlignment w:val="auto"/>
              <w:rPr>
                <w:rFonts w:hint="default" w:ascii="Times New Roman" w:hAnsi="Times New Roman" w:eastAsia="宋体" w:cs="Times New Roman"/>
                <w:color w:val="auto"/>
                <w:spacing w:val="-8"/>
                <w:sz w:val="24"/>
              </w:rPr>
            </w:pPr>
            <w:r>
              <w:rPr>
                <w:rFonts w:hint="default" w:ascii="Times New Roman" w:hAnsi="Times New Roman" w:eastAsia="宋体" w:cs="Times New Roman"/>
                <w:color w:val="auto"/>
                <w:spacing w:val="-8"/>
                <w:sz w:val="24"/>
              </w:rPr>
              <w:t>管理要求</w:t>
            </w:r>
          </w:p>
        </w:tc>
        <w:tc>
          <w:tcPr>
            <w:tcW w:w="7699" w:type="dxa"/>
            <w:gridSpan w:val="4"/>
            <w:vAlign w:val="center"/>
          </w:tcPr>
          <w:p w14:paraId="66A2C033">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建设单位应成立专门的环境管理机构，并制定一系列的环境管理制度具体落实企业内部生产运行过程中的各项国家及地方环境管理要求。建设单位环境保护管理机构的主要职责包括以下几个方面：</w:t>
            </w:r>
          </w:p>
          <w:p w14:paraId="1D6D2704">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（1）组织宣传贯彻国家环保方针政策和进行企业员工环保专业知识教育；</w:t>
            </w:r>
          </w:p>
          <w:p w14:paraId="08074FC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（2）组织制定全厂环保管理制度、年度实施计划和长远规划，并监督贯彻执行，具体环境保护管理制度应包括以下几个方面的工作内容：</w:t>
            </w:r>
          </w:p>
          <w:p w14:paraId="6819D76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①固体废物收集处理处置设施、噪声防治设施及措施等的运行、维修、定期保养等工作制度；</w:t>
            </w:r>
          </w:p>
          <w:p w14:paraId="25D07922">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②环保台账管理制度，主要包括噪声等监测数据台账，危险废物收集、暂存、转移台账及各类台账保存制度；</w:t>
            </w:r>
          </w:p>
          <w:p w14:paraId="266D7B0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③建设单位建立健全突发环境事件应急制度，配置必要的应急救援设备，并加强人员培训、演练。</w:t>
            </w:r>
          </w:p>
          <w:p w14:paraId="62E64E3A">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（3）加强对防火、防爆、防泄漏管理，加强对各类固体废物的管理，防止固体废物堆置产生二次污染；</w:t>
            </w:r>
          </w:p>
          <w:p w14:paraId="112A2CB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（4）按《环境保护图形标志》（15562.1-1995与GB15562.2-1995）的规定设置各污染物排放口的环保图形标志牌；</w:t>
            </w:r>
          </w:p>
          <w:p w14:paraId="6FBC9D6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（5）建设项目建设完成后应及时开展建设项目竣工环境保护验收工作。</w:t>
            </w:r>
          </w:p>
          <w:p w14:paraId="2A5B0D6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color w:val="auto"/>
                <w:sz w:val="24"/>
              </w:rPr>
            </w:pPr>
          </w:p>
          <w:p w14:paraId="3F78161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color w:val="auto"/>
                <w:sz w:val="24"/>
              </w:rPr>
            </w:pPr>
          </w:p>
          <w:p w14:paraId="1E5B7A1C">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color w:val="auto"/>
                <w:sz w:val="24"/>
              </w:rPr>
            </w:pPr>
          </w:p>
          <w:p w14:paraId="68BE4D2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color w:val="auto"/>
              </w:rPr>
            </w:pPr>
          </w:p>
          <w:p w14:paraId="3AF01DBF">
            <w:pPr>
              <w:pStyle w:val="3"/>
              <w:keepNext w:val="0"/>
              <w:keepLines w:val="0"/>
              <w:pageBreakBefore w:val="0"/>
              <w:widowControl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auto"/>
                <w:lang w:eastAsia="zh-CN"/>
              </w:rPr>
            </w:pPr>
          </w:p>
          <w:p w14:paraId="72C4A99A">
            <w:pPr>
              <w:pStyle w:val="3"/>
              <w:keepNext w:val="0"/>
              <w:keepLines w:val="0"/>
              <w:pageBreakBefore w:val="0"/>
              <w:widowControl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auto"/>
                <w:lang w:eastAsia="zh-CN"/>
              </w:rPr>
            </w:pPr>
          </w:p>
          <w:p w14:paraId="78179F8C">
            <w:pPr>
              <w:pStyle w:val="3"/>
              <w:keepNext w:val="0"/>
              <w:keepLines w:val="0"/>
              <w:pageBreakBefore w:val="0"/>
              <w:widowControl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auto"/>
                <w:lang w:eastAsia="zh-CN"/>
              </w:rPr>
            </w:pPr>
          </w:p>
          <w:p w14:paraId="665554D5">
            <w:pPr>
              <w:pStyle w:val="3"/>
              <w:keepNext w:val="0"/>
              <w:keepLines w:val="0"/>
              <w:pageBreakBefore w:val="0"/>
              <w:widowControl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auto"/>
                <w:lang w:eastAsia="zh-CN"/>
              </w:rPr>
            </w:pPr>
          </w:p>
          <w:p w14:paraId="1075BAA7">
            <w:pPr>
              <w:pStyle w:val="3"/>
              <w:keepNext w:val="0"/>
              <w:keepLines w:val="0"/>
              <w:pageBreakBefore w:val="0"/>
              <w:widowControl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auto"/>
                <w:lang w:eastAsia="zh-CN"/>
              </w:rPr>
            </w:pPr>
          </w:p>
          <w:p w14:paraId="7A88C68C">
            <w:pPr>
              <w:keepNext w:val="0"/>
              <w:keepLines w:val="0"/>
              <w:pageBreakBefore w:val="0"/>
              <w:widowControl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auto"/>
                <w:sz w:val="24"/>
              </w:rPr>
            </w:pPr>
          </w:p>
        </w:tc>
      </w:tr>
    </w:tbl>
    <w:p w14:paraId="15B9FD74">
      <w:pPr>
        <w:widowControl/>
        <w:spacing w:before="100" w:beforeAutospacing="1" w:after="100" w:afterAutospacing="1"/>
        <w:jc w:val="center"/>
        <w:outlineLvl w:val="0"/>
        <w:rPr>
          <w:rFonts w:hint="default" w:ascii="Times New Roman" w:hAnsi="Times New Roman" w:eastAsia="宋体" w:cs="Times New Roman"/>
          <w:snapToGrid w:val="0"/>
          <w:color w:val="auto"/>
          <w:kern w:val="0"/>
          <w:sz w:val="30"/>
          <w:szCs w:val="30"/>
        </w:rPr>
      </w:pPr>
      <w:r>
        <w:rPr>
          <w:rFonts w:hint="default" w:ascii="Times New Roman" w:hAnsi="Times New Roman" w:eastAsia="宋体" w:cs="Times New Roman"/>
          <w:snapToGrid w:val="0"/>
          <w:color w:val="auto"/>
          <w:kern w:val="0"/>
          <w:sz w:val="24"/>
          <w:szCs w:val="20"/>
        </w:rPr>
        <w:br w:type="page"/>
      </w:r>
      <w:r>
        <w:rPr>
          <w:rFonts w:hint="default" w:ascii="Times New Roman" w:hAnsi="Times New Roman" w:eastAsia="宋体" w:cs="Times New Roman"/>
          <w:snapToGrid w:val="0"/>
          <w:color w:val="auto"/>
          <w:kern w:val="0"/>
          <w:sz w:val="30"/>
          <w:szCs w:val="30"/>
        </w:rPr>
        <w:t>六、结论</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68370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36" w:hRule="atLeast"/>
          <w:jc w:val="center"/>
        </w:trPr>
        <w:tc>
          <w:tcPr>
            <w:tcW w:w="8865" w:type="dxa"/>
            <w:vAlign w:val="center"/>
          </w:tcPr>
          <w:p w14:paraId="6D37C40C">
            <w:pPr>
              <w:autoSpaceDE w:val="0"/>
              <w:autoSpaceDN w:val="0"/>
              <w:adjustRightInd w:val="0"/>
              <w:spacing w:line="360" w:lineRule="auto"/>
              <w:ind w:firstLine="470" w:firstLineChars="196"/>
              <w:jc w:val="center"/>
              <w:rPr>
                <w:rFonts w:hint="default" w:ascii="Times New Roman" w:hAnsi="Times New Roman" w:eastAsia="宋体" w:cs="Times New Roman"/>
                <w:b w:val="0"/>
                <w:bCs/>
                <w:color w:val="auto"/>
                <w:kern w:val="0"/>
                <w:sz w:val="24"/>
                <w:szCs w:val="20"/>
              </w:rPr>
            </w:pPr>
            <w:r>
              <w:rPr>
                <w:rFonts w:hint="default" w:ascii="Times New Roman" w:hAnsi="Times New Roman" w:eastAsia="宋体" w:cs="Times New Roman"/>
                <w:b w:val="0"/>
                <w:bCs/>
                <w:color w:val="auto"/>
                <w:kern w:val="0"/>
                <w:sz w:val="24"/>
                <w:szCs w:val="20"/>
              </w:rPr>
              <w:t>从环境保护角度，该建设项目环境影响可行。</w:t>
            </w:r>
          </w:p>
          <w:p w14:paraId="72D08C3B">
            <w:pPr>
              <w:autoSpaceDE w:val="0"/>
              <w:autoSpaceDN w:val="0"/>
              <w:adjustRightInd w:val="0"/>
              <w:spacing w:line="360" w:lineRule="auto"/>
              <w:ind w:firstLine="470" w:firstLineChars="196"/>
              <w:rPr>
                <w:rFonts w:hint="default" w:ascii="Times New Roman" w:hAnsi="Times New Roman" w:eastAsia="宋体" w:cs="Times New Roman"/>
                <w:color w:val="auto"/>
                <w:sz w:val="24"/>
              </w:rPr>
            </w:pPr>
          </w:p>
        </w:tc>
      </w:tr>
    </w:tbl>
    <w:p w14:paraId="509E1A9D">
      <w:pPr>
        <w:rPr>
          <w:rFonts w:hint="default" w:ascii="Times New Roman" w:hAnsi="Times New Roman" w:eastAsia="宋体" w:cs="Times New Roman"/>
          <w:color w:val="auto"/>
        </w:rPr>
        <w:sectPr>
          <w:pgSz w:w="11906" w:h="16838"/>
          <w:pgMar w:top="1553" w:right="1553" w:bottom="1553" w:left="1553"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02828C16">
      <w:pPr>
        <w:widowControl/>
        <w:adjustRightInd w:val="0"/>
        <w:snapToGrid w:val="0"/>
        <w:spacing w:line="360" w:lineRule="auto"/>
        <w:jc w:val="left"/>
        <w:outlineLvl w:val="0"/>
        <w:rPr>
          <w:rFonts w:hint="default" w:ascii="Times New Roman" w:hAnsi="Times New Roman" w:eastAsia="宋体" w:cs="Times New Roman"/>
          <w:snapToGrid w:val="0"/>
          <w:color w:val="auto"/>
          <w:kern w:val="0"/>
          <w:sz w:val="32"/>
          <w:szCs w:val="32"/>
        </w:rPr>
      </w:pPr>
      <w:r>
        <w:rPr>
          <w:rFonts w:hint="default" w:ascii="Times New Roman" w:hAnsi="Times New Roman" w:eastAsia="宋体" w:cs="Times New Roman"/>
          <w:snapToGrid w:val="0"/>
          <w:color w:val="auto"/>
          <w:kern w:val="0"/>
          <w:sz w:val="32"/>
          <w:szCs w:val="32"/>
        </w:rPr>
        <w:t>附表</w:t>
      </w:r>
    </w:p>
    <w:p w14:paraId="46927A17">
      <w:pPr>
        <w:bidi w:val="0"/>
        <w:jc w:val="center"/>
        <w:rPr>
          <w:rFonts w:hint="default" w:ascii="Times New Roman" w:hAnsi="Times New Roman" w:eastAsia="宋体" w:cs="Times New Roman"/>
          <w:b/>
          <w:bCs/>
          <w:color w:val="auto"/>
          <w:sz w:val="28"/>
          <w:szCs w:val="36"/>
        </w:rPr>
      </w:pPr>
      <w:r>
        <w:rPr>
          <w:rFonts w:hint="default" w:ascii="Times New Roman" w:hAnsi="Times New Roman" w:eastAsia="宋体" w:cs="Times New Roman"/>
          <w:b/>
          <w:bCs/>
          <w:color w:val="auto"/>
          <w:sz w:val="28"/>
          <w:szCs w:val="36"/>
        </w:rPr>
        <w:t>建设项目污染物排放量汇总表</w:t>
      </w:r>
    </w:p>
    <w:tbl>
      <w:tblPr>
        <w:tblStyle w:val="19"/>
        <w:tblW w:w="13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234"/>
        <w:gridCol w:w="1413"/>
        <w:gridCol w:w="1252"/>
        <w:gridCol w:w="1524"/>
        <w:gridCol w:w="1559"/>
        <w:gridCol w:w="1761"/>
        <w:gridCol w:w="1636"/>
        <w:gridCol w:w="1149"/>
      </w:tblGrid>
      <w:tr w14:paraId="73A53D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260" w:type="dxa"/>
            <w:tcBorders>
              <w:tl2br w:val="single" w:color="auto" w:sz="4" w:space="0"/>
            </w:tcBorders>
            <w:tcMar>
              <w:left w:w="28" w:type="dxa"/>
              <w:right w:w="28" w:type="dxa"/>
            </w:tcMar>
            <w:vAlign w:val="center"/>
          </w:tcPr>
          <w:p w14:paraId="0BA6A5D1">
            <w:pPr>
              <w:adjustRightInd w:val="0"/>
              <w:snapToGrid w:val="0"/>
              <w:jc w:val="right"/>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项目</w:t>
            </w:r>
          </w:p>
          <w:p w14:paraId="3A196F6E">
            <w:pPr>
              <w:adjustRightInd w:val="0"/>
              <w:snapToGrid w:val="0"/>
              <w:jc w:val="left"/>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分类</w:t>
            </w:r>
          </w:p>
        </w:tc>
        <w:tc>
          <w:tcPr>
            <w:tcW w:w="2234" w:type="dxa"/>
            <w:tcMar>
              <w:left w:w="28" w:type="dxa"/>
              <w:right w:w="28" w:type="dxa"/>
            </w:tcMar>
            <w:vAlign w:val="center"/>
          </w:tcPr>
          <w:p w14:paraId="19A15131">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污染物名称</w:t>
            </w:r>
          </w:p>
        </w:tc>
        <w:tc>
          <w:tcPr>
            <w:tcW w:w="1413" w:type="dxa"/>
            <w:tcMar>
              <w:left w:w="28" w:type="dxa"/>
              <w:right w:w="28" w:type="dxa"/>
            </w:tcMar>
            <w:vAlign w:val="center"/>
          </w:tcPr>
          <w:p w14:paraId="686FE6F1">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现有工程</w:t>
            </w:r>
          </w:p>
          <w:p w14:paraId="35656CA5">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p>
        </w:tc>
        <w:tc>
          <w:tcPr>
            <w:tcW w:w="1252" w:type="dxa"/>
            <w:tcMar>
              <w:left w:w="28" w:type="dxa"/>
              <w:right w:w="28" w:type="dxa"/>
            </w:tcMar>
            <w:vAlign w:val="center"/>
          </w:tcPr>
          <w:p w14:paraId="7B182790">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现有工程</w:t>
            </w:r>
          </w:p>
          <w:p w14:paraId="2E29EBAC">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许可排放量</w:t>
            </w:r>
          </w:p>
          <w:p w14:paraId="7350B62C">
            <w:pPr>
              <w:adjustRightInd w:val="0"/>
              <w:snapToGrid w:val="0"/>
              <w:spacing w:line="259" w:lineRule="auto"/>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2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snapToGrid w:val="0"/>
                <w:color w:val="auto"/>
                <w:spacing w:val="-6"/>
                <w:kern w:val="21"/>
                <w:szCs w:val="21"/>
              </w:rPr>
              <w:t>②</w:t>
            </w:r>
            <w:r>
              <w:rPr>
                <w:rFonts w:hint="default" w:ascii="Times New Roman" w:hAnsi="Times New Roman" w:eastAsia="宋体" w:cs="Times New Roman"/>
                <w:snapToGrid w:val="0"/>
                <w:color w:val="auto"/>
                <w:spacing w:val="-6"/>
                <w:kern w:val="21"/>
                <w:szCs w:val="21"/>
              </w:rPr>
              <w:fldChar w:fldCharType="end"/>
            </w:r>
          </w:p>
        </w:tc>
        <w:tc>
          <w:tcPr>
            <w:tcW w:w="1524" w:type="dxa"/>
            <w:tcMar>
              <w:left w:w="28" w:type="dxa"/>
              <w:right w:w="28" w:type="dxa"/>
            </w:tcMar>
            <w:vAlign w:val="center"/>
          </w:tcPr>
          <w:p w14:paraId="603E33DE">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在建工程</w:t>
            </w:r>
          </w:p>
          <w:p w14:paraId="5529DE04">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3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③</w:t>
            </w:r>
            <w:r>
              <w:rPr>
                <w:rFonts w:hint="default" w:ascii="Times New Roman" w:hAnsi="Times New Roman" w:eastAsia="宋体" w:cs="Times New Roman"/>
                <w:snapToGrid w:val="0"/>
                <w:color w:val="auto"/>
                <w:spacing w:val="-6"/>
                <w:kern w:val="21"/>
                <w:szCs w:val="21"/>
              </w:rPr>
              <w:fldChar w:fldCharType="end"/>
            </w:r>
          </w:p>
        </w:tc>
        <w:tc>
          <w:tcPr>
            <w:tcW w:w="1559" w:type="dxa"/>
            <w:tcMar>
              <w:left w:w="28" w:type="dxa"/>
              <w:right w:w="28" w:type="dxa"/>
            </w:tcMar>
            <w:vAlign w:val="center"/>
          </w:tcPr>
          <w:p w14:paraId="3DEEFC22">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本项目</w:t>
            </w:r>
          </w:p>
          <w:p w14:paraId="31DD3D75">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排放量（固体废物产生量）</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4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④</w:t>
            </w:r>
            <w:r>
              <w:rPr>
                <w:rFonts w:hint="default" w:ascii="Times New Roman" w:hAnsi="Times New Roman" w:eastAsia="宋体" w:cs="Times New Roman"/>
                <w:snapToGrid w:val="0"/>
                <w:color w:val="auto"/>
                <w:spacing w:val="-6"/>
                <w:kern w:val="21"/>
                <w:szCs w:val="21"/>
              </w:rPr>
              <w:fldChar w:fldCharType="end"/>
            </w:r>
          </w:p>
        </w:tc>
        <w:tc>
          <w:tcPr>
            <w:tcW w:w="1761" w:type="dxa"/>
            <w:tcMar>
              <w:left w:w="28" w:type="dxa"/>
              <w:right w:w="28" w:type="dxa"/>
            </w:tcMar>
            <w:vAlign w:val="center"/>
          </w:tcPr>
          <w:p w14:paraId="697D0B7A">
            <w:pPr>
              <w:adjustRightInd w:val="0"/>
              <w:snapToGrid w:val="0"/>
              <w:jc w:val="center"/>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以新带老削减量</w:t>
            </w:r>
          </w:p>
          <w:p w14:paraId="3C20B149">
            <w:pPr>
              <w:adjustRightInd w:val="0"/>
              <w:snapToGrid w:val="0"/>
              <w:jc w:val="center"/>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（新建项目不填）</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5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⑤</w:t>
            </w:r>
            <w:r>
              <w:rPr>
                <w:rFonts w:hint="default" w:ascii="Times New Roman" w:hAnsi="Times New Roman" w:eastAsia="宋体" w:cs="Times New Roman"/>
                <w:snapToGrid w:val="0"/>
                <w:color w:val="auto"/>
                <w:spacing w:val="-16"/>
                <w:kern w:val="21"/>
                <w:szCs w:val="21"/>
              </w:rPr>
              <w:fldChar w:fldCharType="end"/>
            </w:r>
          </w:p>
        </w:tc>
        <w:tc>
          <w:tcPr>
            <w:tcW w:w="1636" w:type="dxa"/>
            <w:tcMar>
              <w:left w:w="28" w:type="dxa"/>
              <w:right w:w="28" w:type="dxa"/>
            </w:tcMar>
            <w:vAlign w:val="center"/>
          </w:tcPr>
          <w:p w14:paraId="6E201692">
            <w:pPr>
              <w:adjustRightInd w:val="0"/>
              <w:snapToGrid w:val="0"/>
              <w:jc w:val="center"/>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本项目建成后</w:t>
            </w:r>
          </w:p>
          <w:p w14:paraId="096C6B4E">
            <w:pPr>
              <w:adjustRightInd w:val="0"/>
              <w:snapToGrid w:val="0"/>
              <w:jc w:val="center"/>
              <w:rPr>
                <w:rFonts w:hint="default" w:ascii="Times New Roman" w:hAnsi="Times New Roman" w:eastAsia="宋体" w:cs="Times New Roman"/>
                <w:snapToGrid w:val="0"/>
                <w:color w:val="auto"/>
                <w:spacing w:val="-16"/>
                <w:kern w:val="21"/>
                <w:szCs w:val="21"/>
              </w:rPr>
            </w:pPr>
            <w:r>
              <w:rPr>
                <w:rFonts w:hint="default" w:ascii="Times New Roman" w:hAnsi="Times New Roman" w:eastAsia="宋体" w:cs="Times New Roman"/>
                <w:snapToGrid w:val="0"/>
                <w:color w:val="auto"/>
                <w:spacing w:val="-16"/>
                <w:kern w:val="21"/>
                <w:szCs w:val="21"/>
              </w:rPr>
              <w:t>全厂排放量（固体废物产生量）</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p>
        </w:tc>
        <w:tc>
          <w:tcPr>
            <w:tcW w:w="1149" w:type="dxa"/>
            <w:tcMar>
              <w:left w:w="28" w:type="dxa"/>
              <w:right w:w="28" w:type="dxa"/>
            </w:tcMar>
            <w:vAlign w:val="center"/>
          </w:tcPr>
          <w:p w14:paraId="2F7897DD">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t>变化量</w:t>
            </w:r>
          </w:p>
          <w:p w14:paraId="3D63421D">
            <w:pPr>
              <w:adjustRightInd w:val="0"/>
              <w:snapToGrid w:val="0"/>
              <w:jc w:val="center"/>
              <w:rPr>
                <w:rFonts w:hint="default" w:ascii="Times New Roman" w:hAnsi="Times New Roman" w:eastAsia="宋体" w:cs="Times New Roman"/>
                <w:snapToGrid w:val="0"/>
                <w:color w:val="auto"/>
                <w:spacing w:val="-6"/>
                <w:kern w:val="21"/>
                <w:szCs w:val="21"/>
              </w:rPr>
            </w:pP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7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⑦</w:t>
            </w:r>
            <w:r>
              <w:rPr>
                <w:rFonts w:hint="default" w:ascii="Times New Roman" w:hAnsi="Times New Roman" w:eastAsia="宋体" w:cs="Times New Roman"/>
                <w:snapToGrid w:val="0"/>
                <w:color w:val="auto"/>
                <w:spacing w:val="-6"/>
                <w:kern w:val="21"/>
                <w:szCs w:val="21"/>
              </w:rPr>
              <w:fldChar w:fldCharType="end"/>
            </w:r>
          </w:p>
        </w:tc>
      </w:tr>
      <w:tr w14:paraId="45A6FB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restart"/>
            <w:vAlign w:val="center"/>
          </w:tcPr>
          <w:p w14:paraId="75C89492">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废气</w:t>
            </w:r>
          </w:p>
        </w:tc>
        <w:tc>
          <w:tcPr>
            <w:tcW w:w="2234" w:type="dxa"/>
            <w:vAlign w:val="center"/>
          </w:tcPr>
          <w:p w14:paraId="41EC9918">
            <w:pPr>
              <w:adjustRightInd w:val="0"/>
              <w:snapToGrid w:val="0"/>
              <w:jc w:val="center"/>
              <w:rPr>
                <w:rFonts w:hint="default" w:ascii="Times New Roman" w:hAnsi="Times New Roman" w:eastAsia="宋体" w:cs="Times New Roman"/>
                <w:snapToGrid w:val="0"/>
                <w:color w:val="auto"/>
                <w:kern w:val="21"/>
                <w:szCs w:val="21"/>
                <w:lang w:eastAsia="zh-CN"/>
              </w:rPr>
            </w:pPr>
            <w:r>
              <w:rPr>
                <w:rFonts w:hint="default" w:ascii="Times New Roman" w:hAnsi="Times New Roman" w:eastAsia="宋体" w:cs="Times New Roman"/>
                <w:snapToGrid w:val="0"/>
                <w:color w:val="auto"/>
                <w:kern w:val="21"/>
                <w:szCs w:val="21"/>
                <w:lang w:val="en-US" w:eastAsia="zh-CN"/>
              </w:rPr>
              <w:t>颗粒物</w:t>
            </w:r>
          </w:p>
        </w:tc>
        <w:tc>
          <w:tcPr>
            <w:tcW w:w="1413" w:type="dxa"/>
            <w:vAlign w:val="center"/>
          </w:tcPr>
          <w:p w14:paraId="1831D7E2">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1.775t/a</w:t>
            </w:r>
          </w:p>
        </w:tc>
        <w:tc>
          <w:tcPr>
            <w:tcW w:w="1252" w:type="dxa"/>
            <w:vAlign w:val="center"/>
          </w:tcPr>
          <w:p w14:paraId="6D17F099">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24" w:type="dxa"/>
            <w:vAlign w:val="center"/>
          </w:tcPr>
          <w:p w14:paraId="5AB9C609">
            <w:pPr>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59" w:type="dxa"/>
            <w:vAlign w:val="center"/>
          </w:tcPr>
          <w:p w14:paraId="2F2FD6AC">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0.3326t/a</w:t>
            </w:r>
          </w:p>
        </w:tc>
        <w:tc>
          <w:tcPr>
            <w:tcW w:w="1761" w:type="dxa"/>
            <w:vAlign w:val="center"/>
          </w:tcPr>
          <w:p w14:paraId="37097180">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lang w:val="en-US" w:eastAsia="zh-CN"/>
              </w:rPr>
              <w:t>0t/a</w:t>
            </w:r>
          </w:p>
        </w:tc>
        <w:tc>
          <w:tcPr>
            <w:tcW w:w="1636" w:type="dxa"/>
            <w:vAlign w:val="center"/>
          </w:tcPr>
          <w:p w14:paraId="3D9839FC">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2.1076</w:t>
            </w:r>
          </w:p>
        </w:tc>
        <w:tc>
          <w:tcPr>
            <w:tcW w:w="1149" w:type="dxa"/>
            <w:shd w:val="clear" w:color="auto" w:fill="auto"/>
            <w:vAlign w:val="center"/>
          </w:tcPr>
          <w:p w14:paraId="2285A81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+0.3326t/a</w:t>
            </w:r>
          </w:p>
        </w:tc>
      </w:tr>
      <w:tr w14:paraId="3261BB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37FBECBA">
            <w:pPr>
              <w:adjustRightInd w:val="0"/>
              <w:snapToGrid w:val="0"/>
              <w:jc w:val="center"/>
              <w:rPr>
                <w:rFonts w:hint="default" w:ascii="Times New Roman" w:hAnsi="Times New Roman" w:eastAsia="宋体" w:cs="Times New Roman"/>
                <w:snapToGrid w:val="0"/>
                <w:color w:val="auto"/>
                <w:kern w:val="21"/>
                <w:szCs w:val="21"/>
              </w:rPr>
            </w:pPr>
          </w:p>
        </w:tc>
        <w:tc>
          <w:tcPr>
            <w:tcW w:w="2234" w:type="dxa"/>
            <w:vAlign w:val="center"/>
          </w:tcPr>
          <w:p w14:paraId="44A78B80">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非甲烷总烃</w:t>
            </w:r>
          </w:p>
        </w:tc>
        <w:tc>
          <w:tcPr>
            <w:tcW w:w="1413" w:type="dxa"/>
            <w:shd w:val="clear" w:color="auto" w:fill="auto"/>
            <w:vAlign w:val="center"/>
          </w:tcPr>
          <w:p w14:paraId="2475989E">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1.004</w:t>
            </w:r>
            <w:r>
              <w:rPr>
                <w:rFonts w:hint="default" w:ascii="Times New Roman" w:hAnsi="Times New Roman" w:eastAsia="宋体" w:cs="Times New Roman"/>
                <w:snapToGrid w:val="0"/>
                <w:color w:val="auto"/>
                <w:kern w:val="21"/>
                <w:szCs w:val="21"/>
                <w:lang w:val="en-US" w:eastAsia="zh-CN"/>
              </w:rPr>
              <w:t>t/a</w:t>
            </w:r>
          </w:p>
        </w:tc>
        <w:tc>
          <w:tcPr>
            <w:tcW w:w="1252" w:type="dxa"/>
            <w:shd w:val="clear" w:color="auto" w:fill="auto"/>
            <w:vAlign w:val="center"/>
          </w:tcPr>
          <w:p w14:paraId="3697B752">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rPr>
              <w:t>/</w:t>
            </w:r>
          </w:p>
        </w:tc>
        <w:tc>
          <w:tcPr>
            <w:tcW w:w="1524" w:type="dxa"/>
            <w:shd w:val="clear" w:color="auto" w:fill="auto"/>
            <w:vAlign w:val="center"/>
          </w:tcPr>
          <w:p w14:paraId="239138BA">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rPr>
              <w:t>/</w:t>
            </w:r>
          </w:p>
        </w:tc>
        <w:tc>
          <w:tcPr>
            <w:tcW w:w="1559" w:type="dxa"/>
            <w:vAlign w:val="center"/>
          </w:tcPr>
          <w:p w14:paraId="31D60D9D">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0.3106t/a</w:t>
            </w:r>
          </w:p>
        </w:tc>
        <w:tc>
          <w:tcPr>
            <w:tcW w:w="1761" w:type="dxa"/>
            <w:vAlign w:val="center"/>
          </w:tcPr>
          <w:p w14:paraId="38864BF3">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vAlign w:val="center"/>
          </w:tcPr>
          <w:p w14:paraId="0C40885E">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1.3146</w:t>
            </w:r>
          </w:p>
        </w:tc>
        <w:tc>
          <w:tcPr>
            <w:tcW w:w="1149" w:type="dxa"/>
            <w:shd w:val="clear" w:color="auto" w:fill="auto"/>
            <w:vAlign w:val="center"/>
          </w:tcPr>
          <w:p w14:paraId="3D19C4D5">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+0.3106t/a</w:t>
            </w:r>
          </w:p>
        </w:tc>
      </w:tr>
      <w:tr w14:paraId="7E5C46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70338ED2">
            <w:pPr>
              <w:adjustRightInd w:val="0"/>
              <w:snapToGrid w:val="0"/>
              <w:jc w:val="center"/>
              <w:rPr>
                <w:rFonts w:hint="default" w:ascii="Times New Roman" w:hAnsi="Times New Roman" w:eastAsia="宋体" w:cs="Times New Roman"/>
                <w:snapToGrid w:val="0"/>
                <w:color w:val="auto"/>
                <w:kern w:val="21"/>
                <w:szCs w:val="21"/>
              </w:rPr>
            </w:pPr>
          </w:p>
        </w:tc>
        <w:tc>
          <w:tcPr>
            <w:tcW w:w="2234" w:type="dxa"/>
            <w:shd w:val="clear" w:color="auto" w:fill="auto"/>
            <w:vAlign w:val="center"/>
          </w:tcPr>
          <w:p w14:paraId="2B8C3F4C">
            <w:pPr>
              <w:pStyle w:val="35"/>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二甲苯</w:t>
            </w:r>
          </w:p>
        </w:tc>
        <w:tc>
          <w:tcPr>
            <w:tcW w:w="1413" w:type="dxa"/>
            <w:shd w:val="clear" w:color="auto" w:fill="auto"/>
            <w:vAlign w:val="center"/>
          </w:tcPr>
          <w:p w14:paraId="5EFA59FA">
            <w:pPr>
              <w:adjustRightInd w:val="0"/>
              <w:snapToGrid w:val="0"/>
              <w:spacing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0.637t</w:t>
            </w:r>
            <w:r>
              <w:rPr>
                <w:rFonts w:hint="default" w:ascii="Times New Roman" w:hAnsi="Times New Roman" w:eastAsia="宋体" w:cs="Times New Roman"/>
                <w:color w:val="auto"/>
                <w:kern w:val="0"/>
                <w:sz w:val="21"/>
                <w:szCs w:val="21"/>
              </w:rPr>
              <w:t>/a</w:t>
            </w:r>
          </w:p>
        </w:tc>
        <w:tc>
          <w:tcPr>
            <w:tcW w:w="1252" w:type="dxa"/>
            <w:shd w:val="clear" w:color="auto" w:fill="auto"/>
            <w:vAlign w:val="center"/>
          </w:tcPr>
          <w:p w14:paraId="0594D384">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24" w:type="dxa"/>
            <w:shd w:val="clear" w:color="auto" w:fill="auto"/>
            <w:vAlign w:val="center"/>
          </w:tcPr>
          <w:p w14:paraId="724F91C9">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59" w:type="dxa"/>
            <w:vAlign w:val="center"/>
          </w:tcPr>
          <w:p w14:paraId="5EA2D085">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0.1497t/a</w:t>
            </w:r>
          </w:p>
        </w:tc>
        <w:tc>
          <w:tcPr>
            <w:tcW w:w="1761" w:type="dxa"/>
            <w:vAlign w:val="center"/>
          </w:tcPr>
          <w:p w14:paraId="6101AB82">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vAlign w:val="center"/>
          </w:tcPr>
          <w:p w14:paraId="760F546D">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0.7867</w:t>
            </w:r>
          </w:p>
        </w:tc>
        <w:tc>
          <w:tcPr>
            <w:tcW w:w="1149" w:type="dxa"/>
            <w:shd w:val="clear" w:color="auto" w:fill="auto"/>
            <w:vAlign w:val="center"/>
          </w:tcPr>
          <w:p w14:paraId="5F3AE5CE">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+0.1497t/a</w:t>
            </w:r>
          </w:p>
        </w:tc>
      </w:tr>
      <w:tr w14:paraId="0A7319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049BB540">
            <w:pPr>
              <w:adjustRightInd w:val="0"/>
              <w:snapToGrid w:val="0"/>
              <w:jc w:val="center"/>
              <w:rPr>
                <w:rFonts w:hint="default" w:ascii="Times New Roman" w:hAnsi="Times New Roman" w:eastAsia="宋体" w:cs="Times New Roman"/>
                <w:snapToGrid w:val="0"/>
                <w:color w:val="auto"/>
                <w:kern w:val="21"/>
                <w:szCs w:val="21"/>
              </w:rPr>
            </w:pPr>
          </w:p>
        </w:tc>
        <w:tc>
          <w:tcPr>
            <w:tcW w:w="2234" w:type="dxa"/>
            <w:vAlign w:val="center"/>
          </w:tcPr>
          <w:p w14:paraId="76F3A0CA">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氮氧化物</w:t>
            </w:r>
          </w:p>
        </w:tc>
        <w:tc>
          <w:tcPr>
            <w:tcW w:w="1413" w:type="dxa"/>
            <w:shd w:val="clear" w:color="auto" w:fill="auto"/>
            <w:vAlign w:val="center"/>
          </w:tcPr>
          <w:p w14:paraId="5ED674E4">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color w:val="auto"/>
                <w:kern w:val="0"/>
                <w:sz w:val="21"/>
                <w:szCs w:val="21"/>
                <w:lang w:val="en-US" w:eastAsia="zh-CN"/>
              </w:rPr>
              <w:t>0.134t</w:t>
            </w:r>
            <w:r>
              <w:rPr>
                <w:rFonts w:hint="default" w:ascii="Times New Roman" w:hAnsi="Times New Roman" w:eastAsia="宋体" w:cs="Times New Roman"/>
                <w:color w:val="auto"/>
                <w:kern w:val="0"/>
                <w:sz w:val="21"/>
                <w:szCs w:val="21"/>
              </w:rPr>
              <w:t>/a</w:t>
            </w:r>
          </w:p>
        </w:tc>
        <w:tc>
          <w:tcPr>
            <w:tcW w:w="1252" w:type="dxa"/>
            <w:shd w:val="clear" w:color="auto" w:fill="auto"/>
            <w:vAlign w:val="center"/>
          </w:tcPr>
          <w:p w14:paraId="36F3F63C">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rPr>
              <w:t>/</w:t>
            </w:r>
          </w:p>
        </w:tc>
        <w:tc>
          <w:tcPr>
            <w:tcW w:w="1524" w:type="dxa"/>
            <w:shd w:val="clear" w:color="auto" w:fill="auto"/>
            <w:vAlign w:val="center"/>
          </w:tcPr>
          <w:p w14:paraId="42EE669E">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rPr>
              <w:t>/</w:t>
            </w:r>
          </w:p>
        </w:tc>
        <w:tc>
          <w:tcPr>
            <w:tcW w:w="1559" w:type="dxa"/>
            <w:vAlign w:val="center"/>
          </w:tcPr>
          <w:p w14:paraId="0F3D2A03">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761" w:type="dxa"/>
            <w:vAlign w:val="center"/>
          </w:tcPr>
          <w:p w14:paraId="71D0A350">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728CBFF6">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color w:val="auto"/>
                <w:kern w:val="0"/>
                <w:sz w:val="21"/>
                <w:szCs w:val="21"/>
                <w:lang w:val="en-US" w:eastAsia="zh-CN"/>
              </w:rPr>
              <w:t>0.134t</w:t>
            </w:r>
            <w:r>
              <w:rPr>
                <w:rFonts w:hint="default" w:ascii="Times New Roman" w:hAnsi="Times New Roman" w:eastAsia="宋体" w:cs="Times New Roman"/>
                <w:color w:val="auto"/>
                <w:kern w:val="0"/>
                <w:sz w:val="21"/>
                <w:szCs w:val="21"/>
              </w:rPr>
              <w:t>/a</w:t>
            </w:r>
          </w:p>
        </w:tc>
        <w:tc>
          <w:tcPr>
            <w:tcW w:w="1149" w:type="dxa"/>
            <w:shd w:val="clear" w:color="auto" w:fill="auto"/>
            <w:vAlign w:val="center"/>
          </w:tcPr>
          <w:p w14:paraId="0CF67363">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0t/a</w:t>
            </w:r>
          </w:p>
        </w:tc>
      </w:tr>
      <w:tr w14:paraId="464C82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0F56732C">
            <w:pPr>
              <w:adjustRightInd w:val="0"/>
              <w:snapToGrid w:val="0"/>
              <w:jc w:val="center"/>
              <w:rPr>
                <w:rFonts w:hint="default" w:ascii="Times New Roman" w:hAnsi="Times New Roman" w:eastAsia="宋体" w:cs="Times New Roman"/>
                <w:snapToGrid w:val="0"/>
                <w:color w:val="auto"/>
                <w:kern w:val="21"/>
                <w:szCs w:val="21"/>
              </w:rPr>
            </w:pPr>
          </w:p>
        </w:tc>
        <w:tc>
          <w:tcPr>
            <w:tcW w:w="2234" w:type="dxa"/>
            <w:shd w:val="clear" w:color="auto" w:fill="auto"/>
            <w:vAlign w:val="center"/>
          </w:tcPr>
          <w:p w14:paraId="389C1C81">
            <w:pPr>
              <w:pStyle w:val="15"/>
              <w:spacing w:line="240" w:lineRule="auto"/>
              <w:ind w:left="0" w:leftChars="0" w:firstLine="0" w:firstLineChars="0"/>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lang w:val="en-US" w:eastAsia="zh-CN"/>
              </w:rPr>
              <w:t>氟化物</w:t>
            </w:r>
          </w:p>
        </w:tc>
        <w:tc>
          <w:tcPr>
            <w:tcW w:w="1413" w:type="dxa"/>
            <w:shd w:val="clear" w:color="auto" w:fill="auto"/>
            <w:vAlign w:val="center"/>
          </w:tcPr>
          <w:p w14:paraId="3DD81072">
            <w:pPr>
              <w:pStyle w:val="35"/>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0.03t</w:t>
            </w:r>
            <w:r>
              <w:rPr>
                <w:rFonts w:hint="default" w:ascii="Times New Roman" w:hAnsi="Times New Roman" w:eastAsia="宋体" w:cs="Times New Roman"/>
                <w:color w:val="auto"/>
                <w:kern w:val="0"/>
                <w:sz w:val="21"/>
                <w:szCs w:val="21"/>
              </w:rPr>
              <w:t>/a</w:t>
            </w:r>
          </w:p>
        </w:tc>
        <w:tc>
          <w:tcPr>
            <w:tcW w:w="1252" w:type="dxa"/>
            <w:shd w:val="clear" w:color="auto" w:fill="auto"/>
            <w:vAlign w:val="center"/>
          </w:tcPr>
          <w:p w14:paraId="26F7D435">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24" w:type="dxa"/>
            <w:shd w:val="clear" w:color="auto" w:fill="auto"/>
            <w:vAlign w:val="center"/>
          </w:tcPr>
          <w:p w14:paraId="7485F2A4">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59" w:type="dxa"/>
            <w:vAlign w:val="center"/>
          </w:tcPr>
          <w:p w14:paraId="04F5484E">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761" w:type="dxa"/>
            <w:vAlign w:val="center"/>
          </w:tcPr>
          <w:p w14:paraId="1737B4DA">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308BC883">
            <w:pPr>
              <w:pStyle w:val="35"/>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0.03t</w:t>
            </w:r>
            <w:r>
              <w:rPr>
                <w:rFonts w:hint="default" w:ascii="Times New Roman" w:hAnsi="Times New Roman" w:eastAsia="宋体" w:cs="Times New Roman"/>
                <w:color w:val="auto"/>
                <w:kern w:val="0"/>
                <w:sz w:val="21"/>
                <w:szCs w:val="21"/>
              </w:rPr>
              <w:t>/a</w:t>
            </w:r>
          </w:p>
        </w:tc>
        <w:tc>
          <w:tcPr>
            <w:tcW w:w="1149" w:type="dxa"/>
            <w:shd w:val="clear" w:color="auto" w:fill="auto"/>
            <w:vAlign w:val="center"/>
          </w:tcPr>
          <w:p w14:paraId="5F1D3D8F">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0t/a</w:t>
            </w:r>
          </w:p>
        </w:tc>
      </w:tr>
      <w:tr w14:paraId="3E8D8E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restart"/>
            <w:vAlign w:val="center"/>
          </w:tcPr>
          <w:p w14:paraId="5E2B71F8">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废水</w:t>
            </w:r>
          </w:p>
        </w:tc>
        <w:tc>
          <w:tcPr>
            <w:tcW w:w="2234" w:type="dxa"/>
            <w:vAlign w:val="center"/>
          </w:tcPr>
          <w:p w14:paraId="37D4B451">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color w:val="auto"/>
                <w:kern w:val="0"/>
                <w:szCs w:val="21"/>
                <w:lang w:val="en-US" w:eastAsia="zh-CN"/>
              </w:rPr>
              <w:t>COD</w:t>
            </w:r>
          </w:p>
        </w:tc>
        <w:tc>
          <w:tcPr>
            <w:tcW w:w="1413" w:type="dxa"/>
            <w:vAlign w:val="center"/>
          </w:tcPr>
          <w:p w14:paraId="2E30982A">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4.046t/a</w:t>
            </w:r>
          </w:p>
        </w:tc>
        <w:tc>
          <w:tcPr>
            <w:tcW w:w="1252" w:type="dxa"/>
            <w:vAlign w:val="center"/>
          </w:tcPr>
          <w:p w14:paraId="63789045">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24" w:type="dxa"/>
            <w:vAlign w:val="center"/>
          </w:tcPr>
          <w:p w14:paraId="424C0B9A">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59" w:type="dxa"/>
            <w:vAlign w:val="center"/>
          </w:tcPr>
          <w:p w14:paraId="39E956B3">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761" w:type="dxa"/>
            <w:vAlign w:val="center"/>
          </w:tcPr>
          <w:p w14:paraId="7B35F7CC">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54B93B7F">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4.046t/a</w:t>
            </w:r>
          </w:p>
        </w:tc>
        <w:tc>
          <w:tcPr>
            <w:tcW w:w="1149" w:type="dxa"/>
            <w:shd w:val="clear" w:color="auto" w:fill="auto"/>
            <w:vAlign w:val="center"/>
          </w:tcPr>
          <w:p w14:paraId="020955B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0t/a</w:t>
            </w:r>
          </w:p>
        </w:tc>
      </w:tr>
      <w:tr w14:paraId="093921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2B774E18">
            <w:pPr>
              <w:adjustRightInd w:val="0"/>
              <w:snapToGrid w:val="0"/>
              <w:jc w:val="center"/>
              <w:rPr>
                <w:rFonts w:hint="default" w:ascii="Times New Roman" w:hAnsi="Times New Roman" w:eastAsia="宋体" w:cs="Times New Roman"/>
                <w:snapToGrid w:val="0"/>
                <w:color w:val="auto"/>
                <w:kern w:val="21"/>
                <w:szCs w:val="21"/>
              </w:rPr>
            </w:pPr>
          </w:p>
        </w:tc>
        <w:tc>
          <w:tcPr>
            <w:tcW w:w="2234" w:type="dxa"/>
            <w:vAlign w:val="center"/>
          </w:tcPr>
          <w:p w14:paraId="12B7F4C6">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氨氮</w:t>
            </w:r>
          </w:p>
        </w:tc>
        <w:tc>
          <w:tcPr>
            <w:tcW w:w="1413" w:type="dxa"/>
            <w:vAlign w:val="center"/>
          </w:tcPr>
          <w:p w14:paraId="7B956918">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0.625t/a</w:t>
            </w:r>
          </w:p>
        </w:tc>
        <w:tc>
          <w:tcPr>
            <w:tcW w:w="1252" w:type="dxa"/>
            <w:shd w:val="clear" w:color="auto" w:fill="auto"/>
            <w:vAlign w:val="center"/>
          </w:tcPr>
          <w:p w14:paraId="5CDEF81C">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rPr>
              <w:t>/</w:t>
            </w:r>
          </w:p>
        </w:tc>
        <w:tc>
          <w:tcPr>
            <w:tcW w:w="1524" w:type="dxa"/>
            <w:shd w:val="clear" w:color="auto" w:fill="auto"/>
            <w:vAlign w:val="center"/>
          </w:tcPr>
          <w:p w14:paraId="3A9DE0C4">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rPr>
              <w:t>/</w:t>
            </w:r>
          </w:p>
        </w:tc>
        <w:tc>
          <w:tcPr>
            <w:tcW w:w="1559" w:type="dxa"/>
            <w:vAlign w:val="center"/>
          </w:tcPr>
          <w:p w14:paraId="00C70597">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c>
          <w:tcPr>
            <w:tcW w:w="1761" w:type="dxa"/>
            <w:vAlign w:val="center"/>
          </w:tcPr>
          <w:p w14:paraId="67F82CAC">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169A3019">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0.625t/a</w:t>
            </w:r>
          </w:p>
        </w:tc>
        <w:tc>
          <w:tcPr>
            <w:tcW w:w="1149" w:type="dxa"/>
            <w:shd w:val="clear" w:color="auto" w:fill="auto"/>
            <w:vAlign w:val="center"/>
          </w:tcPr>
          <w:p w14:paraId="4BC86CFC">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r>
      <w:tr w14:paraId="38B4A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Align w:val="center"/>
          </w:tcPr>
          <w:p w14:paraId="1E930F38">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生活垃圾</w:t>
            </w:r>
          </w:p>
        </w:tc>
        <w:tc>
          <w:tcPr>
            <w:tcW w:w="2234" w:type="dxa"/>
            <w:vAlign w:val="center"/>
          </w:tcPr>
          <w:p w14:paraId="0F26AD6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生活垃圾</w:t>
            </w:r>
          </w:p>
        </w:tc>
        <w:tc>
          <w:tcPr>
            <w:tcW w:w="1413" w:type="dxa"/>
            <w:vAlign w:val="center"/>
          </w:tcPr>
          <w:p w14:paraId="4C823723">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9.0t/a</w:t>
            </w:r>
          </w:p>
        </w:tc>
        <w:tc>
          <w:tcPr>
            <w:tcW w:w="1252" w:type="dxa"/>
            <w:shd w:val="clear" w:color="auto" w:fill="auto"/>
            <w:vAlign w:val="center"/>
          </w:tcPr>
          <w:p w14:paraId="1F84714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rPr>
              <w:t>/</w:t>
            </w:r>
          </w:p>
        </w:tc>
        <w:tc>
          <w:tcPr>
            <w:tcW w:w="1524" w:type="dxa"/>
            <w:shd w:val="clear" w:color="auto" w:fill="auto"/>
            <w:vAlign w:val="center"/>
          </w:tcPr>
          <w:p w14:paraId="2E7CB0BC">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rPr>
              <w:t>/</w:t>
            </w:r>
          </w:p>
        </w:tc>
        <w:tc>
          <w:tcPr>
            <w:tcW w:w="1559" w:type="dxa"/>
            <w:vAlign w:val="center"/>
          </w:tcPr>
          <w:p w14:paraId="6DA0407B">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c>
          <w:tcPr>
            <w:tcW w:w="1761" w:type="dxa"/>
            <w:vAlign w:val="center"/>
          </w:tcPr>
          <w:p w14:paraId="4794541C">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322BA100">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9.0t/a</w:t>
            </w:r>
          </w:p>
        </w:tc>
        <w:tc>
          <w:tcPr>
            <w:tcW w:w="1149" w:type="dxa"/>
            <w:shd w:val="clear" w:color="auto" w:fill="auto"/>
            <w:vAlign w:val="center"/>
          </w:tcPr>
          <w:p w14:paraId="399CEA2C">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r>
      <w:tr w14:paraId="270338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restart"/>
            <w:vAlign w:val="center"/>
          </w:tcPr>
          <w:p w14:paraId="43CEBE4E">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一般工业</w:t>
            </w:r>
          </w:p>
          <w:p w14:paraId="4A3B3DDE">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固体废物</w:t>
            </w:r>
          </w:p>
        </w:tc>
        <w:tc>
          <w:tcPr>
            <w:tcW w:w="2234" w:type="dxa"/>
            <w:vAlign w:val="center"/>
          </w:tcPr>
          <w:p w14:paraId="582F04B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废边角料</w:t>
            </w:r>
            <w:r>
              <w:rPr>
                <w:rFonts w:hint="default" w:ascii="Times New Roman" w:hAnsi="Times New Roman" w:eastAsia="宋体" w:cs="Times New Roman"/>
                <w:color w:val="auto"/>
                <w:kern w:val="0"/>
                <w:szCs w:val="21"/>
                <w:lang w:eastAsia="zh-CN"/>
              </w:rPr>
              <w:t>、</w:t>
            </w:r>
            <w:r>
              <w:rPr>
                <w:rFonts w:hint="default" w:ascii="Times New Roman" w:hAnsi="Times New Roman" w:eastAsia="宋体" w:cs="Times New Roman"/>
                <w:color w:val="auto"/>
                <w:sz w:val="21"/>
                <w:szCs w:val="21"/>
                <w:lang w:val="en-US" w:eastAsia="zh-CN"/>
              </w:rPr>
              <w:t>废金属屑、焊渣、废焊丝</w:t>
            </w:r>
          </w:p>
        </w:tc>
        <w:tc>
          <w:tcPr>
            <w:tcW w:w="1413" w:type="dxa"/>
            <w:vAlign w:val="center"/>
          </w:tcPr>
          <w:p w14:paraId="44BC4BDB">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color w:val="auto"/>
                <w:sz w:val="21"/>
                <w:szCs w:val="21"/>
                <w:lang w:val="en-US" w:eastAsia="zh-CN"/>
              </w:rPr>
              <w:t>458.285</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4064B19E">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24" w:type="dxa"/>
            <w:vAlign w:val="center"/>
          </w:tcPr>
          <w:p w14:paraId="3793BD56">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59" w:type="dxa"/>
            <w:vAlign w:val="center"/>
          </w:tcPr>
          <w:p w14:paraId="400DD2EE">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13.8t/a</w:t>
            </w:r>
          </w:p>
        </w:tc>
        <w:tc>
          <w:tcPr>
            <w:tcW w:w="1761" w:type="dxa"/>
            <w:vAlign w:val="center"/>
          </w:tcPr>
          <w:p w14:paraId="48A0F544">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vAlign w:val="center"/>
          </w:tcPr>
          <w:p w14:paraId="1C63CE60">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472.085t/a</w:t>
            </w:r>
          </w:p>
        </w:tc>
        <w:tc>
          <w:tcPr>
            <w:tcW w:w="1149" w:type="dxa"/>
            <w:shd w:val="clear" w:color="auto" w:fill="auto"/>
            <w:vAlign w:val="center"/>
          </w:tcPr>
          <w:p w14:paraId="51E4CAF6">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+13.8t/a</w:t>
            </w:r>
          </w:p>
        </w:tc>
      </w:tr>
      <w:tr w14:paraId="32FEB3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788A014B">
            <w:pPr>
              <w:adjustRightInd w:val="0"/>
              <w:snapToGrid w:val="0"/>
              <w:jc w:val="center"/>
              <w:rPr>
                <w:rFonts w:hint="default" w:ascii="Times New Roman" w:hAnsi="Times New Roman" w:eastAsia="宋体" w:cs="Times New Roman"/>
                <w:snapToGrid w:val="0"/>
                <w:color w:val="auto"/>
                <w:kern w:val="21"/>
                <w:szCs w:val="21"/>
              </w:rPr>
            </w:pPr>
          </w:p>
        </w:tc>
        <w:tc>
          <w:tcPr>
            <w:tcW w:w="2234" w:type="dxa"/>
            <w:shd w:val="clear" w:color="auto" w:fill="auto"/>
            <w:vAlign w:val="center"/>
          </w:tcPr>
          <w:p w14:paraId="345E4A5B">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废包装材料</w:t>
            </w:r>
          </w:p>
        </w:tc>
        <w:tc>
          <w:tcPr>
            <w:tcW w:w="1413" w:type="dxa"/>
            <w:shd w:val="clear" w:color="auto" w:fill="auto"/>
            <w:vAlign w:val="center"/>
          </w:tcPr>
          <w:p w14:paraId="53E3D9AA">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5.4</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7EF4D67F">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24" w:type="dxa"/>
            <w:vAlign w:val="center"/>
          </w:tcPr>
          <w:p w14:paraId="4B55CF7A">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59" w:type="dxa"/>
            <w:vAlign w:val="center"/>
          </w:tcPr>
          <w:p w14:paraId="4A118440">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c>
          <w:tcPr>
            <w:tcW w:w="1761" w:type="dxa"/>
            <w:vAlign w:val="center"/>
          </w:tcPr>
          <w:p w14:paraId="7B22C948">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0DB4734F">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5.4</w:t>
            </w:r>
            <w:r>
              <w:rPr>
                <w:rFonts w:hint="default" w:ascii="Times New Roman" w:hAnsi="Times New Roman" w:eastAsia="宋体" w:cs="Times New Roman"/>
                <w:snapToGrid w:val="0"/>
                <w:color w:val="auto"/>
                <w:kern w:val="21"/>
                <w:szCs w:val="21"/>
                <w:lang w:val="en-US" w:eastAsia="zh-CN"/>
              </w:rPr>
              <w:t>t/a</w:t>
            </w:r>
          </w:p>
        </w:tc>
        <w:tc>
          <w:tcPr>
            <w:tcW w:w="1149" w:type="dxa"/>
            <w:shd w:val="clear" w:color="auto" w:fill="auto"/>
            <w:vAlign w:val="center"/>
          </w:tcPr>
          <w:p w14:paraId="3D62E972">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r>
      <w:tr w14:paraId="2652A3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1A853F1E">
            <w:pPr>
              <w:adjustRightInd w:val="0"/>
              <w:snapToGrid w:val="0"/>
              <w:jc w:val="center"/>
              <w:rPr>
                <w:rFonts w:hint="default" w:ascii="Times New Roman" w:hAnsi="Times New Roman" w:eastAsia="宋体" w:cs="Times New Roman"/>
                <w:snapToGrid w:val="0"/>
                <w:color w:val="auto"/>
                <w:kern w:val="21"/>
                <w:szCs w:val="21"/>
              </w:rPr>
            </w:pPr>
          </w:p>
        </w:tc>
        <w:tc>
          <w:tcPr>
            <w:tcW w:w="2234" w:type="dxa"/>
            <w:shd w:val="clear" w:color="auto" w:fill="auto"/>
            <w:vAlign w:val="center"/>
          </w:tcPr>
          <w:p w14:paraId="18D238E4">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废催化剂</w:t>
            </w:r>
          </w:p>
        </w:tc>
        <w:tc>
          <w:tcPr>
            <w:tcW w:w="1413" w:type="dxa"/>
            <w:shd w:val="clear" w:color="auto" w:fill="auto"/>
            <w:vAlign w:val="center"/>
          </w:tcPr>
          <w:p w14:paraId="06172BDC">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0.32t/3a</w:t>
            </w:r>
          </w:p>
        </w:tc>
        <w:tc>
          <w:tcPr>
            <w:tcW w:w="1252" w:type="dxa"/>
            <w:vAlign w:val="center"/>
          </w:tcPr>
          <w:p w14:paraId="23FE9F8E">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24" w:type="dxa"/>
            <w:vAlign w:val="center"/>
          </w:tcPr>
          <w:p w14:paraId="796DA81C">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59" w:type="dxa"/>
            <w:vAlign w:val="center"/>
          </w:tcPr>
          <w:p w14:paraId="64231D8B">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c>
          <w:tcPr>
            <w:tcW w:w="1761" w:type="dxa"/>
            <w:vAlign w:val="center"/>
          </w:tcPr>
          <w:p w14:paraId="6A7AAC8D">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5DDE87BF">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0.32t/3a</w:t>
            </w:r>
          </w:p>
        </w:tc>
        <w:tc>
          <w:tcPr>
            <w:tcW w:w="1149" w:type="dxa"/>
            <w:shd w:val="clear" w:color="auto" w:fill="auto"/>
            <w:vAlign w:val="center"/>
          </w:tcPr>
          <w:p w14:paraId="1F1D72CF">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r>
      <w:tr w14:paraId="124291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restart"/>
            <w:vAlign w:val="center"/>
          </w:tcPr>
          <w:p w14:paraId="0498DF6C">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危险废物</w:t>
            </w:r>
          </w:p>
        </w:tc>
        <w:tc>
          <w:tcPr>
            <w:tcW w:w="2234" w:type="dxa"/>
            <w:shd w:val="clear" w:color="auto" w:fill="auto"/>
            <w:vAlign w:val="center"/>
          </w:tcPr>
          <w:p w14:paraId="6DC938CA">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含油废抹布</w:t>
            </w:r>
          </w:p>
        </w:tc>
        <w:tc>
          <w:tcPr>
            <w:tcW w:w="1413" w:type="dxa"/>
            <w:shd w:val="clear" w:color="auto" w:fill="auto"/>
            <w:vAlign w:val="center"/>
          </w:tcPr>
          <w:p w14:paraId="6F0872F8">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27CD2197">
            <w:pPr>
              <w:adjustRightInd w:val="0"/>
              <w:snapToGrid w:val="0"/>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24" w:type="dxa"/>
            <w:vAlign w:val="center"/>
          </w:tcPr>
          <w:p w14:paraId="1CB1A06C">
            <w:pPr>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w:t>
            </w:r>
          </w:p>
        </w:tc>
        <w:tc>
          <w:tcPr>
            <w:tcW w:w="1559" w:type="dxa"/>
            <w:vAlign w:val="center"/>
          </w:tcPr>
          <w:p w14:paraId="1B1CEA7A">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0.01t/a</w:t>
            </w:r>
          </w:p>
        </w:tc>
        <w:tc>
          <w:tcPr>
            <w:tcW w:w="1761" w:type="dxa"/>
            <w:vAlign w:val="center"/>
          </w:tcPr>
          <w:p w14:paraId="461B116C">
            <w:pPr>
              <w:adjustRightInd w:val="0"/>
              <w:snapToGrid w:val="0"/>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vAlign w:val="center"/>
          </w:tcPr>
          <w:p w14:paraId="6644D5E6">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snapToGrid w:val="0"/>
                <w:color w:val="auto"/>
                <w:kern w:val="21"/>
                <w:szCs w:val="21"/>
                <w:lang w:val="en-US" w:eastAsia="zh-CN"/>
              </w:rPr>
              <w:t>5.01t/a</w:t>
            </w:r>
          </w:p>
        </w:tc>
        <w:tc>
          <w:tcPr>
            <w:tcW w:w="1149" w:type="dxa"/>
            <w:shd w:val="clear" w:color="auto" w:fill="auto"/>
            <w:vAlign w:val="center"/>
          </w:tcPr>
          <w:p w14:paraId="1DE8CBDE">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Cs w:val="21"/>
                <w:lang w:val="en-US" w:eastAsia="zh-CN"/>
              </w:rPr>
              <w:t>+0.01t/a</w:t>
            </w:r>
          </w:p>
        </w:tc>
      </w:tr>
      <w:tr w14:paraId="7BC0E1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3BAC3E57">
            <w:pPr>
              <w:adjustRightInd w:val="0"/>
              <w:snapToGrid w:val="0"/>
              <w:jc w:val="center"/>
              <w:rPr>
                <w:rFonts w:hint="default" w:ascii="Times New Roman" w:hAnsi="Times New Roman" w:eastAsia="宋体" w:cs="Times New Roman"/>
                <w:color w:val="auto"/>
              </w:rPr>
            </w:pPr>
          </w:p>
        </w:tc>
        <w:tc>
          <w:tcPr>
            <w:tcW w:w="2234" w:type="dxa"/>
            <w:shd w:val="clear" w:color="auto" w:fill="auto"/>
            <w:vAlign w:val="center"/>
          </w:tcPr>
          <w:p w14:paraId="3FCC8C3B">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废切削液</w:t>
            </w:r>
          </w:p>
        </w:tc>
        <w:tc>
          <w:tcPr>
            <w:tcW w:w="1413" w:type="dxa"/>
            <w:shd w:val="clear" w:color="auto" w:fill="auto"/>
            <w:vAlign w:val="center"/>
          </w:tcPr>
          <w:p w14:paraId="51EC3662">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11.925</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62788199">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24" w:type="dxa"/>
            <w:vAlign w:val="center"/>
          </w:tcPr>
          <w:p w14:paraId="643A0D1C">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59" w:type="dxa"/>
            <w:vAlign w:val="center"/>
          </w:tcPr>
          <w:p w14:paraId="74DD7843">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snapToGrid w:val="0"/>
                <w:color w:val="auto"/>
                <w:kern w:val="21"/>
                <w:szCs w:val="21"/>
                <w:lang w:val="en-US" w:eastAsia="zh-CN"/>
              </w:rPr>
              <w:t>t/a</w:t>
            </w:r>
          </w:p>
        </w:tc>
        <w:tc>
          <w:tcPr>
            <w:tcW w:w="1761" w:type="dxa"/>
            <w:vAlign w:val="center"/>
          </w:tcPr>
          <w:p w14:paraId="66075B65">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vAlign w:val="center"/>
          </w:tcPr>
          <w:p w14:paraId="0056C4F0">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12.925</w:t>
            </w:r>
            <w:r>
              <w:rPr>
                <w:rFonts w:hint="default" w:ascii="Times New Roman" w:hAnsi="Times New Roman" w:eastAsia="宋体" w:cs="Times New Roman"/>
                <w:snapToGrid w:val="0"/>
                <w:color w:val="auto"/>
                <w:kern w:val="21"/>
                <w:szCs w:val="21"/>
                <w:lang w:val="en-US" w:eastAsia="zh-CN"/>
              </w:rPr>
              <w:t>t/a</w:t>
            </w:r>
          </w:p>
        </w:tc>
        <w:tc>
          <w:tcPr>
            <w:tcW w:w="1149" w:type="dxa"/>
            <w:shd w:val="clear" w:color="auto" w:fill="auto"/>
            <w:vAlign w:val="center"/>
          </w:tcPr>
          <w:p w14:paraId="1A175F10">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+1</w:t>
            </w:r>
            <w:r>
              <w:rPr>
                <w:rFonts w:hint="default" w:ascii="Times New Roman" w:hAnsi="Times New Roman" w:eastAsia="宋体" w:cs="Times New Roman"/>
                <w:snapToGrid w:val="0"/>
                <w:color w:val="auto"/>
                <w:kern w:val="21"/>
                <w:szCs w:val="21"/>
                <w:lang w:val="en-US" w:eastAsia="zh-CN"/>
              </w:rPr>
              <w:t>t/a</w:t>
            </w:r>
          </w:p>
        </w:tc>
      </w:tr>
      <w:tr w14:paraId="5C4D38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vAlign w:val="center"/>
          </w:tcPr>
          <w:p w14:paraId="63B17EB1">
            <w:pPr>
              <w:adjustRightInd w:val="0"/>
              <w:snapToGrid w:val="0"/>
              <w:jc w:val="center"/>
              <w:rPr>
                <w:rFonts w:hint="default" w:ascii="Times New Roman" w:hAnsi="Times New Roman" w:eastAsia="宋体" w:cs="Times New Roman"/>
                <w:color w:val="auto"/>
                <w:kern w:val="0"/>
                <w:szCs w:val="21"/>
                <w:lang w:val="en-US" w:eastAsia="zh-CN"/>
              </w:rPr>
            </w:pPr>
          </w:p>
        </w:tc>
        <w:tc>
          <w:tcPr>
            <w:tcW w:w="2234" w:type="dxa"/>
            <w:shd w:val="clear" w:color="auto" w:fill="auto"/>
            <w:vAlign w:val="center"/>
          </w:tcPr>
          <w:p w14:paraId="126146C8">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废润滑油</w:t>
            </w:r>
          </w:p>
        </w:tc>
        <w:tc>
          <w:tcPr>
            <w:tcW w:w="1413" w:type="dxa"/>
            <w:shd w:val="clear" w:color="auto" w:fill="auto"/>
            <w:vAlign w:val="center"/>
          </w:tcPr>
          <w:p w14:paraId="66563F2B">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5.56</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073B5428">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24" w:type="dxa"/>
            <w:vAlign w:val="center"/>
          </w:tcPr>
          <w:p w14:paraId="424C1443">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59" w:type="dxa"/>
            <w:vAlign w:val="center"/>
          </w:tcPr>
          <w:p w14:paraId="74823E2E">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0.61</w:t>
            </w:r>
            <w:r>
              <w:rPr>
                <w:rFonts w:hint="default" w:ascii="Times New Roman" w:hAnsi="Times New Roman" w:eastAsia="宋体" w:cs="Times New Roman"/>
                <w:snapToGrid w:val="0"/>
                <w:color w:val="auto"/>
                <w:kern w:val="21"/>
                <w:szCs w:val="21"/>
                <w:lang w:val="en-US" w:eastAsia="zh-CN"/>
              </w:rPr>
              <w:t>t/a</w:t>
            </w:r>
          </w:p>
        </w:tc>
        <w:tc>
          <w:tcPr>
            <w:tcW w:w="1761" w:type="dxa"/>
            <w:vAlign w:val="center"/>
          </w:tcPr>
          <w:p w14:paraId="738A30B4">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vAlign w:val="center"/>
          </w:tcPr>
          <w:p w14:paraId="0B1B5241">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6.17</w:t>
            </w:r>
            <w:r>
              <w:rPr>
                <w:rFonts w:hint="default" w:ascii="Times New Roman" w:hAnsi="Times New Roman" w:eastAsia="宋体" w:cs="Times New Roman"/>
                <w:snapToGrid w:val="0"/>
                <w:color w:val="auto"/>
                <w:kern w:val="21"/>
                <w:szCs w:val="21"/>
                <w:lang w:val="en-US" w:eastAsia="zh-CN"/>
              </w:rPr>
              <w:t>t/a</w:t>
            </w:r>
          </w:p>
        </w:tc>
        <w:tc>
          <w:tcPr>
            <w:tcW w:w="1149" w:type="dxa"/>
            <w:shd w:val="clear" w:color="auto" w:fill="auto"/>
            <w:vAlign w:val="center"/>
          </w:tcPr>
          <w:p w14:paraId="393FD8EC">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+0.61</w:t>
            </w:r>
            <w:r>
              <w:rPr>
                <w:rFonts w:hint="default" w:ascii="Times New Roman" w:hAnsi="Times New Roman" w:eastAsia="宋体" w:cs="Times New Roman"/>
                <w:snapToGrid w:val="0"/>
                <w:color w:val="auto"/>
                <w:kern w:val="21"/>
                <w:szCs w:val="21"/>
                <w:lang w:val="en-US" w:eastAsia="zh-CN"/>
              </w:rPr>
              <w:t>t/a</w:t>
            </w:r>
          </w:p>
        </w:tc>
      </w:tr>
      <w:tr w14:paraId="3D03B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tcPr>
          <w:p w14:paraId="5A90DFEA">
            <w:pPr>
              <w:adjustRightInd w:val="0"/>
              <w:snapToGrid w:val="0"/>
              <w:jc w:val="center"/>
              <w:rPr>
                <w:rFonts w:hint="default" w:ascii="Times New Roman" w:hAnsi="Times New Roman" w:eastAsia="宋体" w:cs="Times New Roman"/>
                <w:color w:val="auto"/>
                <w:kern w:val="0"/>
                <w:szCs w:val="21"/>
                <w:lang w:val="en-US" w:eastAsia="zh-CN"/>
              </w:rPr>
            </w:pPr>
          </w:p>
        </w:tc>
        <w:tc>
          <w:tcPr>
            <w:tcW w:w="0" w:type="auto"/>
            <w:shd w:val="clear" w:color="auto" w:fill="auto"/>
            <w:vAlign w:val="center"/>
          </w:tcPr>
          <w:p w14:paraId="42D47E1C">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废槽液、槽渣</w:t>
            </w:r>
          </w:p>
        </w:tc>
        <w:tc>
          <w:tcPr>
            <w:tcW w:w="0" w:type="auto"/>
            <w:shd w:val="clear" w:color="auto" w:fill="auto"/>
            <w:vAlign w:val="center"/>
          </w:tcPr>
          <w:p w14:paraId="58861BD1">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5826067A">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24" w:type="dxa"/>
            <w:vAlign w:val="center"/>
          </w:tcPr>
          <w:p w14:paraId="194568BB">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0" w:type="auto"/>
          </w:tcPr>
          <w:p w14:paraId="6037C64A">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c>
          <w:tcPr>
            <w:tcW w:w="0" w:type="auto"/>
          </w:tcPr>
          <w:p w14:paraId="50082EA7">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10FCEAEC">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w:t>
            </w:r>
            <w:r>
              <w:rPr>
                <w:rFonts w:hint="default" w:ascii="Times New Roman" w:hAnsi="Times New Roman" w:eastAsia="宋体" w:cs="Times New Roman"/>
                <w:snapToGrid w:val="0"/>
                <w:color w:val="auto"/>
                <w:kern w:val="21"/>
                <w:szCs w:val="21"/>
                <w:lang w:val="en-US" w:eastAsia="zh-CN"/>
              </w:rPr>
              <w:t>t/a</w:t>
            </w:r>
          </w:p>
        </w:tc>
        <w:tc>
          <w:tcPr>
            <w:tcW w:w="1149" w:type="dxa"/>
            <w:shd w:val="clear" w:color="auto" w:fill="auto"/>
            <w:vAlign w:val="top"/>
          </w:tcPr>
          <w:p w14:paraId="50E764EB">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r>
      <w:tr w14:paraId="569DD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tcPr>
          <w:p w14:paraId="7DF03614">
            <w:pPr>
              <w:adjustRightInd w:val="0"/>
              <w:snapToGrid w:val="0"/>
              <w:jc w:val="center"/>
              <w:rPr>
                <w:rFonts w:hint="default" w:ascii="Times New Roman" w:hAnsi="Times New Roman" w:eastAsia="宋体" w:cs="Times New Roman"/>
                <w:color w:val="auto"/>
                <w:kern w:val="0"/>
                <w:szCs w:val="21"/>
                <w:lang w:val="en-US" w:eastAsia="zh-CN"/>
              </w:rPr>
            </w:pPr>
          </w:p>
        </w:tc>
        <w:tc>
          <w:tcPr>
            <w:tcW w:w="0" w:type="auto"/>
            <w:shd w:val="clear" w:color="auto" w:fill="auto"/>
            <w:vAlign w:val="center"/>
          </w:tcPr>
          <w:p w14:paraId="74EE61FF">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酸洗废水处理污泥</w:t>
            </w:r>
          </w:p>
        </w:tc>
        <w:tc>
          <w:tcPr>
            <w:tcW w:w="0" w:type="auto"/>
            <w:shd w:val="clear" w:color="auto" w:fill="auto"/>
            <w:vAlign w:val="center"/>
          </w:tcPr>
          <w:p w14:paraId="7B5E6502">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3.475</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143C0356">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24" w:type="dxa"/>
            <w:vAlign w:val="center"/>
          </w:tcPr>
          <w:p w14:paraId="3506145C">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0" w:type="auto"/>
          </w:tcPr>
          <w:p w14:paraId="2C8664C0">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c>
          <w:tcPr>
            <w:tcW w:w="0" w:type="auto"/>
          </w:tcPr>
          <w:p w14:paraId="0C7940A4">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26F7FC99">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3.475</w:t>
            </w:r>
            <w:r>
              <w:rPr>
                <w:rFonts w:hint="default" w:ascii="Times New Roman" w:hAnsi="Times New Roman" w:eastAsia="宋体" w:cs="Times New Roman"/>
                <w:snapToGrid w:val="0"/>
                <w:color w:val="auto"/>
                <w:kern w:val="21"/>
                <w:szCs w:val="21"/>
                <w:lang w:val="en-US" w:eastAsia="zh-CN"/>
              </w:rPr>
              <w:t>t/a</w:t>
            </w:r>
          </w:p>
        </w:tc>
        <w:tc>
          <w:tcPr>
            <w:tcW w:w="1149" w:type="dxa"/>
            <w:shd w:val="clear" w:color="auto" w:fill="auto"/>
            <w:vAlign w:val="top"/>
          </w:tcPr>
          <w:p w14:paraId="09BE5438">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r>
      <w:tr w14:paraId="1533B6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tcPr>
          <w:p w14:paraId="7F2CACEC">
            <w:pPr>
              <w:adjustRightInd w:val="0"/>
              <w:snapToGrid w:val="0"/>
              <w:jc w:val="center"/>
              <w:rPr>
                <w:rFonts w:hint="default" w:ascii="Times New Roman" w:hAnsi="Times New Roman" w:eastAsia="宋体" w:cs="Times New Roman"/>
                <w:color w:val="auto"/>
                <w:kern w:val="0"/>
                <w:szCs w:val="21"/>
                <w:lang w:val="en-US" w:eastAsia="zh-CN"/>
              </w:rPr>
            </w:pPr>
          </w:p>
        </w:tc>
        <w:tc>
          <w:tcPr>
            <w:tcW w:w="0" w:type="auto"/>
            <w:shd w:val="clear" w:color="auto" w:fill="auto"/>
            <w:vAlign w:val="center"/>
          </w:tcPr>
          <w:p w14:paraId="14EFE030">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废活性炭</w:t>
            </w:r>
          </w:p>
        </w:tc>
        <w:tc>
          <w:tcPr>
            <w:tcW w:w="0" w:type="auto"/>
            <w:shd w:val="clear" w:color="auto" w:fill="auto"/>
            <w:vAlign w:val="center"/>
          </w:tcPr>
          <w:p w14:paraId="57BA9468">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8.83</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5F173738">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24" w:type="dxa"/>
            <w:vAlign w:val="center"/>
          </w:tcPr>
          <w:p w14:paraId="4766E3A2">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0" w:type="auto"/>
          </w:tcPr>
          <w:p w14:paraId="7EF3CBA9">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c>
          <w:tcPr>
            <w:tcW w:w="0" w:type="auto"/>
          </w:tcPr>
          <w:p w14:paraId="258F6DC7">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shd w:val="clear" w:color="auto" w:fill="auto"/>
            <w:vAlign w:val="center"/>
          </w:tcPr>
          <w:p w14:paraId="3F017938">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8.83</w:t>
            </w:r>
            <w:r>
              <w:rPr>
                <w:rFonts w:hint="default" w:ascii="Times New Roman" w:hAnsi="Times New Roman" w:eastAsia="宋体" w:cs="Times New Roman"/>
                <w:snapToGrid w:val="0"/>
                <w:color w:val="auto"/>
                <w:kern w:val="21"/>
                <w:szCs w:val="21"/>
                <w:lang w:val="en-US" w:eastAsia="zh-CN"/>
              </w:rPr>
              <w:t>t/a</w:t>
            </w:r>
          </w:p>
        </w:tc>
        <w:tc>
          <w:tcPr>
            <w:tcW w:w="1149" w:type="dxa"/>
            <w:shd w:val="clear" w:color="auto" w:fill="auto"/>
            <w:vAlign w:val="top"/>
          </w:tcPr>
          <w:p w14:paraId="0BCAA223">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0</w:t>
            </w:r>
            <w:r>
              <w:rPr>
                <w:rFonts w:hint="default" w:ascii="Times New Roman" w:hAnsi="Times New Roman" w:eastAsia="宋体" w:cs="Times New Roman"/>
                <w:snapToGrid w:val="0"/>
                <w:color w:val="auto"/>
                <w:kern w:val="21"/>
                <w:szCs w:val="21"/>
                <w:lang w:val="en-US" w:eastAsia="zh-CN"/>
              </w:rPr>
              <w:t>t/a</w:t>
            </w:r>
          </w:p>
        </w:tc>
      </w:tr>
      <w:tr w14:paraId="51A17E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tcPr>
          <w:p w14:paraId="256DEDEE">
            <w:pPr>
              <w:adjustRightInd w:val="0"/>
              <w:snapToGrid w:val="0"/>
              <w:jc w:val="center"/>
              <w:rPr>
                <w:rFonts w:hint="default" w:ascii="Times New Roman" w:hAnsi="Times New Roman" w:eastAsia="宋体" w:cs="Times New Roman"/>
                <w:color w:val="auto"/>
                <w:kern w:val="0"/>
                <w:szCs w:val="21"/>
                <w:lang w:val="en-US" w:eastAsia="zh-CN"/>
              </w:rPr>
            </w:pPr>
          </w:p>
        </w:tc>
        <w:tc>
          <w:tcPr>
            <w:tcW w:w="0" w:type="auto"/>
            <w:shd w:val="clear" w:color="auto" w:fill="auto"/>
            <w:vAlign w:val="center"/>
          </w:tcPr>
          <w:p w14:paraId="36DEFF57">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漆渣</w:t>
            </w:r>
          </w:p>
        </w:tc>
        <w:tc>
          <w:tcPr>
            <w:tcW w:w="0" w:type="auto"/>
            <w:shd w:val="clear" w:color="auto" w:fill="auto"/>
            <w:vAlign w:val="center"/>
          </w:tcPr>
          <w:p w14:paraId="7379AA94">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5.723</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22871242">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24" w:type="dxa"/>
            <w:vAlign w:val="center"/>
          </w:tcPr>
          <w:p w14:paraId="7B1A6214">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0" w:type="auto"/>
          </w:tcPr>
          <w:p w14:paraId="141CA358">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0.63</w:t>
            </w:r>
            <w:r>
              <w:rPr>
                <w:rFonts w:hint="default" w:ascii="Times New Roman" w:hAnsi="Times New Roman" w:eastAsia="宋体" w:cs="Times New Roman"/>
                <w:snapToGrid w:val="0"/>
                <w:color w:val="auto"/>
                <w:kern w:val="21"/>
                <w:szCs w:val="21"/>
                <w:lang w:val="en-US" w:eastAsia="zh-CN"/>
              </w:rPr>
              <w:t>t/a</w:t>
            </w:r>
          </w:p>
        </w:tc>
        <w:tc>
          <w:tcPr>
            <w:tcW w:w="0" w:type="auto"/>
          </w:tcPr>
          <w:p w14:paraId="77535866">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tcPr>
          <w:p w14:paraId="2A7CB437">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6.353</w:t>
            </w:r>
            <w:r>
              <w:rPr>
                <w:rFonts w:hint="default" w:ascii="Times New Roman" w:hAnsi="Times New Roman" w:eastAsia="宋体" w:cs="Times New Roman"/>
                <w:snapToGrid w:val="0"/>
                <w:color w:val="auto"/>
                <w:kern w:val="21"/>
                <w:szCs w:val="21"/>
                <w:lang w:val="en-US" w:eastAsia="zh-CN"/>
              </w:rPr>
              <w:t>t/a</w:t>
            </w:r>
          </w:p>
        </w:tc>
        <w:tc>
          <w:tcPr>
            <w:tcW w:w="1149" w:type="dxa"/>
            <w:shd w:val="clear" w:color="auto" w:fill="auto"/>
            <w:vAlign w:val="top"/>
          </w:tcPr>
          <w:p w14:paraId="61FE8CBC">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+0.63</w:t>
            </w:r>
            <w:r>
              <w:rPr>
                <w:rFonts w:hint="default" w:ascii="Times New Roman" w:hAnsi="Times New Roman" w:eastAsia="宋体" w:cs="Times New Roman"/>
                <w:snapToGrid w:val="0"/>
                <w:color w:val="auto"/>
                <w:kern w:val="21"/>
                <w:szCs w:val="21"/>
                <w:lang w:val="en-US" w:eastAsia="zh-CN"/>
              </w:rPr>
              <w:t>t/a</w:t>
            </w:r>
          </w:p>
        </w:tc>
      </w:tr>
      <w:tr w14:paraId="5DE4A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60" w:type="dxa"/>
            <w:vMerge w:val="continue"/>
          </w:tcPr>
          <w:p w14:paraId="6524B9C9">
            <w:pPr>
              <w:adjustRightInd w:val="0"/>
              <w:snapToGrid w:val="0"/>
              <w:jc w:val="center"/>
              <w:rPr>
                <w:rFonts w:hint="default" w:ascii="Times New Roman" w:hAnsi="Times New Roman" w:eastAsia="宋体" w:cs="Times New Roman"/>
                <w:color w:val="auto"/>
                <w:kern w:val="0"/>
                <w:szCs w:val="21"/>
                <w:lang w:val="en-US" w:eastAsia="zh-CN"/>
              </w:rPr>
            </w:pPr>
          </w:p>
        </w:tc>
        <w:tc>
          <w:tcPr>
            <w:tcW w:w="0" w:type="auto"/>
            <w:shd w:val="clear" w:color="auto" w:fill="auto"/>
            <w:vAlign w:val="center"/>
          </w:tcPr>
          <w:p w14:paraId="1B47876D">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废油漆桶</w:t>
            </w:r>
          </w:p>
        </w:tc>
        <w:tc>
          <w:tcPr>
            <w:tcW w:w="0" w:type="auto"/>
            <w:shd w:val="clear" w:color="auto" w:fill="auto"/>
            <w:vAlign w:val="center"/>
          </w:tcPr>
          <w:p w14:paraId="5198E398">
            <w:pPr>
              <w:tabs>
                <w:tab w:val="left" w:pos="1575"/>
              </w:tabs>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14.195</w:t>
            </w:r>
            <w:r>
              <w:rPr>
                <w:rFonts w:hint="default" w:ascii="Times New Roman" w:hAnsi="Times New Roman" w:eastAsia="宋体" w:cs="Times New Roman"/>
                <w:snapToGrid w:val="0"/>
                <w:color w:val="auto"/>
                <w:kern w:val="21"/>
                <w:szCs w:val="21"/>
                <w:lang w:val="en-US" w:eastAsia="zh-CN"/>
              </w:rPr>
              <w:t>t/a</w:t>
            </w:r>
          </w:p>
        </w:tc>
        <w:tc>
          <w:tcPr>
            <w:tcW w:w="1252" w:type="dxa"/>
            <w:vAlign w:val="center"/>
          </w:tcPr>
          <w:p w14:paraId="6A5AD559">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1524" w:type="dxa"/>
            <w:vAlign w:val="center"/>
          </w:tcPr>
          <w:p w14:paraId="66E779BD">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rPr>
              <w:t>/</w:t>
            </w:r>
          </w:p>
        </w:tc>
        <w:tc>
          <w:tcPr>
            <w:tcW w:w="0" w:type="auto"/>
          </w:tcPr>
          <w:p w14:paraId="3CAC0EC1">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11</w:t>
            </w:r>
            <w:r>
              <w:rPr>
                <w:rFonts w:hint="default" w:ascii="Times New Roman" w:hAnsi="Times New Roman" w:eastAsia="宋体" w:cs="Times New Roman"/>
                <w:snapToGrid w:val="0"/>
                <w:color w:val="auto"/>
                <w:kern w:val="21"/>
                <w:szCs w:val="21"/>
                <w:lang w:val="en-US" w:eastAsia="zh-CN"/>
              </w:rPr>
              <w:t>t/a</w:t>
            </w:r>
          </w:p>
        </w:tc>
        <w:tc>
          <w:tcPr>
            <w:tcW w:w="0" w:type="auto"/>
          </w:tcPr>
          <w:p w14:paraId="5391001A">
            <w:pPr>
              <w:adjustRightInd w:val="0"/>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snapToGrid w:val="0"/>
                <w:color w:val="auto"/>
                <w:kern w:val="21"/>
                <w:szCs w:val="21"/>
                <w:lang w:val="en-US" w:eastAsia="zh-CN"/>
              </w:rPr>
              <w:t>0t/a</w:t>
            </w:r>
          </w:p>
        </w:tc>
        <w:tc>
          <w:tcPr>
            <w:tcW w:w="1636" w:type="dxa"/>
          </w:tcPr>
          <w:p w14:paraId="25670A01">
            <w:pPr>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25.195</w:t>
            </w:r>
            <w:r>
              <w:rPr>
                <w:rFonts w:hint="default" w:ascii="Times New Roman" w:hAnsi="Times New Roman" w:eastAsia="宋体" w:cs="Times New Roman"/>
                <w:snapToGrid w:val="0"/>
                <w:color w:val="auto"/>
                <w:kern w:val="21"/>
                <w:szCs w:val="21"/>
                <w:lang w:val="en-US" w:eastAsia="zh-CN"/>
              </w:rPr>
              <w:t>t/a</w:t>
            </w:r>
          </w:p>
        </w:tc>
        <w:tc>
          <w:tcPr>
            <w:tcW w:w="1149" w:type="dxa"/>
            <w:shd w:val="clear" w:color="auto" w:fill="auto"/>
            <w:vAlign w:val="top"/>
          </w:tcPr>
          <w:p w14:paraId="04E0B585">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lang w:val="en-US" w:eastAsia="zh-CN"/>
              </w:rPr>
              <w:t>+11</w:t>
            </w:r>
            <w:r>
              <w:rPr>
                <w:rFonts w:hint="default" w:ascii="Times New Roman" w:hAnsi="Times New Roman" w:eastAsia="宋体" w:cs="Times New Roman"/>
                <w:snapToGrid w:val="0"/>
                <w:color w:val="auto"/>
                <w:kern w:val="21"/>
                <w:szCs w:val="21"/>
                <w:lang w:val="en-US" w:eastAsia="zh-CN"/>
              </w:rPr>
              <w:t>t/a</w:t>
            </w:r>
          </w:p>
        </w:tc>
      </w:tr>
    </w:tbl>
    <w:p w14:paraId="5853007B">
      <w:pPr>
        <w:rPr>
          <w:rFonts w:hint="default" w:ascii="Times New Roman" w:hAnsi="Times New Roman" w:eastAsia="宋体" w:cs="Times New Roman"/>
          <w:color w:val="auto"/>
        </w:rPr>
      </w:pPr>
      <w:r>
        <w:rPr>
          <w:rFonts w:hint="default" w:ascii="Times New Roman" w:hAnsi="Times New Roman" w:eastAsia="宋体" w:cs="Times New Roman"/>
          <w:snapToGrid w:val="0"/>
          <w:color w:val="auto"/>
          <w:kern w:val="21"/>
          <w:szCs w:val="21"/>
        </w:rPr>
        <w:t>注：</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3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③</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4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④</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5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⑤</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7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⑦</w:t>
      </w:r>
      <w:r>
        <w:rPr>
          <w:rFonts w:hint="default" w:ascii="Times New Roman" w:hAnsi="Times New Roman" w:eastAsia="宋体" w:cs="Times New Roman"/>
          <w:snapToGrid w:val="0"/>
          <w:color w:val="auto"/>
          <w:spacing w:val="-6"/>
          <w:kern w:val="21"/>
          <w:szCs w:val="21"/>
        </w:rPr>
        <w:fldChar w:fldCharType="end"/>
      </w:r>
      <w:r>
        <w:rPr>
          <w:rFonts w:hint="default" w:ascii="Times New Roman" w:hAnsi="Times New Roman" w:eastAsia="宋体" w:cs="Times New Roman"/>
          <w:snapToGrid w:val="0"/>
          <w:color w:val="auto"/>
          <w:spacing w:val="-6"/>
          <w:kern w:val="21"/>
          <w:szCs w:val="21"/>
        </w:rPr>
        <w:t>=</w:t>
      </w:r>
      <w:r>
        <w:rPr>
          <w:rFonts w:hint="default" w:ascii="Times New Roman" w:hAnsi="Times New Roman" w:eastAsia="宋体" w:cs="Times New Roman"/>
          <w:snapToGrid w:val="0"/>
          <w:color w:val="auto"/>
          <w:spacing w:val="-16"/>
          <w:kern w:val="21"/>
          <w:szCs w:val="21"/>
        </w:rPr>
        <w:fldChar w:fldCharType="begin"/>
      </w:r>
      <w:r>
        <w:rPr>
          <w:rFonts w:hint="default" w:ascii="Times New Roman" w:hAnsi="Times New Roman" w:eastAsia="宋体" w:cs="Times New Roman"/>
          <w:snapToGrid w:val="0"/>
          <w:color w:val="auto"/>
          <w:spacing w:val="-16"/>
          <w:kern w:val="21"/>
          <w:szCs w:val="21"/>
        </w:rPr>
        <w:instrText xml:space="preserve"> = 6 \* GB3 \* MERGEFORMAT </w:instrText>
      </w:r>
      <w:r>
        <w:rPr>
          <w:rFonts w:hint="default" w:ascii="Times New Roman" w:hAnsi="Times New Roman" w:eastAsia="宋体" w:cs="Times New Roman"/>
          <w:snapToGrid w:val="0"/>
          <w:color w:val="auto"/>
          <w:spacing w:val="-16"/>
          <w:kern w:val="21"/>
          <w:szCs w:val="21"/>
        </w:rPr>
        <w:fldChar w:fldCharType="separate"/>
      </w:r>
      <w:r>
        <w:rPr>
          <w:rFonts w:hint="default" w:ascii="Times New Roman" w:hAnsi="Times New Roman" w:eastAsia="宋体" w:cs="Times New Roman"/>
          <w:color w:val="auto"/>
          <w:szCs w:val="21"/>
        </w:rPr>
        <w:t>⑥</w:t>
      </w:r>
      <w:r>
        <w:rPr>
          <w:rFonts w:hint="default" w:ascii="Times New Roman" w:hAnsi="Times New Roman" w:eastAsia="宋体" w:cs="Times New Roman"/>
          <w:snapToGrid w:val="0"/>
          <w:color w:val="auto"/>
          <w:spacing w:val="-16"/>
          <w:kern w:val="21"/>
          <w:szCs w:val="21"/>
        </w:rPr>
        <w:fldChar w:fldCharType="end"/>
      </w:r>
      <w:r>
        <w:rPr>
          <w:rFonts w:hint="default" w:ascii="Times New Roman" w:hAnsi="Times New Roman" w:eastAsia="宋体" w:cs="Times New Roman"/>
          <w:snapToGrid w:val="0"/>
          <w:color w:val="auto"/>
          <w:spacing w:val="-16"/>
          <w:kern w:val="21"/>
          <w:szCs w:val="21"/>
        </w:rPr>
        <w:t>-</w:t>
      </w:r>
      <w:r>
        <w:rPr>
          <w:rFonts w:hint="default" w:ascii="Times New Roman" w:hAnsi="Times New Roman" w:eastAsia="宋体" w:cs="Times New Roman"/>
          <w:snapToGrid w:val="0"/>
          <w:color w:val="auto"/>
          <w:spacing w:val="-6"/>
          <w:kern w:val="21"/>
          <w:szCs w:val="21"/>
        </w:rPr>
        <w:fldChar w:fldCharType="begin"/>
      </w:r>
      <w:r>
        <w:rPr>
          <w:rFonts w:hint="default" w:ascii="Times New Roman" w:hAnsi="Times New Roman" w:eastAsia="宋体" w:cs="Times New Roman"/>
          <w:snapToGrid w:val="0"/>
          <w:color w:val="auto"/>
          <w:spacing w:val="-6"/>
          <w:kern w:val="21"/>
          <w:szCs w:val="21"/>
        </w:rPr>
        <w:instrText xml:space="preserve"> = 1 \* GB3 \* MERGEFORMAT </w:instrText>
      </w:r>
      <w:r>
        <w:rPr>
          <w:rFonts w:hint="default" w:ascii="Times New Roman" w:hAnsi="Times New Roman" w:eastAsia="宋体" w:cs="Times New Roman"/>
          <w:snapToGrid w:val="0"/>
          <w:color w:val="auto"/>
          <w:spacing w:val="-6"/>
          <w:kern w:val="21"/>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snapToGrid w:val="0"/>
          <w:color w:val="auto"/>
          <w:spacing w:val="-6"/>
          <w:kern w:val="21"/>
          <w:szCs w:val="21"/>
        </w:rPr>
        <w:fldChar w:fldCharType="end"/>
      </w:r>
    </w:p>
    <w:p w14:paraId="348378A8">
      <w:pPr>
        <w:rPr>
          <w:rFonts w:hint="default" w:ascii="Times New Roman" w:hAnsi="Times New Roman" w:eastAsia="宋体" w:cs="Times New Roman"/>
          <w:color w:val="auto"/>
        </w:rPr>
      </w:pPr>
    </w:p>
    <w:sectPr>
      <w:headerReference r:id="rId6"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858A9">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08FB5">
    <w:pPr>
      <w:snapToGrid w:val="0"/>
      <w:ind w:right="360" w:firstLine="360"/>
      <w:jc w:val="left"/>
      <w:rPr>
        <w:kern w:val="0"/>
        <w:sz w:val="18"/>
        <w:szCs w:val="20"/>
      </w:rPr>
    </w:pPr>
    <w:r>
      <w:rPr>
        <w:kern w:val="0"/>
        <w:sz w:val="18"/>
        <w:szCs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8222CA">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Pr>
                              <w:kern w:val="0"/>
                              <w:sz w:val="24"/>
                              <w:szCs w:val="28"/>
                            </w:rPr>
                            <w:t>- 30 -</w:t>
                          </w:r>
                          <w:r>
                            <w:rPr>
                              <w:kern w:val="0"/>
                              <w:sz w:val="24"/>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HVMIBAACPAwAADgAAAGRycy9lMm9Eb2MueG1srVNLbtswEN0XyB0I&#10;7mMqXgSGYDloYaQoULQF0h6ApkiLAH/g0JZ8geYGWXXTfc/lc3RISU6bbrLohhrODN/MezNa3w3W&#10;kKOMoL1r6M2iokQ64Vvt9g399vX+ekUJJO5abryTDT1JoHebqzfrPtRy6TtvWhkJgjio+9DQLqVQ&#10;Mwaik5bDwgfpMKh8tDzhNe5ZG3mP6NawZVXdst7HNkQvJAB6t2OQTojxNYBeKS3k1ouDlS6NqFEa&#10;npASdDoA3ZRulZIifVYKZCKmocg0lROLoL3LJ9useb2PPHRaTC3w17TwgpPl2mHRC9SWJ04OUf8D&#10;ZbWIHrxKC+EtG4kURZDFTfVCm4eOB1m4oNQQLqLD/4MVn45fItEtbsItJY5bnPj56fH849f553eC&#10;PhSoD1Bj3kPAzDS88wMmz35AZ+Y9qGjzFxkRjKO8p4u8ckhE5Eer5WpVYUhgbL4gPnt+HiKk99Jb&#10;ko2GRpxfkZUfP0IaU+eUXM35e21MmaFxfzkQM3tY7n3sMVtp2A0ToZ1vT8inx9E31OGmU2I+OFQ2&#10;b8lsxNnYTUauAeHtIWHh0k9GHaGmYjinwmjaqbwIf95L1vN/tPk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KSPh1TCAQAAjwMAAA4AAAAAAAAAAQAgAAAAHgEAAGRycy9lMm9Eb2MueG1sUEsF&#10;BgAAAAAGAAYAWQEAAFIFAAAAAA==&#10;">
              <v:fill on="f" focussize="0,0"/>
              <v:stroke on="f"/>
              <v:imagedata o:title=""/>
              <o:lock v:ext="edit" aspectratio="f"/>
              <v:textbox inset="0mm,0mm,0mm,0mm" style="mso-fit-shape-to-text:t;">
                <w:txbxContent>
                  <w:p w14:paraId="488222CA">
                    <w:pPr>
                      <w:snapToGrid w:val="0"/>
                      <w:jc w:val="left"/>
                      <w:rPr>
                        <w:kern w:val="0"/>
                        <w:sz w:val="18"/>
                        <w:szCs w:val="20"/>
                      </w:rPr>
                    </w:pPr>
                    <w:r>
                      <w:rPr>
                        <w:kern w:val="0"/>
                        <w:sz w:val="24"/>
                        <w:szCs w:val="28"/>
                      </w:rPr>
                      <w:fldChar w:fldCharType="begin"/>
                    </w:r>
                    <w:r>
                      <w:rPr>
                        <w:kern w:val="0"/>
                        <w:sz w:val="24"/>
                        <w:szCs w:val="28"/>
                      </w:rPr>
                      <w:instrText xml:space="preserve"> PAGE  \* MERGEFORMAT </w:instrText>
                    </w:r>
                    <w:r>
                      <w:rPr>
                        <w:kern w:val="0"/>
                        <w:sz w:val="24"/>
                        <w:szCs w:val="28"/>
                      </w:rPr>
                      <w:fldChar w:fldCharType="separate"/>
                    </w:r>
                    <w:r>
                      <w:rPr>
                        <w:kern w:val="0"/>
                        <w:sz w:val="24"/>
                        <w:szCs w:val="28"/>
                      </w:rPr>
                      <w:t>- 30 -</w:t>
                    </w:r>
                    <w:r>
                      <w:rPr>
                        <w:kern w:val="0"/>
                        <w:sz w:val="24"/>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2BF64">
    <w:pPr>
      <w:pStyle w:val="13"/>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AB443F">
                          <w:pPr>
                            <w:pStyle w:val="1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- 30 -</w:t>
                          </w:r>
                          <w:r>
                            <w:rPr>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14:paraId="29AB443F">
                    <w:pPr>
                      <w:pStyle w:val="1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- 30 -</w:t>
                    </w:r>
                    <w:r>
                      <w:rPr>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3B819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3598F"/>
    <w:multiLevelType w:val="singleLevel"/>
    <w:tmpl w:val="8683598F"/>
    <w:lvl w:ilvl="0" w:tentative="0">
      <w:start w:val="1"/>
      <w:numFmt w:val="decimal"/>
      <w:suff w:val="nothing"/>
      <w:lvlText w:val="%1、"/>
      <w:lvlJc w:val="left"/>
    </w:lvl>
  </w:abstractNum>
  <w:abstractNum w:abstractNumId="1">
    <w:nsid w:val="118394AC"/>
    <w:multiLevelType w:val="singleLevel"/>
    <w:tmpl w:val="118394AC"/>
    <w:lvl w:ilvl="0" w:tentative="0">
      <w:start w:val="1"/>
      <w:numFmt w:val="decimal"/>
      <w:suff w:val="nothing"/>
      <w:lvlText w:val="%1、"/>
      <w:lvlJc w:val="left"/>
    </w:lvl>
  </w:abstractNum>
  <w:abstractNum w:abstractNumId="2">
    <w:nsid w:val="3A30BC94"/>
    <w:multiLevelType w:val="singleLevel"/>
    <w:tmpl w:val="3A30BC94"/>
    <w:lvl w:ilvl="0" w:tentative="0">
      <w:start w:val="1"/>
      <w:numFmt w:val="decimal"/>
      <w:suff w:val="nothing"/>
      <w:lvlText w:val="%1、"/>
      <w:lvlJc w:val="left"/>
    </w:lvl>
  </w:abstractNum>
  <w:abstractNum w:abstractNumId="3">
    <w:nsid w:val="5A641913"/>
    <w:multiLevelType w:val="singleLevel"/>
    <w:tmpl w:val="5A641913"/>
    <w:lvl w:ilvl="0" w:tentative="0">
      <w:start w:val="1"/>
      <w:numFmt w:val="bullet"/>
      <w:pStyle w:val="8"/>
      <w:lvlText w:val=""/>
      <w:lvlJc w:val="left"/>
      <w:pPr>
        <w:tabs>
          <w:tab w:val="left" w:pos="2040"/>
        </w:tabs>
        <w:ind w:left="2040" w:hanging="360"/>
      </w:pPr>
      <w:rPr>
        <w:rFonts w:hint="default" w:ascii="Wingdings" w:hAnsi="Wingdings"/>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zZjQxYWYwODE2NGFhNTk2MWM4MjcwMzQ1ZWJmNDEifQ=="/>
  </w:docVars>
  <w:rsids>
    <w:rsidRoot w:val="00172A27"/>
    <w:rsid w:val="000100BD"/>
    <w:rsid w:val="004C5D63"/>
    <w:rsid w:val="005D0392"/>
    <w:rsid w:val="008533D5"/>
    <w:rsid w:val="009F7F8A"/>
    <w:rsid w:val="00C37EEC"/>
    <w:rsid w:val="00C87D1B"/>
    <w:rsid w:val="00DD65A4"/>
    <w:rsid w:val="016A6FD7"/>
    <w:rsid w:val="01823744"/>
    <w:rsid w:val="01A95AA3"/>
    <w:rsid w:val="01E97AE8"/>
    <w:rsid w:val="02026E30"/>
    <w:rsid w:val="022715F5"/>
    <w:rsid w:val="033C22CF"/>
    <w:rsid w:val="034076C4"/>
    <w:rsid w:val="036A7762"/>
    <w:rsid w:val="041D47D5"/>
    <w:rsid w:val="043266F7"/>
    <w:rsid w:val="04335DA6"/>
    <w:rsid w:val="045448AA"/>
    <w:rsid w:val="04656365"/>
    <w:rsid w:val="04A647CA"/>
    <w:rsid w:val="051522F5"/>
    <w:rsid w:val="05AF3B52"/>
    <w:rsid w:val="05B248E3"/>
    <w:rsid w:val="05C84C14"/>
    <w:rsid w:val="05E03D0C"/>
    <w:rsid w:val="075524D7"/>
    <w:rsid w:val="08801C5B"/>
    <w:rsid w:val="08891B4D"/>
    <w:rsid w:val="09862E1C"/>
    <w:rsid w:val="09A55623"/>
    <w:rsid w:val="0A09017A"/>
    <w:rsid w:val="0A156352"/>
    <w:rsid w:val="0A1C72DC"/>
    <w:rsid w:val="0A3B02D0"/>
    <w:rsid w:val="0AC459AA"/>
    <w:rsid w:val="0AD516EE"/>
    <w:rsid w:val="0AD916A4"/>
    <w:rsid w:val="0AE95CFC"/>
    <w:rsid w:val="0B04224A"/>
    <w:rsid w:val="0B861133"/>
    <w:rsid w:val="0BF73C9C"/>
    <w:rsid w:val="0BFE7E23"/>
    <w:rsid w:val="0C30706F"/>
    <w:rsid w:val="0C547201"/>
    <w:rsid w:val="0CF04062"/>
    <w:rsid w:val="0DC33B5A"/>
    <w:rsid w:val="0DDC74AE"/>
    <w:rsid w:val="0E1C2F75"/>
    <w:rsid w:val="0E787DA3"/>
    <w:rsid w:val="0EF7152D"/>
    <w:rsid w:val="0F0049EB"/>
    <w:rsid w:val="0F501F02"/>
    <w:rsid w:val="0FE64614"/>
    <w:rsid w:val="10702395"/>
    <w:rsid w:val="1077037C"/>
    <w:rsid w:val="10A87B1C"/>
    <w:rsid w:val="10CF32FA"/>
    <w:rsid w:val="115F06D1"/>
    <w:rsid w:val="117B4C25"/>
    <w:rsid w:val="119F461A"/>
    <w:rsid w:val="11B43EFD"/>
    <w:rsid w:val="11BD75F7"/>
    <w:rsid w:val="11EE731D"/>
    <w:rsid w:val="121511E1"/>
    <w:rsid w:val="12E32572"/>
    <w:rsid w:val="133F6234"/>
    <w:rsid w:val="13C44C6D"/>
    <w:rsid w:val="13CE33F5"/>
    <w:rsid w:val="14537D9F"/>
    <w:rsid w:val="14A70BFC"/>
    <w:rsid w:val="15606812"/>
    <w:rsid w:val="15612F82"/>
    <w:rsid w:val="156149C2"/>
    <w:rsid w:val="157F39D7"/>
    <w:rsid w:val="159B48F0"/>
    <w:rsid w:val="1633334D"/>
    <w:rsid w:val="16907AC1"/>
    <w:rsid w:val="169D6697"/>
    <w:rsid w:val="173A7A58"/>
    <w:rsid w:val="175F4854"/>
    <w:rsid w:val="17942BA8"/>
    <w:rsid w:val="17D31922"/>
    <w:rsid w:val="17EE4066"/>
    <w:rsid w:val="183A72AB"/>
    <w:rsid w:val="18455C50"/>
    <w:rsid w:val="18574301"/>
    <w:rsid w:val="19742C91"/>
    <w:rsid w:val="197F6F94"/>
    <w:rsid w:val="19D11E91"/>
    <w:rsid w:val="1A800F2B"/>
    <w:rsid w:val="1AE16FF0"/>
    <w:rsid w:val="1B143032"/>
    <w:rsid w:val="1B2D759B"/>
    <w:rsid w:val="1B3F02AC"/>
    <w:rsid w:val="1B7B4332"/>
    <w:rsid w:val="1BA6350C"/>
    <w:rsid w:val="1BD73063"/>
    <w:rsid w:val="1BD9327F"/>
    <w:rsid w:val="1C7C42DE"/>
    <w:rsid w:val="1CB02232"/>
    <w:rsid w:val="1CD06430"/>
    <w:rsid w:val="1CF63366"/>
    <w:rsid w:val="1D4448AD"/>
    <w:rsid w:val="1D5759F2"/>
    <w:rsid w:val="1DC25D24"/>
    <w:rsid w:val="1DFC5AA4"/>
    <w:rsid w:val="1E200B1D"/>
    <w:rsid w:val="1E311151"/>
    <w:rsid w:val="1EC2372A"/>
    <w:rsid w:val="1ED72A10"/>
    <w:rsid w:val="1EE269E2"/>
    <w:rsid w:val="1F0B2A59"/>
    <w:rsid w:val="1F0C7529"/>
    <w:rsid w:val="1F103499"/>
    <w:rsid w:val="1FCD4EA9"/>
    <w:rsid w:val="200A7EAB"/>
    <w:rsid w:val="202B4C8F"/>
    <w:rsid w:val="20785A58"/>
    <w:rsid w:val="212F501D"/>
    <w:rsid w:val="21F7620D"/>
    <w:rsid w:val="229C052C"/>
    <w:rsid w:val="22F87E51"/>
    <w:rsid w:val="235558E1"/>
    <w:rsid w:val="23EB635F"/>
    <w:rsid w:val="23F916F8"/>
    <w:rsid w:val="24A85631"/>
    <w:rsid w:val="250C7C73"/>
    <w:rsid w:val="25F33453"/>
    <w:rsid w:val="26296BB1"/>
    <w:rsid w:val="2668592C"/>
    <w:rsid w:val="27157103"/>
    <w:rsid w:val="272C16D2"/>
    <w:rsid w:val="27497244"/>
    <w:rsid w:val="285A5748"/>
    <w:rsid w:val="28F854BF"/>
    <w:rsid w:val="298E0665"/>
    <w:rsid w:val="2A003BDE"/>
    <w:rsid w:val="2A88659C"/>
    <w:rsid w:val="2A9F38E6"/>
    <w:rsid w:val="2ACB0237"/>
    <w:rsid w:val="2BE144C6"/>
    <w:rsid w:val="2C007DC3"/>
    <w:rsid w:val="2C234784"/>
    <w:rsid w:val="2C71213F"/>
    <w:rsid w:val="2D0B2403"/>
    <w:rsid w:val="2D760125"/>
    <w:rsid w:val="2D846881"/>
    <w:rsid w:val="2D9E60D7"/>
    <w:rsid w:val="2DE16A14"/>
    <w:rsid w:val="2E341F8D"/>
    <w:rsid w:val="2E4E563C"/>
    <w:rsid w:val="2E526EF3"/>
    <w:rsid w:val="2E76081F"/>
    <w:rsid w:val="2EB77450"/>
    <w:rsid w:val="303763DB"/>
    <w:rsid w:val="30524B42"/>
    <w:rsid w:val="309E1814"/>
    <w:rsid w:val="30A65249"/>
    <w:rsid w:val="30F304E8"/>
    <w:rsid w:val="311A4C23"/>
    <w:rsid w:val="311F12DD"/>
    <w:rsid w:val="31634333"/>
    <w:rsid w:val="31D11D75"/>
    <w:rsid w:val="323E39E4"/>
    <w:rsid w:val="32983017"/>
    <w:rsid w:val="32A93554"/>
    <w:rsid w:val="32E70C34"/>
    <w:rsid w:val="33983939"/>
    <w:rsid w:val="340B7734"/>
    <w:rsid w:val="346F2256"/>
    <w:rsid w:val="348C6C89"/>
    <w:rsid w:val="34DB376C"/>
    <w:rsid w:val="351036AD"/>
    <w:rsid w:val="35174172"/>
    <w:rsid w:val="353A3F83"/>
    <w:rsid w:val="353F090E"/>
    <w:rsid w:val="354B48C1"/>
    <w:rsid w:val="356279EA"/>
    <w:rsid w:val="35B777DD"/>
    <w:rsid w:val="35C67E65"/>
    <w:rsid w:val="36267DE7"/>
    <w:rsid w:val="36511EF3"/>
    <w:rsid w:val="36C941C4"/>
    <w:rsid w:val="36F86858"/>
    <w:rsid w:val="373133CE"/>
    <w:rsid w:val="376932B2"/>
    <w:rsid w:val="38222471"/>
    <w:rsid w:val="385555E4"/>
    <w:rsid w:val="38E56B84"/>
    <w:rsid w:val="391F703D"/>
    <w:rsid w:val="393873DF"/>
    <w:rsid w:val="396B1BBD"/>
    <w:rsid w:val="398750F2"/>
    <w:rsid w:val="399208C8"/>
    <w:rsid w:val="39A90146"/>
    <w:rsid w:val="39B71533"/>
    <w:rsid w:val="3A2A42A0"/>
    <w:rsid w:val="3A485400"/>
    <w:rsid w:val="3A9A0C47"/>
    <w:rsid w:val="3AB24F6F"/>
    <w:rsid w:val="3B082DE1"/>
    <w:rsid w:val="3B15767C"/>
    <w:rsid w:val="3B606CB9"/>
    <w:rsid w:val="3BD1667E"/>
    <w:rsid w:val="3BEF351D"/>
    <w:rsid w:val="3BFB1CB3"/>
    <w:rsid w:val="3D2139CC"/>
    <w:rsid w:val="3DE74F30"/>
    <w:rsid w:val="3E2D17C3"/>
    <w:rsid w:val="3FA640EA"/>
    <w:rsid w:val="3FE37F2D"/>
    <w:rsid w:val="4063184A"/>
    <w:rsid w:val="40AA087F"/>
    <w:rsid w:val="40EA138C"/>
    <w:rsid w:val="412F10C8"/>
    <w:rsid w:val="42DE4F24"/>
    <w:rsid w:val="42E934F8"/>
    <w:rsid w:val="434D7F2B"/>
    <w:rsid w:val="434F77FF"/>
    <w:rsid w:val="438328CB"/>
    <w:rsid w:val="43CC0973"/>
    <w:rsid w:val="44315157"/>
    <w:rsid w:val="448E07FB"/>
    <w:rsid w:val="44BC0EC5"/>
    <w:rsid w:val="459B16BA"/>
    <w:rsid w:val="459D7124"/>
    <w:rsid w:val="45F92631"/>
    <w:rsid w:val="462C30DC"/>
    <w:rsid w:val="462F3918"/>
    <w:rsid w:val="46B23BEC"/>
    <w:rsid w:val="46E20922"/>
    <w:rsid w:val="47A3011A"/>
    <w:rsid w:val="481728B6"/>
    <w:rsid w:val="48893F43"/>
    <w:rsid w:val="492067E1"/>
    <w:rsid w:val="49816239"/>
    <w:rsid w:val="49E71F35"/>
    <w:rsid w:val="4A314D53"/>
    <w:rsid w:val="4A5705E5"/>
    <w:rsid w:val="4A5751EC"/>
    <w:rsid w:val="4A8C758B"/>
    <w:rsid w:val="4A8F0C82"/>
    <w:rsid w:val="4AB82E60"/>
    <w:rsid w:val="4AD403F5"/>
    <w:rsid w:val="4AF15640"/>
    <w:rsid w:val="4B5151E9"/>
    <w:rsid w:val="4BBB4202"/>
    <w:rsid w:val="4BED0167"/>
    <w:rsid w:val="4BF8401D"/>
    <w:rsid w:val="4C137DB2"/>
    <w:rsid w:val="4C465518"/>
    <w:rsid w:val="4C910F8C"/>
    <w:rsid w:val="4CB3173E"/>
    <w:rsid w:val="4CFE285F"/>
    <w:rsid w:val="4D331F40"/>
    <w:rsid w:val="4D754306"/>
    <w:rsid w:val="4D9F3A3B"/>
    <w:rsid w:val="4E077263"/>
    <w:rsid w:val="4E165AE9"/>
    <w:rsid w:val="4E8A7553"/>
    <w:rsid w:val="4F9071D6"/>
    <w:rsid w:val="50033E4B"/>
    <w:rsid w:val="50160A05"/>
    <w:rsid w:val="503E48FD"/>
    <w:rsid w:val="50C7350F"/>
    <w:rsid w:val="50E27F05"/>
    <w:rsid w:val="51047306"/>
    <w:rsid w:val="514F5604"/>
    <w:rsid w:val="51F05D8D"/>
    <w:rsid w:val="522956BF"/>
    <w:rsid w:val="523D4107"/>
    <w:rsid w:val="52773122"/>
    <w:rsid w:val="53D65339"/>
    <w:rsid w:val="53E959C3"/>
    <w:rsid w:val="54617C92"/>
    <w:rsid w:val="54994D7E"/>
    <w:rsid w:val="54C33A87"/>
    <w:rsid w:val="54E61022"/>
    <w:rsid w:val="555420CC"/>
    <w:rsid w:val="55914406"/>
    <w:rsid w:val="55C43251"/>
    <w:rsid w:val="55FA4674"/>
    <w:rsid w:val="565F5B54"/>
    <w:rsid w:val="56957271"/>
    <w:rsid w:val="56B7504A"/>
    <w:rsid w:val="56E75BB3"/>
    <w:rsid w:val="58847722"/>
    <w:rsid w:val="58F85DEC"/>
    <w:rsid w:val="590E37BF"/>
    <w:rsid w:val="59622AC8"/>
    <w:rsid w:val="597A34B1"/>
    <w:rsid w:val="597E2795"/>
    <w:rsid w:val="598E03F1"/>
    <w:rsid w:val="5A072562"/>
    <w:rsid w:val="5A0C3FFB"/>
    <w:rsid w:val="5AA601F5"/>
    <w:rsid w:val="5AB814D9"/>
    <w:rsid w:val="5B0F7D33"/>
    <w:rsid w:val="5B6B4F9B"/>
    <w:rsid w:val="5B7D3ED0"/>
    <w:rsid w:val="5C1B076F"/>
    <w:rsid w:val="5C755622"/>
    <w:rsid w:val="5C814A76"/>
    <w:rsid w:val="5D924EF2"/>
    <w:rsid w:val="5E573A6A"/>
    <w:rsid w:val="5EF84D97"/>
    <w:rsid w:val="5F36141C"/>
    <w:rsid w:val="5FB36E1F"/>
    <w:rsid w:val="5FC34763"/>
    <w:rsid w:val="5FE17AD8"/>
    <w:rsid w:val="600C2C92"/>
    <w:rsid w:val="60537F87"/>
    <w:rsid w:val="60AC2446"/>
    <w:rsid w:val="60FB1283"/>
    <w:rsid w:val="612E4CEE"/>
    <w:rsid w:val="61AE1383"/>
    <w:rsid w:val="62495B5A"/>
    <w:rsid w:val="63A66B70"/>
    <w:rsid w:val="63FF5EE3"/>
    <w:rsid w:val="64125290"/>
    <w:rsid w:val="642E26D4"/>
    <w:rsid w:val="644A4D95"/>
    <w:rsid w:val="64607667"/>
    <w:rsid w:val="64726E03"/>
    <w:rsid w:val="64A32CEC"/>
    <w:rsid w:val="64C21DE9"/>
    <w:rsid w:val="64CD2361"/>
    <w:rsid w:val="65033C2E"/>
    <w:rsid w:val="65733C50"/>
    <w:rsid w:val="65ED57BC"/>
    <w:rsid w:val="65F067C8"/>
    <w:rsid w:val="65F416F0"/>
    <w:rsid w:val="66234D4E"/>
    <w:rsid w:val="66750262"/>
    <w:rsid w:val="66833198"/>
    <w:rsid w:val="66C043ED"/>
    <w:rsid w:val="671958AB"/>
    <w:rsid w:val="67800AFA"/>
    <w:rsid w:val="6790337E"/>
    <w:rsid w:val="679F2254"/>
    <w:rsid w:val="67D76D6C"/>
    <w:rsid w:val="68C55CEA"/>
    <w:rsid w:val="68CA50AF"/>
    <w:rsid w:val="68FB795E"/>
    <w:rsid w:val="692550AB"/>
    <w:rsid w:val="6968417C"/>
    <w:rsid w:val="696B29E7"/>
    <w:rsid w:val="698F62F8"/>
    <w:rsid w:val="6994390F"/>
    <w:rsid w:val="6A00654F"/>
    <w:rsid w:val="6A1F76BD"/>
    <w:rsid w:val="6A4E3ABD"/>
    <w:rsid w:val="6ADF0BB9"/>
    <w:rsid w:val="6AE14931"/>
    <w:rsid w:val="6AE97B6D"/>
    <w:rsid w:val="6AEC62DC"/>
    <w:rsid w:val="6B421874"/>
    <w:rsid w:val="6B8275CC"/>
    <w:rsid w:val="6B8A0A6F"/>
    <w:rsid w:val="6BB26CB3"/>
    <w:rsid w:val="6C731F01"/>
    <w:rsid w:val="6CC92B9F"/>
    <w:rsid w:val="6D5E670D"/>
    <w:rsid w:val="6D6B4FC9"/>
    <w:rsid w:val="6D957AEC"/>
    <w:rsid w:val="6E032E11"/>
    <w:rsid w:val="6E0B7F04"/>
    <w:rsid w:val="6E0E7BD2"/>
    <w:rsid w:val="6E103CE5"/>
    <w:rsid w:val="6E851103"/>
    <w:rsid w:val="6EC22C51"/>
    <w:rsid w:val="6EC90A21"/>
    <w:rsid w:val="6F0957FD"/>
    <w:rsid w:val="6F401B5A"/>
    <w:rsid w:val="6F4879FB"/>
    <w:rsid w:val="6F5C1E1E"/>
    <w:rsid w:val="6F7C2E7B"/>
    <w:rsid w:val="6FD3454E"/>
    <w:rsid w:val="6FEA072C"/>
    <w:rsid w:val="70303E9F"/>
    <w:rsid w:val="705F3C0B"/>
    <w:rsid w:val="7087676C"/>
    <w:rsid w:val="712E2CE5"/>
    <w:rsid w:val="714F4CEB"/>
    <w:rsid w:val="718A5D23"/>
    <w:rsid w:val="71E82A49"/>
    <w:rsid w:val="722B3D97"/>
    <w:rsid w:val="7243144C"/>
    <w:rsid w:val="725D51E5"/>
    <w:rsid w:val="728A28D7"/>
    <w:rsid w:val="72CD09AB"/>
    <w:rsid w:val="72D134DE"/>
    <w:rsid w:val="730E4732"/>
    <w:rsid w:val="73326672"/>
    <w:rsid w:val="73625252"/>
    <w:rsid w:val="73AB78F6"/>
    <w:rsid w:val="73F82E7E"/>
    <w:rsid w:val="7462619E"/>
    <w:rsid w:val="747924FC"/>
    <w:rsid w:val="7480340D"/>
    <w:rsid w:val="749A2C87"/>
    <w:rsid w:val="752A1D4C"/>
    <w:rsid w:val="75665DA5"/>
    <w:rsid w:val="75804A26"/>
    <w:rsid w:val="758E1671"/>
    <w:rsid w:val="75BE55E8"/>
    <w:rsid w:val="75CF01A8"/>
    <w:rsid w:val="764346F2"/>
    <w:rsid w:val="76D57A40"/>
    <w:rsid w:val="775B7A7E"/>
    <w:rsid w:val="782D1567"/>
    <w:rsid w:val="78460214"/>
    <w:rsid w:val="78777193"/>
    <w:rsid w:val="78BB31D8"/>
    <w:rsid w:val="78FB3062"/>
    <w:rsid w:val="7A432F13"/>
    <w:rsid w:val="7A873B55"/>
    <w:rsid w:val="7B046283"/>
    <w:rsid w:val="7C2E7D91"/>
    <w:rsid w:val="7C8415C1"/>
    <w:rsid w:val="7C846239"/>
    <w:rsid w:val="7D957F29"/>
    <w:rsid w:val="7D9F1960"/>
    <w:rsid w:val="7E0530C1"/>
    <w:rsid w:val="7E415E6E"/>
    <w:rsid w:val="7E517B85"/>
    <w:rsid w:val="7ECD724F"/>
    <w:rsid w:val="7F8F2756"/>
    <w:rsid w:val="7F945FBF"/>
    <w:rsid w:val="7FA846C3"/>
    <w:rsid w:val="7FED0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iPriority="1"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snapToGrid w:val="0"/>
      <w:outlineLvl w:val="1"/>
    </w:pPr>
    <w:rPr>
      <w:sz w:val="28"/>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qFormat/>
    <w:uiPriority w:val="0"/>
    <w:pPr>
      <w:jc w:val="left"/>
    </w:pPr>
    <w:rPr>
      <w:kern w:val="0"/>
      <w:sz w:val="24"/>
      <w:szCs w:val="20"/>
    </w:rPr>
  </w:style>
  <w:style w:type="paragraph" w:styleId="6">
    <w:name w:val="Body Text 3"/>
    <w:basedOn w:val="1"/>
    <w:unhideWhenUsed/>
    <w:qFormat/>
    <w:uiPriority w:val="1"/>
    <w:pPr>
      <w:spacing w:after="120"/>
    </w:pPr>
    <w:rPr>
      <w:sz w:val="16"/>
      <w:szCs w:val="16"/>
    </w:rPr>
  </w:style>
  <w:style w:type="paragraph" w:styleId="7">
    <w:name w:val="Body Text"/>
    <w:basedOn w:val="1"/>
    <w:next w:val="8"/>
    <w:qFormat/>
    <w:uiPriority w:val="99"/>
    <w:pPr>
      <w:spacing w:after="120"/>
    </w:pPr>
  </w:style>
  <w:style w:type="paragraph" w:styleId="8">
    <w:name w:val="List Bullet 5"/>
    <w:basedOn w:val="1"/>
    <w:qFormat/>
    <w:uiPriority w:val="0"/>
    <w:pPr>
      <w:numPr>
        <w:ilvl w:val="0"/>
        <w:numId w:val="1"/>
      </w:numPr>
    </w:pPr>
  </w:style>
  <w:style w:type="paragraph" w:styleId="9">
    <w:name w:val="Body Text Indent"/>
    <w:basedOn w:val="1"/>
    <w:next w:val="10"/>
    <w:qFormat/>
    <w:uiPriority w:val="0"/>
    <w:pPr>
      <w:spacing w:after="120"/>
      <w:ind w:left="420" w:leftChars="200"/>
    </w:pPr>
    <w:rPr>
      <w:kern w:val="0"/>
      <w:sz w:val="24"/>
      <w:szCs w:val="20"/>
    </w:rPr>
  </w:style>
  <w:style w:type="paragraph" w:styleId="10">
    <w:name w:val="Body Text First Indent 2"/>
    <w:basedOn w:val="1"/>
    <w:next w:val="1"/>
    <w:qFormat/>
    <w:uiPriority w:val="99"/>
    <w:pPr>
      <w:ind w:firstLine="420" w:firstLineChars="200"/>
    </w:pPr>
  </w:style>
  <w:style w:type="paragraph" w:styleId="11">
    <w:name w:val="Block Text"/>
    <w:basedOn w:val="1"/>
    <w:qFormat/>
    <w:uiPriority w:val="0"/>
    <w:pPr>
      <w:spacing w:line="320" w:lineRule="exact"/>
      <w:ind w:left="113" w:right="113"/>
      <w:jc w:val="center"/>
    </w:pPr>
    <w:rPr>
      <w:b/>
      <w:sz w:val="13"/>
      <w:szCs w:val="15"/>
    </w:rPr>
  </w:style>
  <w:style w:type="paragraph" w:styleId="12">
    <w:name w:val="Plain Text"/>
    <w:basedOn w:val="1"/>
    <w:autoRedefine/>
    <w:qFormat/>
    <w:uiPriority w:val="0"/>
    <w:rPr>
      <w:rFonts w:ascii="宋体" w:hAnsi="Courier New"/>
    </w:rPr>
  </w:style>
  <w:style w:type="paragraph" w:styleId="13">
    <w:name w:val="footer"/>
    <w:basedOn w:val="1"/>
    <w:qFormat/>
    <w:uiPriority w:val="99"/>
    <w:pPr>
      <w:tabs>
        <w:tab w:val="center" w:pos="4153"/>
        <w:tab w:val="right" w:pos="8306"/>
      </w:tabs>
      <w:snapToGrid w:val="0"/>
      <w:jc w:val="left"/>
    </w:pPr>
    <w:rPr>
      <w:kern w:val="0"/>
      <w:sz w:val="18"/>
      <w:szCs w:val="20"/>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able of figures"/>
    <w:basedOn w:val="1"/>
    <w:next w:val="1"/>
    <w:qFormat/>
    <w:uiPriority w:val="0"/>
    <w:pPr>
      <w:ind w:left="200" w:leftChars="200" w:hanging="200" w:hangingChars="200"/>
    </w:pPr>
    <w:rPr>
      <w:rFonts w:ascii="Calibri" w:hAnsi="Calibri"/>
      <w:kern w:val="2"/>
      <w:sz w:val="21"/>
      <w:szCs w:val="22"/>
    </w:rPr>
  </w:style>
  <w:style w:type="paragraph" w:styleId="16">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7">
    <w:name w:val="annotation subject"/>
    <w:basedOn w:val="5"/>
    <w:next w:val="1"/>
    <w:semiHidden/>
    <w:qFormat/>
    <w:uiPriority w:val="0"/>
    <w:rPr>
      <w:b/>
    </w:rPr>
  </w:style>
  <w:style w:type="paragraph" w:styleId="18">
    <w:name w:val="Body Text First Indent"/>
    <w:basedOn w:val="7"/>
    <w:qFormat/>
    <w:uiPriority w:val="99"/>
    <w:pPr>
      <w:spacing w:line="440" w:lineRule="exact"/>
      <w:ind w:firstLine="504"/>
    </w:pPr>
    <w:rPr>
      <w:spacing w:val="6"/>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Emphasis"/>
    <w:basedOn w:val="21"/>
    <w:qFormat/>
    <w:uiPriority w:val="0"/>
    <w:rPr>
      <w:i/>
    </w:rPr>
  </w:style>
  <w:style w:type="character" w:styleId="24">
    <w:name w:val="Hyperlink"/>
    <w:basedOn w:val="21"/>
    <w:qFormat/>
    <w:uiPriority w:val="0"/>
    <w:rPr>
      <w:color w:val="0000FF"/>
      <w:u w:val="single"/>
    </w:rPr>
  </w:style>
  <w:style w:type="character" w:styleId="25">
    <w:name w:val="annotation reference"/>
    <w:basedOn w:val="21"/>
    <w:semiHidden/>
    <w:qFormat/>
    <w:uiPriority w:val="0"/>
    <w:rPr>
      <w:sz w:val="21"/>
    </w:rPr>
  </w:style>
  <w:style w:type="paragraph" w:customStyle="1" w:styleId="26">
    <w:name w:val="Default1"/>
    <w:autoRedefine/>
    <w:qFormat/>
    <w:uiPriority w:val="99"/>
    <w:pPr>
      <w:widowControl w:val="0"/>
      <w:autoSpaceDE w:val="0"/>
      <w:autoSpaceDN w:val="0"/>
      <w:adjustRightInd w:val="0"/>
    </w:pPr>
    <w:rPr>
      <w:rFonts w:ascii="宋体" w:hAnsi="Times New Roman" w:eastAsia="微软雅黑" w:cs="宋体"/>
      <w:color w:val="000000"/>
      <w:sz w:val="24"/>
      <w:szCs w:val="24"/>
      <w:lang w:val="en-US" w:eastAsia="zh-CN" w:bidi="ar-SA"/>
    </w:rPr>
  </w:style>
  <w:style w:type="character" w:customStyle="1" w:styleId="27">
    <w:name w:val="fontstyle01"/>
    <w:basedOn w:val="21"/>
    <w:qFormat/>
    <w:uiPriority w:val="0"/>
    <w:rPr>
      <w:rFonts w:hint="eastAsia" w:ascii="宋体" w:hAnsi="宋体" w:eastAsia="宋体"/>
      <w:color w:val="000000"/>
      <w:sz w:val="22"/>
      <w:szCs w:val="22"/>
    </w:rPr>
  </w:style>
  <w:style w:type="character" w:customStyle="1" w:styleId="28">
    <w:name w:val="fontstyle21"/>
    <w:basedOn w:val="21"/>
    <w:qFormat/>
    <w:uiPriority w:val="0"/>
    <w:rPr>
      <w:rFonts w:hint="default" w:ascii="TimesNewRomanPSMT" w:hAnsi="TimesNewRomanPSMT"/>
      <w:color w:val="000000"/>
      <w:sz w:val="22"/>
      <w:szCs w:val="22"/>
    </w:rPr>
  </w:style>
  <w:style w:type="character" w:customStyle="1" w:styleId="29">
    <w:name w:val="fontstyle11"/>
    <w:basedOn w:val="21"/>
    <w:qFormat/>
    <w:uiPriority w:val="0"/>
    <w:rPr>
      <w:rFonts w:hint="default" w:ascii="TimesNewRomanPSMT" w:hAnsi="TimesNewRomanPSMT"/>
      <w:color w:val="000000"/>
      <w:sz w:val="22"/>
      <w:szCs w:val="22"/>
    </w:rPr>
  </w:style>
  <w:style w:type="paragraph" w:customStyle="1" w:styleId="30">
    <w:name w:val="表格"/>
    <w:basedOn w:val="1"/>
    <w:next w:val="1"/>
    <w:autoRedefine/>
    <w:qFormat/>
    <w:uiPriority w:val="0"/>
    <w:pPr>
      <w:adjustRightInd w:val="0"/>
      <w:snapToGrid w:val="0"/>
      <w:spacing w:beforeLines="10" w:afterLines="10" w:line="259" w:lineRule="auto"/>
      <w:jc w:val="center"/>
    </w:pPr>
    <w:rPr>
      <w:rFonts w:ascii="宋体"/>
      <w:kern w:val="0"/>
      <w:szCs w:val="20"/>
    </w:rPr>
  </w:style>
  <w:style w:type="paragraph" w:customStyle="1" w:styleId="31">
    <w:name w:val="表格2"/>
    <w:basedOn w:val="1"/>
    <w:qFormat/>
    <w:uiPriority w:val="0"/>
    <w:pPr>
      <w:adjustRightInd w:val="0"/>
      <w:spacing w:line="320" w:lineRule="exact"/>
      <w:jc w:val="center"/>
      <w:textAlignment w:val="baseline"/>
    </w:pPr>
    <w:rPr>
      <w:sz w:val="24"/>
      <w:szCs w:val="20"/>
    </w:rPr>
  </w:style>
  <w:style w:type="character" w:customStyle="1" w:styleId="32">
    <w:name w:val="font21"/>
    <w:basedOn w:val="21"/>
    <w:qFormat/>
    <w:uiPriority w:val="0"/>
    <w:rPr>
      <w:rFonts w:hint="eastAsia" w:ascii="宋体" w:hAnsi="宋体" w:eastAsia="宋体" w:cs="宋体"/>
      <w:color w:val="000000"/>
      <w:sz w:val="21"/>
      <w:szCs w:val="21"/>
      <w:u w:val="none"/>
    </w:rPr>
  </w:style>
  <w:style w:type="character" w:customStyle="1" w:styleId="33">
    <w:name w:val="font01"/>
    <w:basedOn w:val="21"/>
    <w:qFormat/>
    <w:uiPriority w:val="0"/>
    <w:rPr>
      <w:rFonts w:hint="default" w:ascii="Times New Roman" w:hAnsi="Times New Roman" w:cs="Times New Roman"/>
      <w:color w:val="000000"/>
      <w:sz w:val="21"/>
      <w:szCs w:val="21"/>
      <w:u w:val="none"/>
    </w:rPr>
  </w:style>
  <w:style w:type="paragraph" w:customStyle="1" w:styleId="34">
    <w:name w:val="Table Paragraph"/>
    <w:basedOn w:val="1"/>
    <w:qFormat/>
    <w:uiPriority w:val="1"/>
    <w:rPr>
      <w:rFonts w:ascii="宋体" w:hAnsi="宋体" w:cs="宋体"/>
      <w:lang w:val="zh-CN" w:bidi="zh-CN"/>
    </w:rPr>
  </w:style>
  <w:style w:type="paragraph" w:customStyle="1" w:styleId="35">
    <w:name w:val="1正文"/>
    <w:basedOn w:val="1"/>
    <w:qFormat/>
    <w:uiPriority w:val="0"/>
    <w:pPr>
      <w:widowControl/>
      <w:ind w:firstLine="200" w:firstLineChars="200"/>
      <w:jc w:val="both"/>
    </w:pPr>
    <w:rPr>
      <w:rFonts w:ascii="Calibri" w:hAnsi="Calibri"/>
      <w:kern w:val="0"/>
      <w:lang w:val="en-GB"/>
    </w:rPr>
  </w:style>
  <w:style w:type="paragraph" w:customStyle="1" w:styleId="36">
    <w:name w:val="表头"/>
    <w:basedOn w:val="7"/>
    <w:next w:val="1"/>
    <w:autoRedefine/>
    <w:qFormat/>
    <w:uiPriority w:val="0"/>
    <w:pPr>
      <w:adjustRightInd/>
      <w:spacing w:line="240" w:lineRule="auto"/>
      <w:ind w:firstLine="0" w:firstLineChars="0"/>
      <w:jc w:val="center"/>
    </w:pPr>
    <w:rPr>
      <w:rFonts w:ascii="Times New Roman" w:hAnsi="Times New Roman"/>
      <w:b/>
      <w:color w:val="auto"/>
    </w:rPr>
  </w:style>
  <w:style w:type="paragraph" w:customStyle="1" w:styleId="37">
    <w:name w:val="表格1"/>
    <w:basedOn w:val="1"/>
    <w:autoRedefine/>
    <w:qFormat/>
    <w:uiPriority w:val="0"/>
    <w:pPr>
      <w:keepNext/>
      <w:keepLines/>
      <w:adjustRightInd/>
      <w:spacing w:line="240" w:lineRule="auto"/>
      <w:ind w:firstLine="0" w:firstLineChars="0"/>
      <w:jc w:val="center"/>
    </w:pPr>
    <w:rPr>
      <w:rFonts w:ascii="Times New Roman" w:hAnsi="Times New Roman" w:eastAsia="宋体"/>
      <w:color w:val="auto"/>
      <w:sz w:val="21"/>
    </w:rPr>
  </w:style>
  <w:style w:type="paragraph" w:customStyle="1" w:styleId="38">
    <w:name w:val="Default"/>
    <w:basedOn w:val="39"/>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9">
    <w:name w:val="纯文本1"/>
    <w:basedOn w:val="1"/>
    <w:qFormat/>
    <w:uiPriority w:val="99"/>
    <w:pPr>
      <w:autoSpaceDE w:val="0"/>
      <w:autoSpaceDN w:val="0"/>
      <w:adjustRightInd w:val="0"/>
      <w:textAlignment w:val="baseline"/>
    </w:pPr>
    <w:rPr>
      <w:rFonts w:ascii="宋体"/>
      <w:szCs w:val="20"/>
    </w:rPr>
  </w:style>
  <w:style w:type="paragraph" w:customStyle="1" w:styleId="40">
    <w:name w:val="样式环评"/>
    <w:basedOn w:val="1"/>
    <w:autoRedefine/>
    <w:qFormat/>
    <w:uiPriority w:val="0"/>
    <w:pPr>
      <w:spacing w:line="500" w:lineRule="exact"/>
      <w:ind w:firstLine="612"/>
    </w:pPr>
    <w:rPr>
      <w:rFonts w:ascii="仿宋_GB2312" w:hAnsi="宋体" w:eastAsia="仿宋_GB2312"/>
      <w:sz w:val="28"/>
    </w:rPr>
  </w:style>
  <w:style w:type="paragraph" w:customStyle="1" w:styleId="41">
    <w:name w:val="0正文"/>
    <w:basedOn w:val="1"/>
    <w:qFormat/>
    <w:uiPriority w:val="0"/>
    <w:pPr>
      <w:spacing w:line="360" w:lineRule="auto"/>
      <w:ind w:firstLine="480" w:firstLineChars="200"/>
    </w:pPr>
    <w:rPr>
      <w:rFonts w:ascii="Calibri" w:hAnsi="Calibri"/>
      <w:sz w:val="24"/>
      <w:szCs w:val="22"/>
    </w:rPr>
  </w:style>
  <w:style w:type="paragraph" w:customStyle="1" w:styleId="42">
    <w:name w:val="列出段落1"/>
    <w:basedOn w:val="1"/>
    <w:qFormat/>
    <w:uiPriority w:val="99"/>
    <w:pPr>
      <w:ind w:firstLine="420" w:firstLineChars="200"/>
    </w:pPr>
    <w:rPr>
      <w:rFonts w:ascii="Times New Roman" w:hAnsi="Times New Roman" w:cs="Times New Roman"/>
      <w:sz w:val="24"/>
      <w:szCs w:val="24"/>
    </w:rPr>
  </w:style>
  <w:style w:type="table" w:customStyle="1" w:styleId="43">
    <w:name w:val="Table Normal"/>
    <w:autoRedefine/>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9.png"/><Relationship Id="rId21" Type="http://schemas.openxmlformats.org/officeDocument/2006/relationships/image" Target="media/image8.w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5.bin"/><Relationship Id="rId17" Type="http://schemas.openxmlformats.org/officeDocument/2006/relationships/image" Target="media/image6.wmf"/><Relationship Id="rId16" Type="http://schemas.openxmlformats.org/officeDocument/2006/relationships/oleObject" Target="embeddings/oleObject4.bin"/><Relationship Id="rId15" Type="http://schemas.openxmlformats.org/officeDocument/2006/relationships/image" Target="media/image5.wmf"/><Relationship Id="rId14" Type="http://schemas.openxmlformats.org/officeDocument/2006/relationships/oleObject" Target="embeddings/oleObject3.bin"/><Relationship Id="rId13" Type="http://schemas.openxmlformats.org/officeDocument/2006/relationships/image" Target="media/image4.emf"/><Relationship Id="rId12" Type="http://schemas.openxmlformats.org/officeDocument/2006/relationships/oleObject" Target="embeddings/oleObject2.bin"/><Relationship Id="rId11" Type="http://schemas.openxmlformats.org/officeDocument/2006/relationships/image" Target="media/image3.png"/><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I5OTc1MDkwNDg0IiwKCSJHcm91cElkIiA6ICIyMjUzNTQ5MjciLAoJIkltYWdlIiA6ICJpVkJPUncwS0dnb0FBQUFOU1VoRVVnQUFBWXdBQUFDV0NBWUFBQUROQTc4REFBQUFDWEJJV1hNQUFBc1RBQUFMRXdFQW1wd1lBQUFLVFVsRVFWUjRuTzNkZjB6VjlSN0g4ZGNYQ05JRTJtMlpsck90UDJyVHlwMGp1MW9KTllFdHlxTzd5eUpkMUNoY1FwUUxIVzNsYWhXWmJkZXNpVEcyMUdrUjJVWFI1Ym5PTTdRTDdtYWo5TlNFR3VWaU5HaVl6Y3V2UkRpZTg3bC9tT2Q2aEx6ZkJQMmVBOC9IWDN6UDkvUDlmdDdudzc2OCtKd2ZuNjhFQUFBQUFBQUFBQUFBQUFBQUFBQUFBQUFBQUFBQUFBQUFBQUFBQUFBQUFBQUFBQUFBQUFBQUFBQUFBQUFBQUFBQUFBQUFBQUFBQUFBQUFBQUFBQUFBQUFBQUFBQUFBQUFBQUFBQUFBQUFBQUFBQUFBQUFBQUFBQUFBQUFBQUFBQUFBQUFBQUFBQUFBQUFBQUFRMHl5bkN3QVFuZHh1OTM1Sjg1MnVBLzlqakduMCsvMXpuT28venFtT0FVUTl3aUxLV0piMVZ5ZjdUM0N5Y3dEUjcvRGh3MDZYQUVtelo4OTJ1Z1JtR0FBQWV3Z01BSUF0QkFZQXdCWUNBd0JnQzRFQkFMQ0Z3QUFBMkVKZ0FBQnNJVEFBQUxZUUdBQUFXd2dNQUlBdEJBWUF3QllDQXdCZ0M0RUJBTEFscGxlclpiMyt5OFBwTmZjQlJLZFluMkVRRnBlQjAydnVBNGhPTVQzRE9JZjEra2RQTkt5NUR5QTZ4Zm9NQXdCd2hSQVlBQUJiQ0F3QWdDMEVCZ0RBRmdJREFHQUxnUUVBc0lYQUFBRFlRbUFBQUd3aE1BQUF0aEFZQUFCYkNJd1JHaHdjbERIRzZUSUE0TElqTUNTRlFpR2RPblhxa281ZHYzNjlLaXNyTCtsWXY5K3ZWMTU1NWFLQjA5L2ZILzU1K2ZMbFErck16OCsvcEw0QjRNOGFFNHNQanRTZVBYdFVWVldsRFJzMmFQTGt5WkxPTHNJM2FkS2tjSnUrdnI0aGl4dzJOamFxcHFaR045eHdnM3crMzdEbjNyNTl1NjY2NnFwaDk4MmNPVk52dmZXV0dob2FkTys5OXc3Ylp1WEtsYnJqamp0VVdGaW85dloyQllQQmlQMC8vUENEN2VlSjhjbmxjbVZLT3VQMysvOHQ2WXpUOVNCMkVSaVNQQjZQamh3NW9zTENRbFZYVnlzWURDb3BLVW4xOWZYaE5oZXU0dHJXMXFaWFgzMVZ0OXh5aXg1KytHRXRYcnc0dksrbnAwY3JWcXpROU9uVEk4Smkzcng1US9vK2MrYU1YbnJwcFNHUEh6aHdRSW1KaVZxelpvMmVlKzQ1WldSa1NKSzhYcTgrL1BERGNMdlRwMDlyd1lJRjRlMDllL1pjd2doZ2pNdXhMR3VseStVNktXbTdwSjI5dmIwSGp4MDdOdUIwWVlndEJJWWt5N0swZXZWcWRYWjJLakV4VVR0Mzd0U01HVE9HdE9udDdWVnljckphVzF0VlhGeXNrcElTM1g3NzdYcnFxYWZVM2QydC9QeDhOVFUxYWZYcTFabzFhNVplZnZubGlIUDA5L2Vyc2JGUjhmSHhrcVRObXpjckp5ZEhVNmRPaldoM2ZqaWxwS1JvMmJKbHFxeXMxSWtUSi9UZ2d3L3EwVWNmRGUrZk4yOGVJUUZiTE12Nmk2UkNTWVVwS1NrOUxwZXJ4aGl6NDVkZmZ2blh6ei8vZkdtdnlXSmNHZmVCc1c3ZE9ubTlYaVVsSldudjNyMnFxYW5SeG8wYlZWNWVIdEV1SnlkSEN4Y3VWQ2dVMHZMbHkvWDAwMDhyTXpOVGtyUnAweVk5ODh3ejJyVnJsem83TzFWU1VxSWxTNVlNNmV2Wlo1OVZYTnpadDQzYTJ0cTBiZHMyNWVibUR0c3VJU0ZCYlcxdEtpb3EwdVRKazFWYVdxb2ZmL3hSa2lKbUZPZlBNQll0V3FSbHk1YU56c0JnckV1eExPdEp5N0tlbkRKbHltOVRwa3paRlFxRmF2cjcrL2UzdExUME9sMGNvcFBsZEFFajRYYTdqVFE2TjFDNjY2NjdkT2pRSWJXMHRPanFxNi9XelRmZmZOSDJ3V0JRTFMwdGFteHMxR2VmZmFhT2pnN05uejlmMzM3N3JkcmIyNVdXbHFZWk0yWm8rdlRwbWpwMXFtYk9uQmx4L0J0dnZLRkpreVpweFlvVmY5aEhLQlRTL3YzN2xaV1ZKY3V5dEdEQkFuMzAwVWZhdUhHamlvdUxsWnljUE9MbmZTRnVvRFR1blRiRzdESEdmQklYRi9lSnhBM0tvc1c1YS9QSWtTT08vZDBlOXpPTUM5MTIyMjFLVDA5WGZIeDh4SnZlM2QzZFNrcEtVbDFkbmNyS3lyUnYzejVObXpaTmFXbHBLaW9xMHV6WnM1V1FjSFk0ang4L3JpKy8vRkpOVFUzNjRvc3Y1UEY0dEcvZlB1M2V2VnVTRkFnRUZBZ0VOSEhpUk8zY3VWUFMyWERvNysvWE5kZGNFKzZ6dnI1ZTJkblo0ZTF6THowZFAzNWNYcTgzNHFVcFlEUVlZK0orZitscWl0TzFJUG93dy9qZHVSbUdKUGw4UHRYVzFxcWlva0xTMlQvbXVibTVtak5uamxhdFdxV3VyaTVObURCQjZlbnB1dlhXVzhQbitQNzc3eU8yangwN3BvYUdCaVVtSmtiMFZWSlNJcGZMcGJ5OHZQQmpuMzc2cVh3K256WnMyQkR4Mkh2dnZSZHg3TURBZ0xxN3U1V2FtcXFrcEtRaHoyUHYzcjBqR0lYbytDOEdvOHZsY3YzZHNxeVZGMm5TTDZsZTBxNUFJUERKMGFOSC95T043dldGa1l1R2E1TVp4akN5c3JLMGFkTW0xZFhWS1NzclM5dTJiZFBnNEtDS2lvb2tTZGRlZTYwa0tUVTFOZUlUUzluWjJSSGI1Ny9YY001WFgzMmxnd2NQYXVIQ2hUTEd5TElzZFhWMXFhS2lRbXZYcm8xbzYvRjQ1UEY0d3R0dGJXMHFMUzNWckZtekZBd0c5ZTY3NzhxeXJQQk1wcUNnWUZUSEFXT1hNZVkzeTdJT2hFS2hIWUZBWUVkemMzT2YwelVoK2hFWTUvbnBwNS9rOC9sVVVGQ2dzckl5RlJjWDY3dnZ2cFBYNjFWbFphVW1UcHdZMGI2bnAwZFBQUEhFSDI3Lyt1dXZRL3BJUzB2VE8rKzhveTFidHFpOHZGeExsaXhSYlcydEZpMWFwRHZ2dkhQWXVucDdlMVZWVmFXcXFpcTkvdnJyeXNqSVVIRnhzVjU4OFVVRmcwRzF0N2RyNmRLbG96UUtHTU42Sk5VWlkvNXg0c1NKM2UzdDdmMy85d2pnUEFTR3BNN09UZ1VDQVJVVUZPajU1NStYSkUyWU1FRTMzWFNUdG03ZHFvY2Vla2pYWDMvOWtPTlNVbEswZGV2VzhIWjJkbmJFOW5BekRFbTY1NTU3TkhmdVhKV1ZsV25ObWpWS1NFalEvZmZmcjFPblRrV0VVbXRycTZxcnExVlhWNmZNekV6RnhjWHB2dnZ1azNUMkMzM3IxcTFUUzB1TFhudnROZDE5OTkyak1SUVltdzZGUXFHL0JRS0JmelkzTnc4NlhReGlGNEVoNmVUSmszSzczWHJoaFJmVTJ0cXFrcElTZmYzMTEzcjg4Y2YxNXB0dnFxS2lRZzg4OElEUzA5TTFkKzVjWldSa0tEazVXZDNkM1hyc3NjZkM1N2x3KzhJWlJsZFhsNXFibS9YNTU1L0w1L05wMnJScDJyeDVzeVNwc3JKUzc3Ly92bkp6YzdWMDZWS2xwcVlxUGo1ZTExMTNuVDcrK0dPbHBxYks2L1ZxL2ZyMU9uandvRzY4OFVhVmw1ZXJ0clpXYTlldVZUQVkxUHo1ODdWcTFhb3JNMmlJR1g2L2Y0ZlROUUNPYzd2ZHh1MTJtOUhTME5CZzh2THlUSFYxdGVucjY0dlkxOUhSWVNvcUtreHBhYWtaSEJ3MHhoamo4WGd1ZXI3Rml4ZWJnWUVCWTR3eEF3TURKaWNueHp6eXlDUG03YmZmTmsxTlRVUGFIejU4Mk9UbjU1dnE2dW9oK3pvN08wMWVYcDc1NElNUFRFZEhSOFMrVUNoa2poNDlhcjc1NXBzLzlYeUhjMjVNbmY3ZHdubWpmWDFoWktMaDJvenBUOExFMnFjNFFxRlErSXQ3RjJOK2Z6UGNDZEh3U1F4RWgxaTd2c2E2YUxnMldhMzJDcklURnBJY0N3c0F1QmdDQXdCZ0M0RUJBTENGd0FBQTJFSmdBQUJzSVRBQUFMWVFHQUFBV3dnTUFJQXRCQVlBd0JZQ0F3Qmd5NWhZZkpEYmlnTEE1UmZUTXd4alRLUFROWXhSVFU0WEFDRDZ4UFFNdysvM3ozRzZCZ0FZTDJKNmhnRUF1SElJREFDQUxRUUdBTUFXQWdNQVlBdUJBUUN3aGNBQUFOaENZQUFBYkNFd0FBQzJFQmdBQUZzSURBQ0FMUVFHQU1BV0FnTUFZQXVCQVFDd0phWlhxd1Z3K1hHL0daekREQVBBc0xqZlRGVGlYalVBQUFBQUFBQUFBQUFBQUFBQUFBQUFBQUFBQUFBQUFBQUFBQUFBQUFBQUFBQUFBQUFBQUFBQUFBQUFBQUFBQUFBQUFBQUFBQUFBQUFBQUFBQUFBQUFBQUFBQUFBQUFnUEhtdnhJeHVpTGhraFA1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33387</Words>
  <Characters>39866</Characters>
  <Lines>230</Lines>
  <Paragraphs>64</Paragraphs>
  <TotalTime>3</TotalTime>
  <ScaleCrop>false</ScaleCrop>
  <LinksUpToDate>false</LinksUpToDate>
  <CharactersWithSpaces>40151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2023-02-17T01:52:00Z</dcterms:created>
  <dc:creator>大大的脑袋</dc:creator>
  <cp:lastModifiedBy>Administrator</cp:lastModifiedBy>
  <dcterms:modified xsi:type="dcterms:W3CDTF">2024-09-02T07:37:44Z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64B7FCBB8BBA41A1AA0DEDEF32D1978C_13</vt:lpwstr>
  </property>
</Properties>
</file>